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5FF" w14:textId="64B752C9" w:rsidR="00EF3120" w:rsidRPr="00D549BE" w:rsidRDefault="00D549BE" w:rsidP="00D549BE">
      <w:pPr>
        <w:pStyle w:val="Pagedecouverture"/>
        <w:rPr>
          <w:noProof/>
        </w:rPr>
      </w:pPr>
      <w:bookmarkStart w:id="0" w:name="_Hlk211774637"/>
      <w:r>
        <w:rPr>
          <w:noProof/>
        </w:rPr>
        <w:pict w14:anchorId="584B3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alt="272B1D4F-C342-43D3-B4F3-A78022FF3A5A" style="width:455.05pt;height:343.85pt">
            <v:imagedata r:id="rId8" o:title=""/>
          </v:shape>
        </w:pict>
      </w:r>
    </w:p>
    <w:p w14:paraId="024E6515" w14:textId="77777777" w:rsidR="00406E23" w:rsidRPr="00D549BE" w:rsidRDefault="00406E23" w:rsidP="00406E23">
      <w:pPr>
        <w:pStyle w:val="Pagedecouverture"/>
        <w:rPr>
          <w:noProof/>
        </w:rPr>
        <w:sectPr w:rsidR="00406E23" w:rsidRPr="00D549BE" w:rsidSect="00D549B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4888802" w14:textId="77777777" w:rsidR="00BC62F5" w:rsidRPr="00D549BE" w:rsidRDefault="00BC62F5" w:rsidP="00DA4273">
      <w:pPr>
        <w:pStyle w:val="Exposdesmotifstitre"/>
        <w:rPr>
          <w:rStyle w:val="normaltextrun"/>
          <w:noProof/>
        </w:rPr>
      </w:pPr>
      <w:bookmarkStart w:id="1" w:name="_Hlk211705320"/>
      <w:r w:rsidRPr="00D549BE">
        <w:rPr>
          <w:rStyle w:val="normaltextrun"/>
        </w:rPr>
        <w:lastRenderedPageBreak/>
        <w:t>EXPOSÉ DES MOTIFS </w:t>
      </w:r>
    </w:p>
    <w:p w14:paraId="54D6831A" w14:textId="77777777" w:rsidR="00BC62F5" w:rsidRPr="00D549BE" w:rsidRDefault="00BC62F5" w:rsidP="00DA4273">
      <w:pPr>
        <w:pStyle w:val="ManualHeading1"/>
        <w:rPr>
          <w:rFonts w:ascii="Segoe UI" w:hAnsi="Segoe UI" w:cs="Segoe UI"/>
          <w:noProof/>
          <w:sz w:val="18"/>
          <w:szCs w:val="18"/>
        </w:rPr>
      </w:pPr>
      <w:r w:rsidRPr="00D549BE">
        <w:rPr>
          <w:rStyle w:val="normaltextrun"/>
        </w:rPr>
        <w:t>1.</w:t>
      </w:r>
      <w:r w:rsidRPr="00D549BE">
        <w:tab/>
      </w:r>
      <w:r w:rsidRPr="00D549BE">
        <w:rPr>
          <w:rStyle w:val="normaltextrun"/>
        </w:rPr>
        <w:t>CONTEXTE DE LA PROPOSITION</w:t>
      </w:r>
      <w:r w:rsidRPr="00D549BE">
        <w:rPr>
          <w:rStyle w:val="eop"/>
        </w:rPr>
        <w:t xml:space="preserve"> </w:t>
      </w:r>
    </w:p>
    <w:p w14:paraId="44706D23" w14:textId="77777777" w:rsidR="00BC62F5" w:rsidRPr="00D549BE" w:rsidRDefault="00BC62F5" w:rsidP="00DA4273">
      <w:pPr>
        <w:pStyle w:val="ManualHeading2"/>
        <w:rPr>
          <w:noProof/>
        </w:rPr>
      </w:pPr>
      <w:r w:rsidRPr="00D549BE">
        <w:rPr>
          <w:rStyle w:val="normaltextrun"/>
          <w:color w:val="000000"/>
        </w:rPr>
        <w:t>•</w:t>
      </w:r>
      <w:r w:rsidRPr="00D549BE">
        <w:tab/>
      </w:r>
      <w:r w:rsidRPr="00D549BE">
        <w:rPr>
          <w:rStyle w:val="normaltextrun"/>
        </w:rPr>
        <w:t>Justification et objectifs de la proposition</w:t>
      </w:r>
      <w:r w:rsidRPr="00D549BE">
        <w:rPr>
          <w:rStyle w:val="eop"/>
        </w:rPr>
        <w:t xml:space="preserve"> </w:t>
      </w:r>
    </w:p>
    <w:p w14:paraId="2817B8C0" w14:textId="77777777" w:rsidR="00BC62F5" w:rsidRPr="00D549BE" w:rsidRDefault="00BC62F5" w:rsidP="00DA4273">
      <w:pPr>
        <w:rPr>
          <w:rStyle w:val="normaltextrun"/>
          <w:noProof/>
        </w:rPr>
      </w:pPr>
      <w:r w:rsidRPr="00D549BE">
        <w:rPr>
          <w:rStyle w:val="normaltextrun"/>
        </w:rPr>
        <w:t>L’UE soutient résolument l’Ukraine, dont l’avenir réside dans sa future appartenance à l’Union. L’UE soutient l’indépendance, la souveraineté et l’intégrité territoriale de l’Ukraine à l’intérieur de ses frontières internationalement reconnues et réaffirme son engagement inébranlable à lui apporter un soutien politique, financier, économique, humanitaire, militaire et diplomatique</w:t>
      </w:r>
      <w:r w:rsidRPr="00D549BE">
        <w:rPr>
          <w:rStyle w:val="FootnoteReference"/>
          <w:noProof/>
        </w:rPr>
        <w:footnoteReference w:id="2"/>
      </w:r>
      <w:r w:rsidRPr="00D549BE">
        <w:rPr>
          <w:rStyle w:val="normaltextrun"/>
        </w:rPr>
        <w:t xml:space="preserve">. </w:t>
      </w:r>
      <w:r w:rsidRPr="00D549BE">
        <w:t>Compte tenu de l’escalade de l’agression russe, il est nécessaire d’agir rapidement pour que l’Ukraine ait accès aux ressources dont elle a besoin de toute urgence. La présente proposition vise à garantir la mise en place d’un nouvel instrument afin de répondre à ces besoins urgents, en fournissant une aide de l’Union à l’Ukraine sous la forme d’un prêt devant être remboursé par des réparations dues par la Russie.</w:t>
      </w:r>
    </w:p>
    <w:p w14:paraId="311759D8" w14:textId="77777777" w:rsidR="009625F2" w:rsidRPr="00D549BE" w:rsidRDefault="009625F2" w:rsidP="00DA4273">
      <w:pPr>
        <w:rPr>
          <w:noProof/>
        </w:rPr>
      </w:pPr>
      <w:r w:rsidRPr="00D549BE">
        <w:t xml:space="preserve">L’invasion à grande échelle de l’Ukraine par la Russie, qui a débuté le 24 février 2022, a eu des conséquences extrêmement préjudiciables pour le pays et ses citoyens. Malgré les efforts diplomatiques déployés par les États-Unis et l’Europe pour parvenir à une résolution pacifique, et malgré la volonté de l’Ukraine d’engager un dialogue pour mettre fin à la guerre, la Russie a intensifié ses attaques contre l’Ukraine, ciblant délibérément des civils et des infrastructures critiques. Cette escalade a encore exacerbé la crise humanitaire, causé d’immenses souffrances au peuple ukrainien et augmenté le coût humain et financier colossal de cette agression militaire non provoquée et injustifiée. La guerre d’agression illégale menée par la Russie constitue une violation flagrante de l’intégrité territoriale, de la souveraineté et de l’indépendance de l’Ukraine, ainsi qu’une violation de l’interdiction du recours à la force consacrée par l’article 2, paragraphe 4, de la charte des Nations unies, qui est une règle impérative du droit international, et des autres principes de la charte des Nations unies. La détermination et le courage sans faille dont font preuve les Ukrainiens pour défendre leur patrie témoignent de leur force et méritent d’être profondément admirés et appréciés. </w:t>
      </w:r>
    </w:p>
    <w:p w14:paraId="67DE80DE" w14:textId="77777777" w:rsidR="009625F2" w:rsidRPr="00D549BE" w:rsidRDefault="009625F2" w:rsidP="00DA4273">
      <w:pPr>
        <w:rPr>
          <w:noProof/>
        </w:rPr>
      </w:pPr>
      <w:r w:rsidRPr="00D549BE">
        <w:t>Toutefois, l’intensification de l’agression russe a accru les besoins de financement de l’Ukraine et requiert des investissements urgents dans la base industrielle et technologique de défense ukrainienne. Il est clair à présent que des sources de financement supplémentaires, provenant tant de l’UE que de la communauté internationale, sont nécessaires. Les besoins de financement de l’Ukraine pour 2026 et 2027 devraient dépasser les projections existantes du Fonds monétaire international (FMI), dont le huitième examen du programme du FMI souligne que les risques et l’incertitude restent exceptionnellement élevés, le programme existant ayant une marge de manœuvre limitée pour absorber tout nouveau choc, y compris celui d’une guerre plus longue et plus intense. Le 9 septembre 2025, l’Ukraine a présenté une demande officielle en vue d’un nouveau programme du FMI destiné à couvrir les besoins de financement supplémentaires de 2026 à 2029. La capacité du FMI à mettre en œuvre ce programme est subordonnée à la réception de garanties de financement suffisantes de la part des partenaires, y compris l’Union.</w:t>
      </w:r>
    </w:p>
    <w:p w14:paraId="5E02B6D6" w14:textId="77777777" w:rsidR="009625F2" w:rsidRPr="00D549BE" w:rsidRDefault="009625F2" w:rsidP="00DA4273">
      <w:pPr>
        <w:rPr>
          <w:noProof/>
        </w:rPr>
      </w:pPr>
      <w:r w:rsidRPr="00D549BE">
        <w:t xml:space="preserve">Le projet de budget pour 2026 présenté récemment par l’Ukraine, élaboré en coopération avec le FMI, prévoit des dépenses de défense et de sécurité d’un montant de 56 milliards d’EUR, soutenues par une aide militaire en nature de 51,6 milliards d’EUR. Compte tenu de l’incidence négative de la guerre sur l’économie ukrainienne, ce budget prévoit qu’en plus de l’aide en nature nécessaire, une aide internationale de 43 milliards d’EUR est nécessaire. En </w:t>
      </w:r>
      <w:r w:rsidRPr="00D549BE">
        <w:lastRenderedPageBreak/>
        <w:t>janvier 2026, seuls 25 milliards d’EUR ont été fermement engagés. L’Ukraine dispose d’une marge de manœuvre limitée pour procéder à des ajustements budgétaires supplémentaires, étant donné que de nouvelles réductions des dépenses ou augmentations d’impôts pourraient nuire davantage à l’économie, qui est déjà vulnérable en raison des dommages causés aux infrastructures essentielles, des pénuries de main-d’œuvre, ainsi que des déplacements et de la mobilisation de personnes en cours. Une aide financière rapide est essentielle pour aider l’Ukraine à maintenir les fonctions essentielles de l’État, à assurer la stabilité macroéconomique, à réhabiliter les infrastructures énergétiques critiques et à investir dans sa base industrielle et technologique de défense. Ces besoins viennent s’ajouter à ceux, importants, en matière de redressement et de reconstruction à moyen terme.</w:t>
      </w:r>
    </w:p>
    <w:p w14:paraId="292D290E" w14:textId="77777777" w:rsidR="00BD4BEC" w:rsidRPr="00D549BE" w:rsidRDefault="00BC62F5" w:rsidP="00DA4273">
      <w:pPr>
        <w:rPr>
          <w:noProof/>
        </w:rPr>
      </w:pPr>
      <w:r w:rsidRPr="00D549BE">
        <w:t xml:space="preserve">Dans leur déclaration du sommet du 8 décembre 2025, les ministres des finances du G7 sont convenus de continuer à travailler ensemble à l’élaboration d’un large éventail d’options de financement pour soutenir l’Ukraine, notamment en utilisant possiblement la pleine valeur des actifs souverains russes immobilisés dans les territoires du G7 jusqu’à ce que les réparations soient payées par la Russie, pour mettre fin à la guerre et assurer une paix juste et durable en Ukraine, conformément aux cadres juridiques du G7. </w:t>
      </w:r>
    </w:p>
    <w:p w14:paraId="448CB47C" w14:textId="77777777" w:rsidR="008759F4" w:rsidRPr="00D549BE" w:rsidRDefault="00BD4BEC" w:rsidP="008759F4">
      <w:pPr>
        <w:rPr>
          <w:noProof/>
        </w:rPr>
      </w:pPr>
      <w:r w:rsidRPr="00D549BE">
        <w:t>Dans ses conclusions des 27 juin 2024, 17 octobre 2024, 19 décembre 2024 et 23 octobre 2025, le Conseil européen a déclaré que, sous réserve du droit de l’Union, les avoirs de la Russie devraient rester immobilisés jusqu’à ce que la Russie cesse sa guerre d’agression contre l’Ukraine et indemnise celle-ci des dommages causés par cette guerre. En outre, le règlement (UE) 2025/2600 du Conseil</w:t>
      </w:r>
      <w:r w:rsidRPr="00D549BE">
        <w:rPr>
          <w:rStyle w:val="FootnoteReference"/>
          <w:noProof/>
        </w:rPr>
        <w:footnoteReference w:id="3"/>
      </w:r>
      <w:r w:rsidRPr="00D549BE">
        <w:t xml:space="preserve"> interdit temporairement le transfert d’avoirs ou de réserves de la Banque centrale de Russie jusqu’à ce que la Russie cesse sa guerre d’agression contre l’Ukraine, que la Russie fournisse des réparations à l’Ukraine dans la mesure nécessaire pour permettre une reconstruction sans conséquences économiques ou financières négatives pour l’Union, et que les actions de la Russie dans le contexte de sa guerre d’agression contre l’Ukraine aient objectivement cessé de présenter un risque sérieux de graves difficultés pour l’économie de l’Union et de ses États membres. </w:t>
      </w:r>
    </w:p>
    <w:p w14:paraId="64F4CDF0" w14:textId="77777777" w:rsidR="008759F4" w:rsidRPr="00D549BE" w:rsidRDefault="008759F4" w:rsidP="008759F4">
      <w:pPr>
        <w:rPr>
          <w:noProof/>
        </w:rPr>
      </w:pPr>
      <w:r w:rsidRPr="00D549BE">
        <w:t>Dans ce contexte, le 18 décembre 2025, le Conseil européen est convenu d’accorder à l’Ukraine un prêt de 90 milliards d’EUR pour les années 2026 et 2027 sur la base d’un emprunt de l’UE sur les marchés des capitaux couvert par la marge de manœuvre du budget de l’UE. Le Conseil européen est également convenu que, dans le cadre d’une coopération renforcée (article 20 du TUE) en ce qui concerne l’instrument fondé sur l’article 212 du TFUE, aucune mobilisation de ressources du budget de l’Union en tant que garantie pour ce prêt n’aura d’incidence sur les obligations financières de la République tchèque, de la Hongrie et de la Slovaquie. À la même date, 25 États membres sont convenus que ce prêt ne serait remboursé par l’Ukraine qu’une fois des réparations reçues et que, d’ici là, les avoirs de la Banque centrale russe resteraient immobilisés et l’Union se réserverait le droit d’y recourir pour rembourser le prêt, dans le plein respect du droit de l’Union et du droit international. Ces États membres ont souligné l’importance des éléments suivants en ce qui concerne le prêt: a) le renforcement des industries européenne et ukrainienne de la défense; b) le maintien par l’Ukraine de l’état de droit, y compris la lutte contre la corruption; et c) le caractère spécifique de la politique de sécurité et de défense de certains États membres et les intérêts de tous les États membres en matière de sécurité et de défense.</w:t>
      </w:r>
    </w:p>
    <w:p w14:paraId="1E8D68AD" w14:textId="77777777" w:rsidR="00BC62F5" w:rsidRPr="00D549BE" w:rsidRDefault="00BC62F5" w:rsidP="00DA4273">
      <w:pPr>
        <w:rPr>
          <w:noProof/>
        </w:rPr>
      </w:pPr>
      <w:r w:rsidRPr="00D549BE">
        <w:t>Dans ce contexte, il est proposé de mettre en place un nouvel instrument de soutien à l’Ukraine d’un montant maximal de 90 milliards d’EUR, que l’Ukraine ne rembourserait qu’une fois qu’elle aurait reçu des réparations de la part de la Russie (ci-après le «prêt de soutien à l’Ukraine»). À la suite de demandes formulées par le Royaume de Belgique, la République de Bulgarie, le Royaume de Danemark, la République fédérale d’Allemagne, la République d’Estonie, l’Irlande, la République hellénique, le Royaume d’Espagne, la République française, la République de Croatie, la République italienne, la République de Chypre, la République de Lettonie, la République de Lituanie, le Grand-Duché de Luxembourg, la République de Malte, le Royaume des Pays-Bas, la République d’Autriche, la République de Pologne, la République portugaise, la Roumanie, la République de Slovénie, la République de Finlande et le Royaume de Suède, la Commission propose, dans une proposition d’accompagnement, qu’une coopération renforcée soit autorisée pour ce prêt.</w:t>
      </w:r>
    </w:p>
    <w:p w14:paraId="31F56B52" w14:textId="77777777" w:rsidR="00BC62F5" w:rsidRPr="00D549BE" w:rsidRDefault="00A7189E" w:rsidP="00DA4273">
      <w:pPr>
        <w:rPr>
          <w:b/>
          <w:bCs/>
          <w:noProof/>
        </w:rPr>
      </w:pPr>
      <w:r w:rsidRPr="00D549BE">
        <w:rPr>
          <w:b/>
        </w:rPr>
        <w:t>Un prêt de soutien à l’Ukraine</w:t>
      </w:r>
    </w:p>
    <w:p w14:paraId="2F2304A7" w14:textId="77777777" w:rsidR="00F13A19" w:rsidRPr="00D549BE" w:rsidRDefault="00F13A19" w:rsidP="00DA4273">
      <w:pPr>
        <w:rPr>
          <w:noProof/>
        </w:rPr>
      </w:pPr>
      <w:bookmarkStart w:id="2" w:name="_Hlk215229478"/>
      <w:r w:rsidRPr="00D549BE">
        <w:t xml:space="preserve">Malgré les besoins considérables de l’Ukraine, la capacité de l’État ukrainien à contracter davantage de dettes est fortement limitée. Le ratio de la dette au PIB de l’Ukraine s’est considérablement accru depuis le début de la guerre, passant de moins de 50 % du PIB à la fin de l’année 2021 à 85 % du PIB en 2025 (plus de 100 % du PIB en incluant les prêts ERA). Compte tenu des destructions importantes que la guerre a occasionnées sur la productivité et de la pression que la guerre continue d’exercer sur la dynamique de croissance, il n’est pas possible pour l’Ukraine de répondre à ses importants besoins de financement en s’endettant davantage. </w:t>
      </w:r>
    </w:p>
    <w:p w14:paraId="6D7648AA" w14:textId="77777777" w:rsidR="004F3D8C" w:rsidRPr="00D549BE" w:rsidRDefault="00590E9C" w:rsidP="00DA4273">
      <w:pPr>
        <w:rPr>
          <w:noProof/>
        </w:rPr>
      </w:pPr>
      <w:bookmarkStart w:id="3" w:name="_Hlk215229467"/>
      <w:bookmarkEnd w:id="2"/>
      <w:r w:rsidRPr="00D549BE">
        <w:t>Dans le même temps, les finances des États membres se remettent encore d’une succession de crises au cours de la dernière décennie, notamment les dépenses importantes générées par la guerre menée par la Russie en Ukraine et la campagne hybride menée par la Russie contre l’Union. La mobilisation de ressources supplémentaires importantes par les États membres pour pouvoir financer l’Ukraine constituerait un défi économique important.</w:t>
      </w:r>
    </w:p>
    <w:p w14:paraId="6DCEA554" w14:textId="77777777" w:rsidR="004F3D8C" w:rsidRPr="00D549BE" w:rsidRDefault="004F3D8C" w:rsidP="00DA4273">
      <w:pPr>
        <w:rPr>
          <w:noProof/>
        </w:rPr>
      </w:pPr>
      <w:r w:rsidRPr="00D549BE">
        <w:t>Dans ce contexte de dynamique difficile pour l’Ukraine en matière d’endettement en raison de l’agression russe en cours et des défis liés aux finances des États membres, y compris du fait des actions de la Russie, il convient de mettre au point une solution innovante qui ne devrait pas faire peser de charge financière sur l’Ukraine ou sur les États membres.</w:t>
      </w:r>
    </w:p>
    <w:bookmarkEnd w:id="3"/>
    <w:p w14:paraId="2BA98639" w14:textId="77777777" w:rsidR="0035687B" w:rsidRPr="00D549BE" w:rsidRDefault="004756CA" w:rsidP="00DA4273">
      <w:pPr>
        <w:rPr>
          <w:noProof/>
        </w:rPr>
      </w:pPr>
      <w:r w:rsidRPr="00D549BE">
        <w:t>Conformément au projet d’articles de la Commission du droit international sur la responsabilité de l’État pour fait internationalement illicite (ARSIWA)</w:t>
      </w:r>
      <w:r w:rsidRPr="00D549BE">
        <w:rPr>
          <w:rStyle w:val="FootnoteReference"/>
          <w:noProof/>
        </w:rPr>
        <w:footnoteReference w:id="4"/>
      </w:r>
      <w:r w:rsidRPr="00D549BE">
        <w:t xml:space="preserve"> et au droit international coutumier, la Russie, en tant qu’État responsable, est tenue de réparer intégralement le préjudice causé par sa guerre d’agression contre l’Ukraine. En particulier, les articles 30 à 32 de l’ARSIWA disposent que «[l]</w:t>
      </w:r>
      <w:r w:rsidRPr="00D549BE">
        <w:rPr>
          <w:i/>
        </w:rPr>
        <w:t>’État responsable du fait internationalement illicite a l’obligation: a) D’y mettre fin si ce fait continue; [...];</w:t>
      </w:r>
      <w:r w:rsidRPr="00D549BE">
        <w:t>»</w:t>
      </w:r>
      <w:r w:rsidRPr="00D549BE">
        <w:rPr>
          <w:i/>
        </w:rPr>
        <w:t xml:space="preserve"> </w:t>
      </w:r>
      <w:r w:rsidRPr="00D549BE">
        <w:t>«</w:t>
      </w:r>
      <w:r w:rsidRPr="00D549BE">
        <w:rPr>
          <w:i/>
        </w:rPr>
        <w:t>L’État responsable est tenu de réparer intégralement le préjudice causé par le fait internationalement illicite.</w:t>
      </w:r>
      <w:r w:rsidRPr="00D549BE">
        <w:t>»</w:t>
      </w:r>
      <w:r w:rsidRPr="00D549BE">
        <w:rPr>
          <w:i/>
        </w:rPr>
        <w:t xml:space="preserve"> </w:t>
      </w:r>
      <w:r w:rsidRPr="00D549BE">
        <w:t>«</w:t>
      </w:r>
      <w:r w:rsidRPr="00D549BE">
        <w:rPr>
          <w:i/>
        </w:rPr>
        <w:t>Le préjudice comprend tout dommage, tant matériel que moral, résultant du fait internationalement illicite de l’État.</w:t>
      </w:r>
      <w:r w:rsidRPr="00D549BE">
        <w:t>»</w:t>
      </w:r>
    </w:p>
    <w:p w14:paraId="218EF22E" w14:textId="77777777" w:rsidR="00D9181E" w:rsidRPr="00D549BE" w:rsidRDefault="00D9181E" w:rsidP="00DA4273">
      <w:pPr>
        <w:rPr>
          <w:noProof/>
        </w:rPr>
      </w:pPr>
      <w:r w:rsidRPr="00D549BE">
        <w:t>Dans le contexte de cette obligation légale pour la Russie de réparer les dommages qu’elle a causés par sa guerre d’agression illégale, il convient que l’Union accorde le prêt de soutien à l’Ukraine sous la forme d’un prêt à recours limité qui sera dû et payable lorsque l’Ukraine recevra de la Russie des liquidités ou des avoirs non monétaires sous la forme de réparations de guerre, d’indemnités ou de tout règlement financier de la part de la Russie, à l’exception du territoire.</w:t>
      </w:r>
    </w:p>
    <w:p w14:paraId="03ED8E67" w14:textId="77777777" w:rsidR="00BC62F5" w:rsidRPr="00D549BE" w:rsidRDefault="00713578" w:rsidP="001A41A4">
      <w:pPr>
        <w:pStyle w:val="ManualHeading2"/>
        <w:rPr>
          <w:rStyle w:val="normaltextrun"/>
          <w:bCs/>
          <w:noProof/>
        </w:rPr>
      </w:pPr>
      <w:r w:rsidRPr="00D549BE">
        <w:rPr>
          <w:rStyle w:val="normaltextrun"/>
        </w:rPr>
        <w:t>Utilisation des fonds</w:t>
      </w:r>
    </w:p>
    <w:p w14:paraId="4B7CC807" w14:textId="77777777" w:rsidR="00713578" w:rsidRPr="00D549BE" w:rsidRDefault="00713578" w:rsidP="00DA4273">
      <w:pPr>
        <w:rPr>
          <w:rFonts w:eastAsia="Times New Roman"/>
          <w:noProof/>
        </w:rPr>
      </w:pPr>
      <w:r w:rsidRPr="00D549BE">
        <w:t>Compte tenu des besoins de financement de l’Ukraine et de la grande incertitude quant à la suite de la guerre, il est essentiel que le prêt de soutien à l’Ukraine soit conçu de manière flexible et réactive en fonction de la situation. Il devrait être possible d’utiliser les fonds pour répondre aux besoins de financement les plus urgents, que ce soit en raison de la situation de guerre actuelle ou pour soutenir la reconstruction si la paix devait s’installer.</w:t>
      </w:r>
    </w:p>
    <w:p w14:paraId="0D12A0BE" w14:textId="77777777" w:rsidR="00713578" w:rsidRPr="00D549BE" w:rsidRDefault="00BC62F5" w:rsidP="00DA4273">
      <w:pPr>
        <w:rPr>
          <w:rFonts w:eastAsia="Times New Roman"/>
          <w:noProof/>
        </w:rPr>
      </w:pPr>
      <w:r w:rsidRPr="00D549BE">
        <w:t xml:space="preserve">La présente proposition prévoit un prêt de soutien à l’Ukraine, qui sera accordé en temps utile et d’une manière prévisible, continue, ordonnée et souple, en vue d’aider l’Ukraine à couvrir ses besoins de financement et ses besoins en matière de défense en 2026 et 2027, en particulier ceux résultant de la guerre d’agression menée par la Russie. Plus précisément, le prêt de soutien à l’Ukraine devrait contribuer à la stabilité macrofinancière de l’Ukraine et alléger ses contraintes de financement externe, qu’elles soient dues à la guerre ou à la reconstruction, et soutenir les capacités industrielles de l’Ukraine dans le domaine de la défense au moyen d’une coopération économique, financière et technique. </w:t>
      </w:r>
    </w:p>
    <w:p w14:paraId="1EAD5797" w14:textId="77777777" w:rsidR="00BC62F5" w:rsidRPr="00D549BE" w:rsidRDefault="00713578" w:rsidP="00DA4273">
      <w:pPr>
        <w:rPr>
          <w:rFonts w:eastAsia="Times New Roman"/>
          <w:noProof/>
        </w:rPr>
      </w:pPr>
      <w:r w:rsidRPr="00D549BE">
        <w:t>Afin de soutenir la stabilité macrofinancière de l’Ukraine et d’alléger ses contraintes de financement externe, la proposition crée de multiples options grâce auxquelles les fonds peuvent être acheminés pour soutenir l’Ukraine, le soutien pouvant être apporté au moyen de l’assistance macrofinancière et de la facilité pour l’Ukraine. Dans le cadre de ces deux instruments, les décaissements seront liés à des conditions préalables et à des conditions de politique publique. En ce qui concerne l’assistance macrofinancière, ces conditions seraient énoncées dans un protocole d’accord entre la Commission et l’Ukraine, y compris les conditions visant à renforcer la mobilisation de recettes, à lutter contre les causes profondes de la corruption, à améliorer la viabilité et la qualité des dépenses publiques et à accroître l’efficacité, la transparence et la responsabilité des systèmes de gestion des finances publiques. Pour ce qui est de la facilité pour l’Ukraine, le plan pour l’Ukraine devrait être mis à jour afin de tenir compte de ces montants supplémentaires, y compris en ce qui concerne les mesures visant à renforcer l’état de droit et la lutte contre la corruption.</w:t>
      </w:r>
    </w:p>
    <w:p w14:paraId="7B060907" w14:textId="77777777" w:rsidR="00F51965" w:rsidRPr="00D549BE" w:rsidRDefault="00F51965" w:rsidP="00DA4273">
      <w:pPr>
        <w:rPr>
          <w:rFonts w:eastAsia="Times New Roman"/>
          <w:noProof/>
        </w:rPr>
      </w:pPr>
      <w:r w:rsidRPr="00D549BE">
        <w:t>Afin de soutenir les capacités industrielles de l’Ukraine dans le domaine de la défense au moyen d’une coopération économique, financière et technique, la proposition prévoit une aide qui vise à permettre à l’Ukraine de réaliser des investissements publics urgents et importants pour soutenir l’industrie ukrainienne de la défense et son intégration dans l’industrie européenne de la défense en réponse à la situation de crise actuelle et à la suite de celle-ci. Afin de renforcer d’urgence la base industrielle de défense ukrainienne de manière efficace et autonome, les critères d’éligibilité devraient être structurés de manière à orienter les activités, les dépenses et les mesures visant à soutenir les capacités industrielles de l’Ukraine dans le domaine de la défense vers la reconstruction, le redressement et la modernisation de la base industrielle et technologique de défense ukrainienne, en tenant compte de son intégration progressive future dans la base industrielle et technologique de défense européenne. En outre, afin de permettre à l’Ukraine d’utiliser l’aide financière et économique de la manière la plus adaptée aux circonstances, il convient de lui permettre d’utiliser les fonds pour soutenir les capacités industrielles du pays dans le domaine de la défense au moyen de différentes méthodes de mise en œuvre qui reflètent la diversité des besoins.</w:t>
      </w:r>
    </w:p>
    <w:p w14:paraId="31955531" w14:textId="77777777" w:rsidR="00BC62F5" w:rsidRPr="00D549BE" w:rsidRDefault="00BC62F5" w:rsidP="00DA4273">
      <w:pPr>
        <w:rPr>
          <w:rFonts w:eastAsia="Times New Roman"/>
          <w:noProof/>
        </w:rPr>
      </w:pPr>
      <w:r w:rsidRPr="00D549BE">
        <w:t>L’aide financière et économique disponible au titre du prêt de soutien à l’Ukraine sera mise à la disposition de l’Ukraine en fonction de ses besoins de financement. À cette fin, l’Ukraine présentera une stratégie ukrainienne de financement fondée sur ses besoins et sources de financement. Après évaluation par la Commission, le Conseil approuverait cette évaluation et déterminerait le montant de l’aide à mettre à la disposition de l’Ukraine pour l’aider à mettre en œuvre la stratégie ukrainienne de financement.</w:t>
      </w:r>
    </w:p>
    <w:p w14:paraId="48F2182F" w14:textId="77777777" w:rsidR="00BC62F5" w:rsidRPr="00D549BE" w:rsidRDefault="00BC62F5" w:rsidP="00DA4273">
      <w:pPr>
        <w:pStyle w:val="ManualHeading2"/>
        <w:rPr>
          <w:rStyle w:val="tabchar"/>
          <w:rFonts w:ascii="Calibri" w:eastAsiaTheme="majorEastAsia" w:hAnsi="Calibri" w:cs="Calibri"/>
          <w:noProof/>
        </w:rPr>
      </w:pPr>
      <w:r w:rsidRPr="00D549BE">
        <w:rPr>
          <w:rStyle w:val="normaltextrun"/>
        </w:rPr>
        <w:t>•</w:t>
      </w:r>
      <w:r w:rsidRPr="00D549BE">
        <w:tab/>
      </w:r>
      <w:r w:rsidRPr="00D549BE">
        <w:rPr>
          <w:rStyle w:val="tabchar"/>
        </w:rPr>
        <w:t>Cohérence avec les dispositions existantes dans le domaine d’action</w:t>
      </w:r>
    </w:p>
    <w:p w14:paraId="0A96A5AF" w14:textId="77777777" w:rsidR="00BC62F5" w:rsidRPr="00D549BE" w:rsidRDefault="00BC62F5" w:rsidP="00DA4273">
      <w:pPr>
        <w:rPr>
          <w:rStyle w:val="normaltextrun"/>
          <w:noProof/>
        </w:rPr>
      </w:pPr>
      <w:r w:rsidRPr="00D549BE">
        <w:t>Le soutien au titre du prêt de soutien à l’Ukraine complétera, et sera cohérent avec, le soutien apporté grâce au règlement (UE) 2024/792</w:t>
      </w:r>
      <w:r w:rsidRPr="00D549BE">
        <w:rPr>
          <w:rStyle w:val="FootnoteReference"/>
          <w:rFonts w:eastAsiaTheme="minorEastAsia"/>
          <w:noProof/>
        </w:rPr>
        <w:footnoteReference w:id="5"/>
      </w:r>
      <w:r w:rsidRPr="00D549BE">
        <w:t>, au règlement (UE) 2021/947</w:t>
      </w:r>
      <w:r w:rsidRPr="00D549BE">
        <w:rPr>
          <w:rStyle w:val="FootnoteReference"/>
          <w:rFonts w:eastAsiaTheme="minorEastAsia"/>
          <w:noProof/>
        </w:rPr>
        <w:footnoteReference w:id="6"/>
      </w:r>
      <w:r w:rsidRPr="00D549BE">
        <w:t>, au règlement (CE) nº 1257/96</w:t>
      </w:r>
      <w:r w:rsidRPr="00D549BE">
        <w:rPr>
          <w:rStyle w:val="FootnoteReference"/>
          <w:rFonts w:eastAsiaTheme="minorEastAsia"/>
          <w:noProof/>
        </w:rPr>
        <w:footnoteReference w:id="7"/>
      </w:r>
      <w:r w:rsidRPr="00D549BE">
        <w:t>, au règlement (UE) 2024/2773</w:t>
      </w:r>
      <w:r w:rsidRPr="00D549BE">
        <w:rPr>
          <w:rStyle w:val="FootnoteReference"/>
          <w:rFonts w:eastAsiaTheme="minorEastAsia"/>
          <w:noProof/>
        </w:rPr>
        <w:footnoteReference w:id="8"/>
      </w:r>
      <w:r w:rsidRPr="00D549BE">
        <w:t xml:space="preserve"> et au règlement (UE) 2025/1106</w:t>
      </w:r>
      <w:r w:rsidRPr="00D549BE">
        <w:rPr>
          <w:rStyle w:val="FootnoteReference"/>
          <w:rFonts w:eastAsiaTheme="minorEastAsia"/>
          <w:noProof/>
        </w:rPr>
        <w:footnoteReference w:id="9"/>
      </w:r>
      <w:r w:rsidRPr="00D549BE">
        <w:t>, conformément aux objectifs, à la logique d’intervention et aux règles respectifs de ces instruments.</w:t>
      </w:r>
    </w:p>
    <w:p w14:paraId="505EDF8C" w14:textId="77777777" w:rsidR="00BC62F5" w:rsidRPr="00D549BE" w:rsidRDefault="00BC62F5" w:rsidP="00DA4273">
      <w:pPr>
        <w:rPr>
          <w:rStyle w:val="eop"/>
          <w:noProof/>
          <w:shd w:val="clear" w:color="auto" w:fill="FFFF00"/>
        </w:rPr>
      </w:pPr>
      <w:r w:rsidRPr="00D549BE">
        <w:t>En particulier, le prêt de soutien à l’Ukraine vient s’ajouter, en le complétant, au soutien apporté par l’UE dans le cadre de l’initiative des prêts ERA du G7 et de la facilité pour l’Ukraine. Une attention particulière est accordée à la cohérence et au renforcement mutuel entre le prêt de soutien à l’Ukraine et la mise en œuvre des politiques de défense, prévues par le règlement SAFE et la proposition de règlement EDIP.</w:t>
      </w:r>
    </w:p>
    <w:p w14:paraId="62B2E7CE" w14:textId="77777777" w:rsidR="00BC62F5" w:rsidRPr="00D549BE" w:rsidRDefault="00BC62F5" w:rsidP="00DA4273">
      <w:pPr>
        <w:pStyle w:val="ManualHeading2"/>
        <w:rPr>
          <w:rStyle w:val="eop"/>
          <w:rFonts w:ascii="Calibri" w:eastAsiaTheme="majorEastAsia" w:hAnsi="Calibri" w:cs="Calibri"/>
          <w:noProof/>
        </w:rPr>
      </w:pPr>
      <w:r w:rsidRPr="00D549BE">
        <w:rPr>
          <w:rStyle w:val="normaltextrun"/>
        </w:rPr>
        <w:t>•</w:t>
      </w:r>
      <w:r w:rsidRPr="00D549BE">
        <w:tab/>
      </w:r>
      <w:r w:rsidRPr="00D549BE">
        <w:rPr>
          <w:rStyle w:val="tabchar"/>
        </w:rPr>
        <w:t>Cohérence avec les autres politiques de l’Union</w:t>
      </w:r>
    </w:p>
    <w:p w14:paraId="0473C3E6" w14:textId="77777777" w:rsidR="00BC62F5" w:rsidRPr="00D549BE" w:rsidRDefault="00BC62F5" w:rsidP="00DA4273">
      <w:pPr>
        <w:rPr>
          <w:noProof/>
        </w:rPr>
      </w:pPr>
      <w:r w:rsidRPr="00D549BE">
        <w:t>Le soutien apporté au titre de l’initiative du prêt de soutien à l’Ukraine est cohérent avec l’application de mesures restrictives (sanctions) à l’encontre de la Russie et complémentaire de la facilité européenne pour la paix.</w:t>
      </w:r>
    </w:p>
    <w:p w14:paraId="682EFDE8" w14:textId="77777777" w:rsidR="00BC62F5" w:rsidRPr="00D549BE" w:rsidRDefault="00BC62F5" w:rsidP="00DA4273">
      <w:pPr>
        <w:rPr>
          <w:rStyle w:val="normaltextrun"/>
          <w:noProof/>
        </w:rPr>
      </w:pPr>
      <w:r w:rsidRPr="00D549BE">
        <w:rPr>
          <w:rStyle w:val="normaltextrun"/>
        </w:rPr>
        <w:t xml:space="preserve">En outre, le statut de pays candidat accordé par le Conseil européen le 23 juin 2022 et la décision du Conseil européen des 14 et 15 décembre 2023 d’ouvrir des négociations d’adhésion avec l’Ukraine ancrent fermement l’Ukraine sur sa trajectoire européenne. </w:t>
      </w:r>
      <w:r w:rsidRPr="00D549BE">
        <w:t>C’est pourquoi l’ensemble des mesures prises par l’UE pour soutenir la résilience et le redressement de l’Ukraine – y compris au moyen du prêt de soutien à l’Ukraine, qui sera également cohérent avec la facilité pour l’Ukraine et soutiendra sa mise en œuvre – contribuera également à la phase initiale du processus de préadhésion de l’Ukraine.</w:t>
      </w:r>
    </w:p>
    <w:p w14:paraId="6DCFA5B0" w14:textId="77777777" w:rsidR="00BC62F5" w:rsidRPr="00D549BE" w:rsidRDefault="00BC62F5" w:rsidP="00DA4273">
      <w:pPr>
        <w:pStyle w:val="ManualHeading1"/>
        <w:rPr>
          <w:rFonts w:ascii="Segoe UI" w:hAnsi="Segoe UI" w:cs="Segoe UI"/>
          <w:noProof/>
          <w:sz w:val="18"/>
          <w:szCs w:val="18"/>
        </w:rPr>
      </w:pPr>
      <w:r w:rsidRPr="00D549BE">
        <w:rPr>
          <w:rStyle w:val="normaltextrun"/>
        </w:rPr>
        <w:t>2.</w:t>
      </w:r>
      <w:r w:rsidRPr="00D549BE">
        <w:tab/>
      </w:r>
      <w:r w:rsidRPr="00D549BE">
        <w:rPr>
          <w:rStyle w:val="normaltextrun"/>
        </w:rPr>
        <w:t>BASE JURIDIQUE, SUBSIDIARITÉ ET PROPORTIONNALITÉ</w:t>
      </w:r>
    </w:p>
    <w:p w14:paraId="52144D2B" w14:textId="77777777" w:rsidR="00BC62F5" w:rsidRPr="00D549BE" w:rsidRDefault="00BC62F5" w:rsidP="00DA4273">
      <w:pPr>
        <w:pStyle w:val="ManualHeading2"/>
        <w:rPr>
          <w:rFonts w:ascii="Segoe UI" w:hAnsi="Segoe UI" w:cs="Segoe UI"/>
          <w:noProof/>
          <w:sz w:val="18"/>
          <w:szCs w:val="18"/>
        </w:rPr>
      </w:pPr>
      <w:r w:rsidRPr="00D549BE">
        <w:rPr>
          <w:rStyle w:val="normaltextrun"/>
        </w:rPr>
        <w:t>•</w:t>
      </w:r>
      <w:r w:rsidRPr="00D549BE">
        <w:tab/>
      </w:r>
      <w:r w:rsidRPr="00D549BE">
        <w:rPr>
          <w:rStyle w:val="normaltextrun"/>
        </w:rPr>
        <w:t>Base juridique</w:t>
      </w:r>
    </w:p>
    <w:p w14:paraId="6FE14AC0" w14:textId="77777777" w:rsidR="00BC62F5" w:rsidRPr="00D549BE" w:rsidRDefault="00BC62F5" w:rsidP="00DA4273">
      <w:pPr>
        <w:rPr>
          <w:rFonts w:ascii="Segoe UI" w:hAnsi="Segoe UI" w:cs="Segoe UI"/>
          <w:noProof/>
          <w:sz w:val="18"/>
          <w:szCs w:val="18"/>
        </w:rPr>
      </w:pPr>
      <w:r w:rsidRPr="00D549BE">
        <w:rPr>
          <w:rStyle w:val="normaltextrun"/>
        </w:rPr>
        <w:t>L’article 212 du TFUE constitue une base juridique appropriée pour les programmes d’assistance financière accordés par l’Union aux pays tiers qui ne sont pas des pays en développement.</w:t>
      </w:r>
    </w:p>
    <w:p w14:paraId="30FDA9AD" w14:textId="77777777" w:rsidR="00BC62F5" w:rsidRPr="00D549BE" w:rsidRDefault="00BC62F5" w:rsidP="00DA4273">
      <w:pPr>
        <w:pStyle w:val="ManualHeading2"/>
        <w:rPr>
          <w:rStyle w:val="tabchar"/>
          <w:rFonts w:ascii="Calibri" w:eastAsiaTheme="majorEastAsia" w:hAnsi="Calibri" w:cs="Calibri"/>
          <w:noProof/>
        </w:rPr>
      </w:pPr>
      <w:r w:rsidRPr="00D549BE">
        <w:rPr>
          <w:rStyle w:val="normaltextrun"/>
        </w:rPr>
        <w:t>•</w:t>
      </w:r>
      <w:r w:rsidRPr="00D549BE">
        <w:tab/>
      </w:r>
      <w:r w:rsidRPr="00D549BE">
        <w:rPr>
          <w:rStyle w:val="tabchar"/>
        </w:rPr>
        <w:t>Subsidiarité (en cas de compétence non exclusive)</w:t>
      </w:r>
    </w:p>
    <w:p w14:paraId="0E632A7E" w14:textId="77777777" w:rsidR="00BC62F5" w:rsidRPr="00D549BE" w:rsidRDefault="00BC62F5" w:rsidP="009F3AB1">
      <w:pPr>
        <w:rPr>
          <w:rStyle w:val="normaltextrun"/>
          <w:noProof/>
        </w:rPr>
      </w:pPr>
      <w:r w:rsidRPr="00D549BE">
        <w:rPr>
          <w:rStyle w:val="normaltextrun"/>
        </w:rPr>
        <w:t xml:space="preserve">Le principe de subsidiarité est respecté, dans la mesure où l’action commune nécessaire pour apporter un soutien d’une ampleur adéquate à l’Ukraine ne peut pas être réalisée de manière satisfaisante par les seuls États membres mais peut, en raison de ses dimensions et de ses effets, l’être mieux par l’UE. Les principales raisons en sont la capacité et les contraintes budgétaires rencontrées au niveau national et la nécessité d’une coordination étroite des donateurs afin de maximiser l’ampleur et l’efficacité du soutien, tout en limitant la charge pesant sur la capacité administrative des autorités ukrainiennes, qui est très sollicitée dans les circonstances actuelles. </w:t>
      </w:r>
      <w:r w:rsidRPr="00D549BE">
        <w:t>L’UE est dans une position unique pour fournir une aide extérieure à l’Ukraine afin de l’aider à couvrir ses besoins budgétaires urgents en temps utile et d’une manière prévisible, continue et ordonnée, y compris ceux liés à l’appui des capacités industrielles de l’Ukraine dans le domaine de la défense.</w:t>
      </w:r>
    </w:p>
    <w:p w14:paraId="0D61D2AF" w14:textId="77777777" w:rsidR="00BC62F5" w:rsidRPr="00D549BE" w:rsidRDefault="00BC62F5" w:rsidP="00DA4273">
      <w:pPr>
        <w:pStyle w:val="ManualHeading2"/>
        <w:rPr>
          <w:rFonts w:ascii="Segoe UI" w:hAnsi="Segoe UI" w:cs="Segoe UI"/>
          <w:noProof/>
          <w:sz w:val="18"/>
          <w:szCs w:val="18"/>
        </w:rPr>
      </w:pPr>
      <w:r w:rsidRPr="00D549BE">
        <w:rPr>
          <w:rStyle w:val="normaltextrun"/>
        </w:rPr>
        <w:t>•</w:t>
      </w:r>
      <w:r w:rsidRPr="00D549BE">
        <w:tab/>
      </w:r>
      <w:r w:rsidRPr="00D549BE">
        <w:rPr>
          <w:rStyle w:val="normaltextrun"/>
        </w:rPr>
        <w:t>Proportionnalité</w:t>
      </w:r>
    </w:p>
    <w:p w14:paraId="7CDC2BCF" w14:textId="77777777" w:rsidR="00BC62F5" w:rsidRPr="00D549BE" w:rsidRDefault="00BC62F5" w:rsidP="009F3AB1">
      <w:pPr>
        <w:rPr>
          <w:rStyle w:val="normaltextrun"/>
          <w:noProof/>
        </w:rPr>
      </w:pPr>
      <w:r w:rsidRPr="00D549BE">
        <w:rPr>
          <w:rStyle w:val="normaltextrun"/>
        </w:rPr>
        <w:t>La poursuite par la Russie de son agression militaire injustifiée et non provoquée nécessite l’octroi d’une aide financière supplémentaire à l’Ukraine conformément aux objectifs et modalités décrits dans la présente proposition.</w:t>
      </w:r>
    </w:p>
    <w:p w14:paraId="258992CC" w14:textId="77777777" w:rsidR="00BC62F5" w:rsidRPr="00D549BE" w:rsidRDefault="00BC62F5" w:rsidP="009F3AB1">
      <w:pPr>
        <w:rPr>
          <w:rStyle w:val="normaltextrun"/>
          <w:noProof/>
        </w:rPr>
      </w:pPr>
      <w:r w:rsidRPr="00D549BE">
        <w:rPr>
          <w:rStyle w:val="normaltextrun"/>
        </w:rPr>
        <w:t>Le soutien financier qu’il est proposé d’accorder à l’Ukraine est considéré d’un montant adéquat pour 2026 et 2027, sur la base des besoins de financement élevés du pays et des meilleures estimations de ses besoins en matière de défense soumises par les autorités nationales, tout en tenant compte de la forte incertitude liée aux circonstances de la guerre. Ce soutien ne va pas au-delà de ce qui est nécessaire pour atteindre l’objectif recherché, à savoir fournir un soutien structuré à l’Ukraine et au financement connexe.</w:t>
      </w:r>
    </w:p>
    <w:p w14:paraId="29D1537C" w14:textId="77777777" w:rsidR="00BC62F5" w:rsidRPr="00D549BE" w:rsidRDefault="00BC62F5" w:rsidP="009F3AB1">
      <w:pPr>
        <w:rPr>
          <w:rStyle w:val="eop"/>
          <w:noProof/>
        </w:rPr>
      </w:pPr>
      <w:r w:rsidRPr="00D549BE">
        <w:rPr>
          <w:rStyle w:val="normaltextrun"/>
        </w:rPr>
        <w:t>La proposition est proportionnée à l’ampleur et à la gravité des lacunes constatées, y compris la nécessité d’apporter un appui budgétaire à l’Ukraine et la nécessité de réaliser des investissements publics urgents et importants à l’appui de la base industrielle et technologique de défense ukrainienne et de son intégration dans la base industrielle et technologique de défense européenne. La proposition respecte les limites d’une intervention possible de l’Union en vertu des traités.</w:t>
      </w:r>
    </w:p>
    <w:p w14:paraId="5E7C7870" w14:textId="77777777" w:rsidR="00BC62F5" w:rsidRPr="00D549BE" w:rsidRDefault="00BC62F5" w:rsidP="00DA4273">
      <w:pPr>
        <w:pStyle w:val="ManualHeading2"/>
        <w:rPr>
          <w:rFonts w:ascii="Segoe UI" w:hAnsi="Segoe UI" w:cs="Segoe UI"/>
          <w:noProof/>
          <w:sz w:val="18"/>
          <w:szCs w:val="18"/>
        </w:rPr>
      </w:pPr>
      <w:r w:rsidRPr="00D549BE">
        <w:rPr>
          <w:rStyle w:val="normaltextrun"/>
        </w:rPr>
        <w:t>•</w:t>
      </w:r>
      <w:r w:rsidRPr="00D549BE">
        <w:tab/>
      </w:r>
      <w:r w:rsidRPr="00D549BE">
        <w:rPr>
          <w:rStyle w:val="normaltextrun"/>
        </w:rPr>
        <w:t>Choix de l’instrument</w:t>
      </w:r>
    </w:p>
    <w:p w14:paraId="682549F6" w14:textId="77777777" w:rsidR="00BC62F5" w:rsidRPr="00D549BE" w:rsidRDefault="00BC62F5" w:rsidP="00DA4273">
      <w:pPr>
        <w:rPr>
          <w:rStyle w:val="eop"/>
          <w:noProof/>
        </w:rPr>
      </w:pPr>
      <w:r w:rsidRPr="00D549BE">
        <w:t xml:space="preserve">Un règlement du Parlement européen et du Conseil est l’instrument approprié, car il prévoit des règles directement applicables pour la mise en œuvre du prêt de soutien à l’Ukraine. </w:t>
      </w:r>
    </w:p>
    <w:p w14:paraId="79934412" w14:textId="77777777" w:rsidR="00BC62F5" w:rsidRPr="00D549BE" w:rsidRDefault="00BC62F5" w:rsidP="009F3AB1">
      <w:pPr>
        <w:pStyle w:val="ManualHeading1"/>
        <w:rPr>
          <w:b w:val="0"/>
          <w:bCs/>
          <w:smallCaps w:val="0"/>
          <w:noProof/>
        </w:rPr>
      </w:pPr>
      <w:r w:rsidRPr="00D549BE">
        <w:rPr>
          <w:rStyle w:val="normaltextrun"/>
        </w:rPr>
        <w:t>3.</w:t>
      </w:r>
      <w:r w:rsidRPr="00D549BE">
        <w:tab/>
        <w:t>RÉSULTATS DES ÉVALUATIONS EX POST, DES CONSULTATIONS DES PARTIES INTÉRESSÉES ET DES ANALYSES D’IMPACT</w:t>
      </w:r>
    </w:p>
    <w:p w14:paraId="21A76159" w14:textId="77777777" w:rsidR="00BC62F5" w:rsidRPr="00D549BE" w:rsidRDefault="00BC62F5" w:rsidP="009F3AB1">
      <w:pPr>
        <w:pStyle w:val="ManualHeading2"/>
        <w:rPr>
          <w:rStyle w:val="normaltextrun"/>
          <w:rFonts w:ascii="Segoe UI" w:hAnsi="Segoe UI" w:cs="Segoe UI"/>
          <w:noProof/>
          <w:sz w:val="18"/>
          <w:szCs w:val="18"/>
        </w:rPr>
      </w:pPr>
      <w:r w:rsidRPr="00D549BE">
        <w:rPr>
          <w:rStyle w:val="normaltextrun"/>
        </w:rPr>
        <w:t>•</w:t>
      </w:r>
      <w:r w:rsidRPr="00D549BE">
        <w:tab/>
      </w:r>
      <w:r w:rsidRPr="00D549BE">
        <w:rPr>
          <w:rStyle w:val="normaltextrun"/>
        </w:rPr>
        <w:t>Évaluations ex post/bilans de qualité de la législation existante</w:t>
      </w:r>
    </w:p>
    <w:p w14:paraId="2D4E6215" w14:textId="77777777" w:rsidR="00812343" w:rsidRPr="00D549BE" w:rsidRDefault="00812343" w:rsidP="009F3AB1">
      <w:pPr>
        <w:rPr>
          <w:noProof/>
        </w:rPr>
      </w:pPr>
      <w:r w:rsidRPr="00D549BE">
        <w:t>La proposition fait suite à une série d’opérations d’assistance macrofinancière (AMF) en faveur de l’Ukraine mises en œuvre depuis 2015. Les évaluations ex post des précédentes opérations d’assistance macrofinancière en faveur de l’Ukraine ont montré que celles-ci avaient été généralement très pertinentes en ce qui concerne les objectifs poursuivis, l’enveloppe financière et les conditions imposées quant aux politiques à mener. En particulier, les opérations d’assistance macrofinancière ont été déterminantes pour aider l’Ukraine à faire face à ses problèmes de balance des paiements et à mener des réformes structurelles essentielles afin de stabiliser son économie et de renforcer la soutenabilité de sa position extérieure. Elles ont permis des économies budgétaires et procuré des avantages financiers et ont, en outre, servi de catalyseur pour attirer des soutiens financiers supplémentaires et accroître la confiance des investisseurs. Les conditions attachées aux opérations d’assistance macrofinancière ont été jugées complémentaires des programmes connexes du FMI. Elles ont eu un effet de renforcement sur le plan politique, qui a contribué à la mobilisation des autorités ukrainiennes autour de réformes essentielles, en particulier dans des domaines de politique structurelle que les programmes d’autres donateurs internationaux couvrent moins.</w:t>
      </w:r>
    </w:p>
    <w:p w14:paraId="331595CC" w14:textId="77777777" w:rsidR="00BC62F5" w:rsidRPr="00D549BE" w:rsidRDefault="00BC62F5" w:rsidP="00BE4C42">
      <w:pPr>
        <w:pStyle w:val="ManualHeading2"/>
        <w:rPr>
          <w:rStyle w:val="eop"/>
          <w:b w:val="0"/>
          <w:noProof/>
        </w:rPr>
      </w:pPr>
      <w:r w:rsidRPr="00D549BE">
        <w:rPr>
          <w:rStyle w:val="normaltextrun"/>
        </w:rPr>
        <w:t>•</w:t>
      </w:r>
      <w:r w:rsidRPr="00D549BE">
        <w:tab/>
      </w:r>
      <w:r w:rsidRPr="00D549BE">
        <w:rPr>
          <w:rStyle w:val="normaltextrun"/>
        </w:rPr>
        <w:t>Consultation des parties intéressées</w:t>
      </w:r>
    </w:p>
    <w:p w14:paraId="5E20889A" w14:textId="77777777" w:rsidR="00812343" w:rsidRPr="00D549BE" w:rsidRDefault="00BC62F5" w:rsidP="00BE4C42">
      <w:pPr>
        <w:rPr>
          <w:rStyle w:val="normaltextrun"/>
          <w:noProof/>
        </w:rPr>
      </w:pPr>
      <w:r w:rsidRPr="00D549BE">
        <w:t>La proposition fait suite aux conclusions du Conseil européen du 18 décembre 2025, dans lesquelles celui-ci a convenu d’accorder à l’Ukraine un prêt de 90 milliards d’EUR pour les années 2026 et 2027 sur la base d’un emprunt de l’UE sur les marchés des capitaux couvert par la marge de manœuvre du budget de l’UE. Lors de l’élaboration de la présente proposition, les services de la Commission ont consulté les institutions financières internationales et d’autres donateurs bilatéraux (dont les États membres et les membres du G7) et multilatéraux. La Commission est aussi en contact régulier avec les autorités ukrainiennes.</w:t>
      </w:r>
    </w:p>
    <w:p w14:paraId="21255F74" w14:textId="77777777" w:rsidR="00BC62F5" w:rsidRPr="00D549BE" w:rsidRDefault="00BC62F5" w:rsidP="00BE4C42">
      <w:pPr>
        <w:rPr>
          <w:noProof/>
        </w:rPr>
      </w:pPr>
      <w:r w:rsidRPr="00D549BE">
        <w:t>En raison de l’urgence de préparer la proposition en vue de son adoption en temps utile par les colégislateurs et de garantir son statut opérationnel d’ici le début de l’année 2026, il n’a pas été possible de procéder à une consultation formelle des parties prenantes. Cette approche vise à répondre aux demandes émergentes et croissantes en matière de défense et de budget résultant de la guerre d’agression menée par la Russie. Ces besoins englobent les efforts liés au redressement et à la reconstruction. L’Union européenne assurera une communication et une visibilité adéquates en ce qui concerne les objectifs et les actions mises en œuvre dans le cadre du prêt de soutien à l’Ukraine, tant à l’intérieur de l’Ukraine, dans l’ensemble de l’Union, qu’au niveau international.</w:t>
      </w:r>
    </w:p>
    <w:p w14:paraId="31CBA102" w14:textId="77777777" w:rsidR="00BC62F5" w:rsidRPr="00D549BE" w:rsidRDefault="00BC62F5" w:rsidP="00BE4C42">
      <w:pPr>
        <w:pStyle w:val="ManualHeading2"/>
        <w:rPr>
          <w:rStyle w:val="eop"/>
          <w:b w:val="0"/>
          <w:noProof/>
        </w:rPr>
      </w:pPr>
      <w:r w:rsidRPr="00D549BE">
        <w:rPr>
          <w:rStyle w:val="normaltextrun"/>
        </w:rPr>
        <w:t>•</w:t>
      </w:r>
      <w:r w:rsidRPr="00D549BE">
        <w:tab/>
      </w:r>
      <w:r w:rsidRPr="00D549BE">
        <w:rPr>
          <w:rStyle w:val="normaltextrun"/>
        </w:rPr>
        <w:t>Obtention et utilisation d’expertise</w:t>
      </w:r>
    </w:p>
    <w:p w14:paraId="6BECA895" w14:textId="77777777" w:rsidR="00BC62F5" w:rsidRPr="00D549BE" w:rsidRDefault="00BC62F5" w:rsidP="00BE4C42">
      <w:pPr>
        <w:rPr>
          <w:noProof/>
        </w:rPr>
      </w:pPr>
      <w:r w:rsidRPr="00D549BE">
        <w:t xml:space="preserve">La proposition s’appuie sur plusieurs décennies d’expérience dans le domaine de l’assistance macrofinancière ainsi que sur l’expérience acquise dans le domaine du soutien au titre de l’action extérieure de l’Union, y compris la facilité pour l’Ukraine depuis 2024. </w:t>
      </w:r>
    </w:p>
    <w:p w14:paraId="710C5AAE" w14:textId="77777777" w:rsidR="00BC62F5" w:rsidRPr="00D549BE" w:rsidRDefault="00BC62F5" w:rsidP="00BE4C42">
      <w:pPr>
        <w:rPr>
          <w:noProof/>
        </w:rPr>
      </w:pPr>
      <w:r w:rsidRPr="00D549BE">
        <w:t>La Commission a fondé cette proposition sur une analyse approfondie des besoins en matière de défense et de la situation macroéconomique plus large de l’Ukraine, analyse qui s’est également appuyée sur les contributions des institutions financières internationales et d’autres institutions internationales compétentes. À ce titre, des discussions régulières sur les dernières projections des besoins de financement de l’Ukraine ont eu lieu au sein d’enceintes internationales telles que le G7 et le FMI, et des contacts directs ont été constamment maintenus avec les autorités ukrainiennes.</w:t>
      </w:r>
    </w:p>
    <w:p w14:paraId="01FFBD7A" w14:textId="77777777" w:rsidR="00BC62F5" w:rsidRPr="00D549BE" w:rsidRDefault="00BC62F5" w:rsidP="00BE4C42">
      <w:pPr>
        <w:pStyle w:val="ManualHeading2"/>
        <w:rPr>
          <w:rStyle w:val="eop"/>
          <w:b w:val="0"/>
          <w:noProof/>
        </w:rPr>
      </w:pPr>
      <w:r w:rsidRPr="00D549BE">
        <w:rPr>
          <w:rStyle w:val="normaltextrun"/>
        </w:rPr>
        <w:t>•</w:t>
      </w:r>
      <w:r w:rsidRPr="00D549BE">
        <w:tab/>
      </w:r>
      <w:r w:rsidRPr="00D549BE">
        <w:rPr>
          <w:rStyle w:val="normaltextrun"/>
        </w:rPr>
        <w:t>Analyse d’impact</w:t>
      </w:r>
    </w:p>
    <w:p w14:paraId="4B1492F6" w14:textId="77777777" w:rsidR="00BC62F5" w:rsidRPr="00D549BE" w:rsidRDefault="00BC62F5" w:rsidP="00BC62F5">
      <w:pPr>
        <w:autoSpaceDE w:val="0"/>
        <w:autoSpaceDN w:val="0"/>
        <w:spacing w:before="40" w:after="240"/>
        <w:rPr>
          <w:noProof/>
        </w:rPr>
      </w:pPr>
      <w:r w:rsidRPr="00D549BE">
        <w:t>En raison du caractère urgent de la proposition, qui vise à fournir une aide urgente à un pays en guerre, aucune analyse d’impact n’a pu être réalisée. L’évaluation ex ante des besoins qu’il est proposé de couvrir par le prêt de soutien à l’Ukraine s’appuie, entre autres, sur des données récentes du FMI et des autorités ukrainiennes. Le soutien accordé au titre du prêt de soutien à l’Ukraine devrait s’appuyer sur les enseignements tirés et les réalisations d’initiatives de soutien récentes, telles que l’initiative des prêts ERA du G7.</w:t>
      </w:r>
    </w:p>
    <w:p w14:paraId="6F56D690" w14:textId="77777777" w:rsidR="00BC62F5" w:rsidRPr="00D549BE" w:rsidRDefault="00BC62F5" w:rsidP="00BE4C42">
      <w:pPr>
        <w:pStyle w:val="ManualHeading2"/>
        <w:rPr>
          <w:rStyle w:val="eop"/>
          <w:b w:val="0"/>
          <w:bCs/>
          <w:noProof/>
        </w:rPr>
      </w:pPr>
      <w:r w:rsidRPr="00D549BE">
        <w:rPr>
          <w:rStyle w:val="normaltextrun"/>
        </w:rPr>
        <w:t>•</w:t>
      </w:r>
      <w:r w:rsidRPr="00D549BE">
        <w:tab/>
      </w:r>
      <w:r w:rsidRPr="00D549BE">
        <w:rPr>
          <w:rStyle w:val="normaltextrun"/>
        </w:rPr>
        <w:t>Réglementation affûtée et simplification</w:t>
      </w:r>
    </w:p>
    <w:p w14:paraId="71723211" w14:textId="77777777" w:rsidR="00BC62F5" w:rsidRPr="00D549BE" w:rsidRDefault="00BC62F5" w:rsidP="00BC62F5">
      <w:pPr>
        <w:pBdr>
          <w:top w:val="nil"/>
          <w:left w:val="nil"/>
          <w:bottom w:val="nil"/>
          <w:right w:val="nil"/>
          <w:between w:val="nil"/>
          <w:bar w:val="nil"/>
        </w:pBdr>
        <w:spacing w:before="0" w:after="240"/>
        <w:rPr>
          <w:rFonts w:eastAsia="Arial Unicode MS"/>
          <w:noProof/>
        </w:rPr>
      </w:pPr>
      <w:r w:rsidRPr="00D549BE">
        <w:t>La proposition n’est pas liée au programme en faveur d’une réglementation affûtée et simplifiée.</w:t>
      </w:r>
    </w:p>
    <w:p w14:paraId="44F7BBC6" w14:textId="77777777" w:rsidR="00BC62F5" w:rsidRPr="00D549BE" w:rsidRDefault="00BC62F5" w:rsidP="00BE4C42">
      <w:pPr>
        <w:pStyle w:val="ManualHeading2"/>
        <w:rPr>
          <w:rStyle w:val="eop"/>
          <w:b w:val="0"/>
          <w:noProof/>
        </w:rPr>
      </w:pPr>
      <w:r w:rsidRPr="00D549BE">
        <w:rPr>
          <w:rStyle w:val="normaltextrun"/>
        </w:rPr>
        <w:t>•</w:t>
      </w:r>
      <w:r w:rsidRPr="00D549BE">
        <w:tab/>
      </w:r>
      <w:r w:rsidRPr="00D549BE">
        <w:rPr>
          <w:rStyle w:val="normaltextrun"/>
        </w:rPr>
        <w:t>Droits fondamentaux</w:t>
      </w:r>
    </w:p>
    <w:p w14:paraId="6EEB6FAC" w14:textId="77777777" w:rsidR="00BC62F5" w:rsidRPr="00D549BE" w:rsidRDefault="00BC62F5" w:rsidP="00BE4C42">
      <w:pPr>
        <w:rPr>
          <w:noProof/>
        </w:rPr>
      </w:pPr>
      <w:r w:rsidRPr="00D549BE">
        <w:t>L’octroi d’un soutien au titre du prêt de soutien à l’Ukraine est subordonné à la condition préalable que l’Ukraine continue de défendre et de respecter des mécanismes démocratiques effectifs et ses institutions, y compris le pluralisme parlementaire et l’état de droit, et qu’elle garantisse le respect des droits de l’homme, y compris les droits des personnes appartenant à des minorités. Le maintien et le respect de l’état de droit devraient inclure la lutte contre la corruption.</w:t>
      </w:r>
    </w:p>
    <w:p w14:paraId="59280408" w14:textId="77777777" w:rsidR="00BC62F5" w:rsidRPr="00D549BE" w:rsidRDefault="00BC62F5" w:rsidP="00BE4C42">
      <w:pPr>
        <w:rPr>
          <w:noProof/>
        </w:rPr>
      </w:pPr>
      <w:r w:rsidRPr="00D549BE">
        <w:t>L’engagement des autorités ukrainiennes en faveur de réformes et leur volonté politique constituent un signal positif, dont témoignent en particulier le statut de pays candidat accordé à l’Ukraine par le Conseil européen en juin 2022 et la décision du Conseil européen de décembre 2023 d’ouvrir des négociations d’adhésion avec l’Ukraine, ainsi que la bonne exécution, à nouveau, des conditions de politique structurelle attachées aux récentes opérations d’assistance macrofinancière en faveur de l’Ukraine, et la poursuite de la mise en œuvre du plan pour l’Ukraine. Le 14 mai 2025, l’Ukraine a adopté des feuilles de route sur (entre autres) l’état de droit, la réforme de l’administration publique et le fonctionnement des institutions démocratiques. Les réunions bilatérales d’examen analytique se sont achevées en septembre 2025. Depuis l’agression russe, les autorités ukrainiennes font preuve d’un degré impressionnant de résilience et restent déterminées à poursuivre ces réformes de manière transparente et en progressant vers les normes de l’UE, conformément à la trajectoire qui doit conduire l’Ukraine à intégrer l’UE.</w:t>
      </w:r>
    </w:p>
    <w:p w14:paraId="6F2F8C22" w14:textId="77777777" w:rsidR="00BC62F5" w:rsidRPr="00D549BE" w:rsidRDefault="00BC62F5" w:rsidP="00BE4C42">
      <w:pPr>
        <w:rPr>
          <w:noProof/>
        </w:rPr>
      </w:pPr>
      <w:r w:rsidRPr="00D549BE">
        <w:t>Compte tenu de ce qui précède, la condition préalable à l’octroi du prêt de soutien à l’Ukraine est considérée comme remplie actuellement. Dans le même temps, le respect continu de cette condition préalable sera encore garanti par des conditions spécifiques relatives à l’évaluation, par la Commission, des futures stratégies ukrainiennes de financement et avant les décaissements. Une condition préalable similaire à l’octroi d’un soutien est applicable à la mise en œuvre du plan pour l’Ukraine.</w:t>
      </w:r>
    </w:p>
    <w:p w14:paraId="0E1FDD68" w14:textId="77777777" w:rsidR="00BC62F5" w:rsidRPr="00D549BE" w:rsidRDefault="00BC62F5" w:rsidP="00BE4C42">
      <w:pPr>
        <w:pStyle w:val="ManualHeading1"/>
        <w:rPr>
          <w:noProof/>
        </w:rPr>
      </w:pPr>
      <w:r w:rsidRPr="00D549BE">
        <w:rPr>
          <w:rStyle w:val="normaltextrun"/>
        </w:rPr>
        <w:t>4.</w:t>
      </w:r>
      <w:r w:rsidRPr="00D549BE">
        <w:tab/>
      </w:r>
      <w:r w:rsidRPr="00D549BE">
        <w:rPr>
          <w:rStyle w:val="normaltextrun"/>
        </w:rPr>
        <w:t>INCIDENCE BUDGÉTAIRE</w:t>
      </w:r>
    </w:p>
    <w:p w14:paraId="777D855E" w14:textId="77777777" w:rsidR="007B1F29" w:rsidRPr="00D549BE" w:rsidRDefault="00BC62F5" w:rsidP="00721798">
      <w:pPr>
        <w:rPr>
          <w:noProof/>
        </w:rPr>
      </w:pPr>
      <w:r w:rsidRPr="00D549BE">
        <w:t xml:space="preserve">Le prêt de soutien à l’Ukraine prendra la forme d’un prêt à recours limité en faveur de l’Ukraine, d’un montant maximal de 90 milliards d’EUR, à rembourser par les réparations dues par la Russie. Ce prêt sera basé sur un emprunt de l’UE sur les marchés des capitaux couvert par la marge de manœuvre du budget de l’UE. Le budget de l’Union couvrira également les coûts du service de la dette (coût du financement et coûts d’émission et de gestion des liquidités) liés à l’emprunt ainsi que les coûts administratifs associés. Pour tenir compte de ces éléments, le règlement relatif au cadre financier pluriannuel pour la période 2021-2027 sera révisé. </w:t>
      </w:r>
    </w:p>
    <w:p w14:paraId="257255E5" w14:textId="77777777" w:rsidR="007B1F29" w:rsidRPr="00D549BE" w:rsidRDefault="007B1F29" w:rsidP="007B1F29">
      <w:pPr>
        <w:rPr>
          <w:noProof/>
        </w:rPr>
      </w:pPr>
      <w:r w:rsidRPr="00D549BE">
        <w:t>Les coûts du service de la dette seront financés par un nouvel instrument spécial au-delà des plafonds de dépenses du CFP, l’instrument de prêt à l’Ukraine, qui peut être mobilisé uniquement à cette fin. Lors de la mobilisation de l’instrument de prêt à l’Ukraine dans le cadre de la procédure budgétaire, les disponibilités budgétaires dans d’autres instruments spéciaux, les règles sectorielles applicables, toute obligation juridique ou autre, y compris au titre de l’instrument EURI, les priorités, une budgétisation prudente et une bonne gestion financière seront prises en considération.</w:t>
      </w:r>
    </w:p>
    <w:p w14:paraId="2E55F7A7" w14:textId="77777777" w:rsidR="007B1F29" w:rsidRPr="00D549BE" w:rsidRDefault="007B1F29" w:rsidP="007B1F29">
      <w:pPr>
        <w:rPr>
          <w:noProof/>
        </w:rPr>
      </w:pPr>
      <w:r w:rsidRPr="00D549BE">
        <w:t>Ce prêt sera financé dans le cadre d’une coopération renforcée, ce qui implique, conformément à l’article 332 du traité sur le fonctionnement de l’Union européenne, que les dépenses qui en résultent, autres que les coûts administratifs occasionnés pour les institutions, sont prises en charge par les États membres participants.</w:t>
      </w:r>
    </w:p>
    <w:p w14:paraId="330A83C1" w14:textId="77777777" w:rsidR="00BC62F5" w:rsidRPr="00D549BE" w:rsidRDefault="007B1F29" w:rsidP="003D3CD6">
      <w:pPr>
        <w:rPr>
          <w:noProof/>
        </w:rPr>
      </w:pPr>
      <w:r w:rsidRPr="00D549BE">
        <w:t>Une nouvelle ligne budgétaire sera créée pour déterminer de manière claire et transparente les dépenses liées aux coûts du service de la dette résultant de la coopération renforcée. La méthode de calcul des contributions des États membres participants est définie à l’article 11 du règlement relatif à la mise à disposition [règlement (UE, Euratom) nº 609/2014]. De même, en cas d’appel à la garantie du budget de l’UE, les montants seront mobilisés au-delà des plafonds de dépenses du CFP et les contributions financières seront supportées par les États membres participants, calculées selon la même méthode.</w:t>
      </w:r>
    </w:p>
    <w:p w14:paraId="356D64E5" w14:textId="77777777" w:rsidR="00BC62F5" w:rsidRPr="00D549BE" w:rsidRDefault="007B1F29" w:rsidP="00BE4C42">
      <w:pPr>
        <w:rPr>
          <w:noProof/>
        </w:rPr>
      </w:pPr>
      <w:r w:rsidRPr="00D549BE">
        <w:t>Des précisions concernant l’incidence budgétaire sont fournies dans la fiche financière législative jointe à la présente proposition.</w:t>
      </w:r>
    </w:p>
    <w:p w14:paraId="40C4809B" w14:textId="77777777" w:rsidR="00BC62F5" w:rsidRPr="00D549BE" w:rsidRDefault="00BC62F5" w:rsidP="00BE4C42">
      <w:pPr>
        <w:pStyle w:val="ManualHeading1"/>
        <w:rPr>
          <w:rStyle w:val="eop"/>
          <w:noProof/>
        </w:rPr>
      </w:pPr>
      <w:r w:rsidRPr="00D549BE">
        <w:rPr>
          <w:rStyle w:val="normaltextrun"/>
        </w:rPr>
        <w:t>5.</w:t>
      </w:r>
      <w:r w:rsidRPr="00D549BE">
        <w:tab/>
      </w:r>
      <w:r w:rsidRPr="00D549BE">
        <w:rPr>
          <w:rStyle w:val="normaltextrun"/>
        </w:rPr>
        <w:t>AUTRES ÉLÉMENTS</w:t>
      </w:r>
    </w:p>
    <w:p w14:paraId="4D8684DD" w14:textId="77777777" w:rsidR="00BC62F5" w:rsidRPr="00D549BE" w:rsidRDefault="00BC62F5" w:rsidP="00BE4C42">
      <w:pPr>
        <w:pStyle w:val="ManualHeading2"/>
        <w:rPr>
          <w:rStyle w:val="eop"/>
          <w:b w:val="0"/>
          <w:noProof/>
        </w:rPr>
      </w:pPr>
      <w:r w:rsidRPr="00D549BE">
        <w:rPr>
          <w:rStyle w:val="normaltextrun"/>
        </w:rPr>
        <w:t>•</w:t>
      </w:r>
      <w:r w:rsidRPr="00D549BE">
        <w:tab/>
      </w:r>
      <w:r w:rsidRPr="00D549BE">
        <w:rPr>
          <w:rStyle w:val="normaltextrun"/>
        </w:rPr>
        <w:t>Plans de mise en œuvre et modalités de suivi, d’évaluation et d’information</w:t>
      </w:r>
    </w:p>
    <w:p w14:paraId="3CA3E1DC" w14:textId="77777777" w:rsidR="00BC62F5" w:rsidRPr="00D549BE" w:rsidRDefault="00BC62F5" w:rsidP="00BE4C42">
      <w:pPr>
        <w:rPr>
          <w:noProof/>
        </w:rPr>
      </w:pPr>
      <w:r w:rsidRPr="00D549BE">
        <w:t>Le prêt de soutien à l’Ukraine sera d’un montant maximal de 90 milliards d’EUR, à mettre à disposition en fonction des besoins de financement de l’Ukraine conformément aux dispositions de la présente proposition.</w:t>
      </w:r>
    </w:p>
    <w:p w14:paraId="761C8B03" w14:textId="77777777" w:rsidR="007B09F5" w:rsidRPr="00D549BE" w:rsidRDefault="00BC62F5" w:rsidP="00BE4C42">
      <w:pPr>
        <w:rPr>
          <w:noProof/>
        </w:rPr>
      </w:pPr>
      <w:r w:rsidRPr="00D549BE">
        <w:t xml:space="preserve">Plus précisément, aux fins de la mise en œuvre du règlement sur le prêt de soutien à l’Ukraine, cette dernière doit soumettre à la Commission européenne une stratégie ukrainienne de financement fournissant des détails sur les besoins de financement et les sources de financement de l’Ukraine, en principe pour les 12 mois à venir. La Commission doit évaluer la stratégie ukrainienne de financement et, en cas d’évaluation positive, soumettre une proposition au Conseil pour approbation de son évaluation au moyen d’une décision d’exécution. La proposition de la Commission définira le montant de l’aide à mettre à la disposition de l’Ukraine pour l’aider à mettre en œuvre la stratégie ukrainienne de financement, y compris le montant de cette aide accessible aux fins i) de l’aide au titre de la facilité pour l’Ukraine, ii) de l’assistance macrofinancière et iii) de l’aide visant à soutenir les capacités industrielles de l’Ukraine dans le domaine de la défense. </w:t>
      </w:r>
    </w:p>
    <w:p w14:paraId="400DE6FA" w14:textId="77777777" w:rsidR="00BC62F5" w:rsidRPr="00D549BE" w:rsidRDefault="00BC62F5" w:rsidP="00BE4C42">
      <w:pPr>
        <w:rPr>
          <w:rFonts w:eastAsia="Arial Unicode MS"/>
          <w:noProof/>
        </w:rPr>
      </w:pPr>
      <w:r w:rsidRPr="00D549BE">
        <w:t>Pour bénéficier d’une aide financière et économique au titre du prêt de soutien à l’Ukraine, cette dernière présentera à la Commission une demande de fonds dûment justifiée, qui pourra être présentée par l’Ukraine à la Commission, en principe, six fois par an.</w:t>
      </w:r>
    </w:p>
    <w:p w14:paraId="7062EC72" w14:textId="77777777" w:rsidR="00BC62F5" w:rsidRPr="00D549BE" w:rsidRDefault="00F9031A" w:rsidP="00BE4C42">
      <w:pPr>
        <w:rPr>
          <w:noProof/>
        </w:rPr>
      </w:pPr>
      <w:r w:rsidRPr="00D549BE">
        <w:t>En outre, la Commission présentera au Parlement européen et au Conseil un rapport sur la mise en œuvre du règlement sur le prêt de soutien à l’Ukraine au cours de l’année précédente, qui comprendra une évaluation de cette mise en œuvre. Par ailleurs, au plus tard le 30 juin 2029, la Commission présentera au Parlement européen et au Conseil un rapport d’évaluation évaluant les résultats et l’efficacité du prêt de soutien à l’Ukraine accordé au titre du règlement y afférent et la mesure dans laquelle il a contribué aux objectifs de l’aide.</w:t>
      </w:r>
    </w:p>
    <w:p w14:paraId="1E15B346" w14:textId="77777777" w:rsidR="00BC62F5" w:rsidRPr="00D549BE" w:rsidRDefault="00F9031A" w:rsidP="00BE4C42">
      <w:pPr>
        <w:rPr>
          <w:noProof/>
        </w:rPr>
      </w:pPr>
      <w:r w:rsidRPr="00D549BE">
        <w:t>Enfin, afin de renforcer le dialogue entre les institutions de l’Union, notamment le Parlement européen, le Conseil et la Commission, et d’accroître la transparence et la responsabilité, la commission compétente du Parlement européen peut inviter la Commission à débattre de la mise en œuvre du présent règlement.</w:t>
      </w:r>
    </w:p>
    <w:p w14:paraId="418B4099" w14:textId="77777777" w:rsidR="00BC62F5" w:rsidRPr="00D549BE" w:rsidRDefault="00BC62F5" w:rsidP="00A761AB">
      <w:pPr>
        <w:pStyle w:val="ManualHeading2"/>
        <w:rPr>
          <w:rFonts w:ascii="Segoe UI" w:hAnsi="Segoe UI" w:cs="Segoe UI"/>
          <w:noProof/>
          <w:sz w:val="18"/>
          <w:szCs w:val="18"/>
        </w:rPr>
      </w:pPr>
      <w:r w:rsidRPr="00D549BE">
        <w:rPr>
          <w:rStyle w:val="normaltextrun"/>
        </w:rPr>
        <w:t>•</w:t>
      </w:r>
      <w:r w:rsidRPr="00D549BE">
        <w:tab/>
      </w:r>
      <w:r w:rsidRPr="00D549BE">
        <w:rPr>
          <w:rStyle w:val="normaltextrun"/>
        </w:rPr>
        <w:t>Explication détaillée de certaines dispositions de la proposition</w:t>
      </w:r>
    </w:p>
    <w:p w14:paraId="163A01F4" w14:textId="77777777" w:rsidR="00BC62F5" w:rsidRPr="00D549BE" w:rsidRDefault="00BC62F5" w:rsidP="00A761AB">
      <w:pPr>
        <w:rPr>
          <w:noProof/>
        </w:rPr>
      </w:pPr>
      <w:r w:rsidRPr="00D549BE">
        <w:t>Le chapitre I contient les dispositions générales du règlement.</w:t>
      </w:r>
    </w:p>
    <w:p w14:paraId="4A69B559" w14:textId="77777777" w:rsidR="00BC62F5" w:rsidRPr="00D549BE" w:rsidRDefault="00BC62F5" w:rsidP="00A761AB">
      <w:pPr>
        <w:rPr>
          <w:noProof/>
        </w:rPr>
      </w:pPr>
      <w:r w:rsidRPr="00D549BE">
        <w:t>L’article 1</w:t>
      </w:r>
      <w:r w:rsidRPr="00D549BE">
        <w:rPr>
          <w:vertAlign w:val="superscript"/>
        </w:rPr>
        <w:t>er</w:t>
      </w:r>
      <w:r w:rsidRPr="00D549BE">
        <w:t xml:space="preserve"> définit l’objet du règlement, à savoir l’établissement du prêt de soutien à l’Ukraine.</w:t>
      </w:r>
    </w:p>
    <w:p w14:paraId="545EEAA7" w14:textId="77777777" w:rsidR="00BC62F5" w:rsidRPr="00D549BE" w:rsidRDefault="00BC62F5" w:rsidP="00A761AB">
      <w:pPr>
        <w:rPr>
          <w:noProof/>
        </w:rPr>
      </w:pPr>
      <w:r w:rsidRPr="00D549BE">
        <w:t>L’article 2 définit les objectifs généraux et spécifiques du prêt de soutien à l’Ukraine, qui consistent à fournir une aide financière et économique à l’Ukraine d’une manière prévisible et continue, en soutenant la stabilité macrofinancière et les capacités industrielles de l’Ukraine dans le domaine de la défense.</w:t>
      </w:r>
    </w:p>
    <w:p w14:paraId="585CE1E8" w14:textId="77777777" w:rsidR="00BC62F5" w:rsidRPr="00D549BE" w:rsidRDefault="00BC62F5" w:rsidP="00A761AB">
      <w:pPr>
        <w:rPr>
          <w:noProof/>
        </w:rPr>
      </w:pPr>
      <w:r w:rsidRPr="00D549BE">
        <w:t>L’article 3 établit les définitions applicables dans le cadre du règlement.</w:t>
      </w:r>
    </w:p>
    <w:p w14:paraId="7E5367EE" w14:textId="77777777" w:rsidR="00BC62F5" w:rsidRPr="00D549BE" w:rsidRDefault="00BC62F5" w:rsidP="00A761AB">
      <w:pPr>
        <w:rPr>
          <w:noProof/>
        </w:rPr>
      </w:pPr>
      <w:r w:rsidRPr="00D549BE">
        <w:t>L’article 4 fixe l’aide disponible au titre du prêt de soutien à l’Ukraine.</w:t>
      </w:r>
    </w:p>
    <w:p w14:paraId="60C70FD1" w14:textId="77777777" w:rsidR="00BC62F5" w:rsidRPr="00D549BE" w:rsidRDefault="00BC62F5" w:rsidP="00A761AB">
      <w:pPr>
        <w:rPr>
          <w:noProof/>
        </w:rPr>
      </w:pPr>
      <w:r w:rsidRPr="00D549BE">
        <w:t>L’article 5 énonce les conditions préalables à l’octroi d’une aide au titre du prêt de soutien à l’Ukraine.</w:t>
      </w:r>
    </w:p>
    <w:p w14:paraId="4FB6B697" w14:textId="77777777" w:rsidR="00BC62F5" w:rsidRPr="00D549BE" w:rsidRDefault="00BC62F5" w:rsidP="00A761AB">
      <w:pPr>
        <w:rPr>
          <w:noProof/>
        </w:rPr>
      </w:pPr>
      <w:r w:rsidRPr="00D549BE">
        <w:t>Le chapitre II du règlement porte sur la mise en œuvre du prêt de soutien à l’Ukraine.</w:t>
      </w:r>
    </w:p>
    <w:p w14:paraId="2F87ADC0" w14:textId="77777777" w:rsidR="00BC62F5" w:rsidRPr="00D549BE" w:rsidRDefault="00BC62F5" w:rsidP="00A761AB">
      <w:pPr>
        <w:rPr>
          <w:noProof/>
        </w:rPr>
      </w:pPr>
      <w:r w:rsidRPr="00D549BE">
        <w:t>L’article 6 dispose que l’Ukraine soumet à la Commission la stratégie ukrainienne de financement, en fournissant des précisions sur son contenu, avec une référence spécifique aux besoins et aux ressources financières de l’Ukraine pour les 12 prochains mois.</w:t>
      </w:r>
    </w:p>
    <w:p w14:paraId="03217200" w14:textId="77777777" w:rsidR="00BC62F5" w:rsidRPr="00D549BE" w:rsidRDefault="00BC62F5" w:rsidP="00A761AB">
      <w:pPr>
        <w:rPr>
          <w:noProof/>
        </w:rPr>
      </w:pPr>
      <w:r w:rsidRPr="00D549BE">
        <w:t>L’article 7 prévoit l’évaluation par la Commission de la stratégie ukrainienne de financement, en définissant les critères nécessaires à respecter.</w:t>
      </w:r>
    </w:p>
    <w:p w14:paraId="351F15E9" w14:textId="77777777" w:rsidR="00BC62F5" w:rsidRPr="00D549BE" w:rsidRDefault="00BC62F5" w:rsidP="00A761AB">
      <w:pPr>
        <w:rPr>
          <w:noProof/>
        </w:rPr>
      </w:pPr>
      <w:r w:rsidRPr="00D549BE">
        <w:t>L’article 8 prévoit une décision d’exécution du Conseil rendant l’aide financière et économique accessible.</w:t>
      </w:r>
    </w:p>
    <w:p w14:paraId="0498500F" w14:textId="77777777" w:rsidR="00BC62F5" w:rsidRPr="00D549BE" w:rsidRDefault="00BC62F5" w:rsidP="00A761AB">
      <w:pPr>
        <w:rPr>
          <w:noProof/>
        </w:rPr>
      </w:pPr>
      <w:r w:rsidRPr="00D549BE">
        <w:t>L’article 9 prévoit une coopération étroite entre la Commission, l’Ukraine, les États membres, les organismes internationaux compétents et les donateurs en faveur de l’Ukraine afin de garantir une approche cohérente et uniforme pour répondre aux besoins d’aide financière et économique de l’Ukraine.</w:t>
      </w:r>
    </w:p>
    <w:p w14:paraId="624413B5" w14:textId="77777777" w:rsidR="00BC62F5" w:rsidRPr="00D549BE" w:rsidRDefault="00BC62F5" w:rsidP="00A761AB">
      <w:pPr>
        <w:rPr>
          <w:noProof/>
        </w:rPr>
      </w:pPr>
      <w:r w:rsidRPr="00D549BE">
        <w:t>Le chapitre III du règlement porte sur l’assistance macrofinancière.</w:t>
      </w:r>
    </w:p>
    <w:p w14:paraId="68B4F2CC" w14:textId="77777777" w:rsidR="00BC62F5" w:rsidRPr="00D549BE" w:rsidRDefault="00BC62F5" w:rsidP="00A761AB">
      <w:pPr>
        <w:rPr>
          <w:noProof/>
        </w:rPr>
      </w:pPr>
      <w:r w:rsidRPr="00D549BE">
        <w:t>L’article 10 prévoit l’octroi d’une assistance macrofinancière, notamment pour contribuer à couvrir le déficit de financement de l’Ukraine tel qu’il a été constaté dans une stratégie ukrainienne de financement ayant fait l’objet d’une évaluation positive.</w:t>
      </w:r>
    </w:p>
    <w:p w14:paraId="00D37978" w14:textId="77777777" w:rsidR="00BC62F5" w:rsidRPr="00D549BE" w:rsidRDefault="00BC62F5" w:rsidP="00A761AB">
      <w:pPr>
        <w:rPr>
          <w:noProof/>
        </w:rPr>
      </w:pPr>
      <w:r w:rsidRPr="00D549BE">
        <w:t>L’article 11 dispose que la Commission convient avec l’Ukraine des conditions de politique publique auxquelles le soutien doit être attaché, lesquelles sont décrites dans un protocole d’accord.</w:t>
      </w:r>
    </w:p>
    <w:p w14:paraId="4BE79FA6" w14:textId="77777777" w:rsidR="00BC62F5" w:rsidRPr="00D549BE" w:rsidRDefault="00BC62F5" w:rsidP="00A761AB">
      <w:pPr>
        <w:rPr>
          <w:noProof/>
        </w:rPr>
      </w:pPr>
      <w:r w:rsidRPr="00D549BE">
        <w:t>Le chapitre IV du règlement porte sur l’aide destinée à soutenir les capacités industrielles de l’Ukraine dans le domaine de la défense.</w:t>
      </w:r>
    </w:p>
    <w:p w14:paraId="0FE47FD8" w14:textId="77777777" w:rsidR="00BC62F5" w:rsidRPr="00D549BE" w:rsidRDefault="00BC62F5" w:rsidP="00A761AB">
      <w:pPr>
        <w:rPr>
          <w:noProof/>
        </w:rPr>
      </w:pPr>
      <w:r w:rsidRPr="00D549BE">
        <w:t xml:space="preserve">L’article 12 prévoit l’objectif de l’aide visant à soutenir les capacités industrielles de l’Ukraine dans le domaine de la défense, notamment pour réaliser des investissements publics urgents et importants à l’appui de l’industrie ukrainienne de la défense et de son intégration dans l’industrie européenne de la défense. </w:t>
      </w:r>
    </w:p>
    <w:p w14:paraId="4C094CEC" w14:textId="77777777" w:rsidR="00BC62F5" w:rsidRPr="00D549BE" w:rsidRDefault="00BC62F5" w:rsidP="00A761AB">
      <w:pPr>
        <w:rPr>
          <w:noProof/>
        </w:rPr>
      </w:pPr>
      <w:r w:rsidRPr="00D549BE">
        <w:t xml:space="preserve">L’article 13 définit les conditions d’éligibilité pour les activités, les dépenses et les mesures visant à soutenir les capacités industrielles de l’Ukraine dans le domaine de la défense. </w:t>
      </w:r>
    </w:p>
    <w:p w14:paraId="1BD8D034" w14:textId="77777777" w:rsidR="00BC62F5" w:rsidRPr="00D549BE" w:rsidRDefault="00BC62F5" w:rsidP="00A761AB">
      <w:pPr>
        <w:rPr>
          <w:noProof/>
        </w:rPr>
      </w:pPr>
      <w:r w:rsidRPr="00D549BE">
        <w:t xml:space="preserve">L’article 14 impose à l’Ukraine d’établir un relevé pour chaque activité, dépense ou mesure ayant trait à un produit lié à la défense ou à un autre produit destiné à des fins de défense pour lequel elle a l’intention de solliciter une aide. </w:t>
      </w:r>
    </w:p>
    <w:p w14:paraId="67B825E4" w14:textId="77777777" w:rsidR="00BC62F5" w:rsidRPr="00D549BE" w:rsidRDefault="00BC62F5" w:rsidP="00A761AB">
      <w:pPr>
        <w:rPr>
          <w:noProof/>
        </w:rPr>
      </w:pPr>
      <w:r w:rsidRPr="00D549BE">
        <w:t xml:space="preserve">L’article 15 prévoit la création du groupe d’experts sur les capacités industrielles de défense de l’Ukraine. </w:t>
      </w:r>
    </w:p>
    <w:p w14:paraId="1E929537" w14:textId="77777777" w:rsidR="00BC62F5" w:rsidRPr="00D549BE" w:rsidRDefault="00BC62F5" w:rsidP="00A761AB">
      <w:pPr>
        <w:rPr>
          <w:noProof/>
        </w:rPr>
      </w:pPr>
      <w:r w:rsidRPr="00D549BE">
        <w:t xml:space="preserve">L’article 16 prévoit l’ouverture d’un compte spécial aux seules fins de la gestion de l’aide financière et économique reçue par l’Ukraine pour soutenir ses capacités industrielles dans le domaine de la défense. </w:t>
      </w:r>
    </w:p>
    <w:p w14:paraId="78731C58" w14:textId="77777777" w:rsidR="00BC62F5" w:rsidRPr="00D549BE" w:rsidRDefault="00BC62F5" w:rsidP="00A761AB">
      <w:pPr>
        <w:rPr>
          <w:noProof/>
        </w:rPr>
      </w:pPr>
      <w:r w:rsidRPr="00D549BE">
        <w:t xml:space="preserve">L’article 17 définit les exigences en matière de suivi de l’aide fournie pour soutenir les capacités industrielles de l’Ukraine dans le domaine de la défense. </w:t>
      </w:r>
    </w:p>
    <w:p w14:paraId="7313531A" w14:textId="77777777" w:rsidR="00BC62F5" w:rsidRPr="00D549BE" w:rsidRDefault="00BC62F5" w:rsidP="00A761AB">
      <w:pPr>
        <w:rPr>
          <w:noProof/>
        </w:rPr>
      </w:pPr>
      <w:r w:rsidRPr="00D549BE">
        <w:t xml:space="preserve">L’article 18 définit les conditions de modification d’un accord-cadre ou d’un contrat existant relatif à des produits de défense. </w:t>
      </w:r>
    </w:p>
    <w:p w14:paraId="47680574" w14:textId="77777777" w:rsidR="00BC62F5" w:rsidRPr="00D549BE" w:rsidRDefault="00BC62F5" w:rsidP="00A761AB">
      <w:pPr>
        <w:rPr>
          <w:noProof/>
        </w:rPr>
      </w:pPr>
      <w:r w:rsidRPr="00D549BE">
        <w:t xml:space="preserve">L’article 19 permet aux États membres, aux seules fins du règlement, de demander à un opérateur économique sur leur territoire de donner la priorité à certaines commandes de produits de défense. </w:t>
      </w:r>
    </w:p>
    <w:p w14:paraId="7CA61A77" w14:textId="77777777" w:rsidR="00BC62F5" w:rsidRPr="00D549BE" w:rsidRDefault="00BC62F5" w:rsidP="00A761AB">
      <w:pPr>
        <w:rPr>
          <w:noProof/>
        </w:rPr>
      </w:pPr>
      <w:r w:rsidRPr="00D549BE">
        <w:t xml:space="preserve">Le chapitre V du règlement porte sur le financement et la mise en œuvre du prêt de soutien à l’Ukraine. </w:t>
      </w:r>
    </w:p>
    <w:p w14:paraId="0B523395" w14:textId="77777777" w:rsidR="00BC62F5" w:rsidRPr="00D549BE" w:rsidRDefault="00BC62F5" w:rsidP="00A761AB">
      <w:pPr>
        <w:rPr>
          <w:noProof/>
        </w:rPr>
      </w:pPr>
      <w:r w:rsidRPr="00D549BE">
        <w:t xml:space="preserve">L’article 20 dispose que les modalités financières détaillées du prêt de soutien à l’Ukraine sont fixées dans l’accord sur un prêt de soutien à l’Ukraine et énonce certaines exigences obligatoires. </w:t>
      </w:r>
    </w:p>
    <w:p w14:paraId="6B91816A" w14:textId="77777777" w:rsidR="00BC62F5" w:rsidRPr="00D549BE" w:rsidRDefault="00BC62F5" w:rsidP="00A761AB">
      <w:pPr>
        <w:rPr>
          <w:noProof/>
        </w:rPr>
      </w:pPr>
      <w:r w:rsidRPr="00D549BE">
        <w:t xml:space="preserve">L’article 21 dispose que, pour bénéficier d’une aide financière et économique, l’Ukraine présente à la Commission une demande de fonds dûment justifiée. </w:t>
      </w:r>
    </w:p>
    <w:p w14:paraId="481EB8BE" w14:textId="77777777" w:rsidR="00B2792E" w:rsidRPr="00D549BE" w:rsidRDefault="00B2792E" w:rsidP="00A761AB">
      <w:pPr>
        <w:rPr>
          <w:noProof/>
        </w:rPr>
      </w:pPr>
      <w:r w:rsidRPr="00D549BE">
        <w:t>L’article 22 prévoit une bonification des coûts de l’emprunt pour le prêt de soutien à l’Ukraine.</w:t>
      </w:r>
    </w:p>
    <w:p w14:paraId="5DA226F7" w14:textId="77777777" w:rsidR="00BC62F5" w:rsidRPr="00D549BE" w:rsidRDefault="00BC62F5" w:rsidP="00A761AB">
      <w:pPr>
        <w:rPr>
          <w:noProof/>
        </w:rPr>
      </w:pPr>
      <w:r w:rsidRPr="00D549BE">
        <w:t xml:space="preserve">L’article 23 prescrit l’obligation pour la Commission de prendre une décision de versement d’une tranche au titre du prêt de soutien à l’Ukraine. </w:t>
      </w:r>
    </w:p>
    <w:p w14:paraId="30BDB8AF" w14:textId="77777777" w:rsidR="00BC62F5" w:rsidRPr="00D549BE" w:rsidRDefault="00BC62F5" w:rsidP="00A761AB">
      <w:pPr>
        <w:rPr>
          <w:noProof/>
        </w:rPr>
      </w:pPr>
      <w:r w:rsidRPr="00D549BE">
        <w:t xml:space="preserve">L’article 24 habilite la Commission à emprunter les fonds nécessaires, au nom de l’Union, pour financer le prêt de soutien à l’Ukraine. </w:t>
      </w:r>
    </w:p>
    <w:p w14:paraId="7962DB13" w14:textId="77777777" w:rsidR="00BC62F5" w:rsidRPr="00D549BE" w:rsidRDefault="00BC62F5" w:rsidP="00A761AB">
      <w:pPr>
        <w:rPr>
          <w:noProof/>
        </w:rPr>
      </w:pPr>
      <w:r w:rsidRPr="00D549BE">
        <w:t xml:space="preserve">L’article 25 énonce les règles relatives aux informations classifiées et aux informations sensibles. </w:t>
      </w:r>
    </w:p>
    <w:p w14:paraId="607B6F5F" w14:textId="77777777" w:rsidR="00BC62F5" w:rsidRPr="00D549BE" w:rsidRDefault="00BC62F5" w:rsidP="00A761AB">
      <w:pPr>
        <w:rPr>
          <w:noProof/>
        </w:rPr>
      </w:pPr>
      <w:r w:rsidRPr="00D549BE">
        <w:t xml:space="preserve">Le chapitre VI contient les dispositions finales. </w:t>
      </w:r>
    </w:p>
    <w:p w14:paraId="7A6C78EF" w14:textId="77777777" w:rsidR="00BC62F5" w:rsidRPr="00D549BE" w:rsidRDefault="00BC62F5" w:rsidP="00A761AB">
      <w:pPr>
        <w:rPr>
          <w:noProof/>
        </w:rPr>
      </w:pPr>
      <w:r w:rsidRPr="00D549BE">
        <w:t xml:space="preserve">L’article 26 habilite la Commission à adopter des actes délégués, sous certaines conditions. </w:t>
      </w:r>
    </w:p>
    <w:p w14:paraId="2E685878" w14:textId="77777777" w:rsidR="00BC62F5" w:rsidRPr="00D549BE" w:rsidRDefault="00BC62F5" w:rsidP="00A761AB">
      <w:pPr>
        <w:rPr>
          <w:noProof/>
        </w:rPr>
      </w:pPr>
      <w:r w:rsidRPr="00D549BE">
        <w:t xml:space="preserve">L’article 27 régit la gouvernance exercée au moyen d’un comité.  </w:t>
      </w:r>
    </w:p>
    <w:p w14:paraId="7416BFF1" w14:textId="77777777" w:rsidR="00BC62F5" w:rsidRPr="00D549BE" w:rsidRDefault="00BC62F5" w:rsidP="00A761AB">
      <w:pPr>
        <w:rPr>
          <w:noProof/>
        </w:rPr>
      </w:pPr>
      <w:r w:rsidRPr="00D549BE">
        <w:t xml:space="preserve">L’article 28 prévoit un dialogue sur le prêt de soutien à l’Ukraine, destiné à renforcer la communication entre les institutions de l’Union, notamment le Parlement européen, le Conseil et la Commission. </w:t>
      </w:r>
    </w:p>
    <w:p w14:paraId="27CE8447" w14:textId="77777777" w:rsidR="00BC62F5" w:rsidRPr="00D549BE" w:rsidRDefault="00BC62F5" w:rsidP="00A761AB">
      <w:pPr>
        <w:rPr>
          <w:noProof/>
        </w:rPr>
      </w:pPr>
      <w:r w:rsidRPr="00D549BE">
        <w:t xml:space="preserve">L’article 29 prévoit la communication d’informations au Parlement européen et au Conseil. </w:t>
      </w:r>
    </w:p>
    <w:p w14:paraId="38B557DC" w14:textId="77777777" w:rsidR="00BC62F5" w:rsidRPr="00D549BE" w:rsidRDefault="00BC62F5" w:rsidP="00A761AB">
      <w:pPr>
        <w:rPr>
          <w:noProof/>
        </w:rPr>
      </w:pPr>
      <w:r w:rsidRPr="00D549BE">
        <w:t xml:space="preserve">L’article 30 régit l’entrée en vigueur. </w:t>
      </w:r>
    </w:p>
    <w:p w14:paraId="1FF85204" w14:textId="77777777" w:rsidR="00BC62F5" w:rsidRPr="00D549BE" w:rsidRDefault="00BC62F5" w:rsidP="00BC62F5">
      <w:pPr>
        <w:pStyle w:val="Statut"/>
        <w:rPr>
          <w:noProof/>
        </w:rPr>
        <w:sectPr w:rsidR="00BC62F5" w:rsidRPr="00D549BE" w:rsidSect="00D549BE">
          <w:headerReference w:type="even" r:id="rId15"/>
          <w:footerReference w:type="even" r:id="rId16"/>
          <w:footerReference w:type="default" r:id="rId17"/>
          <w:headerReference w:type="first" r:id="rId18"/>
          <w:footerReference w:type="first" r:id="rId19"/>
          <w:pgSz w:w="11907" w:h="16840" w:code="9"/>
          <w:pgMar w:top="1134" w:right="1418" w:bottom="1134" w:left="1418" w:header="709" w:footer="709" w:gutter="0"/>
          <w:pgNumType w:start="1"/>
          <w:cols w:space="720"/>
          <w:docGrid w:linePitch="360"/>
        </w:sectPr>
      </w:pPr>
    </w:p>
    <w:p w14:paraId="7F39AC7A" w14:textId="06ED4A3E" w:rsidR="00C04966" w:rsidRPr="00D549BE" w:rsidRDefault="00D549BE" w:rsidP="00D549BE">
      <w:pPr>
        <w:pStyle w:val="Rfrenceinterinstitutionnelle"/>
        <w:rPr>
          <w:noProof/>
        </w:rPr>
      </w:pPr>
      <w:r w:rsidRPr="00D549BE">
        <w:t>2026/0008 (COD)</w:t>
      </w:r>
    </w:p>
    <w:p w14:paraId="146F14AF" w14:textId="0E137621" w:rsidR="00D2167E" w:rsidRPr="00D549BE" w:rsidRDefault="00D549BE" w:rsidP="00D549BE">
      <w:pPr>
        <w:pStyle w:val="Statut"/>
        <w:rPr>
          <w:noProof/>
        </w:rPr>
      </w:pPr>
      <w:r w:rsidRPr="00D549BE">
        <w:t>Proposition de</w:t>
      </w:r>
    </w:p>
    <w:p w14:paraId="04793E04" w14:textId="050956CB" w:rsidR="00D2167E" w:rsidRPr="00D549BE" w:rsidRDefault="00D549BE" w:rsidP="00D549BE">
      <w:pPr>
        <w:pStyle w:val="Typedudocument"/>
        <w:rPr>
          <w:noProof/>
        </w:rPr>
      </w:pPr>
      <w:r w:rsidRPr="00D549BE">
        <w:t>RÈGLEMENT DU PARLEMENT EUROPÉEN ET DU CONSEIL</w:t>
      </w:r>
    </w:p>
    <w:p w14:paraId="3A4CDB06" w14:textId="63A20013" w:rsidR="00D2167E" w:rsidRPr="00D549BE" w:rsidRDefault="00D549BE" w:rsidP="00D549BE">
      <w:pPr>
        <w:pStyle w:val="Titreobjet"/>
        <w:rPr>
          <w:noProof/>
        </w:rPr>
      </w:pPr>
      <w:r w:rsidRPr="00D549BE">
        <w:t>mettant en œuvre une coopération renforcée concernant l’établissement du prêt de soutien à l’Ukraine pour 2026 et 2027</w:t>
      </w:r>
    </w:p>
    <w:p w14:paraId="317B382B" w14:textId="77777777" w:rsidR="00D2167E" w:rsidRPr="00D549BE" w:rsidRDefault="00D2167E" w:rsidP="00D2167E">
      <w:pPr>
        <w:pStyle w:val="Institutionquiagit"/>
        <w:rPr>
          <w:noProof/>
        </w:rPr>
      </w:pPr>
      <w:r w:rsidRPr="00D549BE">
        <w:t>LE PARLEMENT EUROPÉEN ET LE CONSEIL DE L’UNION EUROPÉENNE,</w:t>
      </w:r>
    </w:p>
    <w:p w14:paraId="5F268BEE" w14:textId="77777777" w:rsidR="00D2167E" w:rsidRPr="00D549BE" w:rsidRDefault="00D2167E" w:rsidP="00D2167E">
      <w:pPr>
        <w:rPr>
          <w:noProof/>
        </w:rPr>
      </w:pPr>
      <w:r w:rsidRPr="00D549BE">
        <w:t>vu le traité sur le fonctionnement de l’Union européenne, et notamment son article 212,</w:t>
      </w:r>
    </w:p>
    <w:p w14:paraId="64D32025" w14:textId="77777777" w:rsidR="00FB6044" w:rsidRPr="00D549BE" w:rsidRDefault="00FB6044" w:rsidP="00D2167E">
      <w:pPr>
        <w:rPr>
          <w:noProof/>
        </w:rPr>
      </w:pPr>
      <w:r w:rsidRPr="00D549BE">
        <w:t>Vu la décision [</w:t>
      </w:r>
      <w:r w:rsidRPr="00D549BE">
        <w:rPr>
          <w:i/>
        </w:rPr>
        <w:t>XX</w:t>
      </w:r>
      <w:r w:rsidRPr="00D549BE">
        <w:t>] du Conseil du [</w:t>
      </w:r>
      <w:r w:rsidRPr="00D549BE">
        <w:rPr>
          <w:i/>
        </w:rPr>
        <w:t>date</w:t>
      </w:r>
      <w:r w:rsidRPr="00D549BE">
        <w:t>] autorisant une coopération renforcée concernant l’établissement d’un prêt pour l’Ukraine, et notamment son article 1</w:t>
      </w:r>
      <w:r w:rsidRPr="00D549BE">
        <w:rPr>
          <w:vertAlign w:val="superscript"/>
        </w:rPr>
        <w:t>er</w:t>
      </w:r>
      <w:r w:rsidRPr="00D549BE">
        <w:t>,</w:t>
      </w:r>
    </w:p>
    <w:p w14:paraId="128520DB" w14:textId="77777777" w:rsidR="00D2167E" w:rsidRPr="00D549BE" w:rsidRDefault="00D2167E" w:rsidP="00D2167E">
      <w:pPr>
        <w:rPr>
          <w:noProof/>
        </w:rPr>
      </w:pPr>
      <w:r w:rsidRPr="00D549BE">
        <w:t>vu la proposition de la Commission,</w:t>
      </w:r>
    </w:p>
    <w:p w14:paraId="184A3D3D" w14:textId="77777777" w:rsidR="00D2167E" w:rsidRPr="00D549BE" w:rsidRDefault="00D2167E" w:rsidP="00D2167E">
      <w:pPr>
        <w:rPr>
          <w:noProof/>
        </w:rPr>
      </w:pPr>
      <w:r w:rsidRPr="00D549BE">
        <w:t>après transmission du projet d’acte législatif aux parlements nationaux,</w:t>
      </w:r>
    </w:p>
    <w:p w14:paraId="731C122B" w14:textId="77777777" w:rsidR="00D2167E" w:rsidRPr="00D549BE" w:rsidRDefault="00D2167E" w:rsidP="00D2167E">
      <w:pPr>
        <w:rPr>
          <w:noProof/>
        </w:rPr>
      </w:pPr>
      <w:r w:rsidRPr="00D549BE">
        <w:t>statuant conformément à la procédure législative ordinaire,</w:t>
      </w:r>
    </w:p>
    <w:p w14:paraId="16F1E0A1" w14:textId="77777777" w:rsidR="00D2167E" w:rsidRPr="00D549BE" w:rsidRDefault="00D2167E" w:rsidP="00D2167E">
      <w:pPr>
        <w:rPr>
          <w:noProof/>
        </w:rPr>
      </w:pPr>
      <w:r w:rsidRPr="00D549BE">
        <w:t>considérant ce qui suit:</w:t>
      </w:r>
    </w:p>
    <w:p w14:paraId="58432E45" w14:textId="77777777" w:rsidR="00D2167E" w:rsidRPr="00D549BE" w:rsidRDefault="009102DC" w:rsidP="009102DC">
      <w:pPr>
        <w:pStyle w:val="ManualConsidrant"/>
        <w:rPr>
          <w:noProof/>
        </w:rPr>
      </w:pPr>
      <w:r w:rsidRPr="00D549BE">
        <w:t>(1)</w:t>
      </w:r>
      <w:r w:rsidRPr="00D549BE">
        <w:tab/>
        <w:t>Le 24 février 2022, le président de la Fédération de Russie a annoncé une opération militaire en Ukraine, et les forces armées de la Russie ont lancé une agression militaire non provoquée et injustifiée contre l’Ukraine. Cette guerre d’agression illégale constitue une violation flagrante de l’intégrité territoriale, de la souveraineté et de l’indépendance de l’Ukraine, ainsi qu’une violation de l’interdiction du recours à la force consacrée à l’article 2, paragraphe 4, de la charte des Nations unies, qui est une règle impérative du droit international, et des autres principes de la charte des Nations unies.</w:t>
      </w:r>
    </w:p>
    <w:p w14:paraId="2452E63C" w14:textId="77777777" w:rsidR="00D2167E" w:rsidRPr="00D549BE" w:rsidRDefault="009102DC" w:rsidP="009102DC">
      <w:pPr>
        <w:pStyle w:val="ManualConsidrant"/>
        <w:rPr>
          <w:noProof/>
        </w:rPr>
      </w:pPr>
      <w:r w:rsidRPr="00D549BE">
        <w:t>(2)</w:t>
      </w:r>
      <w:r w:rsidRPr="00D549BE">
        <w:tab/>
        <w:t>Depuis que la Russie a lancé sa guerre d’agression non provoquée et injustifiée contre l’Ukraine, l’Union, ses États membres et les institutions financières européennes font preuve d’une mobilisation sans précédent pour soutenir la résilience de l’Ukraine en matière économique, sociale, financière et de défense. Ce soutien combine un soutien apporté par le budget de l’Union, y compris l’assistance macrofinancière exceptionnelle et le soutien de la Banque européenne d’investissement et de la Banque européenne pour la reconstruction et le développement, entièrement ou partiellement garantis par le budget de l’Union, ainsi qu’un soutien financier supplémentaire fourni par les États membres.</w:t>
      </w:r>
    </w:p>
    <w:p w14:paraId="1B57451F" w14:textId="77777777" w:rsidR="00D2167E" w:rsidRPr="00D549BE" w:rsidRDefault="009102DC" w:rsidP="009102DC">
      <w:pPr>
        <w:pStyle w:val="ManualConsidrant"/>
        <w:rPr>
          <w:noProof/>
        </w:rPr>
      </w:pPr>
      <w:r w:rsidRPr="00D549BE">
        <w:t>(3)</w:t>
      </w:r>
      <w:r w:rsidRPr="00D549BE">
        <w:tab/>
        <w:t>Ensemble, les décisions (UE) 2022/313</w:t>
      </w:r>
      <w:r w:rsidRPr="00D549BE">
        <w:rPr>
          <w:rStyle w:val="FootnoteReference"/>
          <w:noProof/>
        </w:rPr>
        <w:footnoteReference w:id="10"/>
      </w:r>
      <w:r w:rsidRPr="00D549BE">
        <w:t>, (UE) 2022/1201</w:t>
      </w:r>
      <w:r w:rsidRPr="00D549BE">
        <w:rPr>
          <w:rStyle w:val="FootnoteReference"/>
          <w:noProof/>
        </w:rPr>
        <w:footnoteReference w:id="11"/>
      </w:r>
      <w:r w:rsidRPr="00D549BE">
        <w:t>, (UE) 2022/1628</w:t>
      </w:r>
      <w:r w:rsidRPr="00D549BE">
        <w:rPr>
          <w:rStyle w:val="FootnoteReference"/>
          <w:noProof/>
        </w:rPr>
        <w:footnoteReference w:id="12"/>
      </w:r>
      <w:r w:rsidRPr="00D549BE">
        <w:t xml:space="preserve"> du Parlement européen et du Conseil et le règlement (UE) 2022/2463</w:t>
      </w:r>
      <w:r w:rsidRPr="00D549BE">
        <w:rPr>
          <w:rStyle w:val="FootnoteReference"/>
          <w:noProof/>
        </w:rPr>
        <w:footnoteReference w:id="13"/>
      </w:r>
      <w:r w:rsidRPr="00D549BE">
        <w:t xml:space="preserve"> du Parlement européen et du Conseil ont, tout au long des années 2022 et 2023, mis à la disposition de l’Ukraine une assistance macrofinancière de 25,2 milliards d’EUR. Ce soutien a constitué une contribution majeure à la résilience macroéconomique et financière de l’Ukraine à un moment critique.</w:t>
      </w:r>
    </w:p>
    <w:p w14:paraId="7E036803" w14:textId="77777777" w:rsidR="00D2167E" w:rsidRPr="00D549BE" w:rsidRDefault="009102DC" w:rsidP="009102DC">
      <w:pPr>
        <w:pStyle w:val="ManualConsidrant"/>
        <w:rPr>
          <w:noProof/>
        </w:rPr>
      </w:pPr>
      <w:r w:rsidRPr="00D549BE">
        <w:t>(4)</w:t>
      </w:r>
      <w:r w:rsidRPr="00D549BE">
        <w:tab/>
      </w:r>
      <w:r w:rsidRPr="00D549BE">
        <w:tab/>
        <w:t>Le 29 février 2024, le règlement (UE) 2024/792 du Parlement européen et du Conseil</w:t>
      </w:r>
      <w:r w:rsidRPr="00D549BE">
        <w:rPr>
          <w:rStyle w:val="FootnoteReference"/>
          <w:noProof/>
        </w:rPr>
        <w:footnoteReference w:id="14"/>
      </w:r>
      <w:r w:rsidRPr="00D549BE">
        <w:t xml:space="preserve"> a établi la facilité pour l’Ukraine, un instrument à moyen terme exceptionnel qui regroupe le soutien bilatéral fourni par l’Union à l’Ukraine, de manière à en assurer la coordination et l’efficacité (ci-après la «facilité pour l’Ukraine»). Sur la période 2024-2027, la facilité pour l’Ukraine contribue à combler le déficit de financement de l’Ukraine et à satisfaire ses besoins en matière de redressement, de reconstruction et de modernisation, tout en appuyant les efforts de réforme déployés par l’Ukraine dans le cadre de son parcours d’adhésion à l’Union.</w:t>
      </w:r>
    </w:p>
    <w:p w14:paraId="63BA2C4E" w14:textId="77777777" w:rsidR="00D2167E" w:rsidRPr="00D549BE" w:rsidRDefault="009102DC" w:rsidP="009102DC">
      <w:pPr>
        <w:pStyle w:val="ManualConsidrant"/>
        <w:rPr>
          <w:noProof/>
        </w:rPr>
      </w:pPr>
      <w:r w:rsidRPr="00D549BE">
        <w:t>(5)</w:t>
      </w:r>
      <w:r w:rsidRPr="00D549BE">
        <w:tab/>
        <w:t>Le 24 octobre 2024, le règlement (UE) 2024/2773 du Parlement européen et du Conseil</w:t>
      </w:r>
      <w:r w:rsidRPr="00D549BE">
        <w:rPr>
          <w:rStyle w:val="FootnoteReference"/>
          <w:noProof/>
        </w:rPr>
        <w:footnoteReference w:id="15"/>
      </w:r>
      <w:r w:rsidRPr="00D549BE">
        <w:t xml:space="preserve"> a établi le mécanisme de coopération pour les prêts à l’Ukraine et a accordé une assistance macrofinancière exceptionnelle à l’Ukraine. Cette assistance a constitué la contribution de l’Union à l’initiative du G7 intitulée «Prêts à l’Ukraine par l’accélération de l’utilisation des recettes extraordinaires», qui ont concouru ensemble à combler le déficit de financement de l’Ukraine pour 2025.</w:t>
      </w:r>
    </w:p>
    <w:p w14:paraId="784297DB" w14:textId="77777777" w:rsidR="00D2167E" w:rsidRPr="00D549BE" w:rsidRDefault="009102DC" w:rsidP="009102DC">
      <w:pPr>
        <w:pStyle w:val="ManualConsidrant"/>
        <w:rPr>
          <w:noProof/>
        </w:rPr>
      </w:pPr>
      <w:r w:rsidRPr="00D549BE">
        <w:t>(6)</w:t>
      </w:r>
      <w:r w:rsidRPr="00D549BE">
        <w:tab/>
        <w:t>La guerre d’agression menée par la Russie contre l’Ukraine y a causé des dommages immenses, les coûts de redressement et de reconstruction étant estimés à 506 milliards d’EUR au 31 décembre 2024. En outre, l’Ukraine a perdu l’accès aux marchés financiers internationaux et a connu un effondrement de ses recettes publiques, tandis que les dépenses publiques ont considérablement augmenté. Dans ce contexte, on peut s’attendre à d’importants besoins de financement pour les années à venir.</w:t>
      </w:r>
    </w:p>
    <w:p w14:paraId="2DC89F80" w14:textId="77777777" w:rsidR="00D2167E" w:rsidRPr="00D549BE" w:rsidRDefault="009102DC" w:rsidP="009102DC">
      <w:pPr>
        <w:pStyle w:val="ManualConsidrant"/>
        <w:rPr>
          <w:noProof/>
        </w:rPr>
      </w:pPr>
      <w:r w:rsidRPr="00D549BE">
        <w:t>(7)</w:t>
      </w:r>
      <w:r w:rsidRPr="00D549BE">
        <w:tab/>
        <w:t>Le 9 septembre 2025, l’Ukraine a soumis une demande officielle au Fonds monétaire international (FMI) en vue de l’obtention d’un nouveau programme destiné à couvrir les besoins de financement supplémentaires du pays de 2026 à 2029. Ce programme, qui succéderait au programme existant du FMI dont l’exécution a été couronnée de succès et dont l’Ukraine a obtenu la revue à huit reprises, prend en considération la poursuite de la guerre d’agression russe. La capacité du FMI à mettre en œuvre ce programme est subordonnée à la réception de garanties de financement suffisantes de la part des autres partenaires, dont l’Union européenne.</w:t>
      </w:r>
    </w:p>
    <w:p w14:paraId="049BBD8E" w14:textId="77777777" w:rsidR="00D2167E" w:rsidRPr="00D549BE" w:rsidRDefault="009102DC" w:rsidP="009102DC">
      <w:pPr>
        <w:pStyle w:val="ManualConsidrant"/>
        <w:rPr>
          <w:noProof/>
        </w:rPr>
      </w:pPr>
      <w:r w:rsidRPr="00D549BE">
        <w:t>(8)</w:t>
      </w:r>
      <w:r w:rsidRPr="00D549BE">
        <w:tab/>
        <w:t xml:space="preserve">Malgré les efforts actuellement déployés sur le plan international pour parvenir à une résolution pacifique du conflit, la prolongation de la guerre d’agression russe cause des dommages considérables aux infrastructures critiques énergétiques, civiles et de défense de l’Ukraine, lesquels obligent à mobiliser un surcroît important de ressources pour répondre aux besoins de financement immédiats du pays. </w:t>
      </w:r>
    </w:p>
    <w:p w14:paraId="65C3B212" w14:textId="284A6D25" w:rsidR="00D2167E" w:rsidRPr="00D549BE" w:rsidRDefault="009102DC" w:rsidP="009102DC">
      <w:pPr>
        <w:pStyle w:val="ManualConsidrant"/>
        <w:rPr>
          <w:noProof/>
        </w:rPr>
      </w:pPr>
      <w:r w:rsidRPr="00D549BE">
        <w:t>(9)</w:t>
      </w:r>
      <w:r w:rsidRPr="00D549BE">
        <w:tab/>
        <w:t>La guerre d’agression menée par la Russie contre l’Ukraine représente une menace géopolitique stratégique pour l’Union dans son ensemble et exige des États membres qu’ils restent forts et unis. Il est par conséquent essentiel que le soutien de l’Union soit déployé rapidement et puisse être adapté avec souplesse, en vue d’une aide immédiate et d’une réhabilitation à court terme, dans la perspective de la future reconstruction.</w:t>
      </w:r>
    </w:p>
    <w:p w14:paraId="1F93534D" w14:textId="77777777" w:rsidR="00D2167E" w:rsidRPr="00D549BE" w:rsidRDefault="009102DC" w:rsidP="009102DC">
      <w:pPr>
        <w:pStyle w:val="ManualConsidrant"/>
        <w:rPr>
          <w:noProof/>
        </w:rPr>
      </w:pPr>
      <w:r w:rsidRPr="00D549BE">
        <w:t>(10)</w:t>
      </w:r>
      <w:r w:rsidRPr="00D549BE">
        <w:tab/>
        <w:t>Conformément aux articles sur la responsabilité de l’État pour fait internationalement illicite et au droit international coutumier, la Russie, en tant qu’État responsable, est tenue de réparer intégralement le préjudice causé par sa guerre d’agression.</w:t>
      </w:r>
    </w:p>
    <w:p w14:paraId="71EF86FD" w14:textId="77777777" w:rsidR="00D2167E" w:rsidRPr="00D549BE" w:rsidRDefault="009102DC" w:rsidP="009102DC">
      <w:pPr>
        <w:pStyle w:val="ManualConsidrant"/>
        <w:rPr>
          <w:noProof/>
        </w:rPr>
      </w:pPr>
      <w:r w:rsidRPr="00D549BE">
        <w:t>(11)</w:t>
      </w:r>
      <w:r w:rsidRPr="00D549BE">
        <w:tab/>
        <w:t>La décision (PESC) 2022/335 du 28 février 2022 modifiant la décision 2014/512/PESC concernant des mesures restrictives eu égard aux actions de la Russie déstabilisant la situation en Ukraine</w:t>
      </w:r>
      <w:r w:rsidRPr="00D549BE">
        <w:rPr>
          <w:rStyle w:val="FootnoteReference"/>
          <w:rFonts w:eastAsia="Times New Roman"/>
          <w:noProof/>
          <w:color w:val="333333"/>
          <w:szCs w:val="24"/>
        </w:rPr>
        <w:footnoteReference w:id="16"/>
      </w:r>
      <w:r w:rsidRPr="00D549BE">
        <w:t xml:space="preserve"> et le règlement (UE) 2022/334 du Conseil du 28 février 2022 modifiant le règlement (UE) nº 833/2014 du Conseil</w:t>
      </w:r>
      <w:r w:rsidRPr="00D549BE">
        <w:rPr>
          <w:rStyle w:val="FootnoteReference"/>
          <w:rFonts w:eastAsia="Roboto"/>
          <w:noProof/>
          <w:color w:val="333333"/>
          <w:szCs w:val="24"/>
        </w:rPr>
        <w:footnoteReference w:id="17"/>
      </w:r>
      <w:r w:rsidRPr="00D549BE">
        <w:t xml:space="preserve"> interdisent les transactions liées à la gestion des réserves et des avoirs de la Banque centrale de Russie, y compris les transactions avec toute personne morale, toute entité ou tout organisme agissant pour le compte ou sur les instructions de la Banque centrale de Russie.</w:t>
      </w:r>
      <w:r w:rsidRPr="00D549BE">
        <w:rPr>
          <w:color w:val="333333"/>
        </w:rPr>
        <w:t xml:space="preserve"> </w:t>
      </w:r>
      <w:r w:rsidRPr="00D549BE">
        <w:t>Dans ses conclusions des 27 juin 2024, 17 octobre 2024 et 19 décembre 2024, le Conseil européen déclarait que, sous réserve du droit de l’Union, les avoirs de la Russie devraient rester immobilisés jusqu’à ce que la Russie cesse sa guerre d’agression contre l’Ukraine et indemnise celle-ci des dommages causés par cette guerre.</w:t>
      </w:r>
    </w:p>
    <w:p w14:paraId="0D1A85D5" w14:textId="77777777" w:rsidR="000A2575" w:rsidRPr="00D549BE" w:rsidRDefault="0049202C" w:rsidP="0014092D">
      <w:pPr>
        <w:pStyle w:val="ManualConsidrant"/>
        <w:rPr>
          <w:noProof/>
        </w:rPr>
      </w:pPr>
      <w:r w:rsidRPr="00D549BE">
        <w:t>(12)</w:t>
      </w:r>
      <w:r w:rsidRPr="00D549BE">
        <w:tab/>
        <w:t>En outre, le règlement (UE) 2025/2600 du Conseil</w:t>
      </w:r>
      <w:r w:rsidRPr="00D549BE">
        <w:rPr>
          <w:rStyle w:val="FootnoteReference"/>
          <w:noProof/>
        </w:rPr>
        <w:footnoteReference w:id="18"/>
      </w:r>
      <w:r w:rsidRPr="00D549BE">
        <w:t xml:space="preserve"> interdit le transfert d’avoirs ou de réserves de la Banque centrale de Russie à titre temporaire jusqu’à ce que la Russie mette fin à sa guerre d’agression contre l’Ukraine; que la Russie fournisse des réparations à l’Ukraine dans la mesure nécessaire pour permettre une reconstruction sans conséquences économiques ou financières négatives pour l’Union; et que les actions de la Russie dans le contexte de sa guerre d’agression contre l’Ukraine aient objectivement cessé de présenter un risque sérieux de graves difficultés pour l’économie de l’Union et de ses États membres.</w:t>
      </w:r>
    </w:p>
    <w:p w14:paraId="4D8D01D6" w14:textId="77777777" w:rsidR="000A2575" w:rsidRPr="00D549BE" w:rsidRDefault="009102DC" w:rsidP="009102DC">
      <w:pPr>
        <w:pStyle w:val="ManualConsidrant"/>
        <w:rPr>
          <w:noProof/>
        </w:rPr>
      </w:pPr>
      <w:r w:rsidRPr="00D549BE">
        <w:t>(13)</w:t>
      </w:r>
      <w:r w:rsidRPr="00D549BE">
        <w:tab/>
        <w:t>Le 18 décembre 2025, le Conseil européen est convenu d’accorder à l’Ukraine un prêt de 90 milliards d’EUR pour les années 2026 et 2027 sur la base d’un emprunt de l’Union sur les marchés des capitaux couvert par la marge de manœuvre du budget de l’Union. Le Conseil européen est également convenu que, dans le cadre d’une coopération renforcée conformément à l’article 20 du traité sur l’Union européenne, aucune mobilisation de ressources du budget de l’Union en tant que garantie pour ce prêt n’aura d’incidence sur les obligations financières de la République tchèque, de la Hongrie et de la Slovaquie. À la même date, 25 États membres sont convenus que ce prêt ne devrait être remboursé par l’Ukraine qu’une fois des réparations reçues. D’ici là, les avoirs de la Banque centrale de Russie devraient rester immobilisés et l’Union devrait se réserver le droit d’y recourir pour rembourser le prêt, dans le plein respect du droit de l’Union et du droit international. Ces États membres ont souligné l’importance des éléments suivants en ce qui concerne le prêt: a) le renforcement des industries européenne et ukrainienne de la défense; b) le maintien par l’Ukraine de l’état de droit, y compris la lutte contre la corruption; et c) le caractère spécifique de la politique de sécurité et de défense de certains États membres et les intérêts de tous les États membres en matière de sécurité et de défense.</w:t>
      </w:r>
    </w:p>
    <w:p w14:paraId="358C5731" w14:textId="77777777" w:rsidR="00500153" w:rsidRPr="00D549BE" w:rsidRDefault="000A2575" w:rsidP="0014092D">
      <w:pPr>
        <w:pStyle w:val="ManualConsidrant"/>
        <w:rPr>
          <w:noProof/>
        </w:rPr>
      </w:pPr>
      <w:r w:rsidRPr="00D549BE">
        <w:t>(14)</w:t>
      </w:r>
      <w:r w:rsidRPr="00D549BE">
        <w:tab/>
        <w:t>Le [</w:t>
      </w:r>
      <w:r w:rsidRPr="00D549BE">
        <w:rPr>
          <w:i/>
        </w:rPr>
        <w:t>DATE</w:t>
      </w:r>
      <w:r w:rsidRPr="00D549BE">
        <w:t>], le Conseil a adopté la décision [</w:t>
      </w:r>
      <w:r w:rsidRPr="00D549BE">
        <w:rPr>
          <w:i/>
        </w:rPr>
        <w:t>XX</w:t>
      </w:r>
      <w:r w:rsidRPr="00D549BE">
        <w:t>] autorisant une coopération renforcée entre la Belgique, la Bulgarie, le Danemark, l’Allemagne, l’Estonie, l’Irlande, la Grèce, l’Espagne, la France, l’Italie, la Croatie, Chypre, la Lettonie, la Lituanie, le Luxembourg, Malte, les Pays-Bas, l’Autriche, la Pologne, le Portugal, la Roumanie, la Slovénie, la Finlande et la Suède concernant l’établissement d’un prêt à l’Ukraine.</w:t>
      </w:r>
    </w:p>
    <w:p w14:paraId="63F9D495" w14:textId="77777777" w:rsidR="00D2167E" w:rsidRPr="00D549BE" w:rsidRDefault="00500153" w:rsidP="009102DC">
      <w:pPr>
        <w:pStyle w:val="ManualConsidrant"/>
        <w:rPr>
          <w:noProof/>
        </w:rPr>
      </w:pPr>
      <w:r w:rsidRPr="00D549BE">
        <w:t>(15)</w:t>
      </w:r>
      <w:r w:rsidRPr="00D549BE">
        <w:tab/>
        <w:t>Compte tenu de la situation en matière de financement de l’Ukraine, de l’importance cruciale, pour ce pays, de disposer des ressources nécessaires pour lutter contre l’agression russe et, si possible, pour se reconstruire, il convient que l’Union apporte un soutien supplémentaire pour répondre aux besoins de financement urgents de l’Ukraine et faciliter la mise en œuvre du programme du FMI. À cette fin, il convient d’établir un instrument de soutien de l’Union en faveur de l’Ukraine en 2026 et 2027 sous la forme d’un prêt devant être remboursé par des réparations dues par la Russie (ci-après le «prêt de soutien à l’Ukraine»).</w:t>
      </w:r>
    </w:p>
    <w:p w14:paraId="025D338C" w14:textId="77777777" w:rsidR="00D2167E" w:rsidRPr="00D549BE" w:rsidRDefault="009102DC" w:rsidP="009102DC">
      <w:pPr>
        <w:pStyle w:val="ManualConsidrant"/>
        <w:rPr>
          <w:noProof/>
        </w:rPr>
      </w:pPr>
      <w:r w:rsidRPr="00D549BE">
        <w:t>(16)</w:t>
      </w:r>
      <w:r w:rsidRPr="00D549BE">
        <w:tab/>
        <w:t>Le prêt de soutien à l’Ukraine devrait apporter une assistance financière à l’Ukraine en temps utile et d’une manière prévisible, continue, ordonnée et souple en vue d’aider l’Ukraine à couvrir ses besoins de financement et ses besoins en matière de défense, en particulier ceux résultant de la guerre d’agression menée par la Russie. Plus précisément, le prêt de soutien à l’Ukraine devrait soutenir la stabilité macrofinancière de l’Ukraine, faciliter son financement extérieur et soutenir ses capacités industrielles dans le domaine de la défense par une coopération économique, financière et technique, contribuant ainsi à conférer à l’Ukraine un avantage militaire qualitatif.</w:t>
      </w:r>
    </w:p>
    <w:p w14:paraId="4C8F260D" w14:textId="77777777" w:rsidR="00D2167E" w:rsidRPr="00D549BE" w:rsidRDefault="009102DC" w:rsidP="009102DC">
      <w:pPr>
        <w:pStyle w:val="ManualConsidrant"/>
        <w:rPr>
          <w:noProof/>
        </w:rPr>
      </w:pPr>
      <w:r w:rsidRPr="00D549BE">
        <w:t>(17)</w:t>
      </w:r>
      <w:r w:rsidRPr="00D549BE">
        <w:tab/>
        <w:t>Le prêt de soutien à l’Ukraine devrait, sous réserve de certaines conditions, apporter un soutien à l’Ukraine sous la forme d’un prêt d’un montant maximal de 90 000 000 000 EUR. Eu égard au principe de bonne gestion financière, la Commission devrait mettre le prêt de soutien à l’Ukraine à disposition par tranches pouvant être versées en une seule fois ou pouvant donner lieu à plusieurs versements échelonnés.</w:t>
      </w:r>
    </w:p>
    <w:p w14:paraId="2AB3904D" w14:textId="55047D5E" w:rsidR="006F0050" w:rsidRPr="00D549BE" w:rsidRDefault="009102DC" w:rsidP="009102DC">
      <w:pPr>
        <w:pStyle w:val="ManualConsidrant"/>
        <w:rPr>
          <w:noProof/>
        </w:rPr>
      </w:pPr>
      <w:r w:rsidRPr="00D549BE">
        <w:t>(18)</w:t>
      </w:r>
      <w:r w:rsidRPr="00D549BE">
        <w:tab/>
        <w:t>Le soutien apporté à l’Ukraine au titre du prêt de soutien à l’Ukraine devrait être subordonné à la condition préalable que l’Ukraine maintienne et respecte des mécanismes démocratiques effectifs, notamment le pluralisme parlementaire et l’état de droit, et garantisse le respect des droits de l’homme, y compris les droits des personnes appartenant à des minorités. Le maintien et le respect de l’état de droit devraient inclure la lutte contre la corruption.</w:t>
      </w:r>
    </w:p>
    <w:p w14:paraId="45B3A0B4" w14:textId="77777777" w:rsidR="00D2167E" w:rsidRPr="00D549BE" w:rsidRDefault="009102DC" w:rsidP="009102DC">
      <w:pPr>
        <w:pStyle w:val="ManualConsidrant"/>
        <w:rPr>
          <w:noProof/>
        </w:rPr>
      </w:pPr>
      <w:r w:rsidRPr="00D549BE">
        <w:t>(19)</w:t>
      </w:r>
      <w:r w:rsidRPr="00D549BE">
        <w:tab/>
        <w:t>L’assistance financière et économique disponible au titre du prêt de soutien à l’Ukraine devrait être mise à la disposition de ce pays en fonction de ses besoins de financement. À cette fin, l’Ukraine devrait présenter une stratégie ukrainienne de financement fondée sur ses besoins et sources de financement. Cette stratégie ukrainienne de financement devrait contenir les principales informations relatives à la situation budgétaire, financière et économique de l’Ukraine, ainsi que le soutien reçu de la communauté internationale.</w:t>
      </w:r>
    </w:p>
    <w:p w14:paraId="17290537" w14:textId="77777777" w:rsidR="00D2167E" w:rsidRPr="00D549BE" w:rsidRDefault="009102DC" w:rsidP="009102DC">
      <w:pPr>
        <w:pStyle w:val="ManualConsidrant"/>
        <w:rPr>
          <w:noProof/>
        </w:rPr>
      </w:pPr>
      <w:r w:rsidRPr="00D549BE">
        <w:t>(20)</w:t>
      </w:r>
      <w:r w:rsidRPr="00D549BE">
        <w:tab/>
        <w:t>La Commission devrait évaluer la stratégie ukrainienne de financement dans les meilleurs délais et devrait agir en étroite coopération avec l’Ukraine. Compte tenu de l’ampleur des besoins de l’Ukraine en matière d’assistance budgétaire et de soutien de ses capacités industrielles dans le domaine de la défense, et compte tenu des contraintes qui pèsent sur le soutien apporté par certains partenaires extérieurs, il convient d’établir une ventilation indicative du prêt de soutien à l’Ukraine entre ces deux besoins de financement. Tout en garantissant que les besoins de financement de l’Ukraine pour 2026 calculés par le FMI soient pleinement couverts, cette ventilation devrait être indicative afin de pouvoir tenir compte de l’évolution de la situation susceptible d’avoir une incidence sur les besoins de financement de l’Ukraine, et de pouvoir continuer à répondre à ces besoins en temps utile et d’une manière prévisible, continue, ordonnée et souple. Dans son évaluation de la stratégie ukrainienne de financement, la Commission devrait examiner si le déficit de financement extérieur attendu correspond à cette ventilation indicative.</w:t>
      </w:r>
    </w:p>
    <w:p w14:paraId="1BB9D112" w14:textId="77777777" w:rsidR="00D2167E" w:rsidRPr="00D549BE" w:rsidRDefault="009102DC" w:rsidP="009102DC">
      <w:pPr>
        <w:pStyle w:val="ManualConsidrant"/>
        <w:rPr>
          <w:noProof/>
        </w:rPr>
      </w:pPr>
      <w:r w:rsidRPr="00D549BE">
        <w:t>(21)</w:t>
      </w:r>
      <w:r w:rsidRPr="00D549BE">
        <w:tab/>
        <w:t xml:space="preserve">Eu égard à l’importance des incidences financières des mesures imposées, il convient de conférer des compétences d’exécution au Conseil, qui devrait agir sur proposition de la Commission. Le Conseil devrait approuver l’évaluation de la stratégie ukrainienne de financement par voie de décision d’exécution, qu’il devrait s’efforcer d’adopter dans les meilleurs délais à compter de l’adoption de la proposition. Cette décision d’exécution devrait déterminer le montant de l’assistance à mettre à la disposition de l’Ukraine pour l’aider à mettre en œuvre sa stratégie de financement, y compris le montant de l’assistance budgétaire et le montant destiné à soutenir les capacités industrielles de l’Ukraine dans le domaine de la défense. </w:t>
      </w:r>
    </w:p>
    <w:p w14:paraId="42965AF5" w14:textId="33AF77A8" w:rsidR="00B32C86" w:rsidRPr="00D549BE" w:rsidRDefault="009102DC" w:rsidP="00B32C86">
      <w:pPr>
        <w:pStyle w:val="ManualConsidrant"/>
        <w:rPr>
          <w:noProof/>
        </w:rPr>
      </w:pPr>
      <w:r w:rsidRPr="00D549BE">
        <w:t>(22)</w:t>
      </w:r>
      <w:r w:rsidRPr="00D549BE">
        <w:tab/>
      </w:r>
      <w:bookmarkStart w:id="4" w:name="_Hlk219116649"/>
      <w:r w:rsidRPr="00D549BE">
        <w:t>Une assistance financière et économique sous forme d’assistance budgétaire devrait être mise à disposition en vue d’aider l’Ukraine à couvrir ses besoins de financement. L’assistance financière et économique au titre du présent règlement apporte une contribution majeure au redressement économique de l’Ukraine après la guerre, à la croissance et à la prospérité à long terme, qui auront tous un rôle important à jouer dans un futur accord de paix. Afin de garantir la souplesse nécessaire pour répondre à ces besoins, il convient de recourir à plusieurs modes de mise à disposition, le soutien devant pouvoir être apporté sous forme d’assistance macrofinancière et sous la forme d’un prêt à mettre en œuvre conformément au chapitre III de la facilité pour l’Ukraine.</w:t>
      </w:r>
    </w:p>
    <w:bookmarkEnd w:id="4"/>
    <w:p w14:paraId="4649876D" w14:textId="77777777" w:rsidR="00716967" w:rsidRPr="00D549BE" w:rsidRDefault="009102DC" w:rsidP="009102DC">
      <w:pPr>
        <w:pStyle w:val="ManualConsidrant"/>
        <w:rPr>
          <w:noProof/>
        </w:rPr>
      </w:pPr>
      <w:r w:rsidRPr="00D549BE">
        <w:t>(23)</w:t>
      </w:r>
      <w:r w:rsidRPr="00D549BE">
        <w:tab/>
        <w:t>Le chapitre III de la facilité pour l’Ukraine prévoit un financement en faveur de l’Ukraine dès lors que les conditions énoncées dans le plan pour l’Ukraine, qui définit le programme de réforme et d’investissement de l’Ukraine, sont remplies de manière satisfaisante. En tant qu’instrument à moyen terme ayant pour objectif de soutenir le redressement et la reconstruction de l’Ukraine, son intégration progressive dans le marché intérieur ainsi que, entre autres, l’adoption et la mise en œuvre des réformes politiques, institutionnelles, juridiques, administratives, sociales et économiques nécessaires pour se conformer aux valeurs de l’Union et s’aligner progressivement sur les règles, les normes, les politiques et les pratiques de l’Union (ci-après l’«acquis») en vue d’une future adhésion à l’Union, contribuant ainsi à la stabilité, à la sécurité, à la paix, à la prospérité et à la durabilité de chacune des parties, il convient de prévoir que les montants provenant du prêt de soutien à l’Ukraine soient utilisés par l’intermédiaire de la facilité pour l’Ukraine. Il faudrait mettre à jour le plan pour l’Ukraine afin de tenir compte de cette assistance budgétaire supplémentaire, y compris en ce qui concerne les mesures visant à renforcer l’état de droit et la lutte contre la corruption.</w:t>
      </w:r>
    </w:p>
    <w:p w14:paraId="0DDD302D" w14:textId="77777777" w:rsidR="00D2167E" w:rsidRPr="00D549BE" w:rsidRDefault="009102DC" w:rsidP="009102DC">
      <w:pPr>
        <w:pStyle w:val="ManualConsidrant"/>
        <w:rPr>
          <w:noProof/>
        </w:rPr>
      </w:pPr>
      <w:r w:rsidRPr="00D549BE">
        <w:t>(24)</w:t>
      </w:r>
      <w:r w:rsidRPr="00D549BE">
        <w:tab/>
        <w:t>L’assistance macrofinancière devrait être liée aux conditions politiques devant être fixées par le protocole d’accord. Le protocole d’accord comprend des engagements solides et ambitieux en matière de réformes de la part de l’Ukraine, y compris ceux qui visent à renforcer la mobilisation de recettes pour répondre aux besoins de financement de l’Ukraine et à s’attaquer aux causes profondes de la corruption dans les finances publiques, notamment en améliorant la viabilité et la qualité des dépenses publiques et en renforçant l’efficacité, la transparence et la responsabilisation des systèmes de gestion des finances publiques. Cette assistance macrofinancière peut être utilisée par l’Ukraine pour contribuer au financement d’une indemnisation, sous forme de réparations, des personnes ayant subi un préjudice du fait des actions illégales de la Russie, y compris par l’intermédiaire de la commission d’indemnisation pour l’Ukraine instituée sous les auspices du Conseil de l’Europe. La décision d’exécution du Conseil approuvant l’évaluation de la stratégie ukrainienne de financement devrait fixer le nombre maximal et la valeur indicative des tranches de l’assistance macrofinancière. Eu égard au principe de bonne gestion financière et afin de faciliter la gestion des liquidités par les autorités ukrainiennes et de garantir la prévisibilité, il convient, en principe, de limiter à quatre le nombre maximal de tranches pour l’assistance macrofinancière.</w:t>
      </w:r>
    </w:p>
    <w:p w14:paraId="798DDE13" w14:textId="77777777" w:rsidR="00D2167E" w:rsidRPr="00D549BE" w:rsidRDefault="009102DC" w:rsidP="009102DC">
      <w:pPr>
        <w:pStyle w:val="ManualConsidrant"/>
        <w:rPr>
          <w:noProof/>
        </w:rPr>
      </w:pPr>
      <w:r w:rsidRPr="00D549BE">
        <w:t>(25)</w:t>
      </w:r>
      <w:r w:rsidRPr="00D549BE">
        <w:tab/>
        <w:t>Afin d’assurer des conditions uniformes d’exécution du présent règlement et pour des raisons d’efficacité, il convient d’habiliter la Commission à négocier ces conditions relatives à l’assistance macrofinancière avec les autorités ukrainiennes sous la supervision du comité composé des représentants des États membres participants, conformément au règlement (UE) nº 182/2011 du Parlement européen et du Conseil</w:t>
      </w:r>
      <w:r w:rsidRPr="00D549BE">
        <w:rPr>
          <w:rStyle w:val="FootnoteReference"/>
          <w:noProof/>
        </w:rPr>
        <w:footnoteReference w:id="19"/>
      </w:r>
      <w:r w:rsidRPr="00D549BE">
        <w:t>. Compte tenu de l’impact potentiellement important d’une assistance, il convient d’appliquer la procédure d’examen telle qu’elle est spécifiée dans le règlement (UE) nº 182/2011. Compte tenu du montant du prêt de soutien à l’Ukraine, il convient d’appliquer la procédure d’examen à l’adoption du protocole d’accord ainsi qu’à toute réduction ou annulation du prêt de soutien à l’Ukraine.</w:t>
      </w:r>
    </w:p>
    <w:p w14:paraId="528D73CA" w14:textId="77777777" w:rsidR="00D2167E" w:rsidRPr="00D549BE" w:rsidRDefault="009102DC" w:rsidP="009102DC">
      <w:pPr>
        <w:pStyle w:val="ManualConsidrant"/>
        <w:rPr>
          <w:noProof/>
        </w:rPr>
      </w:pPr>
      <w:r w:rsidRPr="00D549BE">
        <w:t>(26)</w:t>
      </w:r>
      <w:r w:rsidRPr="00D549BE">
        <w:tab/>
        <w:t>Le prêt de soutien à l’Ukraine devrait fournir une assistance financière et économique à l’Ukraine en tant que pays en guerre, dont la stabilité financière est intrinsèquement liée à sa capacité à se défendre contre l’agression et dépend de celle-ci. Cette situation justifie qu’un montant spécifique de l’assistance financière et économique à l’Ukraine soit utilisé pour accroître la capacité de l’Ukraine à faire face aux besoins budgétaires liés à la capacité du pays à renforcer ses capacités militaires et de défense, contribuant ainsi à conférer à l’Ukraine un avantage militaire qualitatif. Cette assistance financière et économique devrait viser à permettre à l’Ukraine de réaliser des investissements publics urgents et importants pour soutenir l’industrie ukrainienne de la défense et son intégration dans l’industrie européenne de la défense en réponse à la situation de crise actuelle et à la suite de celle-ci. Cette assistance devrait contribuer, en particulier, à la reconstruction, au redressement et à la modernisation de la base industrielle et technologique de défense ukrainienne, en vue d’accroître sa préparation industrielle dans le domaine de la défense, compte tenu de son intégration progressive future dans la base industrielle et technologique de défense européenne et en soutenant la disponibilité en temps utile de produits de défense et d’autres produits destinés à des fins de défense, grâce à la coopération entre l’Union et l’Ukraine.</w:t>
      </w:r>
    </w:p>
    <w:p w14:paraId="179FF403" w14:textId="77777777" w:rsidR="00D2167E" w:rsidRPr="00D549BE" w:rsidRDefault="009102DC" w:rsidP="009102DC">
      <w:pPr>
        <w:pStyle w:val="ManualConsidrant"/>
        <w:rPr>
          <w:noProof/>
        </w:rPr>
      </w:pPr>
      <w:r w:rsidRPr="00D549BE">
        <w:t>(27)</w:t>
      </w:r>
      <w:r w:rsidRPr="00D549BE">
        <w:tab/>
        <w:t>Une assistance financière et économique visant à soutenir les capacités industrielles de l’Ukraine dans le domaine de la défense devrait être mise à disposition pour des activités, des dépenses et des mesures liées aux produits de défense ou à d’autres produits destinés à des fins de défense qui satisfont à certains critères d’éligibilité. Afin de renforcer d’urgence la base industrielle de défense ukrainienne de manière efficace et autonome, ces critères d’éligibilité devraient être structurés de manière à orienter les activités, les dépenses et les mesures visant à soutenir les capacités industrielles de l’Ukraine dans le domaine de la défense vers la reconstruction, le redressement et la modernisation de la base industrielle et technologique de défense ukrainienne, en tenant compte de son intégration progressive future dans la base industrielle et technologique de défense européenne. Dans ce contexte, lorsqu’il s’agit d’examiner si des fabricants sont contrôlés par des pays tiers ou des entités de pays tiers, il y a lieu d’entendre par contrôle la capacité d’exercer une influence déterminante sur une entité juridique, soit de manière directe, soit de manière indirecte par l’entremise d’une ou de plusieurs entités juridiques intermédiaires.</w:t>
      </w:r>
    </w:p>
    <w:p w14:paraId="6E60D295" w14:textId="77777777" w:rsidR="00D2167E" w:rsidRPr="00D549BE" w:rsidRDefault="009102DC" w:rsidP="009102DC">
      <w:pPr>
        <w:pStyle w:val="ManualConsidrant"/>
        <w:rPr>
          <w:noProof/>
        </w:rPr>
      </w:pPr>
      <w:r w:rsidRPr="00D549BE">
        <w:t>(28)</w:t>
      </w:r>
      <w:r w:rsidRPr="00D549BE">
        <w:tab/>
        <w:t>Afin de permettre à l’Ukraine d’utiliser l’assistance financière et économique de la manière la plus adaptée aux circonstances, il convient de lui permettre d’utiliser les fonds pour soutenir les capacités industrielles du pays dans le domaine de la défense au moyen de différentes méthodes de mise en œuvre qui tiennent compte de la diversité des besoins. Les fonds peuvent également contribuer à l’instrument de soutien à l’Ukraine au titre du règlement (UE) [</w:t>
      </w:r>
      <w:r w:rsidRPr="00D549BE">
        <w:rPr>
          <w:i/>
        </w:rPr>
        <w:t>règlement EDIP</w:t>
      </w:r>
      <w:r w:rsidRPr="00D549BE">
        <w:t>], au cadre d’investissement pour l’Ukraine établi par la facilité pour l’Ukraine pour les biens à double usage ou à d’autres programmes de l’Union. En outre, les fonds devraient permettre à l’Ukraine de s’engager dans une intervention de grande ampleur en ce qui concerne la demande de produits de défense afin de créer les conditions propices pour encourager des investissements massifs dans le renforcement des capacités de production et le développement de nouveaux produits. À cette fin, l’Ukraine devrait être autorisée à utiliser les fonds pour lancer des acquisitions massives de produits de défense fabriqués à partir de la base industrielle et technologique de défense ukrainienne et de la base industrielle et technologique de défense européenne au moyen de passations de marchés au titre de l’instrument SAFE établi par le règlement (UE) 2025/1106 du Conseil</w:t>
      </w:r>
      <w:r w:rsidRPr="00D549BE">
        <w:rPr>
          <w:rStyle w:val="FootnoteReference"/>
          <w:noProof/>
        </w:rPr>
        <w:footnoteReference w:id="20"/>
      </w:r>
      <w:r w:rsidRPr="00D549BE">
        <w:t xml:space="preserve"> ou, sous réserve de validations, selon d’autres modalités.</w:t>
      </w:r>
    </w:p>
    <w:p w14:paraId="137B8083" w14:textId="77777777" w:rsidR="00267661" w:rsidRPr="00D549BE" w:rsidRDefault="00267661" w:rsidP="00595383">
      <w:pPr>
        <w:pStyle w:val="ManualConsidrant"/>
        <w:rPr>
          <w:noProof/>
        </w:rPr>
      </w:pPr>
      <w:r w:rsidRPr="00D549BE">
        <w:t>(29)</w:t>
      </w:r>
      <w:r w:rsidRPr="00D549BE">
        <w:tab/>
      </w:r>
      <w:bookmarkStart w:id="5" w:name="_Hlk218787188"/>
      <w:r w:rsidRPr="00D549BE">
        <w:t xml:space="preserve">Pour certains produits de défense dont les technologies sous-jacentes ne sont pas largement disponibles dans l’Union et qui peuvent être difficiles à remplacer à grande échelle, </w:t>
      </w:r>
      <w:bookmarkStart w:id="6" w:name="_Hlk219043129"/>
      <w:r w:rsidRPr="00D549BE">
        <w:t xml:space="preserve">comme les systèmes de défense aérienne et antimissile et les moyens stratégiques, </w:t>
      </w:r>
      <w:bookmarkEnd w:id="6"/>
      <w:r w:rsidRPr="00D549BE">
        <w:t>des conditions supplémentaires devraient être exigées afin que les forces armées de l’Ukraine disposent de toute la latitude voulue pour ce qui a trait à ces produits, sans restrictions imposées par des pays tiers. Par conséquent, pour ces produits de défense, le fabricant devrait avoir la possibilité de décider, sans que des restrictions ne soient imposées par des pays tiers ou des entités de pays tiers, de la définition, de l’adaptation ou de l’évolution de la conception des produits de défense achetés, y compris le droit légal de remplacer ou de retirer les composants qui font l’objet de restrictions imposées par des pays tiers ou par des entités de pays tiers.</w:t>
      </w:r>
    </w:p>
    <w:bookmarkEnd w:id="5"/>
    <w:p w14:paraId="03FDE81A" w14:textId="23DC2491" w:rsidR="001100FA" w:rsidRPr="00D549BE" w:rsidRDefault="009102DC" w:rsidP="009102DC">
      <w:pPr>
        <w:pStyle w:val="ManualConsidrant"/>
        <w:rPr>
          <w:rFonts w:eastAsia="Times New Roman"/>
          <w:noProof/>
        </w:rPr>
      </w:pPr>
      <w:r w:rsidRPr="00D549BE">
        <w:t>(30)</w:t>
      </w:r>
      <w:r w:rsidRPr="00D549BE">
        <w:tab/>
        <w:t>Afin de garantir une mise en œuvre harmonieuse du présent règlement en liaison avec l’instrument SAFE, il y a lieu d’appliquer des conditions d’éligibilité similaires. L’instrument SAFE soutient l’acquisition de produits de défense tels qu’ils sont définis dans le règlement SAFE. La liste des produits faisant partie des catégories 1 et 2 a été approuvée par le Conseil et s’est révélée suffisamment complète pour permettre de soutenir l’acquisition des produits dont les États membres ont besoin, y compris les plateformes aériennes. Compte tenu de l’évolution constante de la situation sur le champ de bataille, il est essentiel d’éviter que l’existence d’une liste de produits pouvant bénéficier d’un soutien empêche l’Ukraine d’obtenir l’assistance dont elle a besoin. Compte tenu du fait que l’Ukraine est un pays en guerre dont la capacité à défendre son territoire pourrait dépendre de la disponibilité d’un produit donné à très court terme, l’Ukraine devrait être autorisée à acquérir des produits qui ne satisfont pas à ces conditions d’éligibilité lorsqu’il est urgent d’acquérir un produit et qu’aucun produit de substitution n’est disponible dans le cadre d’un marché public. À cette fin, l’Ukraine devrait fournir à la Commission les informations raisonnablement à sa disposition pour démontrer qu’une dérogation est nécessaire, tandis que, alors que la guerre continue et que les besoins de l’Ukraine sont vraiment urgents, elle ne devrait pas demander d’études de marché approfondies. Afin d’assurer des conditions uniformes d’exécution du présent règlement et pour des raisons d’efficacité, il convient d’habiliter la Commission à examiner ces demandes de dérogation sous la supervision du comité composé des représentants des États membres participants, conformément au règlement (UE) nº 182/2011. Compte tenu de l’impact potentiellement important d’une assistance, il convient d’appliquer la procédure d’examen telle qu’elle est spécifiée dans le règlement (UE) nº 182/2011. En raison de la situation exceptionnelle causée par la guerre d’agression menée par la Russie et de la nécessité de garantir la disponibilité en temps utile de produits de défense, il convient que le cas dûment justifié visé à l’article 3, paragraphe 3, du règlement (UE) nº 182/2011 soit invoqué pour permettre au comité d’émettre un avis dans un délai que le président du comité peut fixer en fonction de l’urgence de la question. Le cas échéant, il convient de recourir à la procédure écrite visée à l’article 3, paragraphe 5, dudit règlement.</w:t>
      </w:r>
    </w:p>
    <w:p w14:paraId="3EBDDE00" w14:textId="036EA97C" w:rsidR="00D015E0" w:rsidRPr="00D549BE" w:rsidRDefault="009102DC" w:rsidP="009102DC">
      <w:pPr>
        <w:pStyle w:val="ManualConsidrant"/>
        <w:rPr>
          <w:noProof/>
        </w:rPr>
      </w:pPr>
      <w:r w:rsidRPr="00D549BE">
        <w:t>(31)</w:t>
      </w:r>
      <w:r w:rsidRPr="00D549BE">
        <w:tab/>
        <w:t>Afin de garantir une mise en œuvre harmonieuse du présent règlement en liaison avec l’instrument SAFE, il convient de prévoir la possibilité d’étendre les conditions d’éligibilité aux fabricants établis dans des pays tiers qui ont conclu un accord avec l’Union conformément à l’article 17 du règlement (UE) 2025/1106 du Conseil.</w:t>
      </w:r>
    </w:p>
    <w:p w14:paraId="14FA7474" w14:textId="77777777" w:rsidR="004903F3" w:rsidRPr="00D549BE" w:rsidRDefault="009102DC" w:rsidP="009102DC">
      <w:pPr>
        <w:pStyle w:val="ManualConsidrant"/>
        <w:rPr>
          <w:noProof/>
        </w:rPr>
      </w:pPr>
      <w:r w:rsidRPr="00D549BE">
        <w:t>(32)</w:t>
      </w:r>
      <w:r w:rsidRPr="00D549BE">
        <w:tab/>
        <w:t xml:space="preserve">Le présent règlement s’entend sans préjudice du droit international applicable interdisant l’utilisation, la mise au point ou la production de certains produits et technologies de défense. </w:t>
      </w:r>
    </w:p>
    <w:p w14:paraId="6752406F" w14:textId="77777777" w:rsidR="00D2167E" w:rsidRPr="00D549BE" w:rsidRDefault="009102DC" w:rsidP="009102DC">
      <w:pPr>
        <w:pStyle w:val="ManualConsidrant"/>
        <w:rPr>
          <w:noProof/>
          <w:sz w:val="22"/>
        </w:rPr>
      </w:pPr>
      <w:r w:rsidRPr="00D549BE">
        <w:t>(33)</w:t>
      </w:r>
      <w:r w:rsidRPr="00D549BE">
        <w:tab/>
        <w:t>L’assistance visant à soutenir les capacités industrielles de l’Ukraine dans le domaine de la défense devrait être mise en œuvre conformément aux principes de bonne gestion financière garantissant la protection des intérêts financiers de l’Union énoncés à l’article 223, paragraphe 4, du règlement (UE, Euratom) 2024/2509 du Parlement européen et du Conseil</w:t>
      </w:r>
      <w:r w:rsidRPr="00D549BE">
        <w:rPr>
          <w:rStyle w:val="FootnoteReference"/>
          <w:noProof/>
        </w:rPr>
        <w:footnoteReference w:id="21"/>
      </w:r>
      <w:r w:rsidRPr="00D549BE">
        <w:t>. Des exigences détaillées à cet égard pourraient faire l’objet d’un accord à signer entre la Commission et l’Ukraine. En outre, aux fins de la gestion de l’assistance financière et économique reçue pour soutenir les capacités industrielles de l’Ukraine dans le domaine de la défense, l’Ukraine devrait ouvrir un compte unique pour la gestion de l’aide, que la Commission devrait être en mesure de surveiller.</w:t>
      </w:r>
    </w:p>
    <w:p w14:paraId="597EC84D" w14:textId="77777777" w:rsidR="00A0231E" w:rsidRPr="00D549BE" w:rsidRDefault="009102DC" w:rsidP="009102DC">
      <w:pPr>
        <w:pStyle w:val="ManualConsidrant"/>
        <w:rPr>
          <w:noProof/>
        </w:rPr>
      </w:pPr>
      <w:r w:rsidRPr="00D549BE">
        <w:t>(34)</w:t>
      </w:r>
      <w:r w:rsidRPr="00D549BE">
        <w:tab/>
        <w:t>Afin d’appuyer la mise en œuvre de l’assistance visant à soutenir les capacités industrielles de l’Ukraine dans le domaine de la défense, la Commission devrait mettre en place le groupe d’experts sur les capacités industrielles de défense de l’Ukraine. Ce groupe d’experts devrait conseiller la Commission sur les questions liées à l’assistance visant à soutenir les capacités industrielles de l’Ukraine dans le domaine de la défense.</w:t>
      </w:r>
    </w:p>
    <w:p w14:paraId="6FD713FA" w14:textId="77777777" w:rsidR="00D2167E" w:rsidRPr="00D549BE" w:rsidRDefault="009102DC" w:rsidP="009102DC">
      <w:pPr>
        <w:pStyle w:val="ManualConsidrant"/>
        <w:rPr>
          <w:noProof/>
        </w:rPr>
      </w:pPr>
      <w:r w:rsidRPr="00D549BE">
        <w:t>(35)</w:t>
      </w:r>
      <w:r w:rsidRPr="00D549BE">
        <w:tab/>
        <w:t>La Commission devrait suivre la mise en œuvre de l’assistance visant à soutenir les capacités industrielles de l’Ukraine dans le domaine de la défense, notamment la livraison de produits. À cette fin, il convient d’établir différentes modalités de suivi afin de tenir compte des différents modes de mise en œuvre.</w:t>
      </w:r>
    </w:p>
    <w:p w14:paraId="29264E24" w14:textId="77777777" w:rsidR="00660E9A" w:rsidRPr="00D549BE" w:rsidRDefault="009102DC" w:rsidP="009102DC">
      <w:pPr>
        <w:pStyle w:val="ManualConsidrant"/>
        <w:rPr>
          <w:noProof/>
        </w:rPr>
      </w:pPr>
      <w:r w:rsidRPr="00D549BE">
        <w:t>(36)</w:t>
      </w:r>
      <w:r w:rsidRPr="00D549BE">
        <w:tab/>
        <w:t>La directive 2009/81/CE du Parlement européen et du Conseil</w:t>
      </w:r>
      <w:r w:rsidRPr="00D549BE">
        <w:rPr>
          <w:rStyle w:val="FootnoteReference"/>
          <w:noProof/>
        </w:rPr>
        <w:footnoteReference w:id="22"/>
      </w:r>
      <w:r w:rsidRPr="00D549BE">
        <w:t xml:space="preserve"> concerne, entre autres, la mise en place d’un cadre législatif approprié pour la coordination des procédures de passation des marchés satisfaisant aux impératifs de sécurité des États membres et aux obligations découlant du TFUE. Pour atteindre cet objectif, la directive 2009/81/CE couvre, en particulier, la gestion des situations de crise, notamment en prévoyant des dispositions spécifiques applicables dans des cas d’urgence résultant d’une crise, notamment des délais raccourcis pour la réception des offres et la possibilité de recourir à la procédure négociée sans publication préalable d’un avis de marché. Toutefois, dans certains cas d’urgence, ces règles pourraient être insuffisantes, en particulier lorsque l’urgence résultant de la crise ne peut être résolue qu’en faisant en sorte que l’Ukraine et au moins un État membre participant participent à une acquisition conjointe. Dans de tels cas, la seule solution pour garantir la protection des intérêts de ces pays en matière de sécurité consiste souvent à ouvrir un accord-cadre ou un contrat existant d’un État membre participant à des pouvoirs adjudicateurs ukrainiens qui n’y étaient pas initialement parties, même si cette possibilité n’avait pas été prévue dans l’accord-cadre ou le contrat initial. Étant donné que ces possibilités ne sont pas prévues dans la directive 2009/81/CE au moment de l’entrée en vigueur du présent règlement, ce dernier prévoit la possibilité de compléter les dispositions de ladite directive ou d’y déroger dans la situation de crise actuelle résultant de la guerre d’agression menée par la Russie, moyennant le consentement de l’entreprise ayant conclu l’accord-cadre. En ce qui concerne les quantités supplémentaires pour l’Ukraine, les pouvoirs adjudicateurs ukrainiens devraient bénéficier des mêmes conditions que le pouvoir adjudicateur initial qui a conclu l’accord-cadre initial. En outre, des mesures de transparence appropriées devraient être prises pour garantir l’information de toutes les parties potentiellement intéressées.</w:t>
      </w:r>
    </w:p>
    <w:p w14:paraId="3D907958" w14:textId="77777777" w:rsidR="00660E9A" w:rsidRPr="00D549BE" w:rsidRDefault="009102DC" w:rsidP="009102DC">
      <w:pPr>
        <w:pStyle w:val="ManualConsidrant"/>
        <w:rPr>
          <w:noProof/>
        </w:rPr>
      </w:pPr>
      <w:r w:rsidRPr="00D549BE">
        <w:t>(37)</w:t>
      </w:r>
      <w:r w:rsidRPr="00D549BE">
        <w:tab/>
        <w:t>Le règlement (UE) 2025/1106 du Conseil prévoit une assistance financière aux États membres, leur permettant de réaliser des investissements publics urgents et importants en faveur de l’industrie européenne de la défense en réponse à la situation de crise résultant de la forte détérioration du contexte de l’Union en matière de sécurité. Grâce à cet instrument, l’Union a commencé à soutenir les États membres afin qu’ils puissent passer des commandes rapidement, en incitant le secteur industriel de la défense à investir, à très court terme, dans le renforcement des capacités de production afin de pouvoir répondre aux besoins des États membres d’ici à 2030. En outre, le présent règlement soutient la passation de commandes ukrainiennes auprès de la base industrielle et technologique de défense européenne afin de favoriser la coopération entre cette dernière et la base industrielle et technologique de défense ukrainienne. Une demande aussi exceptionnellement élevée pour un large éventail de produits de défense comporte un risque imminent d’incidence négative grave sur le bon fonctionnement du marché intérieur. Afin de faire face à ce risque et compte tenu des objectifs du présent règlement, ainsi que de la situation spécifique de l’Ukraine, des mesures de priorisation au niveau de l’Union visant à garantir la disponibilité des produits de défense concernés pourraient s’avérer indispensables pour assurer le bon fonctionnement du marché intérieur des produits de défense et de ses chaînes d’approvisionnement. La Commission devrait pouvoir utiliser à cet égard, à la demande d’un État membre participant, des demandes prioritaires visant à faciliter la fourniture de produits de défense afin d’atteindre les objectifs du présent règlement.</w:t>
      </w:r>
    </w:p>
    <w:p w14:paraId="6A8BFCA2" w14:textId="77777777" w:rsidR="00701ACE" w:rsidRPr="00D549BE" w:rsidRDefault="009102DC" w:rsidP="009102DC">
      <w:pPr>
        <w:pStyle w:val="ManualConsidrant"/>
        <w:rPr>
          <w:noProof/>
        </w:rPr>
      </w:pPr>
      <w:r w:rsidRPr="00D549BE">
        <w:t>(38)</w:t>
      </w:r>
      <w:r w:rsidRPr="00D549BE">
        <w:tab/>
        <w:t>Les demandes prioritaires devraient consister en des demandes adressées par la Commission, à l’initiative d’un État membre participant, aux opérateurs économiques concernés établis dans l’Union afin que ceux-ci acceptent ou priorisent des commandes de produits essentiels en cas de crise. Ces demandes prioritaires ne devraient être utilisées que lorsque cela est nécessaire et proportionné pour faire en sorte que les chaînes d’approvisionnement dans le domaine de la défense puissent fonctionner normalement et devraient viser à soutenir l’Ukraine qui est confrontée à de graves difficultés, soit dans la passation d’une commande, soit dans l’exécution d’un contrat de fourniture de produits de défense. Les opérateurs économiques devraient avoir la possibilité de refuser de faire l’objet d’une demande prioritaire. La demande prioritaire devrait être émise sur la base de données objectives, factuelles, mesurables et étayées. Elle devrait tenir compte notamment des objectifs légitimes des entreprises ainsi que du coût et de l’effort nécessaires à toute modification de la séquence de production. Lorsqu’elle est acceptée, l’obligation d’exécuter la demande prioritaire devrait prévaloir sur les obligations d’exécution de droit privé ou public. Compte tenu de l’importance d’assurer la fourniture de produits de défense, qui sont indispensables au bon fonctionnement du marché intérieur et de ses chaînes d’approvisionnement, le respect de l’obligation d’exécuter une demande prioritaire ne devrait pas entraîner de responsabilité à l’égard de tiers pour les dommages pouvant résulter d’une violation des obligations contractuelles régies par le droit d’un État membre, dans la mesure où la violation des obligations contractuelles était nécessaire au respect de la priorité requise. Lorsque l’opérateur économique a expressément accepté une demande prioritaire et que la Commission a adopté un acte d’exécution à la suite de cette acceptation, l’opérateur économique devrait se conformer à toutes les conditions de cet acte d’exécution. Le non-respect par l’opérateur économique des conditions fixées dans l’acte d’exécution devrait entraîner la perte du bénéfice d’une exonération de la responsabilité contractuelle. Lorsque le non-respect est intentionnel ou imputable à une négligence grave, la Commission devrait pouvoir infliger une amende à l’opérateur économique, dans le respect du principe de proportionnalité.</w:t>
      </w:r>
    </w:p>
    <w:p w14:paraId="1767C0A0" w14:textId="77777777" w:rsidR="00E706CE" w:rsidRPr="00D549BE" w:rsidRDefault="009102DC" w:rsidP="009102DC">
      <w:pPr>
        <w:pStyle w:val="ManualConsidrant"/>
        <w:rPr>
          <w:noProof/>
        </w:rPr>
      </w:pPr>
      <w:r w:rsidRPr="00D549BE">
        <w:t>(39)</w:t>
      </w:r>
      <w:r w:rsidRPr="00D549BE">
        <w:tab/>
        <w:t>Étant donné que des montants spécifiques devraient être mis à disposition pour l’assistance budgétaire et l’assistance visant à soutenir les capacités industrielles de l’Ukraine dans le domaine de la défense, il convient d’assurer la cohérence et la complémentarité dans leur mise en œuvre respective.</w:t>
      </w:r>
    </w:p>
    <w:p w14:paraId="02557193" w14:textId="77777777" w:rsidR="00716967" w:rsidRPr="00D549BE" w:rsidRDefault="009102DC" w:rsidP="009102DC">
      <w:pPr>
        <w:pStyle w:val="ManualConsidrant"/>
        <w:rPr>
          <w:noProof/>
        </w:rPr>
      </w:pPr>
      <w:r w:rsidRPr="00D549BE">
        <w:t>(40)</w:t>
      </w:r>
      <w:r w:rsidRPr="00D549BE">
        <w:tab/>
        <w:t>Le présent règlement devrait s’appliquer sans préjudice du caractère spécifique de la politique de sécurité et de défense de certains États membres.</w:t>
      </w:r>
    </w:p>
    <w:p w14:paraId="22F2D7C4" w14:textId="77777777" w:rsidR="004566E9" w:rsidRPr="00D549BE" w:rsidRDefault="009102DC" w:rsidP="009102DC">
      <w:pPr>
        <w:pStyle w:val="ManualConsidrant"/>
        <w:rPr>
          <w:noProof/>
        </w:rPr>
      </w:pPr>
      <w:r w:rsidRPr="00D549BE">
        <w:t>(41)</w:t>
      </w:r>
      <w:r w:rsidRPr="00D549BE">
        <w:tab/>
        <w:t>Le présent règlement ne s’applique pas aux États membres qui ne participent pas à la coopération renforcée. Dans ce contexte, il convient de rappeler que la non-participation de certains États membres à cette coopération renforcée ne les dispense pas de l’obligation d’assurer la pleine application de l’article 325 du TFUE et de l’acquis de l’Union visant à protéger les intérêts financiers de l’Union, y compris le règlement (CE, Euratom) nº 2988/95 du Conseil</w:t>
      </w:r>
      <w:r w:rsidRPr="00D549BE">
        <w:rPr>
          <w:rStyle w:val="FootnoteReference"/>
          <w:noProof/>
        </w:rPr>
        <w:footnoteReference w:id="23"/>
      </w:r>
      <w:r w:rsidRPr="00D549BE">
        <w:t>, le règlement (UE, Euratom) nº 883/2013 du Parlement européen et du Conseil</w:t>
      </w:r>
      <w:r w:rsidRPr="00D549BE">
        <w:rPr>
          <w:rStyle w:val="FootnoteReference"/>
          <w:noProof/>
        </w:rPr>
        <w:footnoteReference w:id="24"/>
      </w:r>
      <w:r w:rsidRPr="00D549BE">
        <w:t>, la directive (UE) 2017/1371 du Parlement européen et du Conseil</w:t>
      </w:r>
      <w:r w:rsidRPr="00D549BE">
        <w:rPr>
          <w:rStyle w:val="FootnoteReference"/>
          <w:noProof/>
        </w:rPr>
        <w:footnoteReference w:id="25"/>
      </w:r>
      <w:r w:rsidRPr="00D549BE">
        <w:t>, les dispositions du règlement (UE, Euratom) 2024/2509 et, le cas échéant, le règlement (UE) 2017/1939 du Conseil</w:t>
      </w:r>
      <w:r w:rsidRPr="00D549BE">
        <w:rPr>
          <w:rStyle w:val="FootnoteReference"/>
          <w:noProof/>
        </w:rPr>
        <w:footnoteReference w:id="26"/>
      </w:r>
      <w:r w:rsidRPr="00D549BE">
        <w:t>. Ces États membres et les entités économiques relevant de leur juridiction devraient donc collaborer pleinement avec la Cour des comptes, l’OLAF, la Commission et, le cas échéant, le Parquet européen, dans l’exercice de leurs compétences.</w:t>
      </w:r>
    </w:p>
    <w:p w14:paraId="594C38FF" w14:textId="77777777" w:rsidR="00D2167E" w:rsidRPr="00D549BE" w:rsidRDefault="00E20CA3" w:rsidP="009102DC">
      <w:pPr>
        <w:pStyle w:val="ManualConsidrant"/>
        <w:rPr>
          <w:noProof/>
        </w:rPr>
      </w:pPr>
      <w:r w:rsidRPr="00D549BE">
        <w:t>(42)</w:t>
      </w:r>
      <w:r w:rsidRPr="00D549BE">
        <w:tab/>
        <w:t>L’accord sur un prêt de soutien à l’Ukraine à conclure par la Commission et les autorités ukrainiennes devrait contenir des dispositions conformes aux droits, responsabilités et obligations prévus dans l’accord-cadre au titre de la facilité pour l’Ukraine visé à l’article 9 du règlement (UE) 2024/792, signé entre l’Union et l’Ukraine et entré en vigueur le 20 juin 2024. Il permettra d’assurer une protection efficace des intérêts financiers de l’Union dans le cadre du prêt de soutien à l’Ukraine, grâce à des mesures propres à prévenir et à combattre la fraude, la corruption et toute autre irrégularité en relation avec l’assistance. Il permettra également d’accorder, conformément au règlement (UE, Euratom) 2024/2509, les droits et accès nécessaires à la Commission, à l’Office européen de lutte antifraude (OLAF), à la Cour des comptes européenne et, le cas échéant, au Parquet européen, y compris de la part des tiers participant à l’exécution des fonds de l’Union pendant et après la période de mise à disposition du prêt de soutien à l’Ukraine. L’Ukraine devrait également signaler à la Commission les irrégularités relatives à l’utilisation des fonds, conformément aux procédures prévues dans l’accord-cadre au titre de la facilité pour l’Ukraine.</w:t>
      </w:r>
    </w:p>
    <w:p w14:paraId="5C33615B" w14:textId="60DDE716" w:rsidR="00D2167E" w:rsidRPr="00D549BE" w:rsidRDefault="009102DC" w:rsidP="009102DC">
      <w:pPr>
        <w:pStyle w:val="ManualConsidrant"/>
        <w:rPr>
          <w:noProof/>
        </w:rPr>
      </w:pPr>
      <w:r w:rsidRPr="00D549BE">
        <w:t>(43)</w:t>
      </w:r>
      <w:r w:rsidRPr="00D549BE">
        <w:tab/>
        <w:t xml:space="preserve">Compte tenu de la situation difficile dans laquelle se trouve l’Ukraine du fait de la guerre d’agression menée par la Russie, et afin de soutenir l’Ukraine sur la voie d’une stabilité à long terme, il convient que l’Union accorde le prêt de soutien à l’Ukraine sous la forme d’un prêt à recours limité qui sera dû et payable lorsque l’Ukraine recevra de la Russie des liquidités ou des avoirs non monétaires sous la forme de réparations de guerre, d’indemnités ou de tout règlement financier de la part de la Russie, à l’exception du territoire. </w:t>
      </w:r>
    </w:p>
    <w:p w14:paraId="3A2ACE47" w14:textId="77777777" w:rsidR="00604D3A" w:rsidRPr="00D549BE" w:rsidRDefault="009102DC" w:rsidP="009102DC">
      <w:pPr>
        <w:pStyle w:val="ManualConsidrant"/>
        <w:rPr>
          <w:noProof/>
        </w:rPr>
      </w:pPr>
      <w:r w:rsidRPr="00D549BE">
        <w:t>(44)</w:t>
      </w:r>
      <w:r w:rsidRPr="00D549BE">
        <w:tab/>
        <w:t>La mise à disposition de fonds au titre du prêt de soutien à l’Ukraine devrait être subordonnée à l’évaluation positive, par la Commission, d’une demande de fonds présentée par l’Ukraine. En ce qui concerne l’assistance macrofinancière, l’évaluation des conditions devrait être sans préjudice de l’évaluation du respect des conditions au titre d’autres programmes et instruments de l’Union. Pour l’assistance visant à soutenir les capacités industrielles de l’Ukraine dans le domaine de la défense, la mise à disposition des fonds devrait être liée à des contrats ou à des accords portant sur des activités, des dépenses et des mesures de soutien aux capacités industrielles de l’Ukraine dans le domaine de la défense liées à des produits de défense ou d’autres produits à des fins de défense.</w:t>
      </w:r>
    </w:p>
    <w:p w14:paraId="17385B0D" w14:textId="77777777" w:rsidR="002934AA" w:rsidRPr="00D549BE" w:rsidRDefault="009102DC" w:rsidP="002934AA">
      <w:pPr>
        <w:pStyle w:val="ManualConsidrant"/>
        <w:rPr>
          <w:noProof/>
        </w:rPr>
      </w:pPr>
      <w:r w:rsidRPr="00D549BE">
        <w:t>(45)</w:t>
      </w:r>
      <w:r w:rsidRPr="00D549BE">
        <w:tab/>
        <w:t>Le présent règlement devrait prévoir des dispositions appropriées pour le financement du prêt de soutien à l’Union.</w:t>
      </w:r>
    </w:p>
    <w:p w14:paraId="6809D2B8" w14:textId="77777777" w:rsidR="00D2167E" w:rsidRPr="00D549BE" w:rsidRDefault="002934AA" w:rsidP="002934AA">
      <w:pPr>
        <w:pStyle w:val="ManualConsidrant"/>
        <w:rPr>
          <w:noProof/>
        </w:rPr>
      </w:pPr>
      <w:r w:rsidRPr="00D549BE">
        <w:t>(46)</w:t>
      </w:r>
      <w:r w:rsidRPr="00D549BE">
        <w:tab/>
        <w:t>Dans le contexte des besoins de financement de l’Ukraine, il convient d’organiser l’assistance financière dans le cadre de la stratégie de financement diversifiée visée à l’article 224 du règlement (UE, Euratom) 2024/2509.</w:t>
      </w:r>
    </w:p>
    <w:p w14:paraId="5BE5C43E" w14:textId="77777777" w:rsidR="00C16B9E" w:rsidRPr="00D549BE" w:rsidRDefault="00C16B9E" w:rsidP="002934AA">
      <w:pPr>
        <w:pStyle w:val="ManualConsidrant"/>
        <w:rPr>
          <w:noProof/>
        </w:rPr>
      </w:pPr>
      <w:r w:rsidRPr="00D549BE">
        <w:t>(47)</w:t>
      </w:r>
      <w:r w:rsidRPr="00D549BE">
        <w:tab/>
        <w:t>Conformément au soutien ferme apporté par 25 chefs d’État ou de gouvernement en marge du Conseil européen du 18 décembre 2025, le prêt de soutien à l’Ukraine devrait être remboursé par l’Ukraine une fois que des réparations auront été reçues de la Russie, l’Union se réservant le droit de recourir aux avoirs russes immobilisés dans l’Union pour rembourser le prêt, dans le plein respect du droit de l’Union et du droit international.</w:t>
      </w:r>
    </w:p>
    <w:p w14:paraId="18A671D7" w14:textId="77777777" w:rsidR="00AA5E09" w:rsidRPr="00D549BE" w:rsidRDefault="009102DC" w:rsidP="009102DC">
      <w:pPr>
        <w:pStyle w:val="ManualConsidrant"/>
        <w:rPr>
          <w:noProof/>
        </w:rPr>
      </w:pPr>
      <w:r w:rsidRPr="00D549BE">
        <w:t>(48)</w:t>
      </w:r>
      <w:r w:rsidRPr="00D549BE">
        <w:tab/>
        <w:t>Par dérogation à l’article 31, paragraphe 3, du règlement (UE) 2021/947 du Parlement européen et du Conseil</w:t>
      </w:r>
      <w:r w:rsidRPr="00D549BE">
        <w:rPr>
          <w:rStyle w:val="FootnoteReference"/>
          <w:rFonts w:eastAsiaTheme="minorEastAsia"/>
          <w:noProof/>
        </w:rPr>
        <w:footnoteReference w:id="27"/>
      </w:r>
      <w:r w:rsidRPr="00D549BE">
        <w:t>, la responsabilité financière découlant des prêts accordés au titre du présent règlement ne devrait pas être supportée par la garantie pour l’action extérieure établie par ledit règlement. Le soutien sous forme de prêts au titre du présent règlement devrait constituer une assistance financière au sens de l’article 223, paragraphe 1, du règlement (UE, Euratom) 2024/2509. Compte tenu des risques financiers et de la présence de garanties, aucun provisionnement ne devrait être constitué pour le soutien sous forme de prêts au titre du présent règlement, à garantir au-delà des plafonds, et, par dérogation à l’article 214, paragraphe 1, du règlement (UE, Euratom) 2024/2509, aucun taux de provisionnement ne devrait être fixé.</w:t>
      </w:r>
    </w:p>
    <w:p w14:paraId="446A0D7C" w14:textId="77777777" w:rsidR="00646B66" w:rsidRPr="00D549BE" w:rsidRDefault="00646B66" w:rsidP="009102DC">
      <w:pPr>
        <w:pStyle w:val="ManualConsidrant"/>
        <w:rPr>
          <w:noProof/>
          <w:sz w:val="22"/>
        </w:rPr>
      </w:pPr>
      <w:r w:rsidRPr="00D549BE">
        <w:t>(49)</w:t>
      </w:r>
      <w:r w:rsidRPr="00D549BE">
        <w:tab/>
        <w:t xml:space="preserve">Compte tenu de la situation dans laquelle se trouve l’Ukraine du fait de la guerre d’agression menée par la Russie, et afin de la soutenir sur la voie d’une stabilité à long terme, il convient de déroger à l’article 223, paragraphe 4, point e), du règlement (UE, Euratom) 2024/2509 et de donner à l’Union la possibilité de prévoir une bonification des coûts de l’emprunt pour couvrir les coûts qui, autrement, seraient supportés par l’Ukraine. Ces coûts comprennent les coûts du service de la dette (coût du financement et coûts de gestion des liquidités) et les coûts administratifs associés. La bonification des coûts de l’emprunt à accorder est jugée appropriée pour garantir un soutien efficace au titre du prêt de soutien à l’Ukraine au sens de l’article 223, paragraphe 1, du règlement (UE, Euratom) 2024/2509, notamment pour éviter d’accroître la pression sur les finances publiques de l’Ukraine. </w:t>
      </w:r>
    </w:p>
    <w:p w14:paraId="339439B8" w14:textId="77777777" w:rsidR="002934AA" w:rsidRPr="00D549BE" w:rsidRDefault="009102DC" w:rsidP="009102DC">
      <w:pPr>
        <w:pStyle w:val="ManualConsidrant"/>
        <w:rPr>
          <w:noProof/>
        </w:rPr>
      </w:pPr>
      <w:r w:rsidRPr="00D549BE">
        <w:t>(50)</w:t>
      </w:r>
      <w:r w:rsidRPr="00D549BE">
        <w:tab/>
        <w:t>Conformément à l’article 332 du TFUE, les dépenses, autres que les coûts administratifs occasionnés pour les institutions, résultant de la coopération renforcée devraient être prises en charge par les États membres participants. À cet effet, les États membres qui ne participent pas à la coopération renforcée devraient avoir droit à un ajustement conformément à l’article 11 du règlement (UE, Euratom) nº 609/2014</w:t>
      </w:r>
      <w:r w:rsidRPr="00D549BE">
        <w:rPr>
          <w:rStyle w:val="FootnoteReference"/>
          <w:noProof/>
        </w:rPr>
        <w:footnoteReference w:id="28"/>
      </w:r>
      <w:r w:rsidRPr="00D549BE">
        <w:t xml:space="preserve"> du Conseil en ce qui concerne toute dépense opérationnelle à la charge du budget de l’Union, comprenant notamment les coûts du service de la dette, ainsi que les appels à la garantie. Les coûts administratifs occasionnés pour les institutions lors de la mise en œuvre de la coopération renforcée devraient être à la charge du budget de l’Union sans ajustement pour les États membres qui ne participent pas à la coopération renforcée.</w:t>
      </w:r>
    </w:p>
    <w:p w14:paraId="5877225B" w14:textId="77777777" w:rsidR="00D2167E" w:rsidRPr="00D549BE" w:rsidRDefault="009102DC" w:rsidP="009102DC">
      <w:pPr>
        <w:pStyle w:val="ManualConsidrant"/>
        <w:rPr>
          <w:noProof/>
        </w:rPr>
      </w:pPr>
      <w:r w:rsidRPr="00D549BE">
        <w:t>(51)</w:t>
      </w:r>
      <w:r w:rsidRPr="00D549BE">
        <w:tab/>
        <w:t>Le soutien apporté par l’Union à l’Ukraine en vertu du présent règlement devrait être géré par la Commission.</w:t>
      </w:r>
    </w:p>
    <w:p w14:paraId="6D6DE714" w14:textId="77777777" w:rsidR="00D2167E" w:rsidRPr="00D549BE" w:rsidRDefault="009102DC" w:rsidP="009102DC">
      <w:pPr>
        <w:pStyle w:val="ManualConsidrant"/>
        <w:rPr>
          <w:noProof/>
        </w:rPr>
      </w:pPr>
      <w:r w:rsidRPr="00D549BE">
        <w:t>(52)</w:t>
      </w:r>
      <w:r w:rsidRPr="00D549BE">
        <w:tab/>
        <w:t>L’assistance apportée à l’Ukraine par le prêt de soutien à l’Ukraine devrait s’ajouter au soutien de l’Union accordé au titre de la facilité pour l’Ukraine, et le compléter. La Commission devrait, dans la mesure du possible, s’efforcer de réduire au minimum la charge administrative et déclarative pesant sur l’Ukraine.</w:t>
      </w:r>
    </w:p>
    <w:p w14:paraId="2C46EB4B" w14:textId="77777777" w:rsidR="00D2167E" w:rsidRPr="00D549BE" w:rsidRDefault="009102DC" w:rsidP="009102DC">
      <w:pPr>
        <w:pStyle w:val="ManualConsidrant"/>
        <w:rPr>
          <w:noProof/>
        </w:rPr>
      </w:pPr>
      <w:r w:rsidRPr="00D549BE">
        <w:t>(53)</w:t>
      </w:r>
      <w:r w:rsidRPr="00D549BE">
        <w:tab/>
        <w:t>La Commission devrait tenir dûment compte de la décision 2010/427/UE du Conseil</w:t>
      </w:r>
      <w:r w:rsidRPr="00D549BE">
        <w:rPr>
          <w:rStyle w:val="FootnoteReference"/>
          <w:noProof/>
        </w:rPr>
        <w:footnoteReference w:id="29"/>
      </w:r>
      <w:r w:rsidRPr="00D549BE">
        <w:t xml:space="preserve"> et du rôle du service européen pour l’action extérieure, s’il y a lieu.</w:t>
      </w:r>
    </w:p>
    <w:p w14:paraId="37BD6DFE" w14:textId="77777777" w:rsidR="00B54621" w:rsidRPr="00D549BE" w:rsidRDefault="009102DC" w:rsidP="009102DC">
      <w:pPr>
        <w:pStyle w:val="ManualConsidrant"/>
        <w:rPr>
          <w:noProof/>
        </w:rPr>
      </w:pPr>
      <w:r w:rsidRPr="00D549BE">
        <w:t>(54)</w:t>
      </w:r>
      <w:r w:rsidRPr="00D549BE">
        <w:tab/>
        <w:t>La commission compétente du Parlement européen peut inviter la Commission à débattre, dans le cadre d’un dialogue sur le prêt de soutien à l’Ukraine, de questions concernant la mise en œuvre du présent règlement. La Commission devrait tenir compte des éléments découlant des avis exprimés dans le cadre du dialogue sur le prêt de soutien à l’Ukraine, y compris des résolutions du Parlement européen, le cas échéant.</w:t>
      </w:r>
    </w:p>
    <w:p w14:paraId="793189A1" w14:textId="77777777" w:rsidR="00D2167E" w:rsidRPr="00D549BE" w:rsidRDefault="009102DC" w:rsidP="009102DC">
      <w:pPr>
        <w:pStyle w:val="ManualConsidrant"/>
        <w:rPr>
          <w:noProof/>
        </w:rPr>
      </w:pPr>
      <w:r w:rsidRPr="00D549BE">
        <w:t>(55)</w:t>
      </w:r>
      <w:r w:rsidRPr="00D549BE">
        <w:tab/>
        <w:t>Afin que le Parlement européen et le Conseil puissent suivre la mise en œuvre du présent règlement, la Commission devrait régulièrement les informer des développements liés à l’assistance apportée par l’Union à l’Ukraine au titre du présent règlement et leur fournir les documents y afférents.</w:t>
      </w:r>
    </w:p>
    <w:p w14:paraId="7C79D5F4" w14:textId="77777777" w:rsidR="00D2167E" w:rsidRPr="00D549BE" w:rsidRDefault="009102DC" w:rsidP="009102DC">
      <w:pPr>
        <w:pStyle w:val="ManualConsidrant"/>
        <w:rPr>
          <w:noProof/>
        </w:rPr>
      </w:pPr>
      <w:r w:rsidRPr="00D549BE">
        <w:t>(56)</w:t>
      </w:r>
      <w:r w:rsidRPr="00D549BE">
        <w:tab/>
        <w:t>Afin de veiller au maintien de l’efficacité des dispositions établies par le présent règlement, la Commission devrait réexaminer régulièrement leur adéquation et faire rapport au Parlement européen et au Conseil, assurant ainsi la transparence et l’obligation de rendre des comptes.</w:t>
      </w:r>
    </w:p>
    <w:p w14:paraId="6911E434" w14:textId="77777777" w:rsidR="00D2167E" w:rsidRPr="00D549BE" w:rsidRDefault="009102DC" w:rsidP="009102DC">
      <w:pPr>
        <w:pStyle w:val="ManualConsidrant"/>
        <w:rPr>
          <w:noProof/>
        </w:rPr>
      </w:pPr>
      <w:r w:rsidRPr="00D549BE">
        <w:t>(57)</w:t>
      </w:r>
      <w:r w:rsidRPr="00D549BE">
        <w:tab/>
        <w:t>Afin d’assurer des conditions uniformes d’exécution du présent règlement, il convient de conférer des compétences d’exécution à la Commission. Ces compétences devraient être exercées conformément au règlement (UE) nº 182/2011.</w:t>
      </w:r>
    </w:p>
    <w:p w14:paraId="6E6C94C0" w14:textId="77777777" w:rsidR="00D2167E" w:rsidRPr="00D549BE" w:rsidRDefault="009102DC" w:rsidP="009102DC">
      <w:pPr>
        <w:pStyle w:val="ManualConsidrant"/>
        <w:rPr>
          <w:noProof/>
        </w:rPr>
      </w:pPr>
      <w:r w:rsidRPr="00D549BE">
        <w:t>(58)</w:t>
      </w:r>
      <w:r w:rsidRPr="00D549BE">
        <w:tab/>
        <w:t>Étant donné que les objectifs du présent règlement, à savoir apporter une assistance financière et économique à l’Ukraine pour 2026 et 2027 de manière prévisible, continue, ordonnée et en temps utile en vue d’aider l’Ukraine à couvrir ses besoins de financement résultant de la guerre d’agression menée par la Russie, ne peuvent pas être atteints de manière suffisante par les États membres mais peuvent, en raison de leur dimension et de leurs effets, l’être mieux au niveau de l’Union, celle-ci peut prendre des mesures, le cas échéant dans le cadre d’une coopération renforcée, conformément au principe de subsidiarité consacré à l’article 5 du traité sur l’Union européenne. Conformément au principe de proportionnalité tel qu’énoncé audit article, le présent règlement n’excède pas ce qui est nécessaire pour atteindre ces objectifs.</w:t>
      </w:r>
    </w:p>
    <w:p w14:paraId="56937F3D" w14:textId="77777777" w:rsidR="00D2167E" w:rsidRPr="00D549BE" w:rsidRDefault="009102DC" w:rsidP="009102DC">
      <w:pPr>
        <w:pStyle w:val="ManualConsidrant"/>
        <w:rPr>
          <w:noProof/>
        </w:rPr>
      </w:pPr>
      <w:r w:rsidRPr="00D549BE">
        <w:t>(59)</w:t>
      </w:r>
      <w:r w:rsidRPr="00D549BE">
        <w:tab/>
        <w:t>Compte tenu de l’urgence résultant des circonstances exceptionnelles causées par la guerre d’agression non provoquée et injustifiée menée par la Russie, il s’avère approprié d’invoquer l’exception au délai de huit semaines prévue à l’article 4 du protocole nº 1 sur le rôle des parlements nationaux dans l’Union européenne, annexé au traité sur l’Union européenne, au traité sur le fonctionnement de l’Union européenne et au traité instituant la Communauté européenne de l’énergie atomique.</w:t>
      </w:r>
    </w:p>
    <w:p w14:paraId="738519CE" w14:textId="77777777" w:rsidR="001343DA" w:rsidRPr="00D549BE" w:rsidRDefault="009102DC" w:rsidP="009102DC">
      <w:pPr>
        <w:pStyle w:val="ManualConsidrant"/>
        <w:rPr>
          <w:noProof/>
        </w:rPr>
      </w:pPr>
      <w:r w:rsidRPr="00D549BE">
        <w:t>(60)</w:t>
      </w:r>
      <w:r w:rsidRPr="00D549BE">
        <w:tab/>
        <w:t xml:space="preserve">Eu égard à la situation en Ukraine, le présent règlement devrait entrer en vigueur de toute urgence le jour suivant celui de sa publication au </w:t>
      </w:r>
      <w:r w:rsidRPr="00D549BE">
        <w:rPr>
          <w:i/>
        </w:rPr>
        <w:t>Journal officiel de l’Union européenne</w:t>
      </w:r>
      <w:r w:rsidRPr="00D549BE">
        <w:t>,</w:t>
      </w:r>
    </w:p>
    <w:p w14:paraId="543BDB16" w14:textId="77777777" w:rsidR="00A30D6B" w:rsidRPr="00D549BE" w:rsidRDefault="00A30D6B" w:rsidP="004C79CD">
      <w:pPr>
        <w:pStyle w:val="Formuledadoption"/>
        <w:rPr>
          <w:noProof/>
        </w:rPr>
      </w:pPr>
      <w:r w:rsidRPr="00D549BE">
        <w:t>ONT ADOPTÉ LE PRÉSENT RÈGLEMENT:</w:t>
      </w:r>
    </w:p>
    <w:p w14:paraId="0FF68CE1" w14:textId="784E1F08" w:rsidR="005828E7" w:rsidRPr="00D549BE" w:rsidRDefault="005828E7" w:rsidP="002B03B8">
      <w:pPr>
        <w:pStyle w:val="ChapterTitle"/>
        <w:rPr>
          <w:noProof/>
        </w:rPr>
      </w:pPr>
      <w:bookmarkStart w:id="7" w:name="_Hlk215128002"/>
      <w:r w:rsidRPr="00D549BE">
        <w:t xml:space="preserve">CHAPITRE I </w:t>
      </w:r>
      <w:r w:rsidRPr="00D549BE">
        <w:br/>
        <w:t>DISPOSITIONS GÉNÉRALES</w:t>
      </w:r>
    </w:p>
    <w:bookmarkEnd w:id="0"/>
    <w:bookmarkEnd w:id="1"/>
    <w:bookmarkEnd w:id="7"/>
    <w:p w14:paraId="62170B64" w14:textId="160941F2" w:rsidR="00344F69" w:rsidRPr="00D549BE" w:rsidRDefault="00344F69" w:rsidP="0014092D">
      <w:pPr>
        <w:pStyle w:val="Titrearticle"/>
        <w:rPr>
          <w:b/>
          <w:bCs/>
          <w:noProof/>
        </w:rPr>
      </w:pPr>
      <w:r w:rsidRPr="00D549BE">
        <w:t xml:space="preserve">Article premier </w:t>
      </w:r>
      <w:r w:rsidRPr="00D549BE">
        <w:br/>
      </w:r>
      <w:r w:rsidRPr="00D549BE">
        <w:rPr>
          <w:b/>
        </w:rPr>
        <w:t>Objet</w:t>
      </w:r>
    </w:p>
    <w:p w14:paraId="291CE129" w14:textId="77777777" w:rsidR="00344F69" w:rsidRPr="00D549BE" w:rsidRDefault="00344F69" w:rsidP="002B03B8">
      <w:pPr>
        <w:pStyle w:val="LegalNumPar"/>
        <w:rPr>
          <w:noProof/>
        </w:rPr>
      </w:pPr>
      <w:r w:rsidRPr="00D549BE">
        <w:t>Le présent règlement met en œuvre une coopération renforcée concernant l’établissement d’un instrument destiné à fournir une aide de l’Union à l’Ukraine pour 2026 et 2027 sous la forme d’un prêt devant être remboursé par des réparations dues par la Russie (ci-après le «prêt de soutien à l’Ukraine»).</w:t>
      </w:r>
    </w:p>
    <w:p w14:paraId="53F69B10" w14:textId="77777777" w:rsidR="00344F69" w:rsidRPr="00D549BE" w:rsidRDefault="00344F69" w:rsidP="002B03B8">
      <w:pPr>
        <w:pStyle w:val="LegalNumPar"/>
        <w:rPr>
          <w:noProof/>
        </w:rPr>
      </w:pPr>
      <w:r w:rsidRPr="00D549BE">
        <w:t>Il fixe les objectifs du prêt de soutien à l’Ukraine, son financement, les formes de financement de l’Union au titre de la facilité et les règles relatives à l’octroi d’un tel financement.</w:t>
      </w:r>
    </w:p>
    <w:p w14:paraId="587F6727" w14:textId="74005942" w:rsidR="00344F69" w:rsidRPr="00D549BE" w:rsidRDefault="00344F69" w:rsidP="0014092D">
      <w:pPr>
        <w:pStyle w:val="Titrearticle"/>
        <w:rPr>
          <w:b/>
          <w:bCs/>
          <w:noProof/>
        </w:rPr>
      </w:pPr>
      <w:r w:rsidRPr="00D549BE">
        <w:t xml:space="preserve">Article 2 </w:t>
      </w:r>
      <w:r w:rsidRPr="00D549BE">
        <w:br/>
      </w:r>
      <w:r w:rsidRPr="00D549BE">
        <w:rPr>
          <w:b/>
        </w:rPr>
        <w:t>Objectifs du prêt de soutien à l’Ukraine</w:t>
      </w:r>
    </w:p>
    <w:p w14:paraId="2AA52DDE" w14:textId="77777777" w:rsidR="00344F69" w:rsidRPr="00D549BE" w:rsidRDefault="00344F69" w:rsidP="00717586">
      <w:pPr>
        <w:pStyle w:val="LegalNumPar"/>
        <w:numPr>
          <w:ilvl w:val="0"/>
          <w:numId w:val="17"/>
        </w:numPr>
        <w:rPr>
          <w:noProof/>
        </w:rPr>
      </w:pPr>
      <w:bookmarkStart w:id="8" w:name="_Hlk214443299"/>
      <w:r w:rsidRPr="00D549BE">
        <w:t>L’objectif général du prêt de soutien à l’Ukraine est de fournir une assistance financière et économique à l’Ukraine de manière prévisible, ininterrompue, ordonnée, souple et rapide en vue de l’aider à couvrir ses besoins de financement, notamment ceux résultant de la guerre d’agression menée par la Russie et du non-paiement par la Russie des réparations dues.</w:t>
      </w:r>
    </w:p>
    <w:p w14:paraId="1DDD6A4D" w14:textId="77777777" w:rsidR="00344F69" w:rsidRPr="00D549BE" w:rsidRDefault="00344F69" w:rsidP="00717586">
      <w:pPr>
        <w:pStyle w:val="LegalNumPar"/>
        <w:numPr>
          <w:ilvl w:val="0"/>
          <w:numId w:val="17"/>
        </w:numPr>
        <w:rPr>
          <w:noProof/>
        </w:rPr>
      </w:pPr>
      <w:r w:rsidRPr="00D549BE">
        <w:t>Pour atteindre cet objectif général, les objectifs spécifiques du prêt de soutien à l’Ukraine sont les suivants:</w:t>
      </w:r>
    </w:p>
    <w:bookmarkEnd w:id="8"/>
    <w:p w14:paraId="2E34C843" w14:textId="77777777" w:rsidR="003C3CCB" w:rsidRPr="00D549BE" w:rsidRDefault="003C3CCB" w:rsidP="003C3CCB">
      <w:pPr>
        <w:pStyle w:val="LegalNumPar2"/>
        <w:rPr>
          <w:noProof/>
        </w:rPr>
      </w:pPr>
      <w:r w:rsidRPr="00D549BE">
        <w:t>soutenir la stabilité macrofinancière en allégeant les contraintes de financement externe et interne de l’Ukraine;</w:t>
      </w:r>
    </w:p>
    <w:p w14:paraId="10C8DA44" w14:textId="77777777" w:rsidR="00344F69" w:rsidRPr="00D549BE" w:rsidRDefault="00344F69" w:rsidP="002B03B8">
      <w:pPr>
        <w:pStyle w:val="LegalNumPar2"/>
        <w:rPr>
          <w:noProof/>
        </w:rPr>
      </w:pPr>
      <w:r w:rsidRPr="00D549BE">
        <w:t>soutenir les capacités industrielles de l’Ukraine dans le domaine de la défense, au moyen d’une coopération économique, financière et technique.</w:t>
      </w:r>
    </w:p>
    <w:p w14:paraId="74C215CD" w14:textId="12D6DC19" w:rsidR="00344F69" w:rsidRPr="00D549BE" w:rsidRDefault="00344F69" w:rsidP="0014092D">
      <w:pPr>
        <w:pStyle w:val="Titrearticle"/>
        <w:rPr>
          <w:b/>
          <w:bCs/>
          <w:noProof/>
        </w:rPr>
      </w:pPr>
      <w:r w:rsidRPr="00D549BE">
        <w:t xml:space="preserve">Article 3 </w:t>
      </w:r>
      <w:r w:rsidRPr="00D549BE">
        <w:br/>
      </w:r>
      <w:r w:rsidRPr="00D549BE">
        <w:rPr>
          <w:b/>
        </w:rPr>
        <w:t>Définitions</w:t>
      </w:r>
    </w:p>
    <w:p w14:paraId="54CB6031" w14:textId="77777777" w:rsidR="00344F69" w:rsidRPr="00D549BE" w:rsidRDefault="00344F69" w:rsidP="00344F69">
      <w:pPr>
        <w:rPr>
          <w:noProof/>
        </w:rPr>
      </w:pPr>
      <w:r w:rsidRPr="00D549BE">
        <w:t>Aux fins du présent règlement, on entend par:</w:t>
      </w:r>
    </w:p>
    <w:p w14:paraId="1936286C" w14:textId="77777777" w:rsidR="00344F69" w:rsidRPr="00D549BE" w:rsidRDefault="009102DC" w:rsidP="009102DC">
      <w:pPr>
        <w:pStyle w:val="Point1"/>
        <w:rPr>
          <w:noProof/>
        </w:rPr>
      </w:pPr>
      <w:r w:rsidRPr="00D549BE">
        <w:t>1)</w:t>
      </w:r>
      <w:r w:rsidRPr="00D549BE">
        <w:tab/>
        <w:t>«produits de défense»: les biens, services et travaux qui relèvent du champ d’application de la directive 2009/81/CE, tel qu’il est défini à l’article 2 de ladite directive;</w:t>
      </w:r>
    </w:p>
    <w:p w14:paraId="4DB96AEF" w14:textId="77777777" w:rsidR="00344F69" w:rsidRPr="00D549BE" w:rsidRDefault="009102DC" w:rsidP="009102DC">
      <w:pPr>
        <w:pStyle w:val="Point1"/>
        <w:rPr>
          <w:noProof/>
        </w:rPr>
      </w:pPr>
      <w:r w:rsidRPr="00D549BE">
        <w:t>2)</w:t>
      </w:r>
      <w:r w:rsidRPr="00D549BE">
        <w:tab/>
        <w:t>«État de l’AELE membre de l’EEE»: un membre de l’Association européenne de libre-échange qui est membre de l’Espace économique européen;</w:t>
      </w:r>
    </w:p>
    <w:p w14:paraId="5D483966" w14:textId="77777777" w:rsidR="00344F69" w:rsidRPr="00D549BE" w:rsidRDefault="009102DC" w:rsidP="009102DC">
      <w:pPr>
        <w:pStyle w:val="Point1"/>
        <w:rPr>
          <w:noProof/>
        </w:rPr>
      </w:pPr>
      <w:r w:rsidRPr="00D549BE">
        <w:t>3)</w:t>
      </w:r>
      <w:r w:rsidRPr="00D549BE">
        <w:tab/>
        <w:t>«prêts ERA»: les prêts bilatéraux éligibles et le prêt d’assistance macrofinancière de l’Union au titre du règlement (UE) 2024/2773;</w:t>
      </w:r>
    </w:p>
    <w:p w14:paraId="36CEF172" w14:textId="77777777" w:rsidR="00E55665" w:rsidRPr="00D549BE" w:rsidRDefault="009102DC" w:rsidP="009102DC">
      <w:pPr>
        <w:pStyle w:val="Point1"/>
        <w:rPr>
          <w:noProof/>
        </w:rPr>
      </w:pPr>
      <w:r w:rsidRPr="00D549BE">
        <w:t>4)</w:t>
      </w:r>
      <w:r w:rsidRPr="00D549BE">
        <w:tab/>
        <w:t>«État membre non participant»: un État membre qui ne participe pas à la coopération renforcée instituée par la décision [</w:t>
      </w:r>
      <w:r w:rsidRPr="00D549BE">
        <w:rPr>
          <w:i/>
        </w:rPr>
        <w:t>XX</w:t>
      </w:r>
      <w:r w:rsidRPr="00D549BE">
        <w:t>] du Conseil;</w:t>
      </w:r>
    </w:p>
    <w:p w14:paraId="3C1171C4" w14:textId="77777777" w:rsidR="002934AA" w:rsidRPr="00D549BE" w:rsidRDefault="00E55665" w:rsidP="009102DC">
      <w:pPr>
        <w:pStyle w:val="Point1"/>
        <w:rPr>
          <w:noProof/>
        </w:rPr>
      </w:pPr>
      <w:r w:rsidRPr="00D549BE">
        <w:t>5)</w:t>
      </w:r>
      <w:r w:rsidRPr="00D549BE">
        <w:tab/>
        <w:t>«État membre participant»: un État membre qui participe à la coopération renforcée instituée par la décision [</w:t>
      </w:r>
      <w:r w:rsidRPr="00D549BE">
        <w:rPr>
          <w:i/>
        </w:rPr>
        <w:t>XX</w:t>
      </w:r>
      <w:r w:rsidRPr="00D549BE">
        <w:t>] du Conseil;</w:t>
      </w:r>
    </w:p>
    <w:p w14:paraId="04462D65" w14:textId="77777777" w:rsidR="00344F69" w:rsidRPr="00D549BE" w:rsidRDefault="009102DC" w:rsidP="002F16F0">
      <w:pPr>
        <w:pStyle w:val="Point1"/>
        <w:rPr>
          <w:noProof/>
        </w:rPr>
      </w:pPr>
      <w:r w:rsidRPr="00D549BE">
        <w:t>6)</w:t>
      </w:r>
      <w:r w:rsidRPr="00D549BE">
        <w:tab/>
        <w:t>«autres produits destinés à des fins de défense»: les biens, services et travaux autres que ceux relevant du champ d’application de la directive 2009/81/CE, au sens de l’article 2 de ladite directive, qui sont nécessaires ou dédiés à des fins de défense.</w:t>
      </w:r>
    </w:p>
    <w:p w14:paraId="536E947B" w14:textId="7C784179" w:rsidR="00344F69" w:rsidRPr="00D549BE" w:rsidRDefault="00344F69" w:rsidP="0014092D">
      <w:pPr>
        <w:pStyle w:val="Titrearticle"/>
        <w:rPr>
          <w:b/>
          <w:bCs/>
          <w:noProof/>
        </w:rPr>
      </w:pPr>
      <w:r w:rsidRPr="00D549BE">
        <w:t xml:space="preserve">Article 4 </w:t>
      </w:r>
      <w:r w:rsidRPr="00D549BE">
        <w:br/>
      </w:r>
      <w:r w:rsidRPr="00D549BE">
        <w:rPr>
          <w:b/>
        </w:rPr>
        <w:t>Assistance disponible au titre du prêt de soutien à l’Ukraine</w:t>
      </w:r>
    </w:p>
    <w:p w14:paraId="54431F1B" w14:textId="77777777" w:rsidR="00344F69" w:rsidRPr="00D549BE" w:rsidRDefault="00344F69" w:rsidP="00717586">
      <w:pPr>
        <w:pStyle w:val="LegalNumPar"/>
        <w:numPr>
          <w:ilvl w:val="0"/>
          <w:numId w:val="18"/>
        </w:numPr>
        <w:rPr>
          <w:noProof/>
        </w:rPr>
      </w:pPr>
      <w:r w:rsidRPr="00D549BE">
        <w:t>Le prêt de soutien à l’Ukraine est d’un montant maximal de 90 000 000 000 EUR. Ce montant est mis à la disposition de l’Ukraine en fonction de ses besoins de financement, comme le prévoit la stratégie de financement de l’Ukraine approuvée conformément à l’article 8</w:t>
      </w:r>
      <w:bookmarkStart w:id="9" w:name="_Hlk215529610"/>
      <w:r w:rsidRPr="00D549BE">
        <w:t>.</w:t>
      </w:r>
    </w:p>
    <w:bookmarkEnd w:id="9"/>
    <w:p w14:paraId="2E0D2248" w14:textId="77777777" w:rsidR="00344F69" w:rsidRPr="00D549BE" w:rsidRDefault="00344F69" w:rsidP="002B03B8">
      <w:pPr>
        <w:pStyle w:val="LegalNumPar"/>
        <w:rPr>
          <w:noProof/>
        </w:rPr>
      </w:pPr>
      <w:r w:rsidRPr="00D549BE">
        <w:t>Le prêt de soutien à l’Ukraine est disponible jusqu’au 31 décembre 2027. Il est mis à disposition par la Commission par tranches, qui peuvent être décaissées en un seul versement ou en plusieurs versements échelonnés. Tous ces versements sont effectués au plus tard le 31 décembre 2028.</w:t>
      </w:r>
    </w:p>
    <w:p w14:paraId="48E8E4F8" w14:textId="1A6637A5" w:rsidR="00344F69" w:rsidRPr="00D549BE" w:rsidRDefault="00344F69" w:rsidP="002B03B8">
      <w:pPr>
        <w:pStyle w:val="LegalNumPar"/>
        <w:rPr>
          <w:noProof/>
        </w:rPr>
      </w:pPr>
      <w:r w:rsidRPr="00D549BE">
        <w:t>Si les besoins de financement de l’Ukraine diminuent fondamentalement au cours de la période de disponibilité du prêt de soutien à l’Ukraine, notamment en cas de règlement par la Russie des dommages causés à l’Ukraine par la guerre, la Commission, agissant conformément à la procédure d’examen visée à l’article 27, paragraphe 3, peut réduire le montant non décaissé du prêt de soutien à l’Ukraine ou l’annuler.</w:t>
      </w:r>
    </w:p>
    <w:p w14:paraId="29A4DC81" w14:textId="5E718197" w:rsidR="00D211F0" w:rsidRPr="00D549BE" w:rsidRDefault="00D211F0" w:rsidP="002B03B8">
      <w:pPr>
        <w:pStyle w:val="LegalNumPar"/>
        <w:rPr>
          <w:noProof/>
        </w:rPr>
      </w:pPr>
      <w:r w:rsidRPr="00D549BE">
        <w:t>En application de l’article 332 du traité sur le fonctionnement de l’Union européenne, les États membres non participants ont droit à un ajustement, conformément à l’article 11 du règlement (UE, Euratom) n° 609/2014 du Conseil, en ce qui concerne les dépenses financées sur le budget voté résultant de la mise en œuvre de la coopération renforcée, autres que les coûts administratifs occasionnés pour les institutions, qui sont à la charge du budget de l’Union. Cet ajustement porte notamment sur les éventuels coûts du service de la dette ainsi que sur les appels à la garantie.</w:t>
      </w:r>
    </w:p>
    <w:p w14:paraId="48C5C5DB" w14:textId="0FF47110" w:rsidR="00344F69" w:rsidRPr="00D549BE" w:rsidRDefault="00344F69" w:rsidP="0014092D">
      <w:pPr>
        <w:pStyle w:val="Titrearticle"/>
        <w:rPr>
          <w:b/>
          <w:noProof/>
        </w:rPr>
      </w:pPr>
      <w:r w:rsidRPr="00D549BE">
        <w:t xml:space="preserve">Article 5 </w:t>
      </w:r>
      <w:r w:rsidRPr="00D549BE">
        <w:br/>
      </w:r>
      <w:r w:rsidRPr="00D549BE">
        <w:rPr>
          <w:b/>
        </w:rPr>
        <w:t>Conditions préalables à l’octroi d’une assistance au titre du prêt de soutien à l’Ukraine</w:t>
      </w:r>
    </w:p>
    <w:p w14:paraId="664447A3" w14:textId="77777777" w:rsidR="00344F69" w:rsidRPr="00D549BE" w:rsidRDefault="00344F69" w:rsidP="00717586">
      <w:pPr>
        <w:pStyle w:val="LegalNumPar"/>
        <w:numPr>
          <w:ilvl w:val="0"/>
          <w:numId w:val="19"/>
        </w:numPr>
        <w:rPr>
          <w:noProof/>
        </w:rPr>
      </w:pPr>
      <w:r w:rsidRPr="00D549BE">
        <w:t>L’octroi de l’assistance prévue au titre du prêt de soutien à l’Ukraine est subordonné à la condition préalable que l’Ukraine continue de défendre et de respecter des mécanismes démocratiques effectifs, y compris le pluralisme parlementaire et l’état de droit, et qu’elle garantisse le respect des droits de l’homme, y compris les droits des personnes appartenant à des minorités. La défense et le respect de l’état de droit incluent la lutte contre la corruption.</w:t>
      </w:r>
    </w:p>
    <w:p w14:paraId="647D1353" w14:textId="77777777" w:rsidR="00344F69" w:rsidRPr="00D549BE" w:rsidRDefault="00344F69" w:rsidP="00717586">
      <w:pPr>
        <w:pStyle w:val="LegalNumPar"/>
        <w:numPr>
          <w:ilvl w:val="0"/>
          <w:numId w:val="19"/>
        </w:numPr>
        <w:rPr>
          <w:noProof/>
        </w:rPr>
      </w:pPr>
      <w:r w:rsidRPr="00D549BE">
        <w:t>Les services de la Commission et le Service européen pour l’action extérieure contrôlent le respect de la condition préalable énoncée au paragraphe 1, en particulier avant l’adoption de la décision d’exécution du Conseil visée à l’article 8 et le déblocage des fonds visés à l’article 23. Ce contrôle tient également compte des recommandations pertinentes d’organismes internationaux, tels que le Conseil de l’Europe et sa commission de Venise. La Commission informe le Parlement européen et le Conseil de son contrôle.</w:t>
      </w:r>
    </w:p>
    <w:p w14:paraId="237B1802" w14:textId="04E7A0A3" w:rsidR="00344F69" w:rsidRPr="00D549BE" w:rsidRDefault="00344F69" w:rsidP="002B03B8">
      <w:pPr>
        <w:pStyle w:val="ChapterTitle"/>
        <w:rPr>
          <w:bCs/>
          <w:iCs/>
          <w:noProof/>
        </w:rPr>
      </w:pPr>
      <w:r w:rsidRPr="00D549BE">
        <w:t xml:space="preserve">CHAPITRE II </w:t>
      </w:r>
      <w:r w:rsidRPr="00D549BE">
        <w:br/>
        <w:t>MISE EN ŒUVRE DU PRÊT DE SOUTIEN À L’UKRAINE</w:t>
      </w:r>
    </w:p>
    <w:p w14:paraId="0621FB67" w14:textId="62A8284C" w:rsidR="00344F69" w:rsidRPr="00D549BE" w:rsidRDefault="00344F69" w:rsidP="0014092D">
      <w:pPr>
        <w:pStyle w:val="Titrearticle"/>
        <w:rPr>
          <w:b/>
          <w:noProof/>
        </w:rPr>
      </w:pPr>
      <w:r w:rsidRPr="00D549BE">
        <w:t xml:space="preserve">Article 6 </w:t>
      </w:r>
      <w:r w:rsidRPr="00D549BE">
        <w:br/>
      </w:r>
      <w:r w:rsidRPr="00D549BE">
        <w:rPr>
          <w:b/>
        </w:rPr>
        <w:t>Stratégie de financement de l’Ukraine</w:t>
      </w:r>
    </w:p>
    <w:p w14:paraId="60B66560" w14:textId="77777777" w:rsidR="00344F69" w:rsidRPr="00D549BE" w:rsidRDefault="00344F69" w:rsidP="00717586">
      <w:pPr>
        <w:pStyle w:val="LegalNumPar"/>
        <w:numPr>
          <w:ilvl w:val="0"/>
          <w:numId w:val="20"/>
        </w:numPr>
        <w:rPr>
          <w:b/>
          <w:noProof/>
        </w:rPr>
      </w:pPr>
      <w:r w:rsidRPr="00D549BE">
        <w:t xml:space="preserve">Afin de bénéficier d’une assistance financière et économique au titre du prêt de soutien à l’Ukraine, cette dernière soumet à la Commission, en principe chaque année, une stratégie ukrainienne de financement fournissant des détails sur les besoins de financement et les sources de financement de l’Ukraine, en principe pour les 12 mois à venir. </w:t>
      </w:r>
    </w:p>
    <w:p w14:paraId="505BEE3D" w14:textId="77777777" w:rsidR="00344F69" w:rsidRPr="00D549BE" w:rsidRDefault="00344F69" w:rsidP="00717586">
      <w:pPr>
        <w:pStyle w:val="LegalNumPar"/>
        <w:numPr>
          <w:ilvl w:val="0"/>
          <w:numId w:val="20"/>
        </w:numPr>
        <w:rPr>
          <w:b/>
          <w:noProof/>
        </w:rPr>
      </w:pPr>
      <w:bookmarkStart w:id="10" w:name="_Hlk214544685"/>
      <w:r w:rsidRPr="00D549BE">
        <w:t>La stratégie ukrainienne de financement comprend:</w:t>
      </w:r>
    </w:p>
    <w:p w14:paraId="71CF763F" w14:textId="77777777" w:rsidR="00344F69" w:rsidRPr="00D549BE" w:rsidRDefault="00344F69" w:rsidP="009043A0">
      <w:pPr>
        <w:pStyle w:val="LegalNumPar2"/>
        <w:rPr>
          <w:noProof/>
        </w:rPr>
      </w:pPr>
      <w:r w:rsidRPr="00D549BE">
        <w:t>les principales hypothèses macroéconomiques qui sous-tendent la stratégie de financement de l’Ukraine;</w:t>
      </w:r>
    </w:p>
    <w:p w14:paraId="3EF831CB" w14:textId="77777777" w:rsidR="00344F69" w:rsidRPr="00D549BE" w:rsidRDefault="00344F69" w:rsidP="009043A0">
      <w:pPr>
        <w:pStyle w:val="LegalNumPar2"/>
        <w:rPr>
          <w:noProof/>
        </w:rPr>
      </w:pPr>
      <w:r w:rsidRPr="00D549BE">
        <w:t>des informations sur le budget de l’Ukraine, par trimestre et par année, y compris:</w:t>
      </w:r>
    </w:p>
    <w:p w14:paraId="529B0998" w14:textId="77777777" w:rsidR="00344F69" w:rsidRPr="00D549BE" w:rsidRDefault="00344F69" w:rsidP="009043A0">
      <w:pPr>
        <w:pStyle w:val="LegalNumPar3"/>
        <w:rPr>
          <w:noProof/>
        </w:rPr>
      </w:pPr>
      <w:r w:rsidRPr="00D549BE">
        <w:t>l’objectif visé en matière de solde budgétaire pour les administrations publiques, ventilé par sous-secteurs des administrations publiques,</w:t>
      </w:r>
    </w:p>
    <w:p w14:paraId="20CBE5AF" w14:textId="77777777" w:rsidR="00344F69" w:rsidRPr="00D549BE" w:rsidRDefault="00344F69" w:rsidP="009043A0">
      <w:pPr>
        <w:pStyle w:val="LegalNumPar3"/>
        <w:rPr>
          <w:noProof/>
        </w:rPr>
      </w:pPr>
      <w:r w:rsidRPr="00D549BE">
        <w:t>les projections relatives aux dépenses et aux recettes des administrations publiques et de leurs principaux sous-secteurs, ainsi que leurs principales composantes selon la classification économique,</w:t>
      </w:r>
    </w:p>
    <w:p w14:paraId="49373FC4" w14:textId="77777777" w:rsidR="00344F69" w:rsidRPr="00D549BE" w:rsidRDefault="00344F69" w:rsidP="009043A0">
      <w:pPr>
        <w:pStyle w:val="LegalNumPar3"/>
        <w:rPr>
          <w:noProof/>
        </w:rPr>
      </w:pPr>
      <w:r w:rsidRPr="00D549BE">
        <w:t>des informations pertinentes sur les dépenses des administrations publiques par fonction, dont la défense,</w:t>
      </w:r>
    </w:p>
    <w:p w14:paraId="67963032" w14:textId="77777777" w:rsidR="00344F69" w:rsidRPr="00D549BE" w:rsidRDefault="00344F69" w:rsidP="009043A0">
      <w:pPr>
        <w:pStyle w:val="LegalNumPar3"/>
        <w:rPr>
          <w:noProof/>
        </w:rPr>
      </w:pPr>
      <w:r w:rsidRPr="00D549BE">
        <w:t>une description et une quantification des mesures en matière de dépenses et de recettes à inclure dans le budget,</w:t>
      </w:r>
    </w:p>
    <w:p w14:paraId="07C3E0E2" w14:textId="77777777" w:rsidR="00344F69" w:rsidRPr="00D549BE" w:rsidRDefault="00344F69" w:rsidP="009043A0">
      <w:pPr>
        <w:pStyle w:val="LegalNumPar3"/>
        <w:rPr>
          <w:noProof/>
        </w:rPr>
      </w:pPr>
      <w:r w:rsidRPr="00D549BE">
        <w:t>une annexe reprenant les méthodes et les hypothèses, ainsi que tout autre paramètre pertinent qui sous-tend les prévisions budgétaires,</w:t>
      </w:r>
    </w:p>
    <w:bookmarkEnd w:id="10"/>
    <w:p w14:paraId="0096F51A" w14:textId="77777777" w:rsidR="00344F69" w:rsidRPr="00D549BE" w:rsidRDefault="00344F69" w:rsidP="009043A0">
      <w:pPr>
        <w:pStyle w:val="LegalNumPar2"/>
        <w:rPr>
          <w:noProof/>
        </w:rPr>
      </w:pPr>
      <w:r w:rsidRPr="00D549BE">
        <w:t>des informations sur les évolutions financières passées et prévues des administrations publiques ukrainiennes, par trimestre et par année, y compris:</w:t>
      </w:r>
    </w:p>
    <w:p w14:paraId="3A45A65C" w14:textId="77777777" w:rsidR="00344F69" w:rsidRPr="00D549BE" w:rsidRDefault="00344F69" w:rsidP="009043A0">
      <w:pPr>
        <w:pStyle w:val="LegalNumPar3"/>
        <w:rPr>
          <w:noProof/>
        </w:rPr>
      </w:pPr>
      <w:r w:rsidRPr="00D549BE">
        <w:t>des informations sur la situation de liquidité (solde de trésorerie) des administrations publiques et de leurs principaux sous-secteurs,</w:t>
      </w:r>
    </w:p>
    <w:p w14:paraId="1D0BEEF1" w14:textId="77777777" w:rsidR="00344F69" w:rsidRPr="00D549BE" w:rsidRDefault="00344F69" w:rsidP="009043A0">
      <w:pPr>
        <w:pStyle w:val="LegalNumPar3"/>
        <w:rPr>
          <w:noProof/>
        </w:rPr>
      </w:pPr>
      <w:r w:rsidRPr="00D549BE">
        <w:t>les amortissements de dettes,</w:t>
      </w:r>
    </w:p>
    <w:p w14:paraId="6DDA587B" w14:textId="77777777" w:rsidR="00344F69" w:rsidRPr="00D549BE" w:rsidRDefault="00344F69" w:rsidP="009043A0">
      <w:pPr>
        <w:pStyle w:val="LegalNumPar3"/>
        <w:rPr>
          <w:noProof/>
        </w:rPr>
      </w:pPr>
      <w:r w:rsidRPr="00D549BE">
        <w:t>une stratégie d’émission de dette,</w:t>
      </w:r>
    </w:p>
    <w:p w14:paraId="6C816B14" w14:textId="77777777" w:rsidR="00795267" w:rsidRPr="00D549BE" w:rsidRDefault="00344F69" w:rsidP="009043A0">
      <w:pPr>
        <w:pStyle w:val="LegalNumPar3"/>
        <w:rPr>
          <w:noProof/>
        </w:rPr>
      </w:pPr>
      <w:r w:rsidRPr="00D549BE">
        <w:t>les autres flux de création et de réduction de la dette,</w:t>
      </w:r>
    </w:p>
    <w:p w14:paraId="3BF5DCF8" w14:textId="77777777" w:rsidR="00344F69" w:rsidRPr="00D549BE" w:rsidRDefault="00795267" w:rsidP="009043A0">
      <w:pPr>
        <w:pStyle w:val="LegalNumPar3"/>
        <w:rPr>
          <w:noProof/>
        </w:rPr>
      </w:pPr>
      <w:r w:rsidRPr="00D549BE">
        <w:t>l’encours des arriérés de paiement et son évolution prévue,</w:t>
      </w:r>
    </w:p>
    <w:p w14:paraId="622AF5ED" w14:textId="77777777" w:rsidR="00344F69" w:rsidRPr="00D549BE" w:rsidRDefault="00344F69" w:rsidP="00ED0640">
      <w:pPr>
        <w:pStyle w:val="LegalNumPar2"/>
        <w:rPr>
          <w:noProof/>
        </w:rPr>
      </w:pPr>
      <w:r w:rsidRPr="00D549BE">
        <w:t xml:space="preserve">des informations </w:t>
      </w:r>
      <w:bookmarkStart w:id="11" w:name="_Hlk215134756"/>
      <w:r w:rsidRPr="00D549BE">
        <w:t>sur la mise en œuvre de l’assistance précédemment accordée au titre du prêt de soutien à l’Ukraine,</w:t>
      </w:r>
      <w:bookmarkEnd w:id="11"/>
      <w:r w:rsidRPr="00D549BE">
        <w:t xml:space="preserve"> y compris tout recouvrement financier de celle-ci,</w:t>
      </w:r>
    </w:p>
    <w:p w14:paraId="25296B27" w14:textId="77777777" w:rsidR="00344F69" w:rsidRPr="00D549BE" w:rsidRDefault="00344F69" w:rsidP="00ED0640">
      <w:pPr>
        <w:pStyle w:val="LegalNumPar2"/>
        <w:rPr>
          <w:noProof/>
        </w:rPr>
      </w:pPr>
      <w:r w:rsidRPr="00D549BE">
        <w:t>des informations sur les besoins en matière d’aide militaire en nature prévus,</w:t>
      </w:r>
    </w:p>
    <w:p w14:paraId="410079C8" w14:textId="77777777" w:rsidR="00344F69" w:rsidRPr="00D549BE" w:rsidRDefault="00344F69" w:rsidP="00ED0640">
      <w:pPr>
        <w:pStyle w:val="LegalNumPar2"/>
        <w:rPr>
          <w:noProof/>
        </w:rPr>
      </w:pPr>
      <w:r w:rsidRPr="00D549BE">
        <w:t>sur la base du budget de l’Ukraine et des besoins en matière d’assistance militaire en nature prévus, les besoins de financement extérieur attendus pour la période couverte par cette stratégie ukrainienne de financement, y compris une ventilation des montants de ce budget nécessaires aux fins de l’article 2, paragraphe 2, points a) et b), du présent règlement. Cette ventilation comprend la valeur des produits de défense à acheter en dehors de l’Union et de l’Ukraine,</w:t>
      </w:r>
    </w:p>
    <w:p w14:paraId="4A4CB37D" w14:textId="77777777" w:rsidR="00344F69" w:rsidRPr="00D549BE" w:rsidRDefault="00344F69" w:rsidP="00ED0640">
      <w:pPr>
        <w:pStyle w:val="LegalNumPar2"/>
        <w:rPr>
          <w:noProof/>
        </w:rPr>
      </w:pPr>
      <w:r w:rsidRPr="00D549BE">
        <w:t>le financement extérieur et l’assistance militaire en nature engagés et attendus au moment de la présentation de la stratégie ukrainienne de financement pour la période couverte par ladite stratégie, y compris une ventilation des montants de ce financement extérieur à utiliser conformément aux objectifs de l’article 2, paragraphe 2, points a) et b), du présent règlement,</w:t>
      </w:r>
    </w:p>
    <w:p w14:paraId="7B8EA756" w14:textId="77777777" w:rsidR="00344F69" w:rsidRPr="00D549BE" w:rsidRDefault="00344F69" w:rsidP="00ED0640">
      <w:pPr>
        <w:pStyle w:val="LegalNumPar2"/>
        <w:rPr>
          <w:noProof/>
        </w:rPr>
      </w:pPr>
      <w:r w:rsidRPr="00D549BE">
        <w:t>sur la base des informations figurant aux points f) et g) du présent paragraphe, le déficit de financement extérieur attendu pour lequel l’Ukraine sollicite une assistance au titre du prêt de soutien à l’Ukraine en vertu de ladite stratégie ukrainienne de financement, y compris une ventilation des montants de ce déficit de financement extérieur attendu aux fins de l’article 2, paragraphe 2, points a) et b), du présent règlement,</w:t>
      </w:r>
    </w:p>
    <w:p w14:paraId="2AB681C9" w14:textId="77777777" w:rsidR="00344F69" w:rsidRPr="00D549BE" w:rsidRDefault="00344F69" w:rsidP="00ED0640">
      <w:pPr>
        <w:pStyle w:val="LegalNumPar2"/>
        <w:rPr>
          <w:noProof/>
        </w:rPr>
      </w:pPr>
      <w:r w:rsidRPr="00D549BE">
        <w:t>afin de soutenir les dépenses pluriannuelles au titre du chapitre IV du présent règlement, des informations sur les besoins pluriannuels potentiels et un budget correspondant.</w:t>
      </w:r>
    </w:p>
    <w:p w14:paraId="369DB318" w14:textId="77777777" w:rsidR="00344F69" w:rsidRPr="00D549BE" w:rsidRDefault="00344F69" w:rsidP="00ED0640">
      <w:pPr>
        <w:pStyle w:val="LegalNumPar"/>
        <w:rPr>
          <w:noProof/>
        </w:rPr>
      </w:pPr>
      <w:r w:rsidRPr="00D549BE">
        <w:t>L’Ukraine peut présenter des stratégies ukrainiennes de financement mises à jour jusqu’à ce que le montant maximal du prêt de soutien à l’Ukraine visé à l’article 4, paragraphe 1, ait été mis à disposition au titre du prêt de soutien à l’Ukraine conformément à l’article 8.</w:t>
      </w:r>
    </w:p>
    <w:p w14:paraId="3A28F557" w14:textId="334FAFC5" w:rsidR="00344F69" w:rsidRPr="00D549BE" w:rsidRDefault="00344F69" w:rsidP="0014092D">
      <w:pPr>
        <w:pStyle w:val="Titrearticle"/>
        <w:rPr>
          <w:b/>
          <w:noProof/>
        </w:rPr>
      </w:pPr>
      <w:r w:rsidRPr="00D549BE">
        <w:t xml:space="preserve">Article 7 </w:t>
      </w:r>
      <w:r w:rsidRPr="00D549BE">
        <w:br/>
      </w:r>
      <w:r w:rsidRPr="00D549BE">
        <w:rPr>
          <w:b/>
        </w:rPr>
        <w:t>Évaluation par la Commission de la stratégie ukrainienne de financement</w:t>
      </w:r>
    </w:p>
    <w:p w14:paraId="5058EAD0" w14:textId="77777777" w:rsidR="00344F69" w:rsidRPr="00D549BE" w:rsidRDefault="00344F69" w:rsidP="00717586">
      <w:pPr>
        <w:pStyle w:val="LegalNumPar"/>
        <w:numPr>
          <w:ilvl w:val="0"/>
          <w:numId w:val="21"/>
        </w:numPr>
        <w:rPr>
          <w:noProof/>
        </w:rPr>
      </w:pPr>
      <w:r w:rsidRPr="00D549BE">
        <w:t xml:space="preserve">La Commission évalue dans les meilleurs délais la stratégie ukrainienne de financement présentée conformément à l’article 6. </w:t>
      </w:r>
    </w:p>
    <w:p w14:paraId="7E351017" w14:textId="77777777" w:rsidR="00344F69" w:rsidRPr="00D549BE" w:rsidRDefault="00344F69" w:rsidP="00717586">
      <w:pPr>
        <w:pStyle w:val="LegalNumPar"/>
        <w:numPr>
          <w:ilvl w:val="0"/>
          <w:numId w:val="21"/>
        </w:numPr>
        <w:rPr>
          <w:noProof/>
        </w:rPr>
      </w:pPr>
      <w:r w:rsidRPr="00D549BE">
        <w:t>Lorsqu’elle procède à l’évaluation visée au paragraphe 1, la Commission agit en étroite coopération avec l’Ukraine. La Commission peut formuler des observations ou demander des informations supplémentaires, y compris en vérifiant certaines informations avec les États membres, les pays tiers et les organisations internationales. L’Ukraine fournit toute information complémentaire demandée et peut réviser la stratégie ukrainienne de financement si nécessaire, y compris après sa présentation.</w:t>
      </w:r>
    </w:p>
    <w:p w14:paraId="54B73D16" w14:textId="77777777" w:rsidR="00344F69" w:rsidRPr="00D549BE" w:rsidRDefault="00344F69" w:rsidP="00717586">
      <w:pPr>
        <w:pStyle w:val="LegalNumPar"/>
        <w:numPr>
          <w:ilvl w:val="0"/>
          <w:numId w:val="21"/>
        </w:numPr>
        <w:rPr>
          <w:noProof/>
        </w:rPr>
      </w:pPr>
      <w:r w:rsidRPr="00D549BE">
        <w:t>La Commission évalue la stratégie ukrainienne de financement et, en particulier:</w:t>
      </w:r>
    </w:p>
    <w:p w14:paraId="14AF6337" w14:textId="77777777" w:rsidR="00344F69" w:rsidRPr="00D549BE" w:rsidRDefault="00344F69" w:rsidP="0059126B">
      <w:pPr>
        <w:pStyle w:val="LegalNumPar2"/>
        <w:rPr>
          <w:noProof/>
        </w:rPr>
      </w:pPr>
      <w:r w:rsidRPr="00D549BE">
        <w:t>son exhaustivité, sa faisabilité et sa cohérence avec les hypothèses sous-jacentes;</w:t>
      </w:r>
    </w:p>
    <w:p w14:paraId="277DEFE0" w14:textId="77777777" w:rsidR="00344F69" w:rsidRPr="00D549BE" w:rsidRDefault="00344F69" w:rsidP="0059126B">
      <w:pPr>
        <w:pStyle w:val="LegalNumPar2"/>
        <w:rPr>
          <w:noProof/>
        </w:rPr>
      </w:pPr>
      <w:r w:rsidRPr="00D549BE">
        <w:t>la cohérence des informations qu’elle contient avec les sources externes, y compris les éventuels examens récents du Fonds monétaire international et les informations provenant de la plateforme des donateurs pour l’Ukraine et du groupe de contact pour la défense de l’Ukraine;</w:t>
      </w:r>
    </w:p>
    <w:p w14:paraId="25683560" w14:textId="77777777" w:rsidR="00344F69" w:rsidRPr="00D549BE" w:rsidRDefault="00344F69" w:rsidP="0059126B">
      <w:pPr>
        <w:pStyle w:val="LegalNumPar2"/>
        <w:rPr>
          <w:noProof/>
        </w:rPr>
      </w:pPr>
      <w:r w:rsidRPr="00D549BE">
        <w:t>la cohérence du déficit de financement extérieur attendu avec la répartition indicative suivante du prêt de soutien à l’Ukraine:</w:t>
      </w:r>
    </w:p>
    <w:p w14:paraId="29D464EA" w14:textId="77777777" w:rsidR="00344F69" w:rsidRPr="00D549BE" w:rsidRDefault="00344F69" w:rsidP="0059126B">
      <w:pPr>
        <w:pStyle w:val="LegalNumPar3"/>
        <w:rPr>
          <w:noProof/>
        </w:rPr>
      </w:pPr>
      <w:r w:rsidRPr="00D549BE">
        <w:t>30 000 000 000 EUR pour l’assistance macrofinancière conformément au chapitre III ou pour l’assistance budgétaire sous la forme d’un prêt à mettre en œuvre au titre de la facilité pour l’Ukraine conformément au chapitre III du règlement (UE) 2024/792,</w:t>
      </w:r>
    </w:p>
    <w:p w14:paraId="543031F5" w14:textId="77777777" w:rsidR="00344F69" w:rsidRPr="00D549BE" w:rsidRDefault="00344F69" w:rsidP="0059126B">
      <w:pPr>
        <w:pStyle w:val="LegalNumPar3"/>
        <w:rPr>
          <w:noProof/>
        </w:rPr>
      </w:pPr>
      <w:r w:rsidRPr="00D549BE">
        <w:t xml:space="preserve">60 000 000 000 EUR pour </w:t>
      </w:r>
      <w:bookmarkStart w:id="12" w:name="_Hlk214385273"/>
      <w:r w:rsidRPr="00D549BE">
        <w:t>soutenir les capacités industrielles de défense de l’Ukraine</w:t>
      </w:r>
      <w:bookmarkEnd w:id="12"/>
      <w:r w:rsidRPr="00D549BE">
        <w:t xml:space="preserve"> conformément au chapitre IV;</w:t>
      </w:r>
    </w:p>
    <w:p w14:paraId="57F972BF" w14:textId="77777777" w:rsidR="00344F69" w:rsidRPr="00D549BE" w:rsidRDefault="00344F69" w:rsidP="0059126B">
      <w:pPr>
        <w:pStyle w:val="LegalNumPar2"/>
        <w:rPr>
          <w:noProof/>
        </w:rPr>
      </w:pPr>
      <w:r w:rsidRPr="00D549BE">
        <w:t>le respect de la condition préalable énoncée à l’article 5, paragraphe 1.</w:t>
      </w:r>
    </w:p>
    <w:p w14:paraId="17B3F510" w14:textId="77777777" w:rsidR="00344F69" w:rsidRPr="00D549BE" w:rsidRDefault="00344F69" w:rsidP="0059126B">
      <w:pPr>
        <w:pStyle w:val="LegalNumPar"/>
        <w:rPr>
          <w:noProof/>
        </w:rPr>
      </w:pPr>
      <w:r w:rsidRPr="00D549BE">
        <w:t>Si la Commission évalue positivement la stratégie ukrainienne de financement, elle présente sans tarder une proposition de décision d’exécution du Conseil conformément à l’article 8.</w:t>
      </w:r>
    </w:p>
    <w:p w14:paraId="6DCD1AF6" w14:textId="77777777" w:rsidR="00344F69" w:rsidRPr="00D549BE" w:rsidRDefault="00344F69" w:rsidP="0059126B">
      <w:pPr>
        <w:pStyle w:val="LegalNumPar"/>
        <w:rPr>
          <w:noProof/>
        </w:rPr>
      </w:pPr>
      <w:r w:rsidRPr="00D549BE">
        <w:t>Si la Commission évalue négativement la stratégie ukrainienne de financement, elle en informe sans délai l’Ukraine, en motivant son évaluation. Une évaluation négative n’empêche pas l’Ukraine de présenter une stratégie ukrainienne de financement révisée.</w:t>
      </w:r>
    </w:p>
    <w:p w14:paraId="70903963" w14:textId="77777777" w:rsidR="00344F69" w:rsidRPr="00D549BE" w:rsidRDefault="00344F69" w:rsidP="0059126B">
      <w:pPr>
        <w:pStyle w:val="LegalNumPar"/>
        <w:rPr>
          <w:noProof/>
        </w:rPr>
      </w:pPr>
      <w:r w:rsidRPr="00D549BE">
        <w:t>Lorsque la Commission évalue une mise à jour de la stratégie ukrainienne de financement, les dispositions du présent article s’appliquent.</w:t>
      </w:r>
    </w:p>
    <w:p w14:paraId="786840D0" w14:textId="70F421BF" w:rsidR="00344F69" w:rsidRPr="00D549BE" w:rsidRDefault="00344F69" w:rsidP="0014092D">
      <w:pPr>
        <w:pStyle w:val="Titrearticle"/>
        <w:rPr>
          <w:b/>
          <w:noProof/>
        </w:rPr>
      </w:pPr>
      <w:r w:rsidRPr="00D549BE">
        <w:t xml:space="preserve">Article 8 </w:t>
      </w:r>
      <w:r w:rsidRPr="00D549BE">
        <w:br/>
      </w:r>
      <w:r w:rsidRPr="00D549BE">
        <w:rPr>
          <w:b/>
        </w:rPr>
        <w:t>Décision d’exécution du Conseil</w:t>
      </w:r>
    </w:p>
    <w:p w14:paraId="528B6732" w14:textId="77777777" w:rsidR="00344F69" w:rsidRPr="00D549BE" w:rsidRDefault="00344F69" w:rsidP="00717586">
      <w:pPr>
        <w:pStyle w:val="LegalNumPar"/>
        <w:numPr>
          <w:ilvl w:val="0"/>
          <w:numId w:val="22"/>
        </w:numPr>
        <w:rPr>
          <w:noProof/>
        </w:rPr>
      </w:pPr>
      <w:r w:rsidRPr="00D549BE">
        <w:t>Si la Commission évalue positivement la stratégie ukrainienne de financement ou sa mise à jour, elle présente au Conseil une proposition de décision d’exécution mettant à disposition l’assistance financière et économique.</w:t>
      </w:r>
    </w:p>
    <w:p w14:paraId="4902B7EA" w14:textId="77777777" w:rsidR="00344F69" w:rsidRPr="00D549BE" w:rsidRDefault="00344F69" w:rsidP="00717586">
      <w:pPr>
        <w:pStyle w:val="LegalNumPar"/>
        <w:numPr>
          <w:ilvl w:val="0"/>
          <w:numId w:val="22"/>
        </w:numPr>
        <w:rPr>
          <w:noProof/>
        </w:rPr>
      </w:pPr>
      <w:r w:rsidRPr="00D549BE">
        <w:t>La décision d’exécution du Conseil visée au paragraphe 1:</w:t>
      </w:r>
    </w:p>
    <w:p w14:paraId="0856622E" w14:textId="77777777" w:rsidR="00344F69" w:rsidRPr="00D549BE" w:rsidRDefault="00344F69" w:rsidP="003513BE">
      <w:pPr>
        <w:pStyle w:val="LegalNumPar2"/>
        <w:rPr>
          <w:noProof/>
        </w:rPr>
      </w:pPr>
      <w:r w:rsidRPr="00D549BE">
        <w:t>détermine le montant de l’assistance à mettre à la disposition de l’Ukraine pour l’aider à mettre en œuvre la stratégie ukrainienne de financement, y compris le montant de cette aide qui est mis à disposition:</w:t>
      </w:r>
    </w:p>
    <w:p w14:paraId="75012DD7" w14:textId="77777777" w:rsidR="001F4FFB" w:rsidRPr="00D549BE" w:rsidRDefault="001F4FFB" w:rsidP="003513BE">
      <w:pPr>
        <w:pStyle w:val="LegalNumPar3"/>
        <w:rPr>
          <w:noProof/>
        </w:rPr>
      </w:pPr>
      <w:bookmarkStart w:id="13" w:name="_Hlk211767580"/>
      <w:r w:rsidRPr="00D549BE">
        <w:t>pour une assistance budgétaire sous la forme d’un prêt à mettre en œuvre conformément au chapitre III du règlement (UE) 2024/792,</w:t>
      </w:r>
    </w:p>
    <w:p w14:paraId="4948749C" w14:textId="77777777" w:rsidR="00344F69" w:rsidRPr="00D549BE" w:rsidRDefault="00344F69" w:rsidP="003513BE">
      <w:pPr>
        <w:pStyle w:val="LegalNumPar3"/>
        <w:rPr>
          <w:noProof/>
        </w:rPr>
      </w:pPr>
      <w:r w:rsidRPr="00D549BE">
        <w:t xml:space="preserve">pour l’assistance macrofinancière conformément au chapitre III, </w:t>
      </w:r>
    </w:p>
    <w:bookmarkEnd w:id="13"/>
    <w:p w14:paraId="7BAE66E6" w14:textId="77777777" w:rsidR="00344F69" w:rsidRPr="00D549BE" w:rsidRDefault="00344F69" w:rsidP="003513BE">
      <w:pPr>
        <w:pStyle w:val="LegalNumPar3"/>
        <w:rPr>
          <w:bCs/>
          <w:noProof/>
        </w:rPr>
      </w:pPr>
      <w:r w:rsidRPr="00D549BE">
        <w:t xml:space="preserve">pour soutenir les capacités </w:t>
      </w:r>
      <w:bookmarkStart w:id="14" w:name="_Hlk214780658"/>
      <w:r w:rsidRPr="00D549BE">
        <w:t>industrielles</w:t>
      </w:r>
      <w:bookmarkEnd w:id="14"/>
      <w:r w:rsidRPr="00D549BE">
        <w:t xml:space="preserve"> de défense de l’Ukraine conformément au chapitre IV;</w:t>
      </w:r>
    </w:p>
    <w:p w14:paraId="6CAE8AC6" w14:textId="77777777" w:rsidR="00344F69" w:rsidRPr="00D549BE" w:rsidRDefault="00344F69" w:rsidP="003513BE">
      <w:pPr>
        <w:pStyle w:val="LegalNumPar2"/>
        <w:rPr>
          <w:noProof/>
        </w:rPr>
      </w:pPr>
      <w:r w:rsidRPr="00D549BE">
        <w:t>fixe le nombre maximal et la valeur indicative des tranches de l’assistance mise à disposition au titre de l’assistance macrofinancière conformément au chapitre III.</w:t>
      </w:r>
    </w:p>
    <w:p w14:paraId="7F0ECCA1" w14:textId="77777777" w:rsidR="00344F69" w:rsidRPr="00D549BE" w:rsidRDefault="00344F69" w:rsidP="003513BE">
      <w:pPr>
        <w:pStyle w:val="LegalNumPar"/>
        <w:rPr>
          <w:noProof/>
        </w:rPr>
      </w:pPr>
      <w:r w:rsidRPr="00D549BE">
        <w:t>La détermination des montants du prêt de soutien à l’Ukraine à mettre à disposition:</w:t>
      </w:r>
    </w:p>
    <w:p w14:paraId="75CD42AF" w14:textId="77777777" w:rsidR="00344F69" w:rsidRPr="00D549BE" w:rsidRDefault="00344F69" w:rsidP="003513BE">
      <w:pPr>
        <w:pStyle w:val="LegalNumPar2"/>
        <w:rPr>
          <w:noProof/>
        </w:rPr>
      </w:pPr>
      <w:r w:rsidRPr="00D549BE">
        <w:t>respecte le montant maximal disponible pour le prêt de soutien à l’Ukraine prévu à l’article 4, paragraphe 1;</w:t>
      </w:r>
    </w:p>
    <w:p w14:paraId="5E8419B3" w14:textId="77777777" w:rsidR="00344F69" w:rsidRPr="00D549BE" w:rsidRDefault="00344F69" w:rsidP="003513BE">
      <w:pPr>
        <w:pStyle w:val="LegalNumPar2"/>
        <w:rPr>
          <w:noProof/>
        </w:rPr>
      </w:pPr>
      <w:r w:rsidRPr="00D549BE">
        <w:t>tient compte de la nécessité d’assurer un partage équitable de la charge avec les autres donateurs en ce qui concerne la couverture des besoins de financement de l’Ukraine;</w:t>
      </w:r>
    </w:p>
    <w:p w14:paraId="0CDAD80C" w14:textId="77777777" w:rsidR="00B67A2E" w:rsidRPr="00D549BE" w:rsidRDefault="00B67A2E" w:rsidP="00B67A2E">
      <w:pPr>
        <w:pStyle w:val="LegalNumPar2"/>
        <w:rPr>
          <w:noProof/>
        </w:rPr>
      </w:pPr>
      <w:r w:rsidRPr="00D549BE">
        <w:t>pour l’assistance budgétaire, détermine dans quelle mesure une assistance budgétaire régulière peut être fournie sous la forme d’un prêt à mettre en œuvre conformément au chapitre III du règlement (UE) 2024/792 ou d’une assistance macrofinancière, selon le cas.</w:t>
      </w:r>
    </w:p>
    <w:p w14:paraId="429F0D0A" w14:textId="77777777" w:rsidR="00344F69" w:rsidRPr="00D549BE" w:rsidRDefault="00344F69" w:rsidP="003513BE">
      <w:pPr>
        <w:pStyle w:val="LegalNumPar"/>
        <w:rPr>
          <w:b/>
          <w:noProof/>
        </w:rPr>
      </w:pPr>
      <w:r w:rsidRPr="00D549BE">
        <w:t>La Commission adopte la décision d’exécution visée au paragraphe 1 dans les meilleurs délais.</w:t>
      </w:r>
    </w:p>
    <w:p w14:paraId="47A5EC2A" w14:textId="609A11C8" w:rsidR="00344F69" w:rsidRPr="00D549BE" w:rsidRDefault="00344F69" w:rsidP="0014092D">
      <w:pPr>
        <w:pStyle w:val="Titrearticle"/>
        <w:rPr>
          <w:b/>
          <w:noProof/>
        </w:rPr>
      </w:pPr>
      <w:r w:rsidRPr="00D549BE">
        <w:t xml:space="preserve">Article 9 </w:t>
      </w:r>
      <w:r w:rsidRPr="00D549BE">
        <w:br/>
      </w:r>
      <w:r w:rsidRPr="00D549BE">
        <w:rPr>
          <w:b/>
        </w:rPr>
        <w:t>Complémentarité et coordination</w:t>
      </w:r>
    </w:p>
    <w:p w14:paraId="4361D3D6" w14:textId="77777777" w:rsidR="00344F69" w:rsidRPr="00D549BE" w:rsidRDefault="00344F69" w:rsidP="00717586">
      <w:pPr>
        <w:pStyle w:val="LegalNumPar"/>
        <w:numPr>
          <w:ilvl w:val="0"/>
          <w:numId w:val="23"/>
        </w:numPr>
        <w:rPr>
          <w:noProof/>
        </w:rPr>
      </w:pPr>
      <w:r w:rsidRPr="00D549BE">
        <w:t>Dans le cadre de la mise en œuvre du prêt de soutien à l’Ukraine, la Commission agit en étroite coopération avec l’Ukraine, les États membres, les organismes internationaux compétents et les donateurs de l’Ukraine, notamment par l’intermédiaire de la plateforme des donateurs pour l’Ukraine et du groupe de contact pour la défense de l’Ukraine, afin de garantir une approche cohérente et convergente de la part de ceux qui soutiennent l’Ukraine en vue de répondre aux besoins d’assistance financière et économique de l’Ukraine. Pour ce faire, la Commission s’appuie sur l’expertise du Service européen pour l’action extérieure.</w:t>
      </w:r>
    </w:p>
    <w:p w14:paraId="1B089309" w14:textId="77777777" w:rsidR="00344F69" w:rsidRPr="00D549BE" w:rsidRDefault="00344F69" w:rsidP="00717586">
      <w:pPr>
        <w:pStyle w:val="LegalNumPar"/>
        <w:numPr>
          <w:ilvl w:val="0"/>
          <w:numId w:val="23"/>
        </w:numPr>
        <w:rPr>
          <w:noProof/>
        </w:rPr>
      </w:pPr>
      <w:r w:rsidRPr="00D549BE">
        <w:t>L’article 5, l’article 7, l’article 13, l’article 14, l’article 15 et l’article 23, paragraphe 1, point b), s’appliquent conformément à la décision 2010/427/UE.</w:t>
      </w:r>
    </w:p>
    <w:p w14:paraId="707561B9" w14:textId="1B477DD9" w:rsidR="00344F69" w:rsidRPr="00D549BE" w:rsidRDefault="00344F69" w:rsidP="000B34AD">
      <w:pPr>
        <w:pStyle w:val="ChapterTitle"/>
        <w:rPr>
          <w:noProof/>
        </w:rPr>
      </w:pPr>
      <w:r w:rsidRPr="00D549BE">
        <w:t xml:space="preserve">CHAPITRE III </w:t>
      </w:r>
      <w:r w:rsidRPr="00D549BE">
        <w:br/>
        <w:t>ASSISTANCE BUDGÉTAIRE SOUS FORME D’ASSISTANCE MACROFINANCIÈRE</w:t>
      </w:r>
    </w:p>
    <w:p w14:paraId="589CA675" w14:textId="255FEF76" w:rsidR="00344F69" w:rsidRPr="00D549BE" w:rsidRDefault="00344F69" w:rsidP="0014092D">
      <w:pPr>
        <w:pStyle w:val="Titrearticle"/>
        <w:rPr>
          <w:b/>
          <w:bCs/>
          <w:noProof/>
        </w:rPr>
      </w:pPr>
      <w:r w:rsidRPr="00D549BE">
        <w:t xml:space="preserve">Article 10 </w:t>
      </w:r>
      <w:r w:rsidRPr="00D549BE">
        <w:br/>
      </w:r>
      <w:r w:rsidRPr="00D549BE">
        <w:rPr>
          <w:b/>
        </w:rPr>
        <w:t>Finalité</w:t>
      </w:r>
    </w:p>
    <w:p w14:paraId="0CAAC999" w14:textId="77777777" w:rsidR="00344F69" w:rsidRPr="00D549BE" w:rsidRDefault="00344F69" w:rsidP="00717586">
      <w:pPr>
        <w:pStyle w:val="LegalNumPar"/>
        <w:numPr>
          <w:ilvl w:val="0"/>
          <w:numId w:val="24"/>
        </w:numPr>
        <w:rPr>
          <w:noProof/>
        </w:rPr>
      </w:pPr>
      <w:r w:rsidRPr="00D549BE">
        <w:t xml:space="preserve">L’assistance macrofinancière contribue à couvrir le déficit de financement de l’Ukraine tel qu’il a été déterminé dans une stratégie ukrainienne de financement ayant fait l'objet d'une évaluation positive. </w:t>
      </w:r>
    </w:p>
    <w:p w14:paraId="0F04A610" w14:textId="77777777" w:rsidR="00344F69" w:rsidRPr="00D549BE" w:rsidRDefault="00344F69" w:rsidP="00717586">
      <w:pPr>
        <w:pStyle w:val="LegalNumPar"/>
        <w:numPr>
          <w:ilvl w:val="0"/>
          <w:numId w:val="24"/>
        </w:numPr>
        <w:rPr>
          <w:noProof/>
        </w:rPr>
      </w:pPr>
      <w:r w:rsidRPr="00D549BE">
        <w:t>La mise à disposition de l’assistance macrofinancière est gérée par la Commission sur la base de son évaluation de la condition préalable visée à l’article 5 et du respect satisfaisant des conditions de politique publique énoncées dans le protocole d’accord visé à l’article 11.</w:t>
      </w:r>
    </w:p>
    <w:p w14:paraId="3F4501A7" w14:textId="7691AA53" w:rsidR="00344F69" w:rsidRPr="00D549BE" w:rsidRDefault="00344F69" w:rsidP="0014092D">
      <w:pPr>
        <w:pStyle w:val="Titrearticle"/>
        <w:rPr>
          <w:b/>
          <w:noProof/>
        </w:rPr>
      </w:pPr>
      <w:r w:rsidRPr="00D549BE">
        <w:t xml:space="preserve">Article 11 </w:t>
      </w:r>
      <w:r w:rsidRPr="00D549BE">
        <w:br/>
      </w:r>
      <w:r w:rsidRPr="00D549BE">
        <w:rPr>
          <w:b/>
        </w:rPr>
        <w:t>Protocole d’accord</w:t>
      </w:r>
    </w:p>
    <w:p w14:paraId="555D31E4" w14:textId="77777777" w:rsidR="00344F69" w:rsidRPr="00D549BE" w:rsidRDefault="00344F69" w:rsidP="00717586">
      <w:pPr>
        <w:pStyle w:val="LegalNumPar"/>
        <w:numPr>
          <w:ilvl w:val="0"/>
          <w:numId w:val="25"/>
        </w:numPr>
        <w:rPr>
          <w:noProof/>
        </w:rPr>
      </w:pPr>
      <w:r w:rsidRPr="00D549BE">
        <w:t xml:space="preserve">En ce qui concerne les montants approuvés de l’assistance macrofinancière visés à l’article 8, paragraphe 2, point a) ii), la Commission convient avec l’Ukraine des conditions de politique publique auxquelles l’assistance macrofinancière doit être liée. Ces conditions sont énoncées dans un protocole d’accord. </w:t>
      </w:r>
    </w:p>
    <w:p w14:paraId="734FE9F1" w14:textId="77777777" w:rsidR="00344F69" w:rsidRPr="00D549BE" w:rsidRDefault="00344F69" w:rsidP="00717586">
      <w:pPr>
        <w:pStyle w:val="LegalNumPar"/>
        <w:numPr>
          <w:ilvl w:val="0"/>
          <w:numId w:val="25"/>
        </w:numPr>
        <w:rPr>
          <w:noProof/>
        </w:rPr>
      </w:pPr>
      <w:r w:rsidRPr="00D549BE">
        <w:t xml:space="preserve">Les conditions de politique publique comprennent des engagements solides et ambitieux en matière de réformes, y compris ceux qui visent, en particulier, à </w:t>
      </w:r>
      <w:r w:rsidRPr="00D549BE">
        <w:rPr>
          <w:color w:val="000000" w:themeColor="text1"/>
        </w:rPr>
        <w:t>renforcer la mobilisation de recettes pour répondre aux besoins de financement de l’Ukraine et</w:t>
      </w:r>
      <w:r w:rsidRPr="00D549BE">
        <w:t xml:space="preserve"> à </w:t>
      </w:r>
      <w:r w:rsidRPr="00D549BE">
        <w:rPr>
          <w:color w:val="000000" w:themeColor="text1"/>
        </w:rPr>
        <w:t>s’attaquer aux causes profondes de la corruption dans les finances publiques, notamment en</w:t>
      </w:r>
      <w:r w:rsidRPr="00D549BE">
        <w:t xml:space="preserve"> améliorant la viabilité et la qualité des dépenses publiques </w:t>
      </w:r>
      <w:r w:rsidRPr="00D549BE">
        <w:rPr>
          <w:color w:val="000000" w:themeColor="text1"/>
        </w:rPr>
        <w:t>et</w:t>
      </w:r>
      <w:r w:rsidRPr="00D549BE">
        <w:t xml:space="preserve"> en renforçant l’efficacité, la transparence et la responsabilisation des systèmes de gestion des finances publiques. S’il y a lieu, ces engagements sont compatibles avec tout programme que l’Ukraine a conclu avec le FMI, tout en allant plus loin, le cas échéant. La Commission suit régulièrement les progrès accomplis dans la réalisation des engagements.</w:t>
      </w:r>
    </w:p>
    <w:p w14:paraId="5BCEB4E4" w14:textId="43857717" w:rsidR="00344F69" w:rsidRPr="00D549BE" w:rsidRDefault="00344F69" w:rsidP="00717586">
      <w:pPr>
        <w:pStyle w:val="LegalNumPar"/>
        <w:numPr>
          <w:ilvl w:val="0"/>
          <w:numId w:val="25"/>
        </w:numPr>
        <w:rPr>
          <w:noProof/>
        </w:rPr>
      </w:pPr>
      <w:r w:rsidRPr="00D549BE">
        <w:t>La Commission approuve la signature du protocole d’accord et de ses modifications au moyen d’actes d’exécution. Ces actes d’exécution sont adoptés en conformité avec la procédure d’examen visée à l’article 27, paragraphe 3.</w:t>
      </w:r>
    </w:p>
    <w:p w14:paraId="73162D60" w14:textId="31ADAC42" w:rsidR="00344F69" w:rsidRPr="00D549BE" w:rsidRDefault="00344F69" w:rsidP="00172EA2">
      <w:pPr>
        <w:pStyle w:val="ChapterTitle"/>
        <w:rPr>
          <w:bCs/>
          <w:iCs/>
          <w:noProof/>
        </w:rPr>
      </w:pPr>
      <w:bookmarkStart w:id="15" w:name="_Hlk211705484"/>
      <w:r w:rsidRPr="00D549BE">
        <w:t>CHAPITRE IV</w:t>
      </w:r>
      <w:bookmarkEnd w:id="15"/>
      <w:r w:rsidRPr="00D549BE">
        <w:t xml:space="preserve"> </w:t>
      </w:r>
      <w:r w:rsidRPr="00D549BE">
        <w:br/>
        <w:t>ASSISTANCE VISANT À SOUTENIR LES CAPACITÉS INDUSTRIELLES DE DÉFENSE DE L’UKRAINE</w:t>
      </w:r>
    </w:p>
    <w:p w14:paraId="5179F27B" w14:textId="5C0C242E" w:rsidR="00344F69" w:rsidRPr="00D549BE" w:rsidRDefault="00344F69" w:rsidP="0014092D">
      <w:pPr>
        <w:pStyle w:val="Titrearticle"/>
        <w:rPr>
          <w:b/>
          <w:noProof/>
        </w:rPr>
      </w:pPr>
      <w:r w:rsidRPr="00D549BE">
        <w:t xml:space="preserve">Article 12 </w:t>
      </w:r>
      <w:r w:rsidRPr="00D549BE">
        <w:br/>
      </w:r>
      <w:r w:rsidRPr="00D549BE">
        <w:rPr>
          <w:b/>
        </w:rPr>
        <w:t>Objet</w:t>
      </w:r>
    </w:p>
    <w:p w14:paraId="4E583299" w14:textId="77777777" w:rsidR="00344F69" w:rsidRPr="00D549BE" w:rsidRDefault="00344F69" w:rsidP="00717586">
      <w:pPr>
        <w:pStyle w:val="LegalNumPar"/>
        <w:numPr>
          <w:ilvl w:val="0"/>
          <w:numId w:val="26"/>
        </w:numPr>
        <w:rPr>
          <w:noProof/>
        </w:rPr>
      </w:pPr>
      <w:r w:rsidRPr="00D549BE">
        <w:t xml:space="preserve">L’assistance visant à soutenir les capacités industrielles de défense de l’Ukraine a pour but de permettre à l’Ukraine de réaliser des investissements publics urgents et importants en faveur de son industrie de la défense et de son intégration dans l’industrie européenne de la défense en réponse et face à la situation de crise actuelle. Cette assistance contribue, en particulier, à la reconstruction, au redressement et à la modernisation de la </w:t>
      </w:r>
      <w:bookmarkStart w:id="16" w:name="_Hlk215133234"/>
      <w:r w:rsidRPr="00D549BE">
        <w:t>base industrielle et technologique de défense ukrainienne</w:t>
      </w:r>
      <w:bookmarkEnd w:id="16"/>
      <w:r w:rsidRPr="00D549BE">
        <w:t xml:space="preserve">, en vue d’améliorer sa préparation industrielle dans le domaine de la défense, en tenant compte de sa future intégration progressive dans la </w:t>
      </w:r>
      <w:bookmarkStart w:id="17" w:name="_Hlk215133240"/>
      <w:r w:rsidRPr="00D549BE">
        <w:t>base industrielle et technologique de défense européenne</w:t>
      </w:r>
      <w:bookmarkEnd w:id="17"/>
      <w:r w:rsidRPr="00D549BE">
        <w:t xml:space="preserve"> et en soutenant la disponibilité en temps utile des produits de défense et d’autres produits destinés à des fins de défense, grâce à une coopération entre l’Union et l’Ukraine. </w:t>
      </w:r>
    </w:p>
    <w:p w14:paraId="2899F039" w14:textId="77777777" w:rsidR="00CD1199" w:rsidRPr="00D549BE" w:rsidRDefault="00CD1199" w:rsidP="00717586">
      <w:pPr>
        <w:pStyle w:val="LegalNumPar"/>
        <w:numPr>
          <w:ilvl w:val="0"/>
          <w:numId w:val="26"/>
        </w:numPr>
        <w:rPr>
          <w:noProof/>
        </w:rPr>
      </w:pPr>
      <w:r w:rsidRPr="00D549BE">
        <w:t>Les activités, dépenses et mesures visant à soutenir les capacités industrielles de défense de l’Ukraine sont liées aux produits de défense et autres produits destinés à des fins de défense et visent à:</w:t>
      </w:r>
    </w:p>
    <w:p w14:paraId="34A18FFA" w14:textId="77777777" w:rsidR="00CD1199" w:rsidRPr="00D549BE" w:rsidRDefault="00CD1199" w:rsidP="00CD1199">
      <w:pPr>
        <w:pStyle w:val="LegalNumPar2"/>
        <w:rPr>
          <w:noProof/>
        </w:rPr>
      </w:pPr>
      <w:r w:rsidRPr="00D549BE">
        <w:t>accélérer l’adaptation de l’industrie de la défense ukrainienne aux changements structurels, notamment par la création ou la montée en puissance de ses capacités de production ainsi que par des activités de soutien connexes;</w:t>
      </w:r>
    </w:p>
    <w:p w14:paraId="351D386C" w14:textId="77777777" w:rsidR="00CD1199" w:rsidRPr="00D549BE" w:rsidRDefault="00CD1199" w:rsidP="00CD1199">
      <w:pPr>
        <w:pStyle w:val="LegalNumPar2"/>
        <w:rPr>
          <w:noProof/>
        </w:rPr>
      </w:pPr>
      <w:r w:rsidRPr="00D549BE">
        <w:t>améliorer la disponibilité en temps utile des produits de défense ou d’autres produits destinés à des fins de défense pour l’Ukraine, y compris par la réduction de leur délai de livraison, la réservation de créneaux de fabrication ou la constitution de stocks de produits de défense ou d’autres produits destinés à des fins de défense, de produits intermédiaires ou de matières premières; ou</w:t>
      </w:r>
    </w:p>
    <w:p w14:paraId="3D0A4F77" w14:textId="77777777" w:rsidR="00CD1199" w:rsidRPr="00D549BE" w:rsidRDefault="00CD1199" w:rsidP="00597DEA">
      <w:pPr>
        <w:pStyle w:val="LegalNumPar2"/>
        <w:rPr>
          <w:noProof/>
        </w:rPr>
      </w:pPr>
      <w:r w:rsidRPr="00D549BE">
        <w:t>renforcer la coopération transfrontière entre la base industrielle et technologique de défense européenne et la base industrielle et technologique de défense ukrainienne, en tenant compte des besoins de l’Ukraine en matière de renforcement de son industrie de la défense et en matière de passation des marchés de défense, afin de permettre l’interchangeabilité des produits de défense ou autres produits destinés à des fins de défense fabriqués par l’industrie ukrainienne de la défense et par l’industrie européenne de la défense.</w:t>
      </w:r>
    </w:p>
    <w:p w14:paraId="7E2F977C" w14:textId="78B7F038" w:rsidR="00344F69" w:rsidRPr="00D549BE" w:rsidRDefault="00344F69" w:rsidP="0014092D">
      <w:pPr>
        <w:pStyle w:val="Titrearticle"/>
        <w:rPr>
          <w:b/>
          <w:noProof/>
        </w:rPr>
      </w:pPr>
      <w:r w:rsidRPr="00D549BE">
        <w:t xml:space="preserve">Article 13 </w:t>
      </w:r>
      <w:r w:rsidRPr="00D549BE">
        <w:br/>
      </w:r>
      <w:r w:rsidRPr="00D549BE">
        <w:rPr>
          <w:b/>
        </w:rPr>
        <w:t>Éligibilité</w:t>
      </w:r>
    </w:p>
    <w:p w14:paraId="02D35953" w14:textId="77777777" w:rsidR="00344F69" w:rsidRPr="00D549BE" w:rsidRDefault="00344F69" w:rsidP="00717586">
      <w:pPr>
        <w:pStyle w:val="LegalNumPar"/>
        <w:numPr>
          <w:ilvl w:val="0"/>
          <w:numId w:val="44"/>
        </w:numPr>
        <w:rPr>
          <w:noProof/>
        </w:rPr>
      </w:pPr>
      <w:r w:rsidRPr="00D549BE">
        <w:t xml:space="preserve">Les activités, dépenses et mesures visant à soutenir les capacités industrielles de défense de l’Ukraine liées aux produits de défense et autres produits destinés à des fins de défense sont éligibles à une assistance pour autant qu’elles respectent les conditions d’éligibilité énoncées dans le présent article. </w:t>
      </w:r>
    </w:p>
    <w:p w14:paraId="3DAE90B2" w14:textId="0C5EB362" w:rsidR="00A70FEA" w:rsidRPr="00D549BE" w:rsidRDefault="007306AF" w:rsidP="00A70FEA">
      <w:pPr>
        <w:pStyle w:val="LegalNumPar"/>
        <w:numPr>
          <w:ilvl w:val="0"/>
          <w:numId w:val="44"/>
        </w:numPr>
        <w:rPr>
          <w:noProof/>
        </w:rPr>
      </w:pPr>
      <w:r w:rsidRPr="00D549BE">
        <w:t>Les produits de défense relèvent de l’une des catégories suivantes:</w:t>
      </w:r>
    </w:p>
    <w:p w14:paraId="574F3C74" w14:textId="77777777" w:rsidR="007306AF" w:rsidRPr="00D549BE" w:rsidRDefault="007306AF" w:rsidP="00A70FEA">
      <w:pPr>
        <w:pStyle w:val="LegalNumPar"/>
        <w:numPr>
          <w:ilvl w:val="0"/>
          <w:numId w:val="69"/>
        </w:numPr>
        <w:rPr>
          <w:noProof/>
        </w:rPr>
      </w:pPr>
      <w:r w:rsidRPr="00D549BE">
        <w:t>première catégorie: munitions et missiles; systèmes d’artillerie, y compris capacités de frappe de précision dans la profondeur; capacités de combat au sol et leurs systèmes de soutien, y compris les équipements de soldats et les armes d’infanterie; petits drones (classe 1 de l’OTAN) et systèmes antidrones connexes; protection des infrastructures critiques; domaine cyber; et mobilité militaire, y compris la contre-mobilité;</w:t>
      </w:r>
    </w:p>
    <w:p w14:paraId="15CF0FB2" w14:textId="1FD306AA" w:rsidR="007306AF" w:rsidRPr="00D549BE" w:rsidRDefault="007306AF" w:rsidP="00A70FEA">
      <w:pPr>
        <w:pStyle w:val="LegalNumPar"/>
        <w:numPr>
          <w:ilvl w:val="0"/>
          <w:numId w:val="69"/>
        </w:numPr>
        <w:rPr>
          <w:noProof/>
        </w:rPr>
      </w:pPr>
      <w:r w:rsidRPr="00D549BE">
        <w:t>deuxième catégorie: systèmes de défense aérienne et antimissile; capacités de surface maritime et sous-marines; drones autres que les petits drones (classes 2 et 3 de l’OTAN) et systèmes antidrones connexes; moyens stratégiques tels que, sans s’y limiter, le transport aérien stratégique, le ravitaillement en vol, les systèmes C4 ISTAR ainsi que les moyens et services spatiaux; protection des moyens spatiaux; intelligence artificielle et guerre électronique.</w:t>
      </w:r>
    </w:p>
    <w:p w14:paraId="4399D311" w14:textId="77777777" w:rsidR="001A6171" w:rsidRPr="00D549BE" w:rsidRDefault="001A6171" w:rsidP="001A6171">
      <w:pPr>
        <w:pStyle w:val="LegalNumPar"/>
        <w:rPr>
          <w:noProof/>
        </w:rPr>
      </w:pPr>
      <w:r w:rsidRPr="00D549BE">
        <w:t>Les activités, dépenses et mesures visant à soutenir les capacités industrielles de défense de l’Ukraine liées à des produits de défense ou à d’autres produits destinés à des fins de défense ne sont contraires ni aux intérêts de l’Union et de ses États membres en matière de sécurité et de défense tels qu’ils sont établis dans le cadre de la politique étrangère et de sécurité commune en vertu du titre V du traité sur l’Union européenne, y compris le respect du principe des relations de bon voisinage, ni aux objectifs énoncés à l’article 2 du présent règlement.</w:t>
      </w:r>
    </w:p>
    <w:p w14:paraId="7F42FDE0" w14:textId="77777777" w:rsidR="00344F69" w:rsidRPr="00D549BE" w:rsidRDefault="00344F69" w:rsidP="001A6171">
      <w:pPr>
        <w:pStyle w:val="LegalNumPar"/>
        <w:rPr>
          <w:noProof/>
        </w:rPr>
      </w:pPr>
      <w:r w:rsidRPr="00D549BE">
        <w:t>Les produits de défense sont produits dans le respect des conditions suivantes:</w:t>
      </w:r>
    </w:p>
    <w:p w14:paraId="48127E40" w14:textId="77777777" w:rsidR="00344F69" w:rsidRPr="00D549BE" w:rsidRDefault="00344F69" w:rsidP="0075478C">
      <w:pPr>
        <w:pStyle w:val="LegalNumPar2"/>
        <w:rPr>
          <w:noProof/>
        </w:rPr>
      </w:pPr>
      <w:r w:rsidRPr="00D549BE">
        <w:t>les fabricants et les sous-traitants participant à la production sont établis dans l’Union, dans un État de l’AELE membre de l’EEE ou en Ukraine et y ont leurs structures exécutives de gestion. Ils ne sont pas soumis au contrôle d’un pays tiers qui n’est ni un État de l’AELE membre de l’EEE ni l’Ukraine, ou d’une entité d’un autre pays tiers qui n’est pas établie dans l’Union, dans un État de l’AELE membre de l’EEE ou en Ukraine;</w:t>
      </w:r>
    </w:p>
    <w:p w14:paraId="08822B1B" w14:textId="77777777" w:rsidR="00843B95" w:rsidRPr="00D549BE" w:rsidRDefault="00843B95" w:rsidP="0075478C">
      <w:pPr>
        <w:pStyle w:val="LegalNumPar2"/>
        <w:rPr>
          <w:noProof/>
        </w:rPr>
      </w:pPr>
      <w:r w:rsidRPr="00D549BE">
        <w:t>par dérogation au point a), afin de tenir compte de la coopération industrielle avec des partenaires issus de pays tiers, les produits de défense faisant intervenir un sous-traitant participant à la production et auquel il a été attribué entre 15 % et 35 % de la valeur du marché, et qui n’est pas établi dans l’Union, dans un État de l’AELE membre de l’EEE ou en Ukraine ou n’y a pas ses structures exécutives de gestion, ne sont éligibles qu’à condition qu’au moins l’une des conditions suivantes soit remplie:</w:t>
      </w:r>
    </w:p>
    <w:p w14:paraId="04BC53B9" w14:textId="77777777" w:rsidR="00843B95" w:rsidRPr="00D549BE" w:rsidRDefault="00843B95" w:rsidP="0075478C">
      <w:pPr>
        <w:pStyle w:val="LegalNumPar3"/>
        <w:rPr>
          <w:noProof/>
        </w:rPr>
      </w:pPr>
      <w:r w:rsidRPr="00D549BE">
        <w:t>une relation contractuelle directe liée au produit de défense a été établie entre le fabricant et ledit sous-traitant avant le 28 mai 2025;</w:t>
      </w:r>
    </w:p>
    <w:p w14:paraId="47E49A6D" w14:textId="77777777" w:rsidR="00843B95" w:rsidRPr="00D549BE" w:rsidRDefault="00843B95" w:rsidP="0075478C">
      <w:pPr>
        <w:pStyle w:val="LegalNumPar3"/>
        <w:rPr>
          <w:noProof/>
        </w:rPr>
      </w:pPr>
      <w:r w:rsidRPr="00D549BE">
        <w:t>le fabricant s’engage à étudier, dans un délai de deux ans, la possibilité de remplacer les intrants fournis par ledit sous-traitant par un autre intrant libre de toute restriction originaire de l’Union, d’un État de l’AELE membre de l’EEE ou d’Ukraine, et de satisfaire aux exigences techniques et de délai;</w:t>
      </w:r>
    </w:p>
    <w:p w14:paraId="2805269C" w14:textId="77777777" w:rsidR="00344F69" w:rsidRPr="00D549BE" w:rsidRDefault="00344F69" w:rsidP="0075478C">
      <w:pPr>
        <w:pStyle w:val="LegalNumPar2"/>
        <w:rPr>
          <w:noProof/>
        </w:rPr>
      </w:pPr>
      <w:r w:rsidRPr="00D549BE">
        <w:t>Par dérogation au point a), les produits de défense faisant intervenir un fabricant ou un sous-traitant établi dans l’Union et contrôlé par un autre pays tiers ou par une autre entité d’un pays tiers qui n’est ni un État de l’AELE membre de l’EEE ni l’Ukraine sont éligibles si ce fabricant ou sous-traitant a fait l’objet d’un filtrage au sens du règlement (UE) 2019/452 et, lorsque cela est nécessaire, de mesures d’atténuation appropriées, ou si ce fabricant fournit des garanties au titre du point d) vérifiées par l’État membre dans lequel il est établi.</w:t>
      </w:r>
    </w:p>
    <w:p w14:paraId="68A6EE6F" w14:textId="77777777" w:rsidR="00344F69" w:rsidRPr="00D549BE" w:rsidRDefault="00344F69" w:rsidP="0075478C">
      <w:pPr>
        <w:pStyle w:val="LegalNumPar2"/>
        <w:rPr>
          <w:noProof/>
        </w:rPr>
      </w:pPr>
      <w:r w:rsidRPr="00D549BE">
        <w:t>Les garanties visées au point c) du présent paragraphe fournissent des assurances selon lesquelles la participation du fabricant ou du sous-traitant à la production du produit de défense ne va pas à l’encontre des intérêts de l’Union et de ses États membres en matière de sécurité et de défense tels qu’ils sont définis dans le cadre de la politique étrangère et de sécurité commune en application du titre V du traité sur l’Union européenne.</w:t>
      </w:r>
      <w:r w:rsidRPr="00D549BE">
        <w:rPr>
          <w:b/>
          <w:i/>
        </w:rPr>
        <w:t xml:space="preserve"> </w:t>
      </w:r>
      <w:r w:rsidRPr="00D549BE">
        <w:t>Ces garanties attestent en particulier que, aux fins d’activités, de dépenses et de mesures, des mesures sont en place pour assurer que:</w:t>
      </w:r>
    </w:p>
    <w:p w14:paraId="67160844" w14:textId="77777777" w:rsidR="00344F69" w:rsidRPr="00D549BE" w:rsidRDefault="00344F69" w:rsidP="0075478C">
      <w:pPr>
        <w:pStyle w:val="LegalNumPar3"/>
        <w:rPr>
          <w:noProof/>
        </w:rPr>
      </w:pPr>
      <w:r w:rsidRPr="00D549BE">
        <w:t>le contrôle sur le fabricant ou le sous-traitant n’est pas exercé d’une manière qui limite ou restreint sa capacité à mener à bien les activités, les dépenses et les mesures soutenues, et</w:t>
      </w:r>
    </w:p>
    <w:p w14:paraId="534800C7" w14:textId="77777777" w:rsidR="00344F69" w:rsidRPr="00D549BE" w:rsidRDefault="00344F69" w:rsidP="0075478C">
      <w:pPr>
        <w:pStyle w:val="LegalNumPar3"/>
        <w:rPr>
          <w:noProof/>
        </w:rPr>
      </w:pPr>
      <w:r w:rsidRPr="00D549BE">
        <w:t>un pays tiers non associé ou une entité de pays tiers non associé ne peut pas avoir accès aux informations classifiées ou sensibles relatives au produit de défense produit et que les salariés ou les autres personnes participant à la production du produit de défense disposent d’une habilitation de sécurité nationale délivrée par un État membre, le cas échéant, conformément aux dispositions législatives et réglementaires nationales.</w:t>
      </w:r>
    </w:p>
    <w:p w14:paraId="0C52B799" w14:textId="77777777" w:rsidR="00344F69" w:rsidRPr="00D549BE" w:rsidRDefault="00344F69" w:rsidP="0075478C">
      <w:pPr>
        <w:pStyle w:val="LegalNumPar2"/>
        <w:rPr>
          <w:noProof/>
        </w:rPr>
      </w:pPr>
      <w:bookmarkStart w:id="18" w:name="_Hlk214882648"/>
      <w:r w:rsidRPr="00D549BE">
        <w:t>Les infrastructures, installations, biens et ressources des fabricants et des sous-traitants participant à la production sont situés sur le territoire d’un État membre, d’un État de l’AELE membre de l’EEE ou de l’Ukraine. Lorsque les fabricants ou les sous-traitants participant à la production n’ont pas de solutions de substitution ou d’infrastructures, d’installations, de biens et de ressources pertinents facilement disponibles sur le territoire d’un État membre, d’un État de l’AELE membre de l’EEE ou de l’Ukraine, ils peuvent utiliser leurs infrastructures, installations, biens et ressources qui sont situés ou détenus en dehors de ces territoires, pour autant que cette utilisation n’aille pas à l’encontre des intérêts de l’Union et de ses États membres en matière de sécurité et de défense.</w:t>
      </w:r>
    </w:p>
    <w:bookmarkEnd w:id="18"/>
    <w:p w14:paraId="5C5A323C" w14:textId="77777777" w:rsidR="00344F69" w:rsidRPr="00D549BE" w:rsidRDefault="00344F69" w:rsidP="0075478C">
      <w:pPr>
        <w:pStyle w:val="LegalNumPar2"/>
        <w:rPr>
          <w:noProof/>
        </w:rPr>
      </w:pPr>
      <w:r w:rsidRPr="00D549BE">
        <w:t>Les fabricants et sous-traitants participant à la production peuvent être considérés comme remplissant les conditions d’éligibilité visées au présent paragraphe lorsqu’ils ont rempli des conditions équivalentes au titre des règlements (UE) 2018/1092</w:t>
      </w:r>
      <w:r w:rsidRPr="00D549BE">
        <w:rPr>
          <w:rStyle w:val="FootnoteReference"/>
          <w:noProof/>
        </w:rPr>
        <w:footnoteReference w:id="30"/>
      </w:r>
      <w:r w:rsidRPr="00D549BE">
        <w:t>, (UE) 2021/697</w:t>
      </w:r>
      <w:r w:rsidRPr="00D549BE">
        <w:rPr>
          <w:rStyle w:val="FootnoteReference"/>
          <w:noProof/>
        </w:rPr>
        <w:footnoteReference w:id="31"/>
      </w:r>
      <w:r w:rsidRPr="00D549BE">
        <w:t>, (UE) 2023/1525</w:t>
      </w:r>
      <w:r w:rsidRPr="00D549BE">
        <w:rPr>
          <w:rStyle w:val="FootnoteReference"/>
          <w:noProof/>
        </w:rPr>
        <w:footnoteReference w:id="32"/>
      </w:r>
      <w:r w:rsidRPr="00D549BE">
        <w:t xml:space="preserve"> ou (UE) 2023/2418</w:t>
      </w:r>
      <w:r w:rsidRPr="00D549BE">
        <w:rPr>
          <w:rStyle w:val="FootnoteReference"/>
          <w:noProof/>
        </w:rPr>
        <w:footnoteReference w:id="33"/>
      </w:r>
      <w:r w:rsidRPr="00D549BE">
        <w:t xml:space="preserve"> du Parlement européen et du Conseil ou au titre du règlement (UE) 2025/1106 et pour autant qu’aucune modification ultérieure ne remette en cause le respect de ces conditions.</w:t>
      </w:r>
    </w:p>
    <w:p w14:paraId="0B4616D8" w14:textId="77777777" w:rsidR="00A86B2F" w:rsidRPr="00D549BE" w:rsidRDefault="00A86B2F" w:rsidP="0075478C">
      <w:pPr>
        <w:pStyle w:val="LegalNumPar2"/>
        <w:rPr>
          <w:noProof/>
        </w:rPr>
      </w:pPr>
      <w:r w:rsidRPr="00D549BE">
        <w:t>Le coût des composants dont l’origine est extérieure à l’Union, aux États de l’AELE membres de l’EEE et à l’Ukraine n’est pas supérieur à 35 % du coût estimé des composants du produit de défense. Aucun composant ne provient d’un pays tiers qui contrevient aux intérêts de l’Union et de ses États membres en matière de sécurité et de défense.</w:t>
      </w:r>
    </w:p>
    <w:p w14:paraId="1AE7174A" w14:textId="77777777" w:rsidR="007306AF" w:rsidRPr="00D549BE" w:rsidRDefault="007306AF" w:rsidP="007306AF">
      <w:pPr>
        <w:pStyle w:val="LegalNumPar2"/>
        <w:rPr>
          <w:noProof/>
        </w:rPr>
      </w:pPr>
      <w:r w:rsidRPr="00D549BE">
        <w:t>Pour les produits de défense relevant de la catégorie 2 visés au paragraphe 2 du présent article, les fabricants ont la capacité de décider, sans restrictions imposées par des pays tiers ou par des entités de pays tiers, de la définition, de l’adaptation et de l’évolution de la conception du produit de défense fourni, y compris le pouvoir légal de remplacer ou d’enlever les composants qui font l’objet de restrictions imposées par des pays tiers ou par des entités de pays tiers.</w:t>
      </w:r>
    </w:p>
    <w:p w14:paraId="2E753BEA" w14:textId="77777777" w:rsidR="00344F69" w:rsidRPr="00D549BE" w:rsidRDefault="00344F69" w:rsidP="0075478C">
      <w:pPr>
        <w:pStyle w:val="LegalNumPar2"/>
        <w:rPr>
          <w:noProof/>
        </w:rPr>
      </w:pPr>
      <w:r w:rsidRPr="00D549BE">
        <w:t>Aux fins du présent paragraphe, on entend par «sous-traitant participant à la production» toute entité juridique qui fournit des intrants critiques possédant des attributs uniques essentiels au fonctionnement d’un produit, qui se voit allouer au moins 15 % de la valeur du marché, et qui a besoin d’un accès à des informations classifiées pour l’exécution du marché.</w:t>
      </w:r>
    </w:p>
    <w:p w14:paraId="6288452A" w14:textId="77777777" w:rsidR="00121323" w:rsidRPr="00D549BE" w:rsidRDefault="00CD1199" w:rsidP="00A8443F">
      <w:pPr>
        <w:pStyle w:val="LegalNumPar"/>
        <w:rPr>
          <w:noProof/>
        </w:rPr>
      </w:pPr>
      <w:r w:rsidRPr="00D549BE">
        <w:t xml:space="preserve">Par dérogation aux paragraphes 2 et 4 et dans le parfait respect du paragraphe 3, lorsque l’acquisition urgente d’un produit de défense donné est rendue nécessaire par la guerre d’agression menée par la Russie contre l’Ukraine, l’acquisition d’un produit de défense qui ne respecte pas une ou plusieurs des conditions énoncées aux paragraphes 2 et 4 est éligible à une assistance financière au titre du présent chapitre, pour autant: </w:t>
      </w:r>
    </w:p>
    <w:p w14:paraId="20D24F33" w14:textId="77777777" w:rsidR="00121323" w:rsidRPr="00D549BE" w:rsidRDefault="00121323" w:rsidP="00916227">
      <w:pPr>
        <w:pStyle w:val="LegalNumPar2"/>
        <w:rPr>
          <w:noProof/>
        </w:rPr>
      </w:pPr>
      <w:r w:rsidRPr="00D549BE">
        <w:t>qu’il n’existe pas de produit équivalent répondant à ce besoin urgent qui satisfasse aux conditions énoncées aux paragraphes 2 et 4 ou qu’un tel produit ne soit pas disponible à l’échelle requise, ou</w:t>
      </w:r>
    </w:p>
    <w:p w14:paraId="3F35236E" w14:textId="77777777" w:rsidR="00121323" w:rsidRPr="00D549BE" w:rsidRDefault="00121323" w:rsidP="00916227">
      <w:pPr>
        <w:pStyle w:val="LegalNumPar2"/>
        <w:rPr>
          <w:noProof/>
        </w:rPr>
      </w:pPr>
      <w:r w:rsidRPr="00D549BE">
        <w:t>que le délai de livraison d’un tel produit soit nettement plus court que celui d’un produit qui satisferait aux conditions énoncées aux paragraphes 2 et 4, même si ce produit faisait l’objet d’une demande prioritaire telle que visée à l’article 19.</w:t>
      </w:r>
    </w:p>
    <w:p w14:paraId="749D0CDF" w14:textId="28A4D7E8" w:rsidR="00121323" w:rsidRPr="00D549BE" w:rsidRDefault="00916227" w:rsidP="00916227">
      <w:pPr>
        <w:pStyle w:val="LegalNumPar"/>
        <w:numPr>
          <w:ilvl w:val="0"/>
          <w:numId w:val="0"/>
        </w:numPr>
        <w:ind w:left="476"/>
        <w:rPr>
          <w:noProof/>
        </w:rPr>
      </w:pPr>
      <w:r w:rsidRPr="00D549BE">
        <w:t>Dans un tel cas, l’Ukraine fournit les informations raisonnablement à sa disposition qui démontrent que les conditions d’application de la présente dérogation sont remplies, ce qui doit être vérifié par la Commission dans les meilleurs délais. Dans le contexte du point b), ces informations comprennent un engagement formel à respecter le délai de livraison.</w:t>
      </w:r>
    </w:p>
    <w:p w14:paraId="4803C604" w14:textId="77777777" w:rsidR="00FD6D30" w:rsidRPr="00D549BE" w:rsidRDefault="00FD6D30" w:rsidP="00916227">
      <w:pPr>
        <w:pStyle w:val="LegalNumPar"/>
        <w:numPr>
          <w:ilvl w:val="0"/>
          <w:numId w:val="0"/>
        </w:numPr>
        <w:ind w:left="476"/>
        <w:rPr>
          <w:noProof/>
        </w:rPr>
      </w:pPr>
      <w:r w:rsidRPr="00D549BE">
        <w:t>L’acquisition de produits de défense auprès de fabricants établis dans des pays tiers n’a lieu que s’il n’existe aucune autre solution disponible dans l’Union dans les circonstances décrites aux points a) et b).</w:t>
      </w:r>
    </w:p>
    <w:p w14:paraId="53D05CCC" w14:textId="72368325" w:rsidR="00916227" w:rsidRPr="00D549BE" w:rsidRDefault="00916227" w:rsidP="00916227">
      <w:pPr>
        <w:pStyle w:val="LegalNumPar"/>
        <w:numPr>
          <w:ilvl w:val="0"/>
          <w:numId w:val="0"/>
        </w:numPr>
        <w:ind w:left="476"/>
        <w:rPr>
          <w:noProof/>
        </w:rPr>
      </w:pPr>
      <w:r w:rsidRPr="00D549BE">
        <w:t>La Commission approuve de telles dérogations par voie d’actes d’exécution, agissant conformément à la procédure d’examen visée à l’article 27, paragraphe 3.</w:t>
      </w:r>
    </w:p>
    <w:p w14:paraId="7B84D3AD" w14:textId="77777777" w:rsidR="00CD1199" w:rsidRPr="00D549BE" w:rsidRDefault="00C16B9E" w:rsidP="00A8443F">
      <w:pPr>
        <w:pStyle w:val="LegalNumPar"/>
        <w:numPr>
          <w:ilvl w:val="0"/>
          <w:numId w:val="16"/>
        </w:numPr>
        <w:rPr>
          <w:noProof/>
        </w:rPr>
      </w:pPr>
      <w:r w:rsidRPr="00D549BE">
        <w:t>Le cas échéant, les États membres participants veillent à ce que les procédures d’acquisitions et les marchés portant sur d’autres produits destinés à des fins de défense qui résultent d’une acquisition bénéficiant d’un soutien au titre du prêt de soutien à l’Ukraine comportent des conditions d’éligibilité appropriées pour protéger les intérêts de l’Union et de ses États membres en matière de sécurité et de défense.</w:t>
      </w:r>
    </w:p>
    <w:p w14:paraId="31B97E52" w14:textId="77777777" w:rsidR="00344F69" w:rsidRPr="00D549BE" w:rsidRDefault="00344F69" w:rsidP="0075478C">
      <w:pPr>
        <w:pStyle w:val="LegalNumPar"/>
        <w:rPr>
          <w:noProof/>
        </w:rPr>
      </w:pPr>
      <w:r w:rsidRPr="00D549BE">
        <w:t>Par dérogation au paragraphe 4, les contributions visées au paragraphe 8, point e), du présent article sont utilisées conformément aux conditions d’éligibilité du programme de l’Union concerné.</w:t>
      </w:r>
    </w:p>
    <w:p w14:paraId="342FEDFA" w14:textId="77777777" w:rsidR="00344F69" w:rsidRPr="00D549BE" w:rsidRDefault="00344F69" w:rsidP="0075478C">
      <w:pPr>
        <w:pStyle w:val="LegalNumPar"/>
        <w:rPr>
          <w:noProof/>
        </w:rPr>
      </w:pPr>
      <w:bookmarkStart w:id="19" w:name="_Hlk215015489"/>
      <w:r w:rsidRPr="00D549BE">
        <w:t>Les activités, dépenses et mesures liées aux produits de défense ou à d’autres produits destinés à des fins de défense sont mises en œuvre selon l’un des modes de mise en œuvre suivants:</w:t>
      </w:r>
    </w:p>
    <w:p w14:paraId="2DC94FA9" w14:textId="77777777" w:rsidR="00344F69" w:rsidRPr="00D549BE" w:rsidRDefault="00344F69" w:rsidP="0075478C">
      <w:pPr>
        <w:pStyle w:val="LegalNumPar2"/>
        <w:rPr>
          <w:noProof/>
        </w:rPr>
      </w:pPr>
      <w:bookmarkStart w:id="20" w:name="_Hlk215004640"/>
      <w:r w:rsidRPr="00D549BE">
        <w:t>passation de marchés par l’Ukraine, sous réserve de la validation de la passation et de la livraison par la Commission ou les États membres participants. L’Ukraine est responsable de ces marchés conformément au droit ukrainien, et la validation effectuée par la Commission ou les États membres participants comprend des vérifications de documents contractuels, de factures et de bons de livraison, des inspections physiques chez les fournisseurs et la vérification physique de livraisons, sur la base d’échantillons;</w:t>
      </w:r>
    </w:p>
    <w:bookmarkEnd w:id="20"/>
    <w:p w14:paraId="1F01D6F2" w14:textId="77777777" w:rsidR="00344F69" w:rsidRPr="00D549BE" w:rsidRDefault="00344F69" w:rsidP="0075478C">
      <w:pPr>
        <w:pStyle w:val="LegalNumPar2"/>
        <w:rPr>
          <w:noProof/>
        </w:rPr>
      </w:pPr>
      <w:r w:rsidRPr="00D549BE">
        <w:t>passation par l’Ukraine de marchés constituant une acquisition conjointe au sens du règlement (UE) 2025/1106;</w:t>
      </w:r>
    </w:p>
    <w:p w14:paraId="249FBF82" w14:textId="77777777" w:rsidR="00344F69" w:rsidRPr="00D549BE" w:rsidRDefault="00344F69" w:rsidP="0075478C">
      <w:pPr>
        <w:pStyle w:val="LegalNumPar2"/>
        <w:rPr>
          <w:noProof/>
        </w:rPr>
      </w:pPr>
      <w:r w:rsidRPr="00D549BE">
        <w:t xml:space="preserve">conclusion d’accords entre l’Ukraine et des États membres ou l’Agence européenne de défense; </w:t>
      </w:r>
    </w:p>
    <w:p w14:paraId="1F829D8B" w14:textId="77777777" w:rsidR="00344F69" w:rsidRPr="00D549BE" w:rsidRDefault="00344F69" w:rsidP="0075478C">
      <w:pPr>
        <w:pStyle w:val="LegalNumPar2"/>
        <w:rPr>
          <w:noProof/>
        </w:rPr>
      </w:pPr>
      <w:r w:rsidRPr="00D549BE">
        <w:t>conclusion d’accords de passation de marchés entre l’Ukraine et des organisations internationales ou intergouvernementales;</w:t>
      </w:r>
    </w:p>
    <w:p w14:paraId="70E2A3A0" w14:textId="77777777" w:rsidR="00344F69" w:rsidRPr="00D549BE" w:rsidRDefault="00344F69" w:rsidP="0075478C">
      <w:pPr>
        <w:pStyle w:val="LegalNumPar2"/>
        <w:rPr>
          <w:noProof/>
        </w:rPr>
      </w:pPr>
      <w:r w:rsidRPr="00D549BE">
        <w:t>contributions de l’Ukraine à l’instrument de soutien à l’Ukraine établi par le [</w:t>
      </w:r>
      <w:r w:rsidRPr="00D549BE">
        <w:rPr>
          <w:i/>
        </w:rPr>
        <w:t>règlement EDIP</w:t>
      </w:r>
      <w:r w:rsidRPr="00D549BE">
        <w:t>], au cadre d’investissement pour l’Ukraine établi par le règlement (UE) 2024/792 pour les biens à double usage ou à d’autres programmes de l’Union.</w:t>
      </w:r>
    </w:p>
    <w:p w14:paraId="41AC31ED" w14:textId="77777777" w:rsidR="00344F69" w:rsidRPr="00D549BE" w:rsidRDefault="00344F69" w:rsidP="0075478C">
      <w:pPr>
        <w:pStyle w:val="LegalNumPar"/>
        <w:numPr>
          <w:ilvl w:val="0"/>
          <w:numId w:val="0"/>
        </w:numPr>
        <w:ind w:left="476"/>
        <w:rPr>
          <w:noProof/>
        </w:rPr>
      </w:pPr>
      <w:bookmarkStart w:id="21" w:name="_Hlk215016001"/>
      <w:r w:rsidRPr="00D549BE">
        <w:t>Les activités, dépenses et mesures liées à d’autres produits destinés à des fins de défense peuvent également être mises en œuvre au moyen de marchés passés par l’Ukraine pour les marchés d’un montant inférieur à 7 000 000 EUR, à condition que la bonne gestion financière et la protection des intérêts financiers de l’Union soient assurées.</w:t>
      </w:r>
    </w:p>
    <w:bookmarkEnd w:id="19"/>
    <w:bookmarkEnd w:id="21"/>
    <w:p w14:paraId="0604343B" w14:textId="77777777" w:rsidR="00344F69" w:rsidRPr="00D549BE" w:rsidRDefault="00344F69" w:rsidP="0075478C">
      <w:pPr>
        <w:pStyle w:val="LegalNumPar"/>
        <w:rPr>
          <w:noProof/>
        </w:rPr>
      </w:pPr>
      <w:r w:rsidRPr="00D549BE">
        <w:t>Les contrats passés par l’Ukraine concernant des marchés, accords ou contributions visés au paragraphe 8 sont éligibles s’ils sont signés après le 14 janvier 2025, pour autant qu’ils soient conformes aux exigences énoncées au présent article.</w:t>
      </w:r>
    </w:p>
    <w:p w14:paraId="6A547AD2" w14:textId="77777777" w:rsidR="007474CD" w:rsidRPr="00D549BE" w:rsidRDefault="00344F69" w:rsidP="0075478C">
      <w:pPr>
        <w:pStyle w:val="LegalNumPar"/>
        <w:rPr>
          <w:noProof/>
        </w:rPr>
      </w:pPr>
      <w:r w:rsidRPr="00D549BE">
        <w:t>La Commission est habilitée à adopter un acte délégué conformément à l’article 26 afin de compléter le présent règlement en étendant les critères d’éligibilité à des pays tiers autres que les États de l’AELE membres de l’EEE et l’Ukraine qui ne portent pas atteinte aux intérêts de l’Union et de ses États membres en matière de sécurité et de défense, à condition que ces pays aient conclu un accord avec l’Union conformément à l’article 17 du règlement 2025/1106 du Conseil.</w:t>
      </w:r>
    </w:p>
    <w:p w14:paraId="72946B6E" w14:textId="4041344D" w:rsidR="00344F69" w:rsidRPr="00D549BE" w:rsidRDefault="00344F69" w:rsidP="0014092D">
      <w:pPr>
        <w:pStyle w:val="Titrearticle"/>
        <w:rPr>
          <w:b/>
          <w:noProof/>
        </w:rPr>
      </w:pPr>
      <w:r w:rsidRPr="00D549BE">
        <w:t xml:space="preserve">Article 14 </w:t>
      </w:r>
      <w:r w:rsidRPr="00D549BE">
        <w:br/>
      </w:r>
      <w:r w:rsidRPr="00D549BE">
        <w:rPr>
          <w:b/>
        </w:rPr>
        <w:t>Relevés de produits</w:t>
      </w:r>
    </w:p>
    <w:p w14:paraId="42EA3E64" w14:textId="77777777" w:rsidR="00344F69" w:rsidRPr="00D549BE" w:rsidRDefault="00344F69" w:rsidP="00717586">
      <w:pPr>
        <w:pStyle w:val="LegalNumPar"/>
        <w:numPr>
          <w:ilvl w:val="0"/>
          <w:numId w:val="27"/>
        </w:numPr>
        <w:rPr>
          <w:noProof/>
        </w:rPr>
      </w:pPr>
      <w:r w:rsidRPr="00D549BE">
        <w:t>En ce qui concerne les montants d’assistance approuvés pour soutenir les capacités industrielles de défense de l’Ukraine visées à l’article 8, paragraphe 2, point a), iii), l’Ukraine établit un relevé pour chaque activité, dépense ou mesure liée à un produit de défense ou à un autre produit destiné à des fins de défense pour lequel elle a l’intention de demander une assistance. Ce relevé contient:</w:t>
      </w:r>
    </w:p>
    <w:p w14:paraId="2F685DAB" w14:textId="77777777" w:rsidR="00344F69" w:rsidRPr="00D549BE" w:rsidRDefault="00344F69" w:rsidP="0075478C">
      <w:pPr>
        <w:pStyle w:val="LegalNumPar2"/>
        <w:rPr>
          <w:noProof/>
        </w:rPr>
      </w:pPr>
      <w:r w:rsidRPr="00D549BE">
        <w:t>une description du produit de défense ou autre produit destiné à des fins de défense;</w:t>
      </w:r>
    </w:p>
    <w:p w14:paraId="51DE2CB5" w14:textId="77777777" w:rsidR="00344F69" w:rsidRPr="00D549BE" w:rsidRDefault="00344F69" w:rsidP="0075478C">
      <w:pPr>
        <w:pStyle w:val="LegalNumPar2"/>
        <w:rPr>
          <w:noProof/>
        </w:rPr>
      </w:pPr>
      <w:r w:rsidRPr="00D549BE">
        <w:t>des informations sur la conformité avec l’article 13.</w:t>
      </w:r>
    </w:p>
    <w:p w14:paraId="5365EF73" w14:textId="3EFA04A1" w:rsidR="00344F69" w:rsidRPr="00D549BE" w:rsidRDefault="00344F69" w:rsidP="00717586">
      <w:pPr>
        <w:pStyle w:val="LegalNumPar"/>
        <w:numPr>
          <w:ilvl w:val="0"/>
          <w:numId w:val="27"/>
        </w:numPr>
        <w:rPr>
          <w:noProof/>
        </w:rPr>
      </w:pPr>
      <w:r w:rsidRPr="00D549BE">
        <w:t>L’Ukraine consulte la Commission à propos du relevé en vue d’assurer le respect de l’article 13. Lorsqu’elle détermine si un autre mode de mise en œuvre est plus économique ou lorsqu’elle examine les prix disponibles, la Commission prend en considération tout cofinancement devant être fourni par les États membres. Lorsqu’elle propose à l’Ukraine le mode de mise en œuvre le plus approprié, la Commission tient compte du respect des délais de livraison du produit, de l’activité, de la dépense ou de la mesure concernés, des prix disponibles, de l’expérience déjà acquise avec ce mode de mise en œuvre et, lorsque cela se justifie, de l’expérience déjà acquise avec les fabricants dans le cadre de ce mode de mise en œuvre. Si l’Ukraine ne définit pas de mode de mise en œuvre conformément à l’article 13, paragraphe 8, ou si la Commission estime qu’un autre mode de mise en œuvre est plus économique, plus efficient ou plus efficace, la Commission peut proposer un mode de mise en œuvre à l’Ukraine.</w:t>
      </w:r>
    </w:p>
    <w:p w14:paraId="089FE480" w14:textId="77777777" w:rsidR="00344F69" w:rsidRPr="00D549BE" w:rsidRDefault="00344F69" w:rsidP="00717586">
      <w:pPr>
        <w:pStyle w:val="LegalNumPar"/>
        <w:numPr>
          <w:ilvl w:val="0"/>
          <w:numId w:val="27"/>
        </w:numPr>
        <w:rPr>
          <w:noProof/>
        </w:rPr>
      </w:pPr>
      <w:r w:rsidRPr="00D549BE">
        <w:t>Par dérogation au paragraphe 1, l’Ukraine n’est pas tenue d’établir un relevé lorsque le mode de mise en œuvre est celui prévu à l’article 13, paragraphe 8, point e).</w:t>
      </w:r>
    </w:p>
    <w:p w14:paraId="1CE016F2" w14:textId="73447442" w:rsidR="00344F69" w:rsidRPr="00D549BE" w:rsidRDefault="00344F69" w:rsidP="0014092D">
      <w:pPr>
        <w:pStyle w:val="Titrearticle"/>
        <w:rPr>
          <w:b/>
          <w:noProof/>
        </w:rPr>
      </w:pPr>
      <w:r w:rsidRPr="00D549BE">
        <w:t xml:space="preserve">Article 15 </w:t>
      </w:r>
      <w:r w:rsidRPr="00D549BE">
        <w:br/>
      </w:r>
      <w:r w:rsidRPr="00D549BE">
        <w:rPr>
          <w:b/>
        </w:rPr>
        <w:t>Groupe d’experts sur les capacités industrielles de défense de l’Ukraine</w:t>
      </w:r>
    </w:p>
    <w:p w14:paraId="5BDCFBAF" w14:textId="77777777" w:rsidR="00344F69" w:rsidRPr="00D549BE" w:rsidRDefault="00344F69" w:rsidP="00717586">
      <w:pPr>
        <w:pStyle w:val="LegalNumPar"/>
        <w:numPr>
          <w:ilvl w:val="0"/>
          <w:numId w:val="28"/>
        </w:numPr>
        <w:rPr>
          <w:noProof/>
        </w:rPr>
      </w:pPr>
      <w:r w:rsidRPr="00D549BE">
        <w:t xml:space="preserve">Afin de faciliter la mise en œuvre de l’assistance visant à soutenir les capacités industrielles de défense de l’Ukraine, la Commission met en place le groupe d’experts sur les capacités industrielles de défense de l’Ukraine. </w:t>
      </w:r>
    </w:p>
    <w:p w14:paraId="47B04423" w14:textId="77777777" w:rsidR="00344F69" w:rsidRPr="00D549BE" w:rsidRDefault="00344F69" w:rsidP="00717586">
      <w:pPr>
        <w:pStyle w:val="LegalNumPar"/>
        <w:numPr>
          <w:ilvl w:val="0"/>
          <w:numId w:val="28"/>
        </w:numPr>
        <w:rPr>
          <w:noProof/>
        </w:rPr>
      </w:pPr>
      <w:r w:rsidRPr="00D549BE">
        <w:t>En plus de représentants des services de la Commission et du Service européen pour l’action extérieure, le groupe d’experts sur les capacités industrielles de défense de l’Ukraine comprend des représentants des États membres participants et des États de l’AELE membres de l’EEE. L’Ukraine est invitée aux réunions du groupe d’experts sur les capacités industrielles de défense de l’Ukraine en tant que de besoin.</w:t>
      </w:r>
    </w:p>
    <w:p w14:paraId="5032CB34" w14:textId="77777777" w:rsidR="00344F69" w:rsidRPr="00D549BE" w:rsidRDefault="00344F69" w:rsidP="00717586">
      <w:pPr>
        <w:pStyle w:val="LegalNumPar"/>
        <w:numPr>
          <w:ilvl w:val="0"/>
          <w:numId w:val="28"/>
        </w:numPr>
        <w:rPr>
          <w:noProof/>
        </w:rPr>
      </w:pPr>
      <w:r w:rsidRPr="00D549BE">
        <w:t xml:space="preserve">Le groupe d’experts sur les capacités industrielles de défense de l’Ukraine fournit des conseils, une expertise et un soutien sur les produits de défense et les autres produits destinés à des fins de défense, ainsi que sur le mode de mise en œuvre. </w:t>
      </w:r>
    </w:p>
    <w:p w14:paraId="71BA8C55" w14:textId="6E7FFFCE" w:rsidR="00344F69" w:rsidRPr="00D549BE" w:rsidRDefault="00344F69" w:rsidP="0014092D">
      <w:pPr>
        <w:pStyle w:val="Titrearticle"/>
        <w:rPr>
          <w:b/>
          <w:noProof/>
        </w:rPr>
      </w:pPr>
      <w:r w:rsidRPr="00D549BE">
        <w:t xml:space="preserve">Article 16 </w:t>
      </w:r>
      <w:r w:rsidRPr="00D549BE">
        <w:br/>
      </w:r>
      <w:r w:rsidRPr="00D549BE">
        <w:rPr>
          <w:b/>
        </w:rPr>
        <w:t>Administration de l’assistance visant à soutenir les capacités industrielles de défense de l’Ukraine</w:t>
      </w:r>
    </w:p>
    <w:p w14:paraId="1CA686BA" w14:textId="77777777" w:rsidR="00344F69" w:rsidRPr="00D549BE" w:rsidRDefault="00344F69" w:rsidP="00344F69">
      <w:pPr>
        <w:rPr>
          <w:noProof/>
        </w:rPr>
      </w:pPr>
      <w:r w:rsidRPr="00D549BE">
        <w:t>L’Ukraine ouvre un compte spécial aux seules fins de la gestion de l’assistance financière et économique reçue en vue de soutenir ses capacités industrielles de défense. En ce qui concerne ce compte:</w:t>
      </w:r>
    </w:p>
    <w:p w14:paraId="3B8B4C23" w14:textId="77777777" w:rsidR="00344F69" w:rsidRPr="00D549BE" w:rsidRDefault="00344F69" w:rsidP="00910646">
      <w:pPr>
        <w:pStyle w:val="LegalNumPar2"/>
        <w:rPr>
          <w:noProof/>
        </w:rPr>
      </w:pPr>
      <w:r w:rsidRPr="00D549BE">
        <w:t>tous les paiements relatifs aux contrats ou accords qui sont demandés pour une assistance visant à soutenir les capacités industrielles de défense de l’Ukraine sont effectués à partir de ce compte;</w:t>
      </w:r>
    </w:p>
    <w:p w14:paraId="69F4A7E4" w14:textId="77777777" w:rsidR="00344F69" w:rsidRPr="00D549BE" w:rsidRDefault="00344F69" w:rsidP="00910646">
      <w:pPr>
        <w:pStyle w:val="LegalNumPar2"/>
        <w:rPr>
          <w:noProof/>
        </w:rPr>
      </w:pPr>
      <w:r w:rsidRPr="00D549BE">
        <w:t>la Commission se voit accorder des droits de contrôle sur ce compte;</w:t>
      </w:r>
    </w:p>
    <w:p w14:paraId="69D9B31D" w14:textId="77777777" w:rsidR="00344F69" w:rsidRPr="00D549BE" w:rsidRDefault="00344F69" w:rsidP="00910646">
      <w:pPr>
        <w:pStyle w:val="LegalNumPar2"/>
        <w:rPr>
          <w:noProof/>
        </w:rPr>
      </w:pPr>
      <w:r w:rsidRPr="00D549BE">
        <w:t>l’Ukraine communique à la Commission un rapport mensuel, à soumettre dans un délai de 10 jours ouvrables à compter de la fin de chaque mois, contenant les informations suivantes:</w:t>
      </w:r>
    </w:p>
    <w:p w14:paraId="5FB93ED8" w14:textId="77777777" w:rsidR="00344F69" w:rsidRPr="00D549BE" w:rsidRDefault="00344F69" w:rsidP="00910646">
      <w:pPr>
        <w:pStyle w:val="LegalNumPar3"/>
        <w:rPr>
          <w:noProof/>
        </w:rPr>
      </w:pPr>
      <w:r w:rsidRPr="00D549BE">
        <w:t xml:space="preserve">la date et le montant de chaque paiement effectué à partir du compte au cours du mois précédent, </w:t>
      </w:r>
    </w:p>
    <w:p w14:paraId="60ACC01B" w14:textId="77777777" w:rsidR="00344F69" w:rsidRPr="00D549BE" w:rsidRDefault="00344F69" w:rsidP="00910646">
      <w:pPr>
        <w:pStyle w:val="LegalNumPar3"/>
        <w:rPr>
          <w:noProof/>
        </w:rPr>
      </w:pPr>
      <w:r w:rsidRPr="00D549BE">
        <w:t xml:space="preserve">le nom du bénéficiaire de chaque paiement, </w:t>
      </w:r>
    </w:p>
    <w:p w14:paraId="5E52AB44" w14:textId="77777777" w:rsidR="00344F69" w:rsidRPr="00D549BE" w:rsidRDefault="00344F69" w:rsidP="00910646">
      <w:pPr>
        <w:pStyle w:val="LegalNumPar3"/>
        <w:rPr>
          <w:noProof/>
        </w:rPr>
      </w:pPr>
      <w:r w:rsidRPr="00D549BE">
        <w:t xml:space="preserve">une description de l’objet de chaque paiement et de son lien avec les contrats ou accords présentés dans les demandes de fonds, et </w:t>
      </w:r>
    </w:p>
    <w:p w14:paraId="24813947" w14:textId="77777777" w:rsidR="00344F69" w:rsidRPr="00D549BE" w:rsidRDefault="00344F69" w:rsidP="00910646">
      <w:pPr>
        <w:pStyle w:val="LegalNumPar3"/>
        <w:rPr>
          <w:noProof/>
        </w:rPr>
      </w:pPr>
      <w:r w:rsidRPr="00D549BE">
        <w:t>toute autre information pouvant être raisonnablement demandée par la Commission.</w:t>
      </w:r>
    </w:p>
    <w:p w14:paraId="0661A70E" w14:textId="7B14E26A" w:rsidR="00344F69" w:rsidRPr="00D549BE" w:rsidRDefault="00344F69" w:rsidP="0014092D">
      <w:pPr>
        <w:pStyle w:val="Titrearticle"/>
        <w:rPr>
          <w:b/>
          <w:bCs/>
          <w:noProof/>
        </w:rPr>
      </w:pPr>
      <w:r w:rsidRPr="00D549BE">
        <w:t xml:space="preserve">Article 17 </w:t>
      </w:r>
      <w:r w:rsidRPr="00D549BE">
        <w:br/>
      </w:r>
      <w:r w:rsidRPr="00D549BE">
        <w:rPr>
          <w:b/>
        </w:rPr>
        <w:t>Suivi de la mise en œuvre</w:t>
      </w:r>
    </w:p>
    <w:p w14:paraId="6B526DE5" w14:textId="77777777" w:rsidR="00344F69" w:rsidRPr="00D549BE" w:rsidRDefault="00344F69" w:rsidP="00717586">
      <w:pPr>
        <w:pStyle w:val="LegalNumPar"/>
        <w:numPr>
          <w:ilvl w:val="0"/>
          <w:numId w:val="45"/>
        </w:numPr>
        <w:rPr>
          <w:noProof/>
        </w:rPr>
      </w:pPr>
      <w:r w:rsidRPr="00D549BE">
        <w:t xml:space="preserve">La Commission assure le suivi de la mise en œuvre de l’assistance visant à soutenir les capacités industrielles de défense de l’Ukraine, notamment la fourniture de produits, conformément au présent article. </w:t>
      </w:r>
    </w:p>
    <w:p w14:paraId="544ED1AB" w14:textId="77777777" w:rsidR="00344F69" w:rsidRPr="00D549BE" w:rsidRDefault="00344F69" w:rsidP="00272756">
      <w:pPr>
        <w:pStyle w:val="LegalNumPar"/>
        <w:rPr>
          <w:noProof/>
        </w:rPr>
      </w:pPr>
      <w:r w:rsidRPr="00D549BE">
        <w:t xml:space="preserve">Pour les marchés passés par l’Ukraine conformément à l’article 13, paragraphe 8, point a), qui sont validés par la Commission, cette dernière utilise le processus de validation prévu dans ladite disposition. </w:t>
      </w:r>
    </w:p>
    <w:p w14:paraId="6ECE611D" w14:textId="77777777" w:rsidR="00344F69" w:rsidRPr="00D549BE" w:rsidRDefault="00344F69" w:rsidP="00272756">
      <w:pPr>
        <w:pStyle w:val="LegalNumPar"/>
        <w:rPr>
          <w:noProof/>
        </w:rPr>
      </w:pPr>
      <w:r w:rsidRPr="00D549BE">
        <w:t>Pour les marchés passés par l’Ukraine conformément à l’article 13, paragraphe 8, point a), qui sont validés par les États membres participants, l’État membre participant assure le suivi de la mise en œuvre de la passation de marchés et de la livraison conformément à cette disposition et fait rapport à la Commission.</w:t>
      </w:r>
    </w:p>
    <w:p w14:paraId="7E70871F" w14:textId="77777777" w:rsidR="00344F69" w:rsidRPr="00D549BE" w:rsidRDefault="00344F69" w:rsidP="00272756">
      <w:pPr>
        <w:pStyle w:val="LegalNumPar"/>
        <w:rPr>
          <w:noProof/>
        </w:rPr>
      </w:pPr>
      <w:r w:rsidRPr="00D549BE">
        <w:t>Pour les marchés passés par l’Ukraine conformément à l’article 13, paragraphe 8, point b), les États membres participants qui participent à l’acquisition conjointe concernée assurent le suivi de la mise en œuvre de la passation de marchés ainsi que de la livraison et font rapport à la Commission. Lorsque, dans le cadre d’une acquisition conjointe au titre du règlement (UE) 2025/1106, un État membre non participant accepte d’être lié par les règles d’éligibilité énoncées dans le présent règlement et de les appliquer, assure la protection des intérêts financiers de l’Union et est le pouvoir adjudicateur qui agit au nom des autres pays, l’Ukraine exige, comme condition de sa participation, que l’État membre non participant assure le suivi de la mise en œuvre de la passation de marchés ainsi que de la livraison et fait rapport à la Commission.</w:t>
      </w:r>
    </w:p>
    <w:p w14:paraId="3DFCBE8D" w14:textId="77777777" w:rsidR="00344F69" w:rsidRPr="00D549BE" w:rsidRDefault="00344F69" w:rsidP="00B82843">
      <w:pPr>
        <w:pStyle w:val="LegalNumPar"/>
        <w:rPr>
          <w:noProof/>
        </w:rPr>
      </w:pPr>
      <w:r w:rsidRPr="00D549BE">
        <w:t>Pour les accords conclus entre l’Ukraine et des États membres participants conformément à l’article 13, paragraphe 8, point c), l’État membre participant assure le suivi de la mise en œuvre de l’accord et de la livraison et fait rapport à la Commission. Pour les accords conclus entre l’Ukraine et des États membres non participants conformément à l’article 13, paragraphe 8, point c), l’Ukraine inclut dans ces accords l’obligation, pour l’État membre non participant concerné, d’être lié par les règles d’éligibilité énoncées dans le présent règlement et de les appliquer, d’assurer la protection des intérêts financiers de l’Union et d’assurer le suivi de la mise en œuvre de l’accord ainsi que de la livraison et de faire rapport à la Commission.</w:t>
      </w:r>
    </w:p>
    <w:p w14:paraId="2426FEAA" w14:textId="77777777" w:rsidR="00344F69" w:rsidRPr="00D549BE" w:rsidRDefault="00344F69" w:rsidP="00272756">
      <w:pPr>
        <w:pStyle w:val="LegalNumPar"/>
        <w:rPr>
          <w:noProof/>
        </w:rPr>
      </w:pPr>
      <w:r w:rsidRPr="00D549BE">
        <w:t>Pour les accords conclus entre l’Ukraine et l’Agence européenne de défense conformément à l’article 13, paragraphe 8, point c), l’Agence européenne de défense assure le suivi de la mise en œuvre de l’accord et de la livraison et fait rapport à la Commission.</w:t>
      </w:r>
    </w:p>
    <w:p w14:paraId="070498A0" w14:textId="77777777" w:rsidR="00344F69" w:rsidRPr="00D549BE" w:rsidRDefault="00344F69" w:rsidP="00272756">
      <w:pPr>
        <w:pStyle w:val="LegalNumPar"/>
        <w:rPr>
          <w:noProof/>
        </w:rPr>
      </w:pPr>
      <w:r w:rsidRPr="00D549BE">
        <w:t>Pour les accords de passation de marchés conclus entre l’Ukraine et des organisations internationales ou intergouvernementales conformément à l’article 13, paragraphe 8, point d), l’Ukraine inclut dans ces accords de passation de marchés l’obligation, pour les organisations internationales ou intergouvernementales concernées, d’assurer le suivi de la mise en œuvre de la passation de marchés et de la livraison et de faire rapport à la Commission.</w:t>
      </w:r>
    </w:p>
    <w:p w14:paraId="68E34FF3" w14:textId="737F0D4B" w:rsidR="00947D06" w:rsidRPr="00D549BE" w:rsidRDefault="00980183" w:rsidP="00947D06">
      <w:pPr>
        <w:pStyle w:val="LegalNumPar"/>
        <w:rPr>
          <w:noProof/>
        </w:rPr>
      </w:pPr>
      <w:r w:rsidRPr="00D549BE">
        <w:t>Les paragraphes 1 à 7 ne s’appliquent pas aux marchés passés par l’Ukraine conformément à l’article 13, paragraphe 8, en ce qui concerne les activités, dépenses et mesures liées à d’autres produits destinés à des fins de défense d’un montant inférieur à 7 000 000 EUR. Toutefois, l’Ukraine fait régulièrement rapport à la Commission de la manière dont elle assure le suivi de la mise en œuvre de ces passations de marchés et de la livraison. La Commission procède à des contrôles fondés sur les risques.</w:t>
      </w:r>
    </w:p>
    <w:p w14:paraId="3A6ABA6D" w14:textId="262B5EDF" w:rsidR="00344F69" w:rsidRPr="00D549BE" w:rsidRDefault="00344F69" w:rsidP="00947D06">
      <w:pPr>
        <w:pStyle w:val="LegalNumPar"/>
        <w:rPr>
          <w:noProof/>
        </w:rPr>
      </w:pPr>
      <w:r w:rsidRPr="00D549BE">
        <w:t>Si la Commission est avertie par l’Ukraine de la non-exécution d’un contrat conformément à l’article 20, paragraphe 2, point g), ou prend connaissance de la non-livraison de produits au titre du présent article ou de la non-utilisation de fonds sur le compte visé à l’article 16, la Commission engage un dialogue avec l’Ukraine en vue de réaffecter ces fonds conformément aux dispositions du présent règlement.</w:t>
      </w:r>
    </w:p>
    <w:p w14:paraId="365753D0" w14:textId="6A7A438C" w:rsidR="00344F69" w:rsidRPr="00D549BE" w:rsidRDefault="00344F69" w:rsidP="0014092D">
      <w:pPr>
        <w:pStyle w:val="Titrearticle"/>
        <w:rPr>
          <w:b/>
          <w:bCs/>
          <w:noProof/>
        </w:rPr>
      </w:pPr>
      <w:r w:rsidRPr="00D549BE">
        <w:t xml:space="preserve">Article 18 </w:t>
      </w:r>
      <w:r w:rsidRPr="00D549BE">
        <w:br/>
      </w:r>
      <w:r w:rsidRPr="00D549BE">
        <w:rPr>
          <w:b/>
        </w:rPr>
        <w:t>Modification d’accords-cadres ou de marchés</w:t>
      </w:r>
    </w:p>
    <w:p w14:paraId="4F371DDD" w14:textId="77777777" w:rsidR="00344F69" w:rsidRPr="00D549BE" w:rsidRDefault="00344F69" w:rsidP="00717586">
      <w:pPr>
        <w:pStyle w:val="LegalNumPar"/>
        <w:numPr>
          <w:ilvl w:val="0"/>
          <w:numId w:val="30"/>
        </w:numPr>
        <w:rPr>
          <w:noProof/>
        </w:rPr>
      </w:pPr>
      <w:r w:rsidRPr="00D549BE">
        <w:t>Lorsque les activités, dépenses et mesures liées aux produits de défense sont mises en œuvre au sein de l’Union en utilisant les modes visés à l’article 13, paragraphe 8, point b) ou c), les règles prévues aux paragraphes 2 à 4 s’appliquent à un accord-cadre ou à un marché existant qui a pour objet l’achat de produits de défense, qui est utilisé dans le cadre de ce mode de mise en œuvre et qui ne prévoit pas la possibilité de le modifier de manière substantielle. Lorsqu’il applique les paragraphes 2 et 3, le pouvoir adjudicateur qui a conclu l’accord-cadre ou le marché obtient l’accord préalable de l’entreprise avec laquelle il a conclu ledit accord-cadre ou ledit marché.</w:t>
      </w:r>
    </w:p>
    <w:p w14:paraId="1081962F" w14:textId="77777777" w:rsidR="00344F69" w:rsidRPr="00D549BE" w:rsidRDefault="00344F69" w:rsidP="00717586">
      <w:pPr>
        <w:pStyle w:val="LegalNumPar"/>
        <w:numPr>
          <w:ilvl w:val="0"/>
          <w:numId w:val="30"/>
        </w:numPr>
        <w:rPr>
          <w:noProof/>
        </w:rPr>
      </w:pPr>
      <w:r w:rsidRPr="00D549BE">
        <w:t xml:space="preserve">Un pouvoir adjudicateur d’un État membre participant peut modifier un accord-cadre ou un marché existant relatif à des produits de défense, lorsque ledit accord-cadre ou marché a été conclu avec une entreprise remplissant des critères équivalents à ceux énoncés à l’article 13, paragraphes 4 à 5, du présent règlement, afin d’ajouter l’Ukraine en tant que partie audit accord-cadre ou audit marché. </w:t>
      </w:r>
    </w:p>
    <w:p w14:paraId="566B35F5" w14:textId="77777777" w:rsidR="00344F69" w:rsidRPr="00D549BE" w:rsidRDefault="00344F69" w:rsidP="00717586">
      <w:pPr>
        <w:pStyle w:val="LegalNumPar"/>
        <w:numPr>
          <w:ilvl w:val="0"/>
          <w:numId w:val="30"/>
        </w:numPr>
        <w:rPr>
          <w:noProof/>
        </w:rPr>
      </w:pPr>
      <w:r w:rsidRPr="00D549BE">
        <w:t>Par dérogation à l’article 29, paragraphe 2, troisième alinéa, de la directive 2009/81/CE, un pouvoir adjudicateur d’un État membre participant peut apporter des modifications substantielles aux quantités fixées dans un accord-cadre ou un marché dont la valeur estimée est supérieure aux seuils fixés à l’article 8 de la directive 2009/81/CE, lorsque cet accord-cadre ou ce marché a été conclu avec une entreprise remplissant des critères équivalents à ceux énoncés à l’article 13, paragraphes 4 et 5, du présent règlement, et dans la mesure où cette modification est strictement nécessaire à l’application du paragraphe 2 du présent article.</w:t>
      </w:r>
    </w:p>
    <w:p w14:paraId="6A01CA46" w14:textId="77777777" w:rsidR="00344F69" w:rsidRPr="00D549BE" w:rsidRDefault="00344F69" w:rsidP="00717586">
      <w:pPr>
        <w:pStyle w:val="LegalNumPar"/>
        <w:numPr>
          <w:ilvl w:val="0"/>
          <w:numId w:val="30"/>
        </w:numPr>
        <w:rPr>
          <w:noProof/>
        </w:rPr>
      </w:pPr>
      <w:r w:rsidRPr="00D549BE">
        <w:t>Aux fins du calcul de la valeur visée au paragraphe 3, la valeur actualisée est le point de référence lorsque le marché comporte une clause d’indexation.</w:t>
      </w:r>
    </w:p>
    <w:p w14:paraId="61B9CA33" w14:textId="77777777" w:rsidR="00344F69" w:rsidRPr="00D549BE" w:rsidRDefault="00344F69" w:rsidP="00717586">
      <w:pPr>
        <w:pStyle w:val="LegalNumPar"/>
        <w:numPr>
          <w:ilvl w:val="0"/>
          <w:numId w:val="30"/>
        </w:numPr>
        <w:rPr>
          <w:noProof/>
        </w:rPr>
      </w:pPr>
      <w:r w:rsidRPr="00D549BE">
        <w:t xml:space="preserve">Un pouvoir adjudicateur qui a modifié un accord-cadre ou un marché dans les cas visés au paragraphe 2 ou 3 du présent article publie un avis à cet effet au </w:t>
      </w:r>
      <w:r w:rsidRPr="00D549BE">
        <w:rPr>
          <w:i/>
        </w:rPr>
        <w:t>Journal officiel de l’Union européenne</w:t>
      </w:r>
      <w:r w:rsidRPr="00D549BE">
        <w:t xml:space="preserve"> conformément à l’article 32 de la directive 2009/81/CE.</w:t>
      </w:r>
    </w:p>
    <w:p w14:paraId="2F8F0083" w14:textId="77777777" w:rsidR="00344F69" w:rsidRPr="00D549BE" w:rsidRDefault="00344F69" w:rsidP="00717586">
      <w:pPr>
        <w:pStyle w:val="LegalNumPar"/>
        <w:numPr>
          <w:ilvl w:val="0"/>
          <w:numId w:val="30"/>
        </w:numPr>
        <w:rPr>
          <w:noProof/>
        </w:rPr>
      </w:pPr>
      <w:r w:rsidRPr="00D549BE">
        <w:t>Dans les cas visés aux paragraphes 2 et 3, le principe de l’égalité des droits et des obligations s’applique entre les pouvoirs adjudicateurs qui sont parties à l’accord-cadre ou au marché, notamment en ce qui concerne le coût des quantités supplémentaires acquises.</w:t>
      </w:r>
    </w:p>
    <w:p w14:paraId="30C98FC6" w14:textId="5C4CFF6A" w:rsidR="00344F69" w:rsidRPr="00D549BE" w:rsidRDefault="00344F69" w:rsidP="0014092D">
      <w:pPr>
        <w:pStyle w:val="Titrearticle"/>
        <w:rPr>
          <w:b/>
          <w:bCs/>
          <w:noProof/>
        </w:rPr>
      </w:pPr>
      <w:r w:rsidRPr="00D549BE">
        <w:t xml:space="preserve">Article 19 </w:t>
      </w:r>
      <w:r w:rsidRPr="00D549BE">
        <w:br/>
      </w:r>
      <w:r w:rsidRPr="00D549BE">
        <w:rPr>
          <w:b/>
        </w:rPr>
        <w:t>Priorisation volontaire de produits de défense</w:t>
      </w:r>
    </w:p>
    <w:p w14:paraId="3F9D746C" w14:textId="77777777" w:rsidR="00B36D02" w:rsidRPr="00D549BE" w:rsidRDefault="00B36D02" w:rsidP="00717586">
      <w:pPr>
        <w:pStyle w:val="LegalNumPar"/>
        <w:numPr>
          <w:ilvl w:val="0"/>
          <w:numId w:val="31"/>
        </w:numPr>
        <w:rPr>
          <w:noProof/>
        </w:rPr>
      </w:pPr>
      <w:r w:rsidRPr="00D549BE">
        <w:t xml:space="preserve">Aux seules fins du présent règlement et lorsque l’Ukraine est confrontée à de graves difficultés dans la passation ou l’exécution d’un contrat de fourniture de produits de défense dont elle a urgemment besoin et qui satisfont aux exigences d’éligibilité énoncées à l’article 13, paragraphe 4 ou 5, un opérateur économique et l’État membre participant sur le territoire duquel se trouve son site de production peuvent soumettre conjointement à la Commission une demande d’adoption d’une mesure de priorisation visant à donner la priorité à une commande donnée de ces produits fabriqués par ledit opérateur économique. </w:t>
      </w:r>
    </w:p>
    <w:p w14:paraId="168836BE" w14:textId="77777777" w:rsidR="00B36D02" w:rsidRPr="00D549BE" w:rsidRDefault="00B36D02" w:rsidP="00717586">
      <w:pPr>
        <w:pStyle w:val="LegalNumPar"/>
        <w:numPr>
          <w:ilvl w:val="0"/>
          <w:numId w:val="31"/>
        </w:numPr>
        <w:rPr>
          <w:noProof/>
        </w:rPr>
      </w:pPr>
      <w:r w:rsidRPr="00D549BE">
        <w:t>La demande conjointe visée au paragraphe 1 comprend les éléments suivants:</w:t>
      </w:r>
    </w:p>
    <w:p w14:paraId="02A8D2E5" w14:textId="77777777" w:rsidR="00B36D02" w:rsidRPr="00D549BE" w:rsidRDefault="00B36D02" w:rsidP="008C4D5C">
      <w:pPr>
        <w:pStyle w:val="LegalNumPar2"/>
        <w:rPr>
          <w:noProof/>
        </w:rPr>
      </w:pPr>
      <w:r w:rsidRPr="00D549BE">
        <w:t>la demande initiale de l’Ukraine;</w:t>
      </w:r>
    </w:p>
    <w:p w14:paraId="21AF53B1" w14:textId="77777777" w:rsidR="00B36D02" w:rsidRPr="00D549BE" w:rsidRDefault="00B36D02" w:rsidP="008C4D5C">
      <w:pPr>
        <w:pStyle w:val="LegalNumPar2"/>
        <w:rPr>
          <w:noProof/>
        </w:rPr>
      </w:pPr>
      <w:r w:rsidRPr="00D549BE">
        <w:t>la liste des produits devant faire l’objet de la mesure de priorisation, leurs spécifications et les quantités dans lesquelles ils doivent être fournis;</w:t>
      </w:r>
    </w:p>
    <w:p w14:paraId="5E2A5F21" w14:textId="77777777" w:rsidR="00B36D02" w:rsidRPr="00D549BE" w:rsidRDefault="00B36D02" w:rsidP="008C4D5C">
      <w:pPr>
        <w:pStyle w:val="LegalNumPar2"/>
        <w:rPr>
          <w:noProof/>
        </w:rPr>
      </w:pPr>
      <w:r w:rsidRPr="00D549BE">
        <w:t>les délais dans lesquels la livraison de ces produits doit être effectuée;</w:t>
      </w:r>
    </w:p>
    <w:p w14:paraId="1A905DD1" w14:textId="77777777" w:rsidR="00B36D02" w:rsidRPr="00D549BE" w:rsidRDefault="00B36D02" w:rsidP="008C4D5C">
      <w:pPr>
        <w:pStyle w:val="LegalNumPar2"/>
        <w:rPr>
          <w:noProof/>
        </w:rPr>
      </w:pPr>
      <w:r w:rsidRPr="00D549BE">
        <w:t>la preuve que l’opérateur économique ne peut répondre à la demande de l’Ukraine visée au point a) sans une mesure de priorisation;</w:t>
      </w:r>
    </w:p>
    <w:p w14:paraId="2F6BD2D3" w14:textId="77777777" w:rsidR="00B36D02" w:rsidRPr="00D549BE" w:rsidRDefault="00B36D02" w:rsidP="008C4D5C">
      <w:pPr>
        <w:pStyle w:val="LegalNumPar2"/>
        <w:rPr>
          <w:noProof/>
        </w:rPr>
      </w:pPr>
      <w:r w:rsidRPr="00D549BE">
        <w:t>une indication d’un prix juste et raisonnable auquel la mesure de priorisation pourrait être soumise, ainsi que des éléments étayant ce prix.</w:t>
      </w:r>
    </w:p>
    <w:p w14:paraId="5683AF75" w14:textId="77777777" w:rsidR="00B36D02" w:rsidRPr="00D549BE" w:rsidRDefault="00B36D02" w:rsidP="00910646">
      <w:pPr>
        <w:pStyle w:val="LegalNumPar"/>
        <w:rPr>
          <w:noProof/>
        </w:rPr>
      </w:pPr>
      <w:r w:rsidRPr="00D549BE">
        <w:t xml:space="preserve">À la réception d’une demande visée au paragraphe 1, la Commission procède à son évaluation dans les meilleurs délais. </w:t>
      </w:r>
    </w:p>
    <w:p w14:paraId="14EF0E4C" w14:textId="77777777" w:rsidR="00B36D02" w:rsidRPr="00D549BE" w:rsidRDefault="00B36D02" w:rsidP="00910646">
      <w:pPr>
        <w:pStyle w:val="LegalNumPar"/>
        <w:rPr>
          <w:noProof/>
        </w:rPr>
      </w:pPr>
      <w:r w:rsidRPr="00D549BE">
        <w:t>La Commission fonde son évaluation visée au paragraphe 3 sur des données objectives, factuelles, mesurables et étayées, dans le but de déterminer si une telle priorisation est indispensable pour remédier aux graves difficultés mentionnées au paragraphe 1.</w:t>
      </w:r>
    </w:p>
    <w:p w14:paraId="32043794" w14:textId="77777777" w:rsidR="00B36D02" w:rsidRPr="00D549BE" w:rsidRDefault="00B36D02" w:rsidP="00910646">
      <w:pPr>
        <w:pStyle w:val="LegalNumPar"/>
        <w:rPr>
          <w:noProof/>
        </w:rPr>
      </w:pPr>
      <w:r w:rsidRPr="00D549BE">
        <w:t>Lorsque l’évaluation visée au paragraphe 3 conclut que la priorisation est indispensable, la Commission adopte, au moyen d’un acte d’exécution, une mesure de priorisation établissant:</w:t>
      </w:r>
    </w:p>
    <w:p w14:paraId="66D4E48E" w14:textId="77777777" w:rsidR="00B36D02" w:rsidRPr="00D549BE" w:rsidRDefault="00B36D02" w:rsidP="00910646">
      <w:pPr>
        <w:pStyle w:val="LegalNumPar2"/>
        <w:rPr>
          <w:noProof/>
        </w:rPr>
      </w:pPr>
      <w:r w:rsidRPr="00D549BE">
        <w:t>la base juridique de la demande prioritaire à laquelle l’opérateur économique doit se conformer;</w:t>
      </w:r>
    </w:p>
    <w:p w14:paraId="105119D8" w14:textId="77777777" w:rsidR="00B36D02" w:rsidRPr="00D549BE" w:rsidRDefault="00B36D02" w:rsidP="00910646">
      <w:pPr>
        <w:pStyle w:val="LegalNumPar2"/>
        <w:rPr>
          <w:noProof/>
        </w:rPr>
      </w:pPr>
      <w:r w:rsidRPr="00D549BE">
        <w:t>la liste des produits faisant l’objet de la demande prioritaire, leurs spécifications et les quantités dans lesquelles ils doivent être fournis;</w:t>
      </w:r>
    </w:p>
    <w:p w14:paraId="1259296C" w14:textId="77777777" w:rsidR="00B36D02" w:rsidRPr="00D549BE" w:rsidRDefault="00B36D02" w:rsidP="00910646">
      <w:pPr>
        <w:pStyle w:val="LegalNumPar2"/>
        <w:rPr>
          <w:noProof/>
        </w:rPr>
      </w:pPr>
      <w:r w:rsidRPr="00D549BE">
        <w:t>les délais dans lesquels la demande prioritaire doit être satisfaite;</w:t>
      </w:r>
    </w:p>
    <w:p w14:paraId="0196BF53" w14:textId="77777777" w:rsidR="00B36D02" w:rsidRPr="00D549BE" w:rsidRDefault="00B36D02" w:rsidP="00910646">
      <w:pPr>
        <w:pStyle w:val="LegalNumPar2"/>
        <w:rPr>
          <w:noProof/>
        </w:rPr>
      </w:pPr>
      <w:r w:rsidRPr="00D549BE">
        <w:t>les bénéficiaires de la demande prioritaire;</w:t>
      </w:r>
    </w:p>
    <w:p w14:paraId="0F367147" w14:textId="77777777" w:rsidR="00B36D02" w:rsidRPr="00D549BE" w:rsidRDefault="00B36D02" w:rsidP="00910646">
      <w:pPr>
        <w:pStyle w:val="LegalNumPar2"/>
        <w:rPr>
          <w:noProof/>
        </w:rPr>
      </w:pPr>
      <w:r w:rsidRPr="00D549BE">
        <w:t>la portée des obligations contractuelles sur lesquelles la demande prioritaire prévaut;</w:t>
      </w:r>
    </w:p>
    <w:p w14:paraId="36A46505" w14:textId="77777777" w:rsidR="00B36D02" w:rsidRPr="00D549BE" w:rsidRDefault="00B36D02" w:rsidP="00910646">
      <w:pPr>
        <w:pStyle w:val="LegalNumPar2"/>
        <w:rPr>
          <w:noProof/>
        </w:rPr>
      </w:pPr>
      <w:r w:rsidRPr="00D549BE">
        <w:t>l’exonération de responsabilité contractuelle dans les conditions prévues au paragraphe 7 du présent article; et</w:t>
      </w:r>
    </w:p>
    <w:p w14:paraId="5BC446F2" w14:textId="77777777" w:rsidR="00910646" w:rsidRPr="00D549BE" w:rsidRDefault="00B36D02" w:rsidP="00910646">
      <w:pPr>
        <w:pStyle w:val="LegalNumPar2"/>
        <w:rPr>
          <w:noProof/>
        </w:rPr>
      </w:pPr>
      <w:r w:rsidRPr="00D549BE">
        <w:t>les sanctions prévues aux paragraphes 12 à 18 du présent article en cas de non-respect des obligations découlant dudit acte d’exécution.</w:t>
      </w:r>
    </w:p>
    <w:p w14:paraId="13E29712" w14:textId="18905E98" w:rsidR="00B36D02" w:rsidRPr="00D549BE" w:rsidRDefault="00B36D02" w:rsidP="00910646">
      <w:pPr>
        <w:pStyle w:val="LegalNumPar2"/>
        <w:numPr>
          <w:ilvl w:val="0"/>
          <w:numId w:val="0"/>
        </w:numPr>
        <w:ind w:left="953"/>
        <w:rPr>
          <w:noProof/>
        </w:rPr>
      </w:pPr>
      <w:r w:rsidRPr="00D549BE">
        <w:t>L’acte d’exécution visé au premier alinéa du présent paragraphe est adopté en conformité avec la procédure d’examen visée à l’article 27, paragraphe 3.</w:t>
      </w:r>
    </w:p>
    <w:p w14:paraId="76CA4941" w14:textId="77777777" w:rsidR="00B36D02" w:rsidRPr="00D549BE" w:rsidRDefault="00B36D02" w:rsidP="00910646">
      <w:pPr>
        <w:pStyle w:val="LegalNumPar"/>
        <w:rPr>
          <w:noProof/>
        </w:rPr>
      </w:pPr>
      <w:r w:rsidRPr="00D549BE">
        <w:t xml:space="preserve">La mesure de priorisation visée au paragraphe 5: </w:t>
      </w:r>
    </w:p>
    <w:p w14:paraId="496939E6" w14:textId="77777777" w:rsidR="00B36D02" w:rsidRPr="00D549BE" w:rsidRDefault="00B36D02" w:rsidP="00910646">
      <w:pPr>
        <w:pStyle w:val="LegalNumPar2"/>
        <w:rPr>
          <w:noProof/>
        </w:rPr>
      </w:pPr>
      <w:r w:rsidRPr="00D549BE">
        <w:t xml:space="preserve">est soumise à un prix juste et raisonnable tenant dûment compte des coûts d’opportunité supportés par l’opérateur économique pour satisfaire la mesure de priorisation par rapport aux obligations contractuelles existantes; et </w:t>
      </w:r>
    </w:p>
    <w:p w14:paraId="64DF0CFC" w14:textId="77777777" w:rsidR="00B36D02" w:rsidRPr="00D549BE" w:rsidRDefault="00B36D02" w:rsidP="00910646">
      <w:pPr>
        <w:pStyle w:val="LegalNumPar2"/>
        <w:rPr>
          <w:noProof/>
        </w:rPr>
      </w:pPr>
      <w:r w:rsidRPr="00D549BE">
        <w:t>prévaut sur toute obligation contractuelle de droit privé ou public liée aux produits de défense faisant l’objet de la mesure de priorisation, dans les conditions fixées dans l’acte d’exécution visé au paragraphe 5.</w:t>
      </w:r>
    </w:p>
    <w:p w14:paraId="5C0216FB" w14:textId="77777777" w:rsidR="00B36D02" w:rsidRPr="00D549BE" w:rsidRDefault="00B36D02" w:rsidP="00910646">
      <w:pPr>
        <w:pStyle w:val="LegalNumPar"/>
        <w:rPr>
          <w:noProof/>
        </w:rPr>
      </w:pPr>
      <w:r w:rsidRPr="00D549BE">
        <w:t>L’opérateur économique concerné par une mesure de priorisation en application du paragraphe 5 n’est pas responsable d’un manquement à une obligation contractuelle régie par le droit d’un État membre participant, à condition que:</w:t>
      </w:r>
    </w:p>
    <w:p w14:paraId="5738898D" w14:textId="77777777" w:rsidR="00B36D02" w:rsidRPr="00D549BE" w:rsidRDefault="00B36D02" w:rsidP="00910646">
      <w:pPr>
        <w:pStyle w:val="LegalNumPar2"/>
        <w:rPr>
          <w:noProof/>
        </w:rPr>
      </w:pPr>
      <w:r w:rsidRPr="00D549BE">
        <w:t>le manquement à l’obligation contractuelle soit strictement nécessaire pour respecter la priorité requise;</w:t>
      </w:r>
    </w:p>
    <w:p w14:paraId="2F01D56B" w14:textId="77777777" w:rsidR="00B36D02" w:rsidRPr="00D549BE" w:rsidRDefault="00B36D02" w:rsidP="00910646">
      <w:pPr>
        <w:pStyle w:val="LegalNumPar2"/>
        <w:rPr>
          <w:noProof/>
        </w:rPr>
      </w:pPr>
      <w:r w:rsidRPr="00D549BE">
        <w:t>l’acte d’exécution visé au paragraphe 5 ait été respecté; et</w:t>
      </w:r>
    </w:p>
    <w:p w14:paraId="746532A0" w14:textId="77777777" w:rsidR="00B36D02" w:rsidRPr="00D549BE" w:rsidRDefault="00B36D02" w:rsidP="00910646">
      <w:pPr>
        <w:pStyle w:val="LegalNumPar2"/>
        <w:rPr>
          <w:noProof/>
        </w:rPr>
      </w:pPr>
      <w:r w:rsidRPr="00D549BE">
        <w:t>la demande visée au paragraphe 1 n’ait pas eu pour seul but d’éviter indûment une obligation d’exécution de droit privé ou public antérieure.</w:t>
      </w:r>
    </w:p>
    <w:p w14:paraId="69540C46" w14:textId="77777777" w:rsidR="00B36D02" w:rsidRPr="00D549BE" w:rsidRDefault="00B36D02" w:rsidP="00910646">
      <w:pPr>
        <w:pStyle w:val="LegalNumPar"/>
        <w:rPr>
          <w:noProof/>
        </w:rPr>
      </w:pPr>
      <w:r w:rsidRPr="00D549BE">
        <w:t>L’opérateur économique faisant l’objet d’une mesure de priorisation peut demander à la Commission de modifier l’acte d’exécution visé au paragraphe 5 lorsqu’il l’estime dûment justifié sur la base de l’un des motifs suivants:</w:t>
      </w:r>
    </w:p>
    <w:p w14:paraId="5867C5DA" w14:textId="77777777" w:rsidR="00B36D02" w:rsidRPr="00D549BE" w:rsidRDefault="00B36D02" w:rsidP="00910646">
      <w:pPr>
        <w:pStyle w:val="LegalNumPar2"/>
        <w:rPr>
          <w:noProof/>
        </w:rPr>
      </w:pPr>
      <w:r w:rsidRPr="00D549BE">
        <w:t>l’opérateur économique n’est pas en mesure d’honorer la mesure de priorisation en raison d’une capacité potentielle ou réelle de production insuffisante, même dans le cadre d’un traitement préférentiel de la demande;</w:t>
      </w:r>
    </w:p>
    <w:p w14:paraId="201E0FAB" w14:textId="77777777" w:rsidR="00B36D02" w:rsidRPr="00D549BE" w:rsidRDefault="00B36D02" w:rsidP="00910646">
      <w:pPr>
        <w:pStyle w:val="LegalNumPar2"/>
        <w:rPr>
          <w:noProof/>
        </w:rPr>
      </w:pPr>
      <w:r w:rsidRPr="00D549BE">
        <w:t>la réalisation de la mesure de priorisation imposerait une charge économique déraisonnable à l’opérateur économique et le placerait dans une situation particulièrement difficile.</w:t>
      </w:r>
    </w:p>
    <w:p w14:paraId="3C4BD3EF" w14:textId="77777777" w:rsidR="00B36D02" w:rsidRPr="00D549BE" w:rsidRDefault="00B36D02" w:rsidP="00910646">
      <w:pPr>
        <w:pStyle w:val="LegalNumPar"/>
        <w:rPr>
          <w:noProof/>
        </w:rPr>
      </w:pPr>
      <w:r w:rsidRPr="00D549BE">
        <w:t>L’opérateur économique fournit toutes les informations pertinentes et étayées permettant à la Commission d’évaluer le bien-fondé de la demande de modification visée au paragraphe 8.</w:t>
      </w:r>
    </w:p>
    <w:p w14:paraId="440E563C" w14:textId="77777777" w:rsidR="00B36D02" w:rsidRPr="00D549BE" w:rsidRDefault="00B36D02" w:rsidP="00910646">
      <w:pPr>
        <w:pStyle w:val="LegalNumPar"/>
        <w:rPr>
          <w:noProof/>
        </w:rPr>
      </w:pPr>
      <w:r w:rsidRPr="00D549BE">
        <w:t>Sur la base de l’examen des motifs et des éléments de preuve fournis par l’opérateur économique, la Commission peut, après consultation et avec l’accord préalable de l’État membre participant sur le territoire duquel est situé le site de production pertinent de l’opérateur économique concerné, modifier son acte d’exécution afin de libérer, en tout ou en partie, l’opérateur économique concerné des obligations qui lui incombent au titre du présent article.</w:t>
      </w:r>
    </w:p>
    <w:p w14:paraId="750F108A" w14:textId="77777777" w:rsidR="00B36D02" w:rsidRPr="00D549BE" w:rsidRDefault="00B36D02" w:rsidP="00910646">
      <w:pPr>
        <w:pStyle w:val="LegalNumPar"/>
        <w:rPr>
          <w:noProof/>
        </w:rPr>
      </w:pPr>
      <w:r w:rsidRPr="00D549BE">
        <w:t>Lorsqu’un opérateur économique, après avoir expressément accepté de donner la priorité aux commandes demandées par la Commission, ne respecte pas, intentionnellement ou par négligence grave, son obligation de donner la priorité à ces commandes, il est passible d’amendes énoncées aux paragraphes 12 à 18 du présent article, sauf dans les cas suivants:</w:t>
      </w:r>
    </w:p>
    <w:p w14:paraId="5DFA68AE" w14:textId="77777777" w:rsidR="00B36D02" w:rsidRPr="00D549BE" w:rsidRDefault="00B36D02" w:rsidP="00910646">
      <w:pPr>
        <w:pStyle w:val="LegalNumPar2"/>
        <w:rPr>
          <w:noProof/>
        </w:rPr>
      </w:pPr>
      <w:r w:rsidRPr="00D549BE">
        <w:t>l’opérateur économique n’est pas en mesure d’honorer la demande prioritaire en raison d’une capacité potentielle ou réelle de production insuffisante ou pour des raisons techniques; ou</w:t>
      </w:r>
    </w:p>
    <w:p w14:paraId="6A8EC070" w14:textId="77777777" w:rsidR="00B36D02" w:rsidRPr="00D549BE" w:rsidRDefault="00B36D02" w:rsidP="00910646">
      <w:pPr>
        <w:pStyle w:val="LegalNumPar2"/>
        <w:rPr>
          <w:noProof/>
        </w:rPr>
      </w:pPr>
      <w:r w:rsidRPr="00D549BE">
        <w:t>l’exécution ou la réalisation de la demande ferait peser une charge économique déraisonnable sur l’opérateur économique et le placerait dans une situation particulièrement difficile, y compris en lui faisant courir des risques substantiels liés à la continuité de ses activités.</w:t>
      </w:r>
    </w:p>
    <w:p w14:paraId="017971BE" w14:textId="77777777" w:rsidR="00B36D02" w:rsidRPr="00D549BE" w:rsidRDefault="00B36D02" w:rsidP="00910646">
      <w:pPr>
        <w:pStyle w:val="LegalNumPar2"/>
        <w:numPr>
          <w:ilvl w:val="0"/>
          <w:numId w:val="0"/>
        </w:numPr>
        <w:ind w:left="953"/>
        <w:rPr>
          <w:noProof/>
        </w:rPr>
      </w:pPr>
      <w:r w:rsidRPr="00D549BE">
        <w:t>Les recettes provenant des amendes constituent des recettes affectées externes, au sens de l’article 21, paragraphe 5, du règlement (UE, Euratom) 2024/2509, d’un programme d’assistance extérieure auquel l’Ukraine est éligible.</w:t>
      </w:r>
    </w:p>
    <w:p w14:paraId="2B0D2C77" w14:textId="77777777" w:rsidR="001C7187" w:rsidRPr="00D549BE" w:rsidRDefault="00C2596A" w:rsidP="00910646">
      <w:pPr>
        <w:pStyle w:val="LegalNumPar"/>
        <w:rPr>
          <w:noProof/>
        </w:rPr>
      </w:pPr>
      <w:r w:rsidRPr="00D549BE">
        <w:t xml:space="preserve">Lorsqu’elle le juge nécessaire et proportionné, la Commission peut, par voie d’actes d’exécution, infliger aux opérateurs économiques des amendes n’excédant pas 300 000 EUR lorsque ces opérateurs économiques, intentionnellement ou par négligence grave, ne respectent pas leur obligation d’exécuter la demande prioritaire en application du présent article. </w:t>
      </w:r>
    </w:p>
    <w:p w14:paraId="336F8BAD" w14:textId="7589B958" w:rsidR="00C2596A" w:rsidRPr="00D549BE" w:rsidRDefault="00C2596A" w:rsidP="00910646">
      <w:pPr>
        <w:pStyle w:val="LegalNumPar"/>
        <w:numPr>
          <w:ilvl w:val="0"/>
          <w:numId w:val="0"/>
        </w:numPr>
        <w:ind w:left="476"/>
        <w:rPr>
          <w:noProof/>
        </w:rPr>
      </w:pPr>
      <w:r w:rsidRPr="00D549BE">
        <w:t>Les actes d'exécution visés au premier alinéa du présent paragraphe sont adoptés en conformité avec la procédure d'examen visée à l'article 27, paragraphe 3.</w:t>
      </w:r>
    </w:p>
    <w:p w14:paraId="594E44E6" w14:textId="77777777" w:rsidR="00C2596A" w:rsidRPr="00D549BE" w:rsidRDefault="00C2596A" w:rsidP="00910646">
      <w:pPr>
        <w:pStyle w:val="LegalNumPar"/>
        <w:rPr>
          <w:noProof/>
        </w:rPr>
      </w:pPr>
      <w:r w:rsidRPr="00D549BE">
        <w:t>Avant de statuer en application du paragraphe 12, la Commission donne à l’opérateur économique concerné la possibilité d’être entendu conformément au paragraphe 15. La Commission tient compte de toute justification dûment motivée présentée par l’opérateur économique en vue de déterminer si les amendes sont jugées nécessaires et proportionnées.</w:t>
      </w:r>
    </w:p>
    <w:p w14:paraId="2AB613F8" w14:textId="77777777" w:rsidR="00C2596A" w:rsidRPr="00D549BE" w:rsidRDefault="00C2596A" w:rsidP="00910646">
      <w:pPr>
        <w:pStyle w:val="LegalNumPar"/>
        <w:rPr>
          <w:noProof/>
        </w:rPr>
      </w:pPr>
      <w:r w:rsidRPr="00D549BE">
        <w:t>Pour déterminer le montant de l’amende, la Commission prend en considération la nature, la gravité et la durée de l’infraction, y compris l’éventualité que l’opérateur économique ait partiellement respecté la commande ou la demande prioritaire.</w:t>
      </w:r>
    </w:p>
    <w:p w14:paraId="2628DC2C" w14:textId="77777777" w:rsidR="00C2596A" w:rsidRPr="00D549BE" w:rsidRDefault="00C2596A" w:rsidP="00910646">
      <w:pPr>
        <w:pStyle w:val="LegalNumPar"/>
        <w:rPr>
          <w:noProof/>
        </w:rPr>
      </w:pPr>
      <w:r w:rsidRPr="00D549BE">
        <w:t>Avant d’adopter une décision en application du paragraphe 12, la Commission veille à ce que les opérateurs économiques concernés aient eu la possibilité de présenter des observations sur:</w:t>
      </w:r>
    </w:p>
    <w:p w14:paraId="08935DFA" w14:textId="77777777" w:rsidR="00C2596A" w:rsidRPr="00D549BE" w:rsidRDefault="00C2596A" w:rsidP="00910646">
      <w:pPr>
        <w:pStyle w:val="LegalNumPar2"/>
        <w:rPr>
          <w:noProof/>
        </w:rPr>
      </w:pPr>
      <w:r w:rsidRPr="00D549BE">
        <w:t>les constatations préliminaires de la Commission, y compris sur tout grief retenu par la Commission;</w:t>
      </w:r>
    </w:p>
    <w:p w14:paraId="1888F911" w14:textId="77777777" w:rsidR="00C2596A" w:rsidRPr="00D549BE" w:rsidRDefault="00C2596A" w:rsidP="00910646">
      <w:pPr>
        <w:pStyle w:val="LegalNumPar2"/>
        <w:rPr>
          <w:noProof/>
        </w:rPr>
      </w:pPr>
      <w:r w:rsidRPr="00D549BE">
        <w:t>les mesures que la Commission peut avoir l’intention de prendre au vu des constatations préliminaires visées au point a) du présent paragraphe.</w:t>
      </w:r>
    </w:p>
    <w:p w14:paraId="59C7D252" w14:textId="77777777" w:rsidR="00C2596A" w:rsidRPr="00D549BE" w:rsidRDefault="00C2596A" w:rsidP="00910646">
      <w:pPr>
        <w:pStyle w:val="LegalNumPar"/>
        <w:rPr>
          <w:noProof/>
        </w:rPr>
      </w:pPr>
      <w:r w:rsidRPr="00D549BE">
        <w:t>Les opérateurs économiques concernés peuvent présenter à la Commission leurs observations sur ses constatations préliminaires dans un délai fixé par la Commission dans ses constatations préliminaires et qui ne peut être inférieur à 14 jours ouvrables.</w:t>
      </w:r>
    </w:p>
    <w:p w14:paraId="61DC8920" w14:textId="77777777" w:rsidR="00C2596A" w:rsidRPr="00D549BE" w:rsidRDefault="00C2596A" w:rsidP="00910646">
      <w:pPr>
        <w:pStyle w:val="LegalNumPar"/>
        <w:rPr>
          <w:noProof/>
        </w:rPr>
      </w:pPr>
      <w:r w:rsidRPr="00D549BE">
        <w:t>La Commission ne fonde son imposition d’amendes que sur les griefs au sujet desquels les opérateurs économiques concernés ont pu formuler des observations.</w:t>
      </w:r>
    </w:p>
    <w:p w14:paraId="64857BB2" w14:textId="77777777" w:rsidR="00C2596A" w:rsidRPr="00D549BE" w:rsidRDefault="00C2596A" w:rsidP="00910646">
      <w:pPr>
        <w:pStyle w:val="LegalNumPar"/>
        <w:rPr>
          <w:noProof/>
        </w:rPr>
      </w:pPr>
      <w:r w:rsidRPr="00D549BE">
        <w:t>Lorsque la Commission a informé les opérateurs économiques concernés de ses constatations préliminaires visées au paragraphe 15, elle donne accès, sur demande, au dossier de la Commission conformément aux modalités d’une divulgation négociée, sous réserve de l’intérêt légitime des opérateurs économiques à ce que leurs secrets d’affaires ne soient pas divulgués, ou afin de préserver les secrets d’affaires ou d’autres informations confidentielles de toute personne. Le droit d’accès au dossier ne s’étend pas aux informations confidentielles et aux documents internes de la Commission ou des autorités des États membres participants, en particulier à la correspondance entre la Commission et les autorités des États membres participants. Aucune disposition du présent paragraphe n’empêche la Commission de divulguer et d’utiliser des informations nécessaires pour apporter la preuve d’une infraction.</w:t>
      </w:r>
    </w:p>
    <w:p w14:paraId="6FE74B28" w14:textId="77777777" w:rsidR="00344F69" w:rsidRPr="00D549BE" w:rsidRDefault="00C2596A" w:rsidP="00272BF7">
      <w:pPr>
        <w:pStyle w:val="LegalNumPar"/>
        <w:rPr>
          <w:noProof/>
        </w:rPr>
      </w:pPr>
      <w:r w:rsidRPr="00D549BE">
        <w:t>Le présent article est sans préjudice du droit des États membres participants de protéger les intérêts essentiels de leur sécurité conformément à l’article 346, paragraphe 1, point b), du TFUE.</w:t>
      </w:r>
    </w:p>
    <w:p w14:paraId="529A56A2" w14:textId="4BBC18E6" w:rsidR="00344F69" w:rsidRPr="00D549BE" w:rsidRDefault="00344F69" w:rsidP="00272BF7">
      <w:pPr>
        <w:pStyle w:val="ChapterTitle"/>
        <w:rPr>
          <w:noProof/>
        </w:rPr>
      </w:pPr>
      <w:bookmarkStart w:id="22" w:name="_Hlk211705499"/>
      <w:r w:rsidRPr="00D549BE">
        <w:t>CHAPITRE V</w:t>
      </w:r>
      <w:r w:rsidRPr="00D549BE">
        <w:br/>
        <w:t>FINANCEMENT ET MISE EN ŒUVRE</w:t>
      </w:r>
    </w:p>
    <w:bookmarkEnd w:id="22"/>
    <w:p w14:paraId="75176F8B" w14:textId="3D6E7CBA" w:rsidR="00344F69" w:rsidRPr="00D549BE" w:rsidRDefault="00344F69" w:rsidP="0014092D">
      <w:pPr>
        <w:pStyle w:val="Titrearticle"/>
        <w:rPr>
          <w:b/>
          <w:noProof/>
        </w:rPr>
      </w:pPr>
      <w:r w:rsidRPr="00D549BE">
        <w:t xml:space="preserve">Article 20 </w:t>
      </w:r>
      <w:r w:rsidRPr="00D549BE">
        <w:br/>
      </w:r>
      <w:r w:rsidRPr="00D549BE">
        <w:rPr>
          <w:b/>
        </w:rPr>
        <w:t>Accord de prêt de soutien à l’Ukraine</w:t>
      </w:r>
    </w:p>
    <w:p w14:paraId="1F1F1199" w14:textId="77777777" w:rsidR="0075551F" w:rsidRPr="00D549BE" w:rsidRDefault="0075551F" w:rsidP="00717586">
      <w:pPr>
        <w:pStyle w:val="LegalNumPar"/>
        <w:numPr>
          <w:ilvl w:val="0"/>
          <w:numId w:val="37"/>
        </w:numPr>
        <w:rPr>
          <w:noProof/>
        </w:rPr>
      </w:pPr>
      <w:r w:rsidRPr="00D549BE">
        <w:t xml:space="preserve">Les modalités financières détaillées du prêt de soutien à l’Ukraine sont fixées dans l’accord de prêt de soutien à l’Ukraine. </w:t>
      </w:r>
    </w:p>
    <w:p w14:paraId="05F2D5DB" w14:textId="77777777" w:rsidR="0075551F" w:rsidRPr="00D549BE" w:rsidRDefault="0075551F" w:rsidP="00A677C2">
      <w:pPr>
        <w:pStyle w:val="LegalNumPar"/>
        <w:rPr>
          <w:noProof/>
        </w:rPr>
      </w:pPr>
      <w:r w:rsidRPr="00D549BE">
        <w:t>Outre les éléments énoncés à l’article 223, paragraphe 4, du règlement (UE, Euratom) 2024/2509, l’accord de prêt de soutien à l’Ukraine contient les exigences suivantes:</w:t>
      </w:r>
    </w:p>
    <w:p w14:paraId="5002D9AC" w14:textId="0CA733A6" w:rsidR="0075551F" w:rsidRPr="00D549BE" w:rsidRDefault="00535490" w:rsidP="00535490">
      <w:pPr>
        <w:pStyle w:val="Point1"/>
        <w:rPr>
          <w:noProof/>
        </w:rPr>
      </w:pPr>
      <w:r w:rsidRPr="00D549BE">
        <w:t>a)</w:t>
      </w:r>
      <w:r w:rsidRPr="00D549BE">
        <w:tab/>
        <w:t>le prêt de soutien à l’Ukraine est un prêt à recours limité qui devient échu et exigible lors de la survenue d’un événement déclencheur de remboursement tel que défini au point j);</w:t>
      </w:r>
    </w:p>
    <w:p w14:paraId="18656E48" w14:textId="614AC652" w:rsidR="0075551F" w:rsidRPr="00D549BE" w:rsidRDefault="00535490" w:rsidP="00535490">
      <w:pPr>
        <w:pStyle w:val="Point1"/>
        <w:rPr>
          <w:noProof/>
        </w:rPr>
      </w:pPr>
      <w:r w:rsidRPr="00D549BE">
        <w:t>b)</w:t>
      </w:r>
      <w:r w:rsidRPr="00D549BE">
        <w:tab/>
        <w:t>l’Ukraine fournit à l’Union un droit de sûreté en ce qui concerne son recours en réparation à l’encontre de la Russie, en nantissement du prêt de soutien à l’Ukraine. La valeur de ce droit de sûreté est à tout moment égale à la valeur des fonds décaissés au titre du prêt de soutien à l’Ukraine;</w:t>
      </w:r>
    </w:p>
    <w:p w14:paraId="06448EFC" w14:textId="3CC15E48" w:rsidR="0075551F" w:rsidRPr="00D549BE" w:rsidRDefault="00535490" w:rsidP="00535490">
      <w:pPr>
        <w:pStyle w:val="Point1"/>
        <w:rPr>
          <w:noProof/>
        </w:rPr>
      </w:pPr>
      <w:r w:rsidRPr="00D549BE">
        <w:t>c)</w:t>
      </w:r>
      <w:r w:rsidRPr="00D549BE">
        <w:tab/>
        <w:t>les droits, responsabilités et obligations prévus dans l’accord-cadre au titre de la facilité pour l’Ukraine visé à l’article 9 du règlement (UE) 2024/792 s’appliquent à l’accord de prêt de soutien à l’Ukraine et aux fonds qu’il contient;</w:t>
      </w:r>
    </w:p>
    <w:p w14:paraId="0F2E1053" w14:textId="603DC527" w:rsidR="0075551F" w:rsidRPr="00D549BE" w:rsidRDefault="00535490" w:rsidP="00535490">
      <w:pPr>
        <w:pStyle w:val="Point1"/>
        <w:rPr>
          <w:noProof/>
        </w:rPr>
      </w:pPr>
      <w:r w:rsidRPr="00D549BE">
        <w:t>d)</w:t>
      </w:r>
      <w:r w:rsidRPr="00D549BE">
        <w:tab/>
        <w:t>le montant de l’assistance visée à l’article 8, paragraphe 2, point a) i), est mis en œuvre conformément au chapitre III du règlement (UE) 2024/792, à l’exception des règles relatives à la durée et au remboursement du prêt, y compris la bonification des coûts de l’emprunt, qui sont régies par les dispositions du présent règlement;</w:t>
      </w:r>
    </w:p>
    <w:p w14:paraId="7534EB29" w14:textId="2CC36D1D" w:rsidR="0075551F" w:rsidRPr="00D549BE" w:rsidRDefault="00535490" w:rsidP="00535490">
      <w:pPr>
        <w:pStyle w:val="Point1"/>
        <w:rPr>
          <w:noProof/>
        </w:rPr>
      </w:pPr>
      <w:r w:rsidRPr="00D549BE">
        <w:t>e)</w:t>
      </w:r>
      <w:r w:rsidRPr="00D549BE">
        <w:tab/>
        <w:t>l’Ukraine utilise les mêmes systèmes de gestion et de contrôle que ceux proposés dans le plan pour l’Ukraine établi en vertu du règlement (UE) 2024/792, y compris au-delà de la période de mise à disposition visée à l’article 6, paragraphe 2, dudit règlement;</w:t>
      </w:r>
    </w:p>
    <w:p w14:paraId="0A2E67C7" w14:textId="45A6D843" w:rsidR="0075551F" w:rsidRPr="00D549BE" w:rsidRDefault="00535490" w:rsidP="00535490">
      <w:pPr>
        <w:pStyle w:val="Point1"/>
        <w:rPr>
          <w:noProof/>
        </w:rPr>
      </w:pPr>
      <w:r w:rsidRPr="00D549BE">
        <w:t>f)</w:t>
      </w:r>
      <w:r w:rsidRPr="00D549BE">
        <w:tab/>
        <w:t>la Commission a le droit de surveiller les activités, les dépenses et les mesures relevant du chapitre IV du présent règlement qui sont réalisées par les autorités ukrainiennes tout au long du cycle des projets;</w:t>
      </w:r>
    </w:p>
    <w:p w14:paraId="314FF5B7" w14:textId="5AD20215" w:rsidR="0075551F" w:rsidRPr="00D549BE" w:rsidRDefault="00535490" w:rsidP="00535490">
      <w:pPr>
        <w:pStyle w:val="Point1"/>
        <w:rPr>
          <w:noProof/>
        </w:rPr>
      </w:pPr>
      <w:r w:rsidRPr="00D549BE">
        <w:t>g)</w:t>
      </w:r>
      <w:r w:rsidRPr="00D549BE">
        <w:tab/>
        <w:t>si un projet de contrat ou d’accord financé par le prêt de soutien à l’Ukraine n’est pas mis en œuvre, l’Ukraine en informe immédiatement la Commission;</w:t>
      </w:r>
    </w:p>
    <w:p w14:paraId="63923EB3" w14:textId="211C6EC3" w:rsidR="0075551F" w:rsidRPr="00D549BE" w:rsidRDefault="00535490" w:rsidP="00535490">
      <w:pPr>
        <w:pStyle w:val="Point1"/>
        <w:rPr>
          <w:noProof/>
        </w:rPr>
      </w:pPr>
      <w:r w:rsidRPr="00D549BE">
        <w:t>h)</w:t>
      </w:r>
      <w:r w:rsidRPr="00D549BE">
        <w:tab/>
        <w:t>l’Ukraine continue de respecter la condition préalable établie à l’article 5, paragraphe 1;</w:t>
      </w:r>
    </w:p>
    <w:p w14:paraId="7C7C5554" w14:textId="0A560577" w:rsidR="0075551F" w:rsidRPr="00D549BE" w:rsidRDefault="00535490" w:rsidP="00535490">
      <w:pPr>
        <w:pStyle w:val="Point1"/>
        <w:rPr>
          <w:noProof/>
        </w:rPr>
      </w:pPr>
      <w:r w:rsidRPr="00D549BE">
        <w:t>i)</w:t>
      </w:r>
      <w:r w:rsidRPr="00D549BE">
        <w:tab/>
        <w:t>l’Ukraine n’annule aucune mesure prise au titre d’autres instruments de soutien actuels ou antérieurs fournis par l’Union ou le FMI en matière de lutte contre la corruption;</w:t>
      </w:r>
    </w:p>
    <w:p w14:paraId="48E284D5" w14:textId="21530E3D" w:rsidR="0075551F" w:rsidRPr="00D549BE" w:rsidRDefault="00535490" w:rsidP="00535490">
      <w:pPr>
        <w:pStyle w:val="Point1"/>
        <w:rPr>
          <w:noProof/>
        </w:rPr>
      </w:pPr>
      <w:r w:rsidRPr="00D549BE">
        <w:t>j)</w:t>
      </w:r>
      <w:r w:rsidRPr="00D549BE">
        <w:tab/>
        <w:t xml:space="preserve">l’Ukraine est responsable du remboursement du principal du prêt de soutien à l’Ukraine dans un délai de 30 jours si l’une des conditions suivantes est remplie, chacune de celles-ci constituant un événement déclencheur de remboursement aux fins du présent règlement: </w:t>
      </w:r>
    </w:p>
    <w:p w14:paraId="350EA909" w14:textId="77777777" w:rsidR="0075551F" w:rsidRPr="00D549BE" w:rsidRDefault="0075551F" w:rsidP="000571A8">
      <w:pPr>
        <w:pStyle w:val="Text2"/>
        <w:rPr>
          <w:noProof/>
        </w:rPr>
      </w:pPr>
      <w:r w:rsidRPr="00D549BE">
        <w:t>i.</w:t>
      </w:r>
      <w:r w:rsidRPr="00D549BE">
        <w:tab/>
        <w:t>si l’Ukraine reçoit des espèces pour réparations de guerre, des indemnités ou tout règlement financier de la part de la Russie, à concurrence du montant de ce règlement, ou</w:t>
      </w:r>
    </w:p>
    <w:p w14:paraId="0E7786F4" w14:textId="77777777" w:rsidR="0075551F" w:rsidRPr="00D549BE" w:rsidRDefault="0075551F" w:rsidP="000571A8">
      <w:pPr>
        <w:pStyle w:val="Text2"/>
        <w:rPr>
          <w:noProof/>
        </w:rPr>
      </w:pPr>
      <w:r w:rsidRPr="00D549BE">
        <w:t>ii.</w:t>
      </w:r>
      <w:r w:rsidRPr="00D549BE">
        <w:tab/>
        <w:t>dans les 90 jours à compter de la réception par l’Ukraine d’actifs non monétaires pour réparations de guerre, d’indemnités ou de tout règlement financier de la part de la Russie, à l’exception de territoires, à concurrence du montant de ce règlement, déterminé par une valorisation indépendante. À la demande de l’Ukraine, la Commission peut accorder une prolongation de ce délai si cela est strictement justifié, ou</w:t>
      </w:r>
    </w:p>
    <w:p w14:paraId="1A80F976" w14:textId="77777777" w:rsidR="0075551F" w:rsidRPr="00D549BE" w:rsidRDefault="0075551F" w:rsidP="000571A8">
      <w:pPr>
        <w:pStyle w:val="Text2"/>
        <w:rPr>
          <w:noProof/>
        </w:rPr>
      </w:pPr>
      <w:r w:rsidRPr="00D549BE">
        <w:t>iii.</w:t>
      </w:r>
      <w:r w:rsidRPr="00D549BE">
        <w:tab/>
        <w:t>si l’Ukraine enfreint le point h), ou</w:t>
      </w:r>
    </w:p>
    <w:p w14:paraId="60EEEDE5" w14:textId="77777777" w:rsidR="0075551F" w:rsidRPr="00D549BE" w:rsidRDefault="0075551F" w:rsidP="000571A8">
      <w:pPr>
        <w:pStyle w:val="Text2"/>
        <w:rPr>
          <w:noProof/>
        </w:rPr>
      </w:pPr>
      <w:r w:rsidRPr="00D549BE">
        <w:t>iv.</w:t>
      </w:r>
      <w:r w:rsidRPr="00D549BE">
        <w:tab/>
        <w:t>s’il a été établi que, dans le cadre de la gestion du prêt de soutien à l’Ukraine, l’Ukraine s’est livrée à un quelconque acte de fraude ou de corruption ou à toute autre activité illicite préjudiciable aux intérêts financiers de l’Union;</w:t>
      </w:r>
    </w:p>
    <w:p w14:paraId="492955B7" w14:textId="0F253446" w:rsidR="0075551F" w:rsidRPr="00D549BE" w:rsidRDefault="00535490" w:rsidP="00535490">
      <w:pPr>
        <w:pStyle w:val="Point1"/>
        <w:rPr>
          <w:noProof/>
        </w:rPr>
      </w:pPr>
      <w:r w:rsidRPr="00D549BE">
        <w:t>k)</w:t>
      </w:r>
      <w:r w:rsidRPr="00D549BE">
        <w:tab/>
        <w:t>l’Ukraine est tenue de rembourser le prêt de soutien à l’Ukraine:</w:t>
      </w:r>
    </w:p>
    <w:p w14:paraId="51CA1A0E" w14:textId="77777777" w:rsidR="0075551F" w:rsidRPr="00D549BE" w:rsidRDefault="0075551F" w:rsidP="000571A8">
      <w:pPr>
        <w:pStyle w:val="Text2"/>
        <w:rPr>
          <w:noProof/>
        </w:rPr>
      </w:pPr>
      <w:r w:rsidRPr="00D549BE">
        <w:t>i.</w:t>
      </w:r>
      <w:r w:rsidRPr="00D549BE">
        <w:tab/>
        <w:t>dans le cas visé aux points j) i) et j) ii), à hauteur d’un montant de la valeur monétaire des réparations de guerre, des indemnités ou de tout règlement financier provenant de la Russie égal à la part de l’encours du prêt de soutien à l’Ukraine par rapport à la somme de la valeur de l’encours du prêt de soutien à l’Ukraine, de tout encours des prêts de réparation accordés par les membres du G7 et de tout encours des passifs au titre des prêts ERA,</w:t>
      </w:r>
    </w:p>
    <w:p w14:paraId="51567D5A" w14:textId="77777777" w:rsidR="0075551F" w:rsidRPr="00D549BE" w:rsidRDefault="0075551F" w:rsidP="000571A8">
      <w:pPr>
        <w:pStyle w:val="Text2"/>
        <w:rPr>
          <w:noProof/>
        </w:rPr>
      </w:pPr>
      <w:r w:rsidRPr="00D549BE">
        <w:t>ii.</w:t>
      </w:r>
      <w:r w:rsidRPr="00D549BE">
        <w:tab/>
        <w:t>dans le cas visé au point j) iii), à hauteur de l’encours total du prêt de soutien à l’Ukraine,</w:t>
      </w:r>
    </w:p>
    <w:p w14:paraId="7E13BF9B" w14:textId="77777777" w:rsidR="0075551F" w:rsidRPr="00D549BE" w:rsidRDefault="0075551F" w:rsidP="000571A8">
      <w:pPr>
        <w:pStyle w:val="Text2"/>
        <w:rPr>
          <w:noProof/>
        </w:rPr>
      </w:pPr>
      <w:r w:rsidRPr="00D549BE">
        <w:t>iii.</w:t>
      </w:r>
      <w:r w:rsidRPr="00D549BE">
        <w:tab/>
        <w:t>dans le cas visé au point j) iv), à hauteur de la valeur de la fraude, de la corruption ou de toute autre activité illégale portant atteinte aux intérêts financiers de l’Union;</w:t>
      </w:r>
    </w:p>
    <w:p w14:paraId="56AA9C50" w14:textId="055453F3" w:rsidR="0075551F" w:rsidRPr="00D549BE" w:rsidRDefault="00535490" w:rsidP="00535490">
      <w:pPr>
        <w:pStyle w:val="Point1"/>
        <w:rPr>
          <w:noProof/>
        </w:rPr>
      </w:pPr>
      <w:r w:rsidRPr="00D549BE">
        <w:t>l)</w:t>
      </w:r>
      <w:r w:rsidRPr="00D549BE">
        <w:tab/>
        <w:t>tout montant du prêt de soutien à l’Ukraine non couvert par la dette visée au point k) reste en place jusqu’à la survenue de futurs événements déclencheurs de remboursement;</w:t>
      </w:r>
    </w:p>
    <w:p w14:paraId="6A3B7E67" w14:textId="3E5CB338" w:rsidR="00B5340E" w:rsidRPr="00D549BE" w:rsidRDefault="00535490" w:rsidP="00535490">
      <w:pPr>
        <w:pStyle w:val="Point1"/>
        <w:rPr>
          <w:noProof/>
        </w:rPr>
      </w:pPr>
      <w:r w:rsidRPr="00D549BE">
        <w:t>m)</w:t>
      </w:r>
      <w:r w:rsidRPr="00D549BE">
        <w:tab/>
        <w:t>en cas de paiements ou de recouvrements, l’Ukraine indique les paiements correspondants du prêt de soutien à l’Ukraine qui sont remboursés ou recouvrés;</w:t>
      </w:r>
    </w:p>
    <w:p w14:paraId="076D315A" w14:textId="182AD5E7" w:rsidR="007A2CED" w:rsidRPr="00D549BE" w:rsidRDefault="00535490" w:rsidP="00535490">
      <w:pPr>
        <w:pStyle w:val="Point1"/>
        <w:rPr>
          <w:noProof/>
        </w:rPr>
      </w:pPr>
      <w:r w:rsidRPr="00D549BE">
        <w:t>n)</w:t>
      </w:r>
      <w:r w:rsidRPr="00D549BE">
        <w:tab/>
        <w:t>l’Union a le droit d’utiliser les avoirs russes immobilisés dans l’Union pour rembourser le prêt, dans le plein respect du droit de l’Union et du droit international;</w:t>
      </w:r>
    </w:p>
    <w:p w14:paraId="476224C6" w14:textId="02231D61" w:rsidR="00DC5303" w:rsidRPr="00D549BE" w:rsidRDefault="00535490" w:rsidP="00535490">
      <w:pPr>
        <w:pStyle w:val="Point1"/>
        <w:rPr>
          <w:noProof/>
        </w:rPr>
      </w:pPr>
      <w:r w:rsidRPr="00D549BE">
        <w:t>o)</w:t>
      </w:r>
      <w:r w:rsidRPr="00D549BE">
        <w:tab/>
        <w:t>l’Ukraine veille à ce que les procédures d’acquisitions et les marchés portant sur d’autres produits destinés à des fins de défense qui résultent d’une acquisition bénéficiant d’un soutien au titre du prêt de soutien à l’Ukraine comportent des conditions d’éligibilité appropriées pour protéger les intérêts de l’Union et de ses États membres en matière de sécurité et de défense.</w:t>
      </w:r>
    </w:p>
    <w:p w14:paraId="5A1D75F2" w14:textId="46A87375" w:rsidR="0075551F" w:rsidRPr="00D549BE" w:rsidRDefault="0075551F" w:rsidP="00DC5303">
      <w:pPr>
        <w:pStyle w:val="Point1letter"/>
        <w:numPr>
          <w:ilvl w:val="0"/>
          <w:numId w:val="0"/>
        </w:numPr>
        <w:ind w:left="850"/>
        <w:rPr>
          <w:noProof/>
        </w:rPr>
      </w:pPr>
      <w:r w:rsidRPr="00D549BE">
        <w:t>L’accord de prêt de soutien à l’Ukraine comprend également toute autre exigence nécessaire à la mise en œuvre dudit prêt, y compris les exigences nécessaires à la mise en œuvre de l’article 17 du présent règlement.</w:t>
      </w:r>
    </w:p>
    <w:p w14:paraId="3742A427" w14:textId="77777777" w:rsidR="0075551F" w:rsidRPr="00D549BE" w:rsidRDefault="0075551F" w:rsidP="00A677C2">
      <w:pPr>
        <w:pStyle w:val="LegalNumPar"/>
        <w:rPr>
          <w:noProof/>
        </w:rPr>
      </w:pPr>
      <w:r w:rsidRPr="00D549BE">
        <w:t>Le non-respect des termes de l’accord de prêt de soutien à l’Ukraine constitue un motif pouvant amener la Commission à suspendre ou à annuler, en tout ou en partie, la mise à disposition de la tranche ou la réalisation des versements échelonnés. Le non-respect des conditions de remboursement inscrites dans l’accord de prêt de soutien à l’Ukraine constitue en outre un motif pour que l’encours du prêt de soutien à l’Ukraine devienne échu et exigible, en tout ou en partie.</w:t>
      </w:r>
    </w:p>
    <w:p w14:paraId="12A0317B" w14:textId="77777777" w:rsidR="00344F69" w:rsidRPr="00D549BE" w:rsidRDefault="0075551F" w:rsidP="00A677C2">
      <w:pPr>
        <w:pStyle w:val="LegalNumPar"/>
        <w:rPr>
          <w:noProof/>
        </w:rPr>
      </w:pPr>
      <w:r w:rsidRPr="00D549BE">
        <w:t>L’accord de prêt de soutien à l’Ukraine est mis, sur demande, simultanément à la disposition du Parlement européen et du Conseil.</w:t>
      </w:r>
    </w:p>
    <w:p w14:paraId="077BA868" w14:textId="26CE0748" w:rsidR="00344F69" w:rsidRPr="00D549BE" w:rsidRDefault="00344F69" w:rsidP="0014092D">
      <w:pPr>
        <w:pStyle w:val="Titrearticle"/>
        <w:rPr>
          <w:b/>
          <w:bCs/>
          <w:noProof/>
        </w:rPr>
      </w:pPr>
      <w:r w:rsidRPr="00D549BE">
        <w:t xml:space="preserve">Article 21 </w:t>
      </w:r>
      <w:r w:rsidRPr="00D549BE">
        <w:br/>
      </w:r>
      <w:r w:rsidRPr="00D549BE">
        <w:rPr>
          <w:b/>
        </w:rPr>
        <w:t>Demande de fonds</w:t>
      </w:r>
    </w:p>
    <w:p w14:paraId="2DF85215" w14:textId="77777777" w:rsidR="005470FD" w:rsidRPr="00D549BE" w:rsidRDefault="000571A8" w:rsidP="00717586">
      <w:pPr>
        <w:pStyle w:val="LegalNumPar"/>
        <w:numPr>
          <w:ilvl w:val="0"/>
          <w:numId w:val="38"/>
        </w:numPr>
        <w:rPr>
          <w:noProof/>
        </w:rPr>
      </w:pPr>
      <w:r w:rsidRPr="00D549BE">
        <w:t>Pour bénéficier d’une assistance financière et économique, l’Ukraine soumet à la Commission une demande de fonds dûment justifiée. L’Ukraine peut présenter une telle demande de fonds à la Commission, en principe, six fois par an. Pour l’assistance budgétaire sous la forme d’un prêt à mettre en œuvre conformément au chapitre III du règlement (UE) 2024/792, la demande de fonds est présentée conformément au chapitre III du règlement (UE) 2024/792.</w:t>
      </w:r>
    </w:p>
    <w:p w14:paraId="2A71C13A" w14:textId="77777777" w:rsidR="000571A8" w:rsidRPr="00D549BE" w:rsidRDefault="000571A8" w:rsidP="00A677C2">
      <w:pPr>
        <w:pStyle w:val="LegalNumPar"/>
        <w:rPr>
          <w:noProof/>
        </w:rPr>
      </w:pPr>
      <w:r w:rsidRPr="00D549BE">
        <w:t>En ce qui concerne l’assistance macrofinancière, la demande de fonds est accompagnée d’un rapport conformément aux dispositions du protocole d’accord.</w:t>
      </w:r>
    </w:p>
    <w:p w14:paraId="690EA07D" w14:textId="77777777" w:rsidR="000571A8" w:rsidRPr="00D549BE" w:rsidRDefault="000571A8" w:rsidP="00A677C2">
      <w:pPr>
        <w:pStyle w:val="LegalNumPar"/>
        <w:rPr>
          <w:noProof/>
        </w:rPr>
      </w:pPr>
      <w:r w:rsidRPr="00D549BE">
        <w:t>Pour l’assistance visant à soutenir les capacités industrielles de défense de l’Ukraine:</w:t>
      </w:r>
    </w:p>
    <w:p w14:paraId="712FD41E" w14:textId="77777777" w:rsidR="000571A8" w:rsidRPr="00D549BE" w:rsidRDefault="000571A8" w:rsidP="000571A8">
      <w:pPr>
        <w:pStyle w:val="Text1"/>
        <w:rPr>
          <w:noProof/>
        </w:rPr>
      </w:pPr>
      <w:r w:rsidRPr="00D549BE">
        <w:t>a)</w:t>
      </w:r>
      <w:r w:rsidRPr="00D549BE">
        <w:tab/>
        <w:t>la demande de fonds peut couvrir plusieurs produits. Pour chaque produit couvert, la demande de fonds contient un contrat ou un accord conforme à l’article 13 et un relevé conforme à l’article 14. Ces contrats ou accords peuvent être signés ou prendre la forme d’un projet finalisé;</w:t>
      </w:r>
    </w:p>
    <w:p w14:paraId="52E974A4" w14:textId="77777777" w:rsidR="00344F69" w:rsidRPr="00D549BE" w:rsidRDefault="000571A8" w:rsidP="000571A8">
      <w:pPr>
        <w:pStyle w:val="Text1"/>
        <w:rPr>
          <w:noProof/>
        </w:rPr>
      </w:pPr>
      <w:r w:rsidRPr="00D549BE">
        <w:t>b)</w:t>
      </w:r>
      <w:r w:rsidRPr="00D549BE">
        <w:tab/>
        <w:t>si la demande de fonds porte sur un montant supérieur à 20 % du montant mis à disposition conformément à la décision d’exécution du Conseil visée à l’article 8, l’Ukraine fournit une justification détaillée, y compris en ce qui concerne l’incidence sur les futures demandes de fonds au titre de ladite décision.</w:t>
      </w:r>
    </w:p>
    <w:p w14:paraId="612C873A" w14:textId="77777777" w:rsidR="00D632C5" w:rsidRPr="00D549BE" w:rsidRDefault="00D632C5" w:rsidP="00D632C5">
      <w:pPr>
        <w:pStyle w:val="Titrearticle"/>
        <w:rPr>
          <w:noProof/>
        </w:rPr>
      </w:pPr>
      <w:r w:rsidRPr="00D549BE">
        <w:t>Article 22</w:t>
      </w:r>
    </w:p>
    <w:p w14:paraId="044C9923" w14:textId="77777777" w:rsidR="00D632C5" w:rsidRPr="00D549BE" w:rsidRDefault="00D632C5" w:rsidP="00D632C5">
      <w:pPr>
        <w:pStyle w:val="paragraph"/>
        <w:spacing w:before="0" w:beforeAutospacing="0" w:after="160" w:afterAutospacing="0"/>
        <w:jc w:val="center"/>
        <w:textAlignment w:val="baseline"/>
        <w:rPr>
          <w:noProof/>
        </w:rPr>
      </w:pPr>
      <w:r w:rsidRPr="00D549BE">
        <w:rPr>
          <w:rStyle w:val="normaltextrun"/>
          <w:b/>
        </w:rPr>
        <w:t>Bonification des coûts de l’emprunt</w:t>
      </w:r>
    </w:p>
    <w:p w14:paraId="099B77C2" w14:textId="77777777" w:rsidR="00D632C5" w:rsidRPr="00D549BE" w:rsidRDefault="00D632C5" w:rsidP="00717586">
      <w:pPr>
        <w:pStyle w:val="LegalNumPar"/>
        <w:numPr>
          <w:ilvl w:val="0"/>
          <w:numId w:val="39"/>
        </w:numPr>
        <w:rPr>
          <w:noProof/>
        </w:rPr>
      </w:pPr>
      <w:r w:rsidRPr="00D549BE">
        <w:t>Par dérogation à l’article 223, paragraphe 4, point e), du règlement (UE, Euratom) 2024/2509 et sous réserve des ressources disponibles, l’Union peut supporter les coûts découlant de l’emprunt en vue d’un prêt à l’Ukraine qui, autrement, seraient supportés par l’Ukraine (ci-après la «bonification des coûts de l’emprunt»). Ces coûts correspondent à des coûts de service (coût du financement, coût de la gestion des liquidités et coût du service pour les frais généraux administratifs liés aux opérations d’emprunt et de prêt).</w:t>
      </w:r>
    </w:p>
    <w:p w14:paraId="2C4E0F1E" w14:textId="77777777" w:rsidR="00D632C5" w:rsidRPr="00D549BE" w:rsidRDefault="00D632C5" w:rsidP="00A677C2">
      <w:pPr>
        <w:pStyle w:val="LegalNumPar"/>
        <w:rPr>
          <w:noProof/>
        </w:rPr>
      </w:pPr>
      <w:r w:rsidRPr="00D549BE">
        <w:t>L’Ukraine peut demander chaque année la bonification des coûts de l’emprunt visée au paragraphe 1. La Commission peut accorder la bonification des coûts de l’emprunt pour un montant ne dépassant pas les limites des crédits mis à disposition dans le cadre de la procédure budgétaire.</w:t>
      </w:r>
    </w:p>
    <w:p w14:paraId="49A6A9DF" w14:textId="77777777" w:rsidR="00344F69" w:rsidRPr="00D549BE" w:rsidRDefault="00344F69" w:rsidP="00344F69">
      <w:pPr>
        <w:pStyle w:val="Titrearticle"/>
        <w:rPr>
          <w:noProof/>
        </w:rPr>
      </w:pPr>
      <w:r w:rsidRPr="00D549BE">
        <w:t>Article 23</w:t>
      </w:r>
    </w:p>
    <w:p w14:paraId="19CF9DCA" w14:textId="77777777" w:rsidR="00344F69" w:rsidRPr="00D549BE" w:rsidRDefault="00344F69" w:rsidP="00344F69">
      <w:pPr>
        <w:jc w:val="center"/>
        <w:rPr>
          <w:b/>
          <w:bCs/>
          <w:noProof/>
        </w:rPr>
      </w:pPr>
      <w:r w:rsidRPr="00D549BE">
        <w:rPr>
          <w:b/>
        </w:rPr>
        <w:t xml:space="preserve">Décision relative au déblocage de l’assistance </w:t>
      </w:r>
    </w:p>
    <w:p w14:paraId="4CE516B0" w14:textId="77777777" w:rsidR="000571A8" w:rsidRPr="00D549BE" w:rsidRDefault="000571A8" w:rsidP="00717586">
      <w:pPr>
        <w:pStyle w:val="LegalNumPar"/>
        <w:numPr>
          <w:ilvl w:val="0"/>
          <w:numId w:val="41"/>
        </w:numPr>
        <w:rPr>
          <w:noProof/>
        </w:rPr>
      </w:pPr>
      <w:r w:rsidRPr="00D549BE">
        <w:t>La Commission décide de la mise à disposition de l’assistance en fonction de l’évaluation qu’elle fait des exigences suivantes:</w:t>
      </w:r>
    </w:p>
    <w:p w14:paraId="0BA442A5" w14:textId="77777777" w:rsidR="000571A8" w:rsidRPr="00D549BE" w:rsidRDefault="000571A8" w:rsidP="000571A8">
      <w:pPr>
        <w:pStyle w:val="Text1"/>
        <w:rPr>
          <w:noProof/>
        </w:rPr>
      </w:pPr>
      <w:r w:rsidRPr="00D549BE">
        <w:t>a)</w:t>
      </w:r>
      <w:r w:rsidRPr="00D549BE">
        <w:tab/>
        <w:t>pour l’assistance macrofinancière:</w:t>
      </w:r>
    </w:p>
    <w:p w14:paraId="379D6C37" w14:textId="77777777" w:rsidR="000571A8" w:rsidRPr="00D549BE" w:rsidRDefault="000571A8" w:rsidP="000571A8">
      <w:pPr>
        <w:pStyle w:val="Text2"/>
        <w:rPr>
          <w:noProof/>
        </w:rPr>
      </w:pPr>
      <w:r w:rsidRPr="00D549BE">
        <w:t>i.</w:t>
      </w:r>
      <w:r w:rsidRPr="00D549BE">
        <w:tab/>
        <w:t xml:space="preserve">le respect de la condition préalable énoncée à l’article 5, paragraphe 1, </w:t>
      </w:r>
    </w:p>
    <w:p w14:paraId="2D4D3D44" w14:textId="77777777" w:rsidR="000571A8" w:rsidRPr="00D549BE" w:rsidRDefault="000571A8" w:rsidP="000571A8">
      <w:pPr>
        <w:pStyle w:val="Text2"/>
        <w:rPr>
          <w:noProof/>
        </w:rPr>
      </w:pPr>
      <w:r w:rsidRPr="00D549BE">
        <w:t>ii.</w:t>
      </w:r>
      <w:r w:rsidRPr="00D549BE">
        <w:tab/>
        <w:t>la mise en œuvre satisfaisante des conditions de politique publique fixées dans le protocole d’accord visé à l’article 11, et</w:t>
      </w:r>
    </w:p>
    <w:p w14:paraId="073437E4" w14:textId="77777777" w:rsidR="000571A8" w:rsidRPr="00D549BE" w:rsidRDefault="000571A8" w:rsidP="000571A8">
      <w:pPr>
        <w:pStyle w:val="Text2"/>
        <w:rPr>
          <w:noProof/>
        </w:rPr>
      </w:pPr>
      <w:r w:rsidRPr="00D549BE">
        <w:t>iii.</w:t>
      </w:r>
      <w:r w:rsidRPr="00D549BE">
        <w:tab/>
        <w:t>le respect de l’accord de prêt de soutien à l’Ukraine visé à l’article 20;</w:t>
      </w:r>
    </w:p>
    <w:p w14:paraId="7950E5AA" w14:textId="77777777" w:rsidR="000571A8" w:rsidRPr="00D549BE" w:rsidRDefault="000571A8" w:rsidP="000571A8">
      <w:pPr>
        <w:pStyle w:val="Text1"/>
        <w:rPr>
          <w:noProof/>
        </w:rPr>
      </w:pPr>
      <w:r w:rsidRPr="00D549BE">
        <w:t>b)</w:t>
      </w:r>
      <w:r w:rsidRPr="00D549BE">
        <w:tab/>
        <w:t>pour l’assistance visant à soutenir les capacités industrielles de défense de l’Ukraine:</w:t>
      </w:r>
    </w:p>
    <w:p w14:paraId="2F87A1AC" w14:textId="77777777" w:rsidR="000571A8" w:rsidRPr="00D549BE" w:rsidRDefault="000571A8" w:rsidP="000571A8">
      <w:pPr>
        <w:pStyle w:val="Text2"/>
        <w:rPr>
          <w:noProof/>
        </w:rPr>
      </w:pPr>
      <w:r w:rsidRPr="00D549BE">
        <w:t>i.</w:t>
      </w:r>
      <w:r w:rsidRPr="00D549BE">
        <w:tab/>
        <w:t>le respect de la condition préalable énoncée à l’article 5, paragraphe 1,</w:t>
      </w:r>
    </w:p>
    <w:p w14:paraId="01520128" w14:textId="77777777" w:rsidR="000571A8" w:rsidRPr="00D549BE" w:rsidRDefault="000571A8" w:rsidP="000571A8">
      <w:pPr>
        <w:pStyle w:val="Text2"/>
        <w:rPr>
          <w:noProof/>
        </w:rPr>
      </w:pPr>
      <w:r w:rsidRPr="00D549BE">
        <w:t>ii.</w:t>
      </w:r>
      <w:r w:rsidRPr="00D549BE">
        <w:tab/>
        <w:t xml:space="preserve">la confirmation que les contrats ou accords portent sur des produits conformes à l’article 13 et que la Commission ne s’oppose pas aux modes de mise en œuvre, </w:t>
      </w:r>
    </w:p>
    <w:p w14:paraId="4202FB73" w14:textId="77777777" w:rsidR="000571A8" w:rsidRPr="00D549BE" w:rsidRDefault="000571A8" w:rsidP="000571A8">
      <w:pPr>
        <w:pStyle w:val="Text2"/>
        <w:rPr>
          <w:noProof/>
        </w:rPr>
      </w:pPr>
      <w:r w:rsidRPr="00D549BE">
        <w:t>iii.</w:t>
      </w:r>
      <w:r w:rsidRPr="00D549BE">
        <w:tab/>
        <w:t xml:space="preserve">la confirmation que l’Ukraine respecte globalement les étapes qualitatives et quantitatives figurant à l’annexe de la décision d’exécution (UE) 2024/1447 ainsi que toute modification de celles-ci, </w:t>
      </w:r>
    </w:p>
    <w:p w14:paraId="07755328" w14:textId="77777777" w:rsidR="000571A8" w:rsidRPr="00D549BE" w:rsidRDefault="000571A8" w:rsidP="000571A8">
      <w:pPr>
        <w:pStyle w:val="Text2"/>
        <w:rPr>
          <w:noProof/>
        </w:rPr>
      </w:pPr>
      <w:r w:rsidRPr="00D549BE">
        <w:t>iv.</w:t>
      </w:r>
      <w:r w:rsidRPr="00D549BE">
        <w:tab/>
        <w:t>le respect des obligations visées à l’article 16 et de l’accord de prêt de soutien à l’Ukraine visé à l’article 20, et</w:t>
      </w:r>
    </w:p>
    <w:p w14:paraId="3B03E572" w14:textId="77777777" w:rsidR="000571A8" w:rsidRPr="00D549BE" w:rsidRDefault="000571A8" w:rsidP="000571A8">
      <w:pPr>
        <w:pStyle w:val="Text2"/>
        <w:rPr>
          <w:noProof/>
        </w:rPr>
      </w:pPr>
      <w:r w:rsidRPr="00D549BE">
        <w:t>v.</w:t>
      </w:r>
      <w:r w:rsidRPr="00D549BE">
        <w:tab/>
        <w:t>dans la mesure nécessaire, l’adéquation de la justification détaillée de l’Ukraine, compte tenu de la situation en Ukraine et du financement extérieur engagé et attendu qui est mis à disposition.</w:t>
      </w:r>
    </w:p>
    <w:p w14:paraId="1F861DEF" w14:textId="77777777" w:rsidR="005470FD" w:rsidRPr="00D549BE" w:rsidRDefault="005470FD" w:rsidP="005470FD">
      <w:pPr>
        <w:pStyle w:val="LegalNumPar"/>
        <w:numPr>
          <w:ilvl w:val="0"/>
          <w:numId w:val="0"/>
        </w:numPr>
        <w:ind w:left="476"/>
        <w:rPr>
          <w:noProof/>
        </w:rPr>
      </w:pPr>
      <w:r w:rsidRPr="00D549BE">
        <w:t>Pour l’assistance budgétaire sous la forme d’un prêt à mettre en œuvre conformément au chapitre III du règlement (UE) 2024/792, la mise à disposition de l’assistance est mise en œuvre conformément au chapitre III du règlement (UE) 2024/792.</w:t>
      </w:r>
    </w:p>
    <w:p w14:paraId="7737134B" w14:textId="77777777" w:rsidR="000571A8" w:rsidRPr="00D549BE" w:rsidRDefault="000571A8" w:rsidP="00717586">
      <w:pPr>
        <w:pStyle w:val="LegalNumPar"/>
        <w:numPr>
          <w:ilvl w:val="0"/>
          <w:numId w:val="41"/>
        </w:numPr>
        <w:rPr>
          <w:noProof/>
        </w:rPr>
      </w:pPr>
      <w:r w:rsidRPr="00D549BE">
        <w:t>Sous réserve du respect du montant de l’assistance mise à disposition prévu dans la décision d’exécution du Conseil adoptée conformément à l’article 8, si la Commission évalue positivement la demande de fonds, elle adopte, dans les meilleurs délais, une décision autorisant le versement du prêt de soutien à l’Ukraine. Pour l’assistance visant à soutenir les capacités industrielles de défense de l’Ukraine, ce montant à verser est égal à la valeur des contrats ou accords inclus dans la demande de fonds.</w:t>
      </w:r>
    </w:p>
    <w:p w14:paraId="16EC0A4D" w14:textId="77777777" w:rsidR="000571A8" w:rsidRPr="00D549BE" w:rsidRDefault="000571A8" w:rsidP="00717586">
      <w:pPr>
        <w:pStyle w:val="LegalNumPar"/>
        <w:numPr>
          <w:ilvl w:val="0"/>
          <w:numId w:val="41"/>
        </w:numPr>
        <w:rPr>
          <w:noProof/>
        </w:rPr>
      </w:pPr>
      <w:r w:rsidRPr="00D549BE">
        <w:t>La Commission peut prendre la décision visée au paragraphe 2 pour les points a) et b) du paragraphe 1 collectivement ou individuellement.</w:t>
      </w:r>
    </w:p>
    <w:p w14:paraId="7853EEBB" w14:textId="77777777" w:rsidR="00344F69" w:rsidRPr="00D549BE" w:rsidRDefault="000571A8" w:rsidP="00717586">
      <w:pPr>
        <w:pStyle w:val="LegalNumPar"/>
        <w:numPr>
          <w:ilvl w:val="0"/>
          <w:numId w:val="41"/>
        </w:numPr>
        <w:rPr>
          <w:noProof/>
        </w:rPr>
      </w:pPr>
      <w:r w:rsidRPr="00D549BE">
        <w:t>Si la Commission évalue négativement la demande de fonds, elle en informe sans délai l’Ukraine, en motivant son évaluation. Une évaluation négative n’empêche pas l’Ukraine de présenter une nouvelle demande de fonds.</w:t>
      </w:r>
    </w:p>
    <w:p w14:paraId="11904704" w14:textId="335F668F" w:rsidR="00344F69" w:rsidRPr="00D549BE" w:rsidRDefault="00344F69" w:rsidP="00F17558">
      <w:pPr>
        <w:pStyle w:val="Titrearticle"/>
        <w:rPr>
          <w:noProof/>
        </w:rPr>
      </w:pPr>
      <w:r w:rsidRPr="00D549BE">
        <w:t xml:space="preserve">Article 24 </w:t>
      </w:r>
      <w:r w:rsidRPr="00D549BE">
        <w:br/>
      </w:r>
      <w:r w:rsidRPr="00D549BE">
        <w:rPr>
          <w:b/>
        </w:rPr>
        <w:t>Financement du prêt de soutien à l’Ukraine</w:t>
      </w:r>
    </w:p>
    <w:p w14:paraId="670119F3" w14:textId="77777777" w:rsidR="000571A8" w:rsidRPr="00D549BE" w:rsidRDefault="000571A8" w:rsidP="00717586">
      <w:pPr>
        <w:pStyle w:val="LegalNumPar"/>
        <w:numPr>
          <w:ilvl w:val="0"/>
          <w:numId w:val="40"/>
        </w:numPr>
        <w:rPr>
          <w:noProof/>
        </w:rPr>
      </w:pPr>
      <w:r w:rsidRPr="00D549BE">
        <w:t>Afin de financer l'assistance octroyée au titre du prêt de soutien à l’Ukraine, la Commission est habilitée à emprunter, au nom de l’Union, les fonds nécessaires sur les marchés des capitaux ou auprès d’établissements financiers conformément à la stratégie de financement diversifiée prévue à l’article 224 du règlement (UE, Euratom) 2024/2509.</w:t>
      </w:r>
    </w:p>
    <w:p w14:paraId="304D73A4" w14:textId="77777777" w:rsidR="00344F69" w:rsidRPr="00D549BE" w:rsidRDefault="00846243" w:rsidP="00A8443F">
      <w:pPr>
        <w:pStyle w:val="LegalNumPar"/>
        <w:rPr>
          <w:noProof/>
        </w:rPr>
      </w:pPr>
      <w:r w:rsidRPr="00D549BE">
        <w:t>Les opérations d’emprunt et de prêt aux fins du prêt de soutien à l’Ukraine sont effectuées en euros.</w:t>
      </w:r>
    </w:p>
    <w:p w14:paraId="265A37CA" w14:textId="77777777" w:rsidR="00344F69" w:rsidRPr="00D549BE" w:rsidRDefault="00AA5E09" w:rsidP="008C4D5C">
      <w:pPr>
        <w:pStyle w:val="LegalNumPar"/>
        <w:rPr>
          <w:noProof/>
          <w:szCs w:val="24"/>
        </w:rPr>
      </w:pPr>
      <w:r w:rsidRPr="00D549BE">
        <w:t>Par dérogation à l’article 31, paragraphe 3, seconde phrase, du règlement (UE) 2021/947, l’assistance financière fournie à l’Ukraine au titre du prêt de soutien à l’Ukraine n’est pas soutenue par la garantie pour l’action extérieure. Aucun provisionnement n’est constitué pour le prêt de soutien à l’Ukraine et, par dérogation à l’article 214, paragraphe 1, du règlement (UE, Euratom) 2024/2509, aucun taux de provisionnement n’est fixé.</w:t>
      </w:r>
    </w:p>
    <w:p w14:paraId="209050F8" w14:textId="69C5CA6B" w:rsidR="00344F69" w:rsidRPr="00D549BE" w:rsidRDefault="00344F69" w:rsidP="00F17558">
      <w:pPr>
        <w:pStyle w:val="Titrearticle"/>
        <w:rPr>
          <w:b/>
          <w:bCs/>
          <w:noProof/>
        </w:rPr>
      </w:pPr>
      <w:r w:rsidRPr="00D549BE">
        <w:t xml:space="preserve">Article 25 </w:t>
      </w:r>
      <w:r w:rsidRPr="00D549BE">
        <w:br/>
      </w:r>
      <w:r w:rsidRPr="00D549BE">
        <w:rPr>
          <w:b/>
        </w:rPr>
        <w:t>Application des règles relatives aux informations classifiées et aux informations sensibles</w:t>
      </w:r>
    </w:p>
    <w:p w14:paraId="3BE5EDD4" w14:textId="77777777" w:rsidR="00947D06" w:rsidRPr="00D549BE" w:rsidRDefault="00344F69" w:rsidP="00947D06">
      <w:pPr>
        <w:pStyle w:val="LegalNumPar"/>
        <w:numPr>
          <w:ilvl w:val="0"/>
          <w:numId w:val="36"/>
        </w:numPr>
        <w:rPr>
          <w:noProof/>
        </w:rPr>
      </w:pPr>
      <w:r w:rsidRPr="00D549BE">
        <w:t>Les informations classifiées qui sont créées, traitées, stockées, échangées ou partagées en vertu du présent règlement sont protégées conformément aux règles de sécurité énoncées dans la décision (UE, Euratom) 2015/444</w:t>
      </w:r>
      <w:r w:rsidRPr="00D549BE">
        <w:rPr>
          <w:rStyle w:val="FootnoteReference"/>
          <w:noProof/>
        </w:rPr>
        <w:footnoteReference w:id="34"/>
      </w:r>
      <w:r w:rsidRPr="00D549BE">
        <w:t xml:space="preserve"> de la Commission ou dans l’accord entre les États membres de l’Union européenne, réunis au sein du Conseil, relatif à la protection des informations classifiées échangées dans l’intérêt de l’Union européenne, selon le cas. </w:t>
      </w:r>
    </w:p>
    <w:p w14:paraId="4C3BBB4C" w14:textId="77777777" w:rsidR="00947D06" w:rsidRPr="00D549BE" w:rsidRDefault="00344F69" w:rsidP="00947D06">
      <w:pPr>
        <w:pStyle w:val="LegalNumPar"/>
        <w:numPr>
          <w:ilvl w:val="0"/>
          <w:numId w:val="36"/>
        </w:numPr>
        <w:rPr>
          <w:noProof/>
        </w:rPr>
      </w:pPr>
      <w:r w:rsidRPr="00D549BE">
        <w:t>La Commission utilise un système d’échange sécurisé afin de faciliter l’échange d’informations classifiées et d’informations sensibles entre la Commission et l’Ukraine ainsi que, s’il y a lieu, avec les États membres participants.</w:t>
      </w:r>
    </w:p>
    <w:p w14:paraId="44A37495" w14:textId="77777777" w:rsidR="00947D06" w:rsidRPr="00D549BE" w:rsidRDefault="00344F69" w:rsidP="00947D06">
      <w:pPr>
        <w:pStyle w:val="LegalNumPar"/>
        <w:numPr>
          <w:ilvl w:val="0"/>
          <w:numId w:val="36"/>
        </w:numPr>
        <w:rPr>
          <w:noProof/>
        </w:rPr>
      </w:pPr>
      <w:r w:rsidRPr="00D549BE">
        <w:t>La Commission a accès aux informations, y compris classifiées, nécessaires aux tâches qui lui sont confiées en vertu du présent règlement, en particulier à la vérification des conditions de versement des paiements et à la réalisation des vérifications, examens, audits et enquêtes, rapports ainsi que des contrôles et audits visés à l’article 20.</w:t>
      </w:r>
    </w:p>
    <w:p w14:paraId="26A21E55" w14:textId="77777777" w:rsidR="00947D06" w:rsidRPr="00D549BE" w:rsidRDefault="00344F69" w:rsidP="00947D06">
      <w:pPr>
        <w:pStyle w:val="LegalNumPar"/>
        <w:numPr>
          <w:ilvl w:val="0"/>
          <w:numId w:val="36"/>
        </w:numPr>
        <w:rPr>
          <w:noProof/>
        </w:rPr>
      </w:pPr>
      <w:r w:rsidRPr="00D549BE">
        <w:t xml:space="preserve">Les informations reçues en application du présent règlement ne sont utilisées qu’aux fins pour lesquelles elles ont été demandées. </w:t>
      </w:r>
    </w:p>
    <w:p w14:paraId="3053EE6F" w14:textId="47C333AC" w:rsidR="00344F69" w:rsidRPr="00D549BE" w:rsidRDefault="00344F69" w:rsidP="00947D06">
      <w:pPr>
        <w:pStyle w:val="LegalNumPar"/>
        <w:numPr>
          <w:ilvl w:val="0"/>
          <w:numId w:val="36"/>
        </w:numPr>
        <w:rPr>
          <w:noProof/>
        </w:rPr>
      </w:pPr>
      <w:r w:rsidRPr="00D549BE">
        <w:t>La Commission et les États membres participants assurent la protection des secrets d’affaires et autres informations sensibles obtenues et produites en application du présent règlement conformément au droit de l’Union et aux droits nationaux respectifs.</w:t>
      </w:r>
    </w:p>
    <w:p w14:paraId="4E181A96" w14:textId="08043BC2" w:rsidR="00344F69" w:rsidRPr="00D549BE" w:rsidRDefault="00344F69" w:rsidP="000571A8">
      <w:pPr>
        <w:pStyle w:val="ChapterTitle"/>
        <w:rPr>
          <w:noProof/>
        </w:rPr>
      </w:pPr>
      <w:bookmarkStart w:id="23" w:name="_Hlk211705537"/>
      <w:r w:rsidRPr="00D549BE">
        <w:t xml:space="preserve">CHAPITRE VI </w:t>
      </w:r>
      <w:r w:rsidRPr="00D549BE">
        <w:br/>
        <w:t>DISPOSITIONS FINALES</w:t>
      </w:r>
    </w:p>
    <w:bookmarkEnd w:id="23"/>
    <w:p w14:paraId="3957279A" w14:textId="1A949C4D" w:rsidR="00344F69" w:rsidRPr="00D549BE" w:rsidRDefault="00344F69" w:rsidP="00F17558">
      <w:pPr>
        <w:pStyle w:val="Titrearticle"/>
        <w:rPr>
          <w:b/>
          <w:bCs/>
          <w:noProof/>
        </w:rPr>
      </w:pPr>
      <w:r w:rsidRPr="00D549BE">
        <w:t xml:space="preserve">Article 26 </w:t>
      </w:r>
      <w:r w:rsidRPr="00D549BE">
        <w:br/>
      </w:r>
      <w:r w:rsidRPr="00D549BE">
        <w:rPr>
          <w:b/>
        </w:rPr>
        <w:t>Exercice de la délégation</w:t>
      </w:r>
    </w:p>
    <w:p w14:paraId="5F9708E6" w14:textId="77777777" w:rsidR="00344F69" w:rsidRPr="00D549BE" w:rsidRDefault="00344F69" w:rsidP="00717586">
      <w:pPr>
        <w:pStyle w:val="LegalNumPar"/>
        <w:numPr>
          <w:ilvl w:val="0"/>
          <w:numId w:val="42"/>
        </w:numPr>
        <w:rPr>
          <w:noProof/>
        </w:rPr>
      </w:pPr>
      <w:r w:rsidRPr="00D549BE">
        <w:t>Le pouvoir d’adopter des actes délégués conféré à la Commission est soumis aux conditions fixées au présent article.</w:t>
      </w:r>
    </w:p>
    <w:p w14:paraId="403D441C" w14:textId="77777777" w:rsidR="00344F69" w:rsidRPr="00D549BE" w:rsidRDefault="00344F69" w:rsidP="00717586">
      <w:pPr>
        <w:pStyle w:val="LegalNumPar"/>
        <w:numPr>
          <w:ilvl w:val="0"/>
          <w:numId w:val="42"/>
        </w:numPr>
        <w:rPr>
          <w:noProof/>
        </w:rPr>
      </w:pPr>
      <w:r w:rsidRPr="00D549BE">
        <w:t>Le pouvoir d’adopter des actes délégués visé à l’article 13 est conféré à la Commission pour une durée indéterminée à partir de sept jours à compter de la date d’entrée en vigueur du présent règlement.</w:t>
      </w:r>
    </w:p>
    <w:p w14:paraId="096AB6E0" w14:textId="77777777" w:rsidR="00344F69" w:rsidRPr="00D549BE" w:rsidRDefault="00344F69" w:rsidP="00717586">
      <w:pPr>
        <w:pStyle w:val="LegalNumPar"/>
        <w:numPr>
          <w:ilvl w:val="0"/>
          <w:numId w:val="42"/>
        </w:numPr>
        <w:rPr>
          <w:noProof/>
        </w:rPr>
      </w:pPr>
      <w:r w:rsidRPr="00D549BE">
        <w:t xml:space="preserve">La délégation de pouvoir visée à l’article 13 peut être révoquée à tout moment par le Parlement européen ou le Conseil. La décision de révocation met fin à la délégation de pouvoir qui y est précisée. La révocation prend effet le jour suivant celui de la publication de ladite décision au </w:t>
      </w:r>
      <w:r w:rsidRPr="00D549BE">
        <w:rPr>
          <w:i/>
        </w:rPr>
        <w:t>Journal officiel de l’Union européenne</w:t>
      </w:r>
      <w:r w:rsidRPr="00D549BE">
        <w:t xml:space="preserve"> ou à une date ultérieure qui est précisée dans ladite décision. Elle ne porte pas atteinte à la validité des actes délégués déjà en vigueur.</w:t>
      </w:r>
    </w:p>
    <w:p w14:paraId="5DF6548A" w14:textId="77777777" w:rsidR="00344F69" w:rsidRPr="00D549BE" w:rsidRDefault="00344F69" w:rsidP="00717586">
      <w:pPr>
        <w:pStyle w:val="LegalNumPar"/>
        <w:numPr>
          <w:ilvl w:val="0"/>
          <w:numId w:val="42"/>
        </w:numPr>
        <w:rPr>
          <w:noProof/>
        </w:rPr>
      </w:pPr>
      <w:r w:rsidRPr="00D549BE">
        <w:t>Avant l’adoption d’un acte délégué, la Commission consulte les experts désignés par chaque État membre, conformément aux principes définis dans l’accord interinstitutionnel du 13 avril 2016 «Mieux légiférer».</w:t>
      </w:r>
    </w:p>
    <w:p w14:paraId="4E160F91" w14:textId="77777777" w:rsidR="00344F69" w:rsidRPr="00D549BE" w:rsidRDefault="00344F69" w:rsidP="00717586">
      <w:pPr>
        <w:pStyle w:val="LegalNumPar"/>
        <w:numPr>
          <w:ilvl w:val="0"/>
          <w:numId w:val="42"/>
        </w:numPr>
        <w:rPr>
          <w:noProof/>
        </w:rPr>
      </w:pPr>
      <w:r w:rsidRPr="00D549BE">
        <w:t>Aussitôt qu’elle adopte un acte délégué, la Commission le notifie au Parlement européen et au Conseil simultanément.</w:t>
      </w:r>
    </w:p>
    <w:p w14:paraId="3F601AEC" w14:textId="77777777" w:rsidR="00344F69" w:rsidRPr="00D549BE" w:rsidRDefault="00344F69" w:rsidP="00717586">
      <w:pPr>
        <w:pStyle w:val="LegalNumPar"/>
        <w:numPr>
          <w:ilvl w:val="0"/>
          <w:numId w:val="42"/>
        </w:numPr>
        <w:rPr>
          <w:noProof/>
        </w:rPr>
      </w:pPr>
      <w:r w:rsidRPr="00D549BE">
        <w:t>Un acte délégué adopté en vertu de l’article 13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14:paraId="3E800932" w14:textId="0744A1E6" w:rsidR="00344F69" w:rsidRPr="00D549BE" w:rsidRDefault="00344F69" w:rsidP="00F17558">
      <w:pPr>
        <w:pStyle w:val="Titrearticle"/>
        <w:rPr>
          <w:b/>
          <w:bCs/>
          <w:noProof/>
        </w:rPr>
      </w:pPr>
      <w:r w:rsidRPr="00D549BE">
        <w:t xml:space="preserve">Article 27 </w:t>
      </w:r>
      <w:r w:rsidRPr="00D549BE">
        <w:br/>
      </w:r>
      <w:r w:rsidRPr="00D549BE">
        <w:rPr>
          <w:b/>
        </w:rPr>
        <w:t>Comité</w:t>
      </w:r>
    </w:p>
    <w:p w14:paraId="47FA7208" w14:textId="77777777" w:rsidR="00344F69" w:rsidRPr="00D549BE" w:rsidRDefault="00344F69" w:rsidP="00717586">
      <w:pPr>
        <w:pStyle w:val="LegalNumPar"/>
        <w:numPr>
          <w:ilvl w:val="0"/>
          <w:numId w:val="33"/>
        </w:numPr>
        <w:rPr>
          <w:noProof/>
        </w:rPr>
      </w:pPr>
      <w:r w:rsidRPr="00D549BE">
        <w:t>La Commission est assistée par un comité. Ledit comité est un comité au sens du règlement (UE) nº 182/2011.</w:t>
      </w:r>
    </w:p>
    <w:p w14:paraId="6DF58AF9" w14:textId="77777777" w:rsidR="00981284" w:rsidRPr="00D549BE" w:rsidRDefault="00981284" w:rsidP="00717586">
      <w:pPr>
        <w:pStyle w:val="LegalNumPar"/>
        <w:numPr>
          <w:ilvl w:val="0"/>
          <w:numId w:val="33"/>
        </w:numPr>
        <w:rPr>
          <w:noProof/>
        </w:rPr>
      </w:pPr>
      <w:r w:rsidRPr="00D549BE">
        <w:t>L’AED est invitée à faire part de son point de vue et à apporter son expertise au comité en qualité d’observateur. Le SEAE est également invité à prêter assistance au comité dans ses travaux.</w:t>
      </w:r>
    </w:p>
    <w:p w14:paraId="7FE16C23" w14:textId="77777777" w:rsidR="00344F69" w:rsidRPr="00D549BE" w:rsidRDefault="00344F69" w:rsidP="00717586">
      <w:pPr>
        <w:pStyle w:val="LegalNumPar"/>
        <w:numPr>
          <w:ilvl w:val="0"/>
          <w:numId w:val="33"/>
        </w:numPr>
        <w:rPr>
          <w:noProof/>
        </w:rPr>
      </w:pPr>
      <w:r w:rsidRPr="00D549BE">
        <w:t>Lorsqu’il est fait référence au présent paragraphe, l’article 5 du règlement (UE) nº 182/2011 s’applique.</w:t>
      </w:r>
    </w:p>
    <w:p w14:paraId="0EA75C28" w14:textId="7BB0BCCC" w:rsidR="00344F69" w:rsidRPr="00D549BE" w:rsidRDefault="00344F69" w:rsidP="00F17558">
      <w:pPr>
        <w:pStyle w:val="Titrearticle"/>
        <w:rPr>
          <w:b/>
          <w:noProof/>
        </w:rPr>
      </w:pPr>
      <w:r w:rsidRPr="00D549BE">
        <w:t xml:space="preserve">Article 28 </w:t>
      </w:r>
      <w:r w:rsidRPr="00D549BE">
        <w:br/>
      </w:r>
      <w:r w:rsidRPr="00D549BE">
        <w:rPr>
          <w:b/>
        </w:rPr>
        <w:t>Dialogue sur le prêt de soutien à l’Ukraine</w:t>
      </w:r>
    </w:p>
    <w:p w14:paraId="6BC22275" w14:textId="77777777" w:rsidR="00344F69" w:rsidRPr="00D549BE" w:rsidRDefault="00344F69" w:rsidP="00717586">
      <w:pPr>
        <w:pStyle w:val="LegalNumPar"/>
        <w:numPr>
          <w:ilvl w:val="0"/>
          <w:numId w:val="34"/>
        </w:numPr>
        <w:rPr>
          <w:noProof/>
        </w:rPr>
      </w:pPr>
      <w:r w:rsidRPr="00D549BE">
        <w:t>Afin de renforcer le dialogue entre les institutions de l’Union, notamment le Parlement européen, le Conseil et la Commission, et d’accroître la transparence et la responsabilité, la commission compétente du Parlement européen peut inviter la Commission à discuter de la mise en œuvre du présent règlement.</w:t>
      </w:r>
    </w:p>
    <w:p w14:paraId="11B0CACF" w14:textId="77777777" w:rsidR="00344F69" w:rsidRPr="00D549BE" w:rsidRDefault="00344F69" w:rsidP="00717586">
      <w:pPr>
        <w:pStyle w:val="LegalNumPar"/>
        <w:numPr>
          <w:ilvl w:val="0"/>
          <w:numId w:val="34"/>
        </w:numPr>
        <w:rPr>
          <w:noProof/>
        </w:rPr>
      </w:pPr>
      <w:r w:rsidRPr="00D549BE">
        <w:t>Le Parlement européen peut exprimer son point de vue dans des résolutions consacrées au prêt de soutien à l’Ukraine.</w:t>
      </w:r>
    </w:p>
    <w:p w14:paraId="466114AE" w14:textId="77777777" w:rsidR="00344F69" w:rsidRPr="00D549BE" w:rsidRDefault="00344F69" w:rsidP="00717586">
      <w:pPr>
        <w:pStyle w:val="LegalNumPar"/>
        <w:numPr>
          <w:ilvl w:val="0"/>
          <w:numId w:val="34"/>
        </w:numPr>
        <w:rPr>
          <w:noProof/>
        </w:rPr>
      </w:pPr>
      <w:r w:rsidRPr="00D549BE">
        <w:t>La Commission tient compte de tout élément découlant des avis exprimés dans le cadre du dialogue sur le prêt de soutien à l’Ukraine, y compris des résolutions du Parlement européen si celles-ci sont disponibles.</w:t>
      </w:r>
    </w:p>
    <w:p w14:paraId="1AD62075" w14:textId="4D7BFC91" w:rsidR="00344F69" w:rsidRPr="00D549BE" w:rsidRDefault="00344F69" w:rsidP="00F17558">
      <w:pPr>
        <w:pStyle w:val="Titrearticle"/>
        <w:rPr>
          <w:b/>
          <w:bCs/>
          <w:noProof/>
        </w:rPr>
      </w:pPr>
      <w:r w:rsidRPr="00D549BE">
        <w:t xml:space="preserve">Article 29 </w:t>
      </w:r>
      <w:r w:rsidRPr="00D549BE">
        <w:br/>
      </w:r>
      <w:r w:rsidRPr="00D549BE">
        <w:rPr>
          <w:b/>
        </w:rPr>
        <w:t>Information du Parlement européen et du Conseil</w:t>
      </w:r>
    </w:p>
    <w:p w14:paraId="7933636A" w14:textId="77777777" w:rsidR="000571A8" w:rsidRPr="00D549BE" w:rsidRDefault="000571A8" w:rsidP="00947D06">
      <w:pPr>
        <w:spacing w:before="0" w:after="160" w:line="360" w:lineRule="auto"/>
        <w:rPr>
          <w:noProof/>
        </w:rPr>
      </w:pPr>
      <w:bookmarkStart w:id="24" w:name="_Hlk215136078"/>
      <w:r w:rsidRPr="00D549BE">
        <w:t>1.</w:t>
      </w:r>
      <w:r w:rsidRPr="00D549BE">
        <w:tab/>
        <w:t>La Commission informe le Parlement européen et le Conseil des développements concernant la mise en œuvre du présent règlement, y compris de l’article 4, paragraphe 4, de l’article 6, paragraphe 1, de l’article 7, paragraphe 5, de l’article 11, paragraphe 4, de l’article 20, paragraphe 3, et de l’article 23, paragraphe 2, et communique à ces institutions les documents y afférents dans les meilleurs délais. Les informations communiquées par la Commission au Conseil dans le cadre du présent règlement ou de sa mise en œuvre sont simultanément mises à la disposition du Parlement européen, sous réserve de dispositions sur la confidentialité si nécessaire.</w:t>
      </w:r>
    </w:p>
    <w:p w14:paraId="4379CAA6" w14:textId="77777777" w:rsidR="000571A8" w:rsidRPr="00D549BE" w:rsidRDefault="000571A8" w:rsidP="00947D06">
      <w:pPr>
        <w:spacing w:before="0" w:after="160" w:line="360" w:lineRule="auto"/>
        <w:rPr>
          <w:noProof/>
        </w:rPr>
      </w:pPr>
      <w:r w:rsidRPr="00D549BE">
        <w:t>2.</w:t>
      </w:r>
      <w:r w:rsidRPr="00D549BE">
        <w:tab/>
        <w:t xml:space="preserve">Le 30 juin 2027 au plus tard et le 30 juin 2028 au plus tard, la Commission soumet au Parlement européen et au Conseil un rapport qui rend compte de la mise en œuvre du présent règlement au cours de l’année précédente et comporte une évaluation de cette mise en œuvre. Ce rapport: </w:t>
      </w:r>
    </w:p>
    <w:p w14:paraId="326026EF" w14:textId="77777777" w:rsidR="002961CD" w:rsidRPr="00D549BE" w:rsidRDefault="000571A8" w:rsidP="00947D06">
      <w:pPr>
        <w:pStyle w:val="Text1"/>
        <w:spacing w:line="360" w:lineRule="auto"/>
        <w:rPr>
          <w:noProof/>
        </w:rPr>
      </w:pPr>
      <w:r w:rsidRPr="00D549BE">
        <w:t>a)</w:t>
      </w:r>
      <w:r w:rsidRPr="00D549BE">
        <w:tab/>
        <w:t xml:space="preserve">examine l’état de mise en œuvre du prêt de soutien à l’Ukraine; </w:t>
      </w:r>
    </w:p>
    <w:p w14:paraId="2DC2767E" w14:textId="77777777" w:rsidR="000571A8" w:rsidRPr="00D549BE" w:rsidRDefault="002961CD" w:rsidP="00947D06">
      <w:pPr>
        <w:pStyle w:val="Text1"/>
        <w:spacing w:line="360" w:lineRule="auto"/>
        <w:rPr>
          <w:noProof/>
        </w:rPr>
      </w:pPr>
      <w:r w:rsidRPr="00D549BE">
        <w:t>b)</w:t>
      </w:r>
      <w:r w:rsidRPr="00D549BE">
        <w:tab/>
        <w:t xml:space="preserve">donne des informations sur le suivi prévu à l’article 17; et </w:t>
      </w:r>
    </w:p>
    <w:p w14:paraId="1848872F" w14:textId="77777777" w:rsidR="000571A8" w:rsidRPr="00D549BE" w:rsidRDefault="000571A8" w:rsidP="00947D06">
      <w:pPr>
        <w:pStyle w:val="Text1"/>
        <w:spacing w:line="360" w:lineRule="auto"/>
        <w:rPr>
          <w:noProof/>
        </w:rPr>
      </w:pPr>
      <w:r w:rsidRPr="00D549BE">
        <w:t>c)</w:t>
      </w:r>
      <w:r w:rsidRPr="00D549BE">
        <w:tab/>
        <w:t>évalue la situation et les perspectives économiques de l’Ukraine, ainsi que les progrès accomplis dans la mise en œuvre des conditions de politique publique visées à l’article 11, paragraphe 1.</w:t>
      </w:r>
    </w:p>
    <w:p w14:paraId="3176CD86" w14:textId="77777777" w:rsidR="00344F69" w:rsidRPr="00D549BE" w:rsidRDefault="000571A8" w:rsidP="00947D06">
      <w:pPr>
        <w:spacing w:before="0" w:after="160" w:line="360" w:lineRule="auto"/>
        <w:rPr>
          <w:noProof/>
        </w:rPr>
      </w:pPr>
      <w:r w:rsidRPr="00D549BE">
        <w:t>3.</w:t>
      </w:r>
      <w:r w:rsidRPr="00D549BE">
        <w:tab/>
        <w:t>Au plus tard le 30 juin 2029, la Commission soumet au Parlement européen et au Conseil un rapport d’évaluation, qui évalue les résultats et l’efficacité du prêt de soutien à l’Ukraine octroyé au titre du présent règlement, et la mesure dans laquelle il a atteint ses objectifs.</w:t>
      </w:r>
      <w:bookmarkEnd w:id="24"/>
    </w:p>
    <w:p w14:paraId="54ACD1C9" w14:textId="7F96B0E2" w:rsidR="00344F69" w:rsidRPr="00D549BE" w:rsidRDefault="00344F69" w:rsidP="00F17558">
      <w:pPr>
        <w:pStyle w:val="Titrearticle"/>
        <w:rPr>
          <w:b/>
          <w:bCs/>
          <w:noProof/>
        </w:rPr>
      </w:pPr>
      <w:r w:rsidRPr="00D549BE">
        <w:t xml:space="preserve">Article 30 </w:t>
      </w:r>
      <w:r w:rsidRPr="00D549BE">
        <w:br/>
      </w:r>
      <w:r w:rsidRPr="00D549BE">
        <w:rPr>
          <w:b/>
        </w:rPr>
        <w:t>Entrée en vigueur</w:t>
      </w:r>
    </w:p>
    <w:p w14:paraId="5CD32C5E" w14:textId="77777777" w:rsidR="00344F69" w:rsidRPr="00D549BE" w:rsidRDefault="00344F69" w:rsidP="00344F69">
      <w:pPr>
        <w:spacing w:before="0" w:after="160" w:line="278" w:lineRule="auto"/>
        <w:rPr>
          <w:noProof/>
        </w:rPr>
      </w:pPr>
      <w:r w:rsidRPr="00D549BE">
        <w:t xml:space="preserve">Le présent règlement entre en vigueur le jour suivant celui de sa publication au </w:t>
      </w:r>
      <w:r w:rsidRPr="00D549BE">
        <w:rPr>
          <w:i/>
        </w:rPr>
        <w:t>Journal officiel de l’Union européenne</w:t>
      </w:r>
      <w:r w:rsidRPr="00D549BE">
        <w:t>.</w:t>
      </w:r>
    </w:p>
    <w:p w14:paraId="2C59F295" w14:textId="77777777" w:rsidR="004C4513" w:rsidRPr="00D549BE" w:rsidRDefault="004C4513" w:rsidP="00344F69">
      <w:pPr>
        <w:spacing w:before="0" w:after="160" w:line="278" w:lineRule="auto"/>
        <w:rPr>
          <w:noProof/>
        </w:rPr>
      </w:pPr>
      <w:r w:rsidRPr="00D549BE">
        <w:t>Pour les États membres qui participent à la coopération renforcée en vertu d'une décision adoptée conformément à l'article 331, paragraphe 1, deuxième ou troisième alinéa, du TFUE, le présent règlement s'applique à partir de la date indiquée dans la décision concernée.</w:t>
      </w:r>
    </w:p>
    <w:p w14:paraId="11BC0F34" w14:textId="77777777" w:rsidR="00344F69" w:rsidRPr="00D549BE" w:rsidRDefault="00344F69" w:rsidP="00344F69">
      <w:pPr>
        <w:pStyle w:val="Applicationdirecte"/>
        <w:rPr>
          <w:noProof/>
        </w:rPr>
      </w:pPr>
      <w:r w:rsidRPr="00D549BE">
        <w:t>Le présent règlement est obligatoire dans tous ses éléments et directement applicable dans les États membres participants conformément aux traités.</w:t>
      </w:r>
    </w:p>
    <w:p w14:paraId="76A005E5" w14:textId="2AA4C930" w:rsidR="00344F69" w:rsidRPr="00D549BE" w:rsidRDefault="00D549BE" w:rsidP="00D549BE">
      <w:pPr>
        <w:pStyle w:val="Fait"/>
        <w:rPr>
          <w:noProof/>
        </w:rPr>
      </w:pPr>
      <w:r w:rsidRPr="00D549BE">
        <w:t>Fait à Bruxelles, le</w:t>
      </w:r>
    </w:p>
    <w:p w14:paraId="740F1162" w14:textId="77777777" w:rsidR="00344F69" w:rsidRPr="00D549BE" w:rsidRDefault="00344F69" w:rsidP="00694AAE">
      <w:pPr>
        <w:pStyle w:val="Institutionquisigne"/>
        <w:rPr>
          <w:noProof/>
        </w:rPr>
      </w:pPr>
      <w:r w:rsidRPr="00D549BE">
        <w:t>Par le Parlement européen</w:t>
      </w:r>
      <w:r w:rsidRPr="00D549BE">
        <w:tab/>
        <w:t>Par le Conseil</w:t>
      </w:r>
    </w:p>
    <w:p w14:paraId="011ACBB9" w14:textId="77777777" w:rsidR="00344F69" w:rsidRPr="00D549BE" w:rsidRDefault="00344F69" w:rsidP="00344F69">
      <w:pPr>
        <w:pStyle w:val="Personnequisigne"/>
        <w:rPr>
          <w:noProof/>
        </w:rPr>
      </w:pPr>
      <w:r w:rsidRPr="00D549BE">
        <w:t>La présidente</w:t>
      </w:r>
      <w:r w:rsidRPr="00D549BE">
        <w:tab/>
        <w:t>Le président/La présidente</w:t>
      </w:r>
    </w:p>
    <w:p w14:paraId="7C063A11" w14:textId="77777777" w:rsidR="00344F69" w:rsidRPr="00D549BE" w:rsidRDefault="00344F69">
      <w:pPr>
        <w:spacing w:before="0" w:after="200" w:line="276" w:lineRule="auto"/>
        <w:jc w:val="left"/>
        <w:rPr>
          <w:i/>
          <w:noProof/>
        </w:rPr>
      </w:pPr>
      <w:r w:rsidRPr="00D549BE">
        <w:br w:type="page"/>
      </w:r>
    </w:p>
    <w:p w14:paraId="15EE916B" w14:textId="77777777" w:rsidR="00760DBB" w:rsidRPr="00D549BE" w:rsidRDefault="00760DBB" w:rsidP="00760DBB">
      <w:pPr>
        <w:pStyle w:val="Fichefinanciretitre"/>
        <w:keepNext/>
        <w:rPr>
          <w:noProof/>
        </w:rPr>
      </w:pPr>
      <w:r w:rsidRPr="00D549BE">
        <w:t>FICHE FINANCIÈRE ET NUMÉRIQUE LÉGISLATIVE</w:t>
      </w:r>
    </w:p>
    <w:p w14:paraId="7C4D82D2" w14:textId="77777777" w:rsidR="00760DBB" w:rsidRPr="00D549BE" w:rsidRDefault="00760DBB" w:rsidP="00760DBB">
      <w:pPr>
        <w:pStyle w:val="TOC1"/>
        <w:rPr>
          <w:rFonts w:asciiTheme="minorHAnsi" w:eastAsiaTheme="minorEastAsia" w:hAnsiTheme="minorHAnsi" w:cstheme="minorBidi"/>
          <w:noProof/>
          <w:kern w:val="2"/>
          <w:sz w:val="22"/>
          <w14:ligatures w14:val="standardContextual"/>
        </w:rPr>
      </w:pPr>
      <w:r w:rsidRPr="00D549BE">
        <w:t>1.</w:t>
      </w:r>
      <w:r w:rsidRPr="00D549BE">
        <w:tab/>
        <w:t>CADRE DE LA PROPOSITION/DE L'INITIATIVE</w:t>
      </w:r>
      <w:r w:rsidRPr="00D549BE">
        <w:tab/>
      </w:r>
      <w:r w:rsidRPr="00D549BE">
        <w:rPr>
          <w:webHidden/>
        </w:rPr>
        <w:t>3</w:t>
      </w:r>
    </w:p>
    <w:p w14:paraId="44A0A108"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1.1.</w:t>
      </w:r>
      <w:r w:rsidRPr="00D549BE">
        <w:tab/>
        <w:t>Dénomination de la proposition/de l'initiative</w:t>
      </w:r>
      <w:r w:rsidRPr="00D549BE">
        <w:tab/>
      </w:r>
      <w:r w:rsidRPr="00D549BE">
        <w:rPr>
          <w:webHidden/>
        </w:rPr>
        <w:t>3</w:t>
      </w:r>
    </w:p>
    <w:p w14:paraId="614E9BBA"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1.2.</w:t>
      </w:r>
      <w:r w:rsidRPr="00D549BE">
        <w:tab/>
        <w:t>Domaine(s) politique(s) concerné(s)</w:t>
      </w:r>
      <w:r w:rsidRPr="00D549BE">
        <w:tab/>
      </w:r>
      <w:r w:rsidRPr="00D549BE">
        <w:rPr>
          <w:webHidden/>
        </w:rPr>
        <w:t>3</w:t>
      </w:r>
    </w:p>
    <w:p w14:paraId="1FB91706"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1.3.</w:t>
      </w:r>
      <w:r w:rsidRPr="00D549BE">
        <w:tab/>
        <w:t>Objectif(s)</w:t>
      </w:r>
      <w:r w:rsidRPr="00D549BE">
        <w:tab/>
      </w:r>
      <w:r w:rsidRPr="00D549BE">
        <w:rPr>
          <w:webHidden/>
        </w:rPr>
        <w:t>3</w:t>
      </w:r>
    </w:p>
    <w:p w14:paraId="1AB4FC9A"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1.3.1.</w:t>
      </w:r>
      <w:r w:rsidRPr="00D549BE">
        <w:tab/>
        <w:t>Objectif général / objectifs généraux</w:t>
      </w:r>
      <w:r w:rsidRPr="00D549BE">
        <w:tab/>
      </w:r>
      <w:r w:rsidRPr="00D549BE">
        <w:rPr>
          <w:webHidden/>
        </w:rPr>
        <w:t>3</w:t>
      </w:r>
    </w:p>
    <w:p w14:paraId="2C4B54FF"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1.3.2.</w:t>
      </w:r>
      <w:r w:rsidRPr="00D549BE">
        <w:tab/>
        <w:t>Objectif(s) spécifique(s)</w:t>
      </w:r>
      <w:r w:rsidRPr="00D549BE">
        <w:tab/>
      </w:r>
      <w:r w:rsidRPr="00D549BE">
        <w:rPr>
          <w:webHidden/>
        </w:rPr>
        <w:t>3</w:t>
      </w:r>
    </w:p>
    <w:p w14:paraId="61088530"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1.3.3.</w:t>
      </w:r>
      <w:r w:rsidRPr="00D549BE">
        <w:tab/>
        <w:t>Résultat(s) et incidence(s) attendus</w:t>
      </w:r>
      <w:r w:rsidRPr="00D549BE">
        <w:tab/>
      </w:r>
      <w:r w:rsidRPr="00D549BE">
        <w:rPr>
          <w:webHidden/>
        </w:rPr>
        <w:t>3</w:t>
      </w:r>
    </w:p>
    <w:p w14:paraId="1EEA7861"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1.3.4.</w:t>
      </w:r>
      <w:r w:rsidRPr="00D549BE">
        <w:tab/>
        <w:t>Indicateurs de performance</w:t>
      </w:r>
      <w:r w:rsidRPr="00D549BE">
        <w:tab/>
      </w:r>
      <w:r w:rsidRPr="00D549BE">
        <w:rPr>
          <w:webHidden/>
        </w:rPr>
        <w:t>3</w:t>
      </w:r>
    </w:p>
    <w:p w14:paraId="2418D0F8"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1.4.</w:t>
      </w:r>
      <w:r w:rsidRPr="00D549BE">
        <w:tab/>
        <w:t>La proposition/l’initiative porte sur:</w:t>
      </w:r>
      <w:r w:rsidRPr="00D549BE">
        <w:tab/>
      </w:r>
      <w:r w:rsidRPr="00D549BE">
        <w:rPr>
          <w:webHidden/>
        </w:rPr>
        <w:t>4</w:t>
      </w:r>
    </w:p>
    <w:p w14:paraId="6715889E"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1.5.</w:t>
      </w:r>
      <w:r w:rsidRPr="00D549BE">
        <w:tab/>
        <w:t>Justification(s) de la proposition/de l'initiative</w:t>
      </w:r>
      <w:r w:rsidRPr="00D549BE">
        <w:tab/>
      </w:r>
      <w:r w:rsidRPr="00D549BE">
        <w:rPr>
          <w:webHidden/>
        </w:rPr>
        <w:t>4</w:t>
      </w:r>
    </w:p>
    <w:p w14:paraId="4026FD06"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1.5.1.</w:t>
      </w:r>
      <w:r w:rsidRPr="00D549BE">
        <w:tab/>
        <w:t>Besoin(s) à satisfaire à court ou à long terme, assorti(s) d’un calendrier détaillé pour la mise en œuvre de l’initiative</w:t>
      </w:r>
      <w:r w:rsidRPr="00D549BE">
        <w:tab/>
      </w:r>
      <w:r w:rsidRPr="00D549BE">
        <w:rPr>
          <w:webHidden/>
        </w:rPr>
        <w:t>4</w:t>
      </w:r>
    </w:p>
    <w:p w14:paraId="32C5B10A"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1.5.2.</w:t>
      </w:r>
      <w:r w:rsidRPr="00D549BE">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D549BE">
        <w:tab/>
      </w:r>
      <w:r w:rsidRPr="00D549BE">
        <w:rPr>
          <w:webHidden/>
        </w:rPr>
        <w:t>4</w:t>
      </w:r>
    </w:p>
    <w:p w14:paraId="652588A6"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1.5.3.</w:t>
      </w:r>
      <w:r w:rsidRPr="00D549BE">
        <w:tab/>
        <w:t>Leçons tirées d'expériences similaires</w:t>
      </w:r>
      <w:r w:rsidRPr="00D549BE">
        <w:tab/>
      </w:r>
      <w:r w:rsidRPr="00D549BE">
        <w:rPr>
          <w:webHidden/>
        </w:rPr>
        <w:t>4</w:t>
      </w:r>
    </w:p>
    <w:p w14:paraId="6BF83519"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1.5.4.</w:t>
      </w:r>
      <w:r w:rsidRPr="00D549BE">
        <w:tab/>
        <w:t>Compatibilité avec le cadre financier pluriannuel et synergies éventuelles avec d’autres instruments appropriés</w:t>
      </w:r>
      <w:r w:rsidRPr="00D549BE">
        <w:tab/>
      </w:r>
      <w:r w:rsidRPr="00D549BE">
        <w:rPr>
          <w:webHidden/>
        </w:rPr>
        <w:t>5</w:t>
      </w:r>
    </w:p>
    <w:p w14:paraId="2C19F665"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1.5.5.</w:t>
      </w:r>
      <w:r w:rsidRPr="00D549BE">
        <w:tab/>
        <w:t>Évaluation des différentes possibilités de financement disponibles, y compris des possibilités de redéploiement</w:t>
      </w:r>
      <w:r w:rsidRPr="00D549BE">
        <w:tab/>
      </w:r>
      <w:r w:rsidRPr="00D549BE">
        <w:rPr>
          <w:webHidden/>
        </w:rPr>
        <w:t>5</w:t>
      </w:r>
    </w:p>
    <w:p w14:paraId="7B0E5356"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1.6.</w:t>
      </w:r>
      <w:r w:rsidRPr="00D549BE">
        <w:tab/>
        <w:t>Durée de la proposition/de l’initiative et de son incidence financière</w:t>
      </w:r>
      <w:r w:rsidRPr="00D549BE">
        <w:tab/>
      </w:r>
      <w:r w:rsidRPr="00D549BE">
        <w:rPr>
          <w:webHidden/>
        </w:rPr>
        <w:t>6</w:t>
      </w:r>
    </w:p>
    <w:p w14:paraId="6F9FF17E"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1.7.</w:t>
      </w:r>
      <w:r w:rsidRPr="00D549BE">
        <w:tab/>
        <w:t>Mode(s) d’exécution budgétaire prévu(s)</w:t>
      </w:r>
      <w:r w:rsidRPr="00D549BE">
        <w:tab/>
      </w:r>
      <w:r w:rsidRPr="00D549BE">
        <w:rPr>
          <w:webHidden/>
        </w:rPr>
        <w:t>6</w:t>
      </w:r>
    </w:p>
    <w:p w14:paraId="6600544D" w14:textId="77777777" w:rsidR="00760DBB" w:rsidRPr="00D549BE" w:rsidRDefault="00760DBB" w:rsidP="00760DBB">
      <w:pPr>
        <w:pStyle w:val="TOC1"/>
        <w:rPr>
          <w:rFonts w:asciiTheme="minorHAnsi" w:eastAsiaTheme="minorEastAsia" w:hAnsiTheme="minorHAnsi" w:cstheme="minorBidi"/>
          <w:noProof/>
          <w:kern w:val="2"/>
          <w:sz w:val="22"/>
          <w14:ligatures w14:val="standardContextual"/>
        </w:rPr>
      </w:pPr>
      <w:r w:rsidRPr="00D549BE">
        <w:t>2.</w:t>
      </w:r>
      <w:r w:rsidRPr="00D549BE">
        <w:tab/>
        <w:t>MESURES DE GESTION</w:t>
      </w:r>
      <w:r w:rsidRPr="00D549BE">
        <w:tab/>
      </w:r>
      <w:r w:rsidRPr="00D549BE">
        <w:rPr>
          <w:webHidden/>
        </w:rPr>
        <w:t>8</w:t>
      </w:r>
    </w:p>
    <w:p w14:paraId="35AEEC9C"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2.1.</w:t>
      </w:r>
      <w:r w:rsidRPr="00D549BE">
        <w:tab/>
        <w:t>Dispositions en matière de suivi et de compte rendu</w:t>
      </w:r>
      <w:r w:rsidRPr="00D549BE">
        <w:tab/>
      </w:r>
      <w:r w:rsidRPr="00D549BE">
        <w:rPr>
          <w:webHidden/>
        </w:rPr>
        <w:t>8</w:t>
      </w:r>
    </w:p>
    <w:p w14:paraId="12B7DFF6"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2.2.</w:t>
      </w:r>
      <w:r w:rsidRPr="00D549BE">
        <w:tab/>
        <w:t>Système(s) de gestion et de contrôle</w:t>
      </w:r>
      <w:r w:rsidRPr="00D549BE">
        <w:tab/>
      </w:r>
      <w:r w:rsidRPr="00D549BE">
        <w:rPr>
          <w:webHidden/>
        </w:rPr>
        <w:t>8</w:t>
      </w:r>
    </w:p>
    <w:p w14:paraId="33179831"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2.2.1.</w:t>
      </w:r>
      <w:r w:rsidRPr="00D549BE">
        <w:tab/>
        <w:t>Justification du (des) mode(s) d’exécution budgétaire, du (des) mécanisme(s) de mise en œuvre du financement, des modalités de paiement et de la stratégie de contrôle proposée</w:t>
      </w:r>
      <w:r w:rsidRPr="00D549BE">
        <w:tab/>
      </w:r>
      <w:r w:rsidRPr="00D549BE">
        <w:rPr>
          <w:webHidden/>
        </w:rPr>
        <w:t>8</w:t>
      </w:r>
    </w:p>
    <w:p w14:paraId="2B364FA4"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2.2.2.</w:t>
      </w:r>
      <w:r w:rsidRPr="00D549BE">
        <w:tab/>
        <w:t>Informations sur les risques recensés et sur le(s) système(s) de contrôle interne mis en place pour les atténuer</w:t>
      </w:r>
      <w:r w:rsidRPr="00D549BE">
        <w:tab/>
      </w:r>
      <w:r w:rsidRPr="00D549BE">
        <w:rPr>
          <w:webHidden/>
        </w:rPr>
        <w:t>8</w:t>
      </w:r>
    </w:p>
    <w:p w14:paraId="5D9A1720"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2.2.3.</w:t>
      </w:r>
      <w:r w:rsidRPr="00D549BE">
        <w:tab/>
        <w:t>Estimation et justification du rapport coût/efficacité des contrôles (rapport entre les coûts du contrôle et la valeur des fonds gérés concernés), et évaluation du niveau attendu de risque d’erreur (lors du paiement et lors de la clôture)</w:t>
      </w:r>
      <w:r w:rsidRPr="00D549BE">
        <w:tab/>
      </w:r>
      <w:r w:rsidRPr="00D549BE">
        <w:rPr>
          <w:webHidden/>
        </w:rPr>
        <w:t>8</w:t>
      </w:r>
    </w:p>
    <w:p w14:paraId="7B760A93"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2.3.</w:t>
      </w:r>
      <w:r w:rsidRPr="00D549BE">
        <w:tab/>
        <w:t>Mesures de prévention des fraudes et irrégularités</w:t>
      </w:r>
      <w:r w:rsidRPr="00D549BE">
        <w:tab/>
      </w:r>
      <w:r w:rsidRPr="00D549BE">
        <w:rPr>
          <w:webHidden/>
        </w:rPr>
        <w:t>9</w:t>
      </w:r>
    </w:p>
    <w:p w14:paraId="7A80B571" w14:textId="77777777" w:rsidR="00760DBB" w:rsidRPr="00D549BE" w:rsidRDefault="00760DBB" w:rsidP="00760DBB">
      <w:pPr>
        <w:pStyle w:val="TOC1"/>
        <w:rPr>
          <w:rFonts w:asciiTheme="minorHAnsi" w:eastAsiaTheme="minorEastAsia" w:hAnsiTheme="minorHAnsi" w:cstheme="minorBidi"/>
          <w:noProof/>
          <w:kern w:val="2"/>
          <w:sz w:val="22"/>
          <w14:ligatures w14:val="standardContextual"/>
        </w:rPr>
      </w:pPr>
      <w:r w:rsidRPr="00D549BE">
        <w:t>3.</w:t>
      </w:r>
      <w:r w:rsidRPr="00D549BE">
        <w:tab/>
        <w:t>INCIDENCE FINANCIÈRE ESTIMÉE DE LA PROPOSITION/DE L'INITIATIVE</w:t>
      </w:r>
      <w:r w:rsidRPr="00D549BE">
        <w:tab/>
      </w:r>
      <w:r w:rsidRPr="00D549BE">
        <w:rPr>
          <w:webHidden/>
        </w:rPr>
        <w:t>10</w:t>
      </w:r>
    </w:p>
    <w:p w14:paraId="36BD9C9F"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3.1.</w:t>
      </w:r>
      <w:r w:rsidRPr="00D549BE">
        <w:tab/>
        <w:t>Rubrique(s) du cadre financier pluriannuel et ligne(s) budgétaire(s) de dépenses concernée(s)</w:t>
      </w:r>
      <w:r w:rsidRPr="00D549BE">
        <w:tab/>
      </w:r>
      <w:r w:rsidRPr="00D549BE">
        <w:rPr>
          <w:webHidden/>
        </w:rPr>
        <w:t>10</w:t>
      </w:r>
    </w:p>
    <w:p w14:paraId="232E613F"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3.2.</w:t>
      </w:r>
      <w:r w:rsidRPr="00D549BE">
        <w:tab/>
        <w:t>Incidence financière estimée de la proposition sur les crédits</w:t>
      </w:r>
      <w:r w:rsidRPr="00D549BE">
        <w:tab/>
      </w:r>
      <w:r w:rsidRPr="00D549BE">
        <w:rPr>
          <w:webHidden/>
        </w:rPr>
        <w:t>12</w:t>
      </w:r>
    </w:p>
    <w:p w14:paraId="45556D6D"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3.2.1.</w:t>
      </w:r>
      <w:r w:rsidRPr="00D549BE">
        <w:tab/>
        <w:t>Synthèse de l’incidence estimée sur les crédits opérationnels</w:t>
      </w:r>
      <w:r w:rsidRPr="00D549BE">
        <w:tab/>
      </w:r>
      <w:r w:rsidRPr="00D549BE">
        <w:rPr>
          <w:webHidden/>
        </w:rPr>
        <w:t>12</w:t>
      </w:r>
    </w:p>
    <w:p w14:paraId="7953C9A2"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3.2.1.1.</w:t>
      </w:r>
      <w:r w:rsidRPr="00D549BE">
        <w:tab/>
        <w:t>Crédits issus du budget voté</w:t>
      </w:r>
      <w:r w:rsidRPr="00D549BE">
        <w:tab/>
      </w:r>
      <w:r w:rsidRPr="00D549BE">
        <w:rPr>
          <w:webHidden/>
        </w:rPr>
        <w:t>12</w:t>
      </w:r>
    </w:p>
    <w:p w14:paraId="1E6B404B"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3.2.1.2.</w:t>
      </w:r>
      <w:r w:rsidRPr="00D549BE">
        <w:tab/>
        <w:t>Crédits issus de recettes affectées externes</w:t>
      </w:r>
      <w:r w:rsidRPr="00D549BE">
        <w:tab/>
      </w:r>
      <w:r w:rsidRPr="00D549BE">
        <w:rPr>
          <w:webHidden/>
        </w:rPr>
        <w:t>17</w:t>
      </w:r>
    </w:p>
    <w:p w14:paraId="138E3B37"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3.2.2.</w:t>
      </w:r>
      <w:r w:rsidRPr="00D549BE">
        <w:tab/>
        <w:t>Estimation des réalisations financées à partir des crédits opérationnels</w:t>
      </w:r>
      <w:r w:rsidRPr="00D549BE">
        <w:tab/>
      </w:r>
      <w:r w:rsidRPr="00D549BE">
        <w:rPr>
          <w:webHidden/>
        </w:rPr>
        <w:t>22</w:t>
      </w:r>
    </w:p>
    <w:p w14:paraId="528268C6"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3.2.3.</w:t>
      </w:r>
      <w:r w:rsidRPr="00D549BE">
        <w:tab/>
        <w:t>Synthèse de l’incidence estimée sur les crédits administratifs</w:t>
      </w:r>
      <w:r w:rsidRPr="00D549BE">
        <w:tab/>
      </w:r>
      <w:r w:rsidRPr="00D549BE">
        <w:rPr>
          <w:webHidden/>
        </w:rPr>
        <w:t>24</w:t>
      </w:r>
    </w:p>
    <w:p w14:paraId="6FFA4BD1"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3.2.3.1. Crédits issus du budget voté</w:t>
      </w:r>
      <w:r w:rsidRPr="00D549BE">
        <w:tab/>
      </w:r>
      <w:r w:rsidRPr="00D549BE">
        <w:rPr>
          <w:webHidden/>
        </w:rPr>
        <w:t>24</w:t>
      </w:r>
    </w:p>
    <w:p w14:paraId="703B9399"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3.2.3.2.</w:t>
      </w:r>
      <w:r w:rsidRPr="00D549BE">
        <w:tab/>
        <w:t>Crédits issus de recettes affectées externes</w:t>
      </w:r>
      <w:r w:rsidRPr="00D549BE">
        <w:tab/>
      </w:r>
      <w:r w:rsidRPr="00D549BE">
        <w:rPr>
          <w:webHidden/>
        </w:rPr>
        <w:t>24</w:t>
      </w:r>
    </w:p>
    <w:p w14:paraId="389A4C65"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3.2.3.3.</w:t>
      </w:r>
      <w:r w:rsidRPr="00D549BE">
        <w:tab/>
        <w:t>Total des crédits</w:t>
      </w:r>
      <w:r w:rsidRPr="00D549BE">
        <w:tab/>
      </w:r>
      <w:r w:rsidRPr="00D549BE">
        <w:rPr>
          <w:webHidden/>
        </w:rPr>
        <w:t>24</w:t>
      </w:r>
    </w:p>
    <w:p w14:paraId="12718341"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3.2.4.</w:t>
      </w:r>
      <w:r w:rsidRPr="00D549BE">
        <w:tab/>
        <w:t>Besoins estimés en ressources humaines</w:t>
      </w:r>
      <w:r w:rsidRPr="00D549BE">
        <w:tab/>
      </w:r>
      <w:r w:rsidRPr="00D549BE">
        <w:rPr>
          <w:webHidden/>
        </w:rPr>
        <w:t>25</w:t>
      </w:r>
    </w:p>
    <w:p w14:paraId="27C50FCF"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3.2.4.1.</w:t>
      </w:r>
      <w:r w:rsidRPr="00D549BE">
        <w:tab/>
        <w:t>Financement sur le budget voté</w:t>
      </w:r>
      <w:r w:rsidRPr="00D549BE">
        <w:tab/>
      </w:r>
      <w:r w:rsidRPr="00D549BE">
        <w:rPr>
          <w:webHidden/>
        </w:rPr>
        <w:t>25</w:t>
      </w:r>
    </w:p>
    <w:p w14:paraId="4DFC3EB5"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3.2.4.2.</w:t>
      </w:r>
      <w:r w:rsidRPr="00D549BE">
        <w:tab/>
        <w:t>Financement par des recettes affectées externes</w:t>
      </w:r>
      <w:r w:rsidRPr="00D549BE">
        <w:tab/>
      </w:r>
      <w:r w:rsidRPr="00D549BE">
        <w:rPr>
          <w:webHidden/>
        </w:rPr>
        <w:t>26</w:t>
      </w:r>
    </w:p>
    <w:p w14:paraId="60FE7CAB"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3.2.4.3.</w:t>
      </w:r>
      <w:r w:rsidRPr="00D549BE">
        <w:tab/>
        <w:t>Total des besoins en ressources humaines</w:t>
      </w:r>
      <w:r w:rsidRPr="00D549BE">
        <w:tab/>
      </w:r>
      <w:r w:rsidRPr="00D549BE">
        <w:rPr>
          <w:webHidden/>
        </w:rPr>
        <w:t>26</w:t>
      </w:r>
    </w:p>
    <w:p w14:paraId="1E01A0F0"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3.2.5.</w:t>
      </w:r>
      <w:r w:rsidRPr="00D549BE">
        <w:tab/>
        <w:t>Vue d’ensemble de l’incidence estimée sur les investissements liés aux technologies numériques</w:t>
      </w:r>
      <w:r w:rsidRPr="00D549BE">
        <w:tab/>
      </w:r>
      <w:r w:rsidRPr="00D549BE">
        <w:rPr>
          <w:webHidden/>
        </w:rPr>
        <w:t>28</w:t>
      </w:r>
    </w:p>
    <w:p w14:paraId="3F87D17B"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3.2.6.</w:t>
      </w:r>
      <w:r w:rsidRPr="00D549BE">
        <w:tab/>
        <w:t>Compatibilité avec le cadre financier pluriannuel actuel</w:t>
      </w:r>
      <w:r w:rsidRPr="00D549BE">
        <w:tab/>
      </w:r>
      <w:r w:rsidRPr="00D549BE">
        <w:rPr>
          <w:webHidden/>
        </w:rPr>
        <w:t>28</w:t>
      </w:r>
    </w:p>
    <w:p w14:paraId="587C41A9" w14:textId="77777777" w:rsidR="00760DBB" w:rsidRPr="00D549BE" w:rsidRDefault="00760DBB" w:rsidP="00760DBB">
      <w:pPr>
        <w:pStyle w:val="TOC3"/>
        <w:rPr>
          <w:rFonts w:asciiTheme="minorHAnsi" w:eastAsiaTheme="minorEastAsia" w:hAnsiTheme="minorHAnsi" w:cstheme="minorBidi"/>
          <w:noProof/>
          <w:kern w:val="2"/>
          <w:sz w:val="22"/>
          <w14:ligatures w14:val="standardContextual"/>
        </w:rPr>
      </w:pPr>
      <w:r w:rsidRPr="00D549BE">
        <w:t>3.2.7.</w:t>
      </w:r>
      <w:r w:rsidRPr="00D549BE">
        <w:tab/>
        <w:t>Participation de tiers au financement</w:t>
      </w:r>
      <w:r w:rsidRPr="00D549BE">
        <w:tab/>
      </w:r>
      <w:r w:rsidRPr="00D549BE">
        <w:rPr>
          <w:webHidden/>
        </w:rPr>
        <w:t>28</w:t>
      </w:r>
    </w:p>
    <w:p w14:paraId="31EFD267"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3.3.</w:t>
      </w:r>
      <w:r w:rsidRPr="00D549BE">
        <w:tab/>
        <w:t>Incidence estimée sur les recettes</w:t>
      </w:r>
      <w:r w:rsidRPr="00D549BE">
        <w:tab/>
      </w:r>
      <w:r w:rsidRPr="00D549BE">
        <w:rPr>
          <w:webHidden/>
        </w:rPr>
        <w:t>29</w:t>
      </w:r>
    </w:p>
    <w:p w14:paraId="5867835F" w14:textId="77777777" w:rsidR="00760DBB" w:rsidRPr="00D549BE" w:rsidRDefault="00760DBB" w:rsidP="00760DBB">
      <w:pPr>
        <w:pStyle w:val="TOC1"/>
        <w:rPr>
          <w:rFonts w:asciiTheme="minorHAnsi" w:eastAsiaTheme="minorEastAsia" w:hAnsiTheme="minorHAnsi" w:cstheme="minorBidi"/>
          <w:noProof/>
          <w:kern w:val="2"/>
          <w:sz w:val="22"/>
          <w14:ligatures w14:val="standardContextual"/>
        </w:rPr>
      </w:pPr>
      <w:r w:rsidRPr="00D549BE">
        <w:t>4.</w:t>
      </w:r>
      <w:r w:rsidRPr="00D549BE">
        <w:tab/>
      </w:r>
      <w:r w:rsidRPr="00D549BE">
        <w:rPr>
          <w:caps/>
        </w:rPr>
        <w:t>Dimensions numériques</w:t>
      </w:r>
      <w:r w:rsidRPr="00D549BE">
        <w:tab/>
      </w:r>
      <w:r w:rsidRPr="00D549BE">
        <w:rPr>
          <w:webHidden/>
        </w:rPr>
        <w:t>29</w:t>
      </w:r>
    </w:p>
    <w:p w14:paraId="1627B812"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4.1.</w:t>
      </w:r>
      <w:r w:rsidRPr="00D549BE">
        <w:tab/>
        <w:t>Exigences pertinentes en matière numérique</w:t>
      </w:r>
      <w:r w:rsidRPr="00D549BE">
        <w:tab/>
      </w:r>
      <w:r w:rsidRPr="00D549BE">
        <w:rPr>
          <w:webHidden/>
        </w:rPr>
        <w:t>30</w:t>
      </w:r>
    </w:p>
    <w:p w14:paraId="0CCD34E1"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4.2.</w:t>
      </w:r>
      <w:r w:rsidRPr="00D549BE">
        <w:tab/>
        <w:t>Données</w:t>
      </w:r>
      <w:r w:rsidRPr="00D549BE">
        <w:tab/>
      </w:r>
      <w:r w:rsidRPr="00D549BE">
        <w:rPr>
          <w:webHidden/>
        </w:rPr>
        <w:t>30</w:t>
      </w:r>
    </w:p>
    <w:p w14:paraId="377240E7"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4.3.</w:t>
      </w:r>
      <w:r w:rsidRPr="00D549BE">
        <w:tab/>
        <w:t>Solutions numériques</w:t>
      </w:r>
      <w:r w:rsidRPr="00D549BE">
        <w:tab/>
      </w:r>
      <w:r w:rsidRPr="00D549BE">
        <w:rPr>
          <w:webHidden/>
        </w:rPr>
        <w:t>31</w:t>
      </w:r>
    </w:p>
    <w:p w14:paraId="3530BB5B"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4.4.</w:t>
      </w:r>
      <w:r w:rsidRPr="00D549BE">
        <w:tab/>
        <w:t>Évaluation de l’interopérabilité</w:t>
      </w:r>
      <w:r w:rsidRPr="00D549BE">
        <w:tab/>
      </w:r>
      <w:r w:rsidRPr="00D549BE">
        <w:rPr>
          <w:webHidden/>
        </w:rPr>
        <w:t>31</w:t>
      </w:r>
    </w:p>
    <w:p w14:paraId="299058F1" w14:textId="77777777" w:rsidR="00760DBB" w:rsidRPr="00D549BE" w:rsidRDefault="00760DBB" w:rsidP="00760DBB">
      <w:pPr>
        <w:pStyle w:val="TOC2"/>
        <w:rPr>
          <w:rFonts w:asciiTheme="minorHAnsi" w:eastAsiaTheme="minorEastAsia" w:hAnsiTheme="minorHAnsi" w:cstheme="minorBidi"/>
          <w:noProof/>
          <w:kern w:val="2"/>
          <w:sz w:val="22"/>
          <w14:ligatures w14:val="standardContextual"/>
        </w:rPr>
      </w:pPr>
      <w:r w:rsidRPr="00D549BE">
        <w:t>4.5.</w:t>
      </w:r>
      <w:r w:rsidRPr="00D549BE">
        <w:tab/>
        <w:t>Mesures de soutien de la mise en œuvre numérique</w:t>
      </w:r>
      <w:r w:rsidRPr="00D549BE">
        <w:tab/>
      </w:r>
      <w:r w:rsidRPr="00D549BE">
        <w:rPr>
          <w:webHidden/>
        </w:rPr>
        <w:t>32</w:t>
      </w:r>
    </w:p>
    <w:p w14:paraId="21B0E8F3" w14:textId="77777777" w:rsidR="00760DBB" w:rsidRPr="00D549BE" w:rsidRDefault="00760DBB" w:rsidP="00760DBB">
      <w:pPr>
        <w:pStyle w:val="TOC1"/>
        <w:ind w:left="0" w:firstLine="0"/>
        <w:rPr>
          <w:noProof/>
        </w:rPr>
        <w:sectPr w:rsidR="00760DBB" w:rsidRPr="00D549BE" w:rsidSect="00D549BE">
          <w:pgSz w:w="11907" w:h="16840" w:code="9"/>
          <w:pgMar w:top="1134" w:right="1418" w:bottom="1134" w:left="1418" w:header="709" w:footer="709" w:gutter="0"/>
          <w:pgNumType w:start="1"/>
          <w:cols w:space="720"/>
          <w:docGrid w:linePitch="360"/>
        </w:sectPr>
      </w:pPr>
    </w:p>
    <w:p w14:paraId="1AE56C20" w14:textId="77777777" w:rsidR="00760DBB" w:rsidRPr="00D549BE" w:rsidRDefault="00760DBB" w:rsidP="00760DBB">
      <w:pPr>
        <w:pStyle w:val="ManualHeading1"/>
        <w:rPr>
          <w:noProof/>
        </w:rPr>
      </w:pPr>
      <w:bookmarkStart w:id="25" w:name="_Toc514938007"/>
      <w:bookmarkStart w:id="26" w:name="_Toc520485025"/>
      <w:bookmarkStart w:id="27" w:name="_Toc160804567"/>
      <w:bookmarkStart w:id="28" w:name="_Toc167220259"/>
      <w:bookmarkStart w:id="29" w:name="_Toc177548992"/>
      <w:r w:rsidRPr="00D549BE">
        <w:t>1.</w:t>
      </w:r>
      <w:r w:rsidRPr="00D549BE">
        <w:tab/>
        <w:t>CADRE DE LA PROPOSITION/DE L'INITIATIVE</w:t>
      </w:r>
      <w:bookmarkEnd w:id="25"/>
      <w:bookmarkEnd w:id="26"/>
      <w:bookmarkEnd w:id="27"/>
      <w:bookmarkEnd w:id="28"/>
      <w:bookmarkEnd w:id="29"/>
      <w:r w:rsidRPr="00D549BE">
        <w:t xml:space="preserve"> </w:t>
      </w:r>
    </w:p>
    <w:p w14:paraId="6E71C3CA" w14:textId="77777777" w:rsidR="00760DBB" w:rsidRPr="00D549BE" w:rsidRDefault="00760DBB" w:rsidP="00760DBB">
      <w:pPr>
        <w:pStyle w:val="ManualHeading2"/>
        <w:rPr>
          <w:noProof/>
        </w:rPr>
      </w:pPr>
      <w:bookmarkStart w:id="30" w:name="_Toc514938008"/>
      <w:bookmarkStart w:id="31" w:name="_Toc520485026"/>
      <w:bookmarkStart w:id="32" w:name="_Toc160804568"/>
      <w:bookmarkStart w:id="33" w:name="_Toc167220260"/>
      <w:bookmarkStart w:id="34" w:name="_Toc177548993"/>
      <w:r w:rsidRPr="00D549BE">
        <w:t>1.1.</w:t>
      </w:r>
      <w:r w:rsidRPr="00D549BE">
        <w:tab/>
        <w:t>Dénomination de la proposition/de l'initiative</w:t>
      </w:r>
      <w:bookmarkEnd w:id="30"/>
      <w:bookmarkEnd w:id="31"/>
      <w:bookmarkEnd w:id="32"/>
      <w:bookmarkEnd w:id="33"/>
      <w:bookmarkEnd w:id="34"/>
    </w:p>
    <w:p w14:paraId="1D71171E"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rPr>
      </w:pPr>
      <w:r w:rsidRPr="00D549BE">
        <w:t>Proposition de règlement du Parlement européen et du Conseil mettant en œuvre une coopération renforcée concernant l’établissement du prêt de soutien à l’Ukraine pour 2026 et 2027.</w:t>
      </w:r>
    </w:p>
    <w:p w14:paraId="1690A1C2" w14:textId="77777777" w:rsidR="00760DBB" w:rsidRPr="00D549BE" w:rsidRDefault="00760DBB" w:rsidP="00760DBB">
      <w:pPr>
        <w:pStyle w:val="ManualHeading2"/>
        <w:rPr>
          <w:i/>
          <w:noProof/>
        </w:rPr>
      </w:pPr>
      <w:bookmarkStart w:id="35" w:name="_Toc514938011"/>
      <w:bookmarkStart w:id="36" w:name="_Toc520485027"/>
      <w:bookmarkStart w:id="37" w:name="_Toc160804569"/>
      <w:bookmarkStart w:id="38" w:name="_Toc167220261"/>
      <w:bookmarkStart w:id="39" w:name="_Toc177548994"/>
      <w:r w:rsidRPr="00D549BE">
        <w:t>1.2.</w:t>
      </w:r>
      <w:r w:rsidRPr="00D549BE">
        <w:tab/>
        <w:t>Domaine(s) politique(s) concerné(s)</w:t>
      </w:r>
      <w:bookmarkEnd w:id="35"/>
      <w:bookmarkEnd w:id="36"/>
      <w:bookmarkEnd w:id="37"/>
      <w:bookmarkEnd w:id="38"/>
      <w:bookmarkEnd w:id="39"/>
      <w:r w:rsidRPr="00D549BE">
        <w:rPr>
          <w:i/>
        </w:rPr>
        <w:t xml:space="preserve"> </w:t>
      </w:r>
    </w:p>
    <w:p w14:paraId="459A4A5F"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rPr>
      </w:pPr>
      <w:r w:rsidRPr="00D549BE">
        <w:t>Affaires économiques et financières, ainsi que soutien à l’industrie de la défense.</w:t>
      </w:r>
    </w:p>
    <w:p w14:paraId="4B23EF82" w14:textId="77777777" w:rsidR="00760DBB" w:rsidRPr="00D549BE" w:rsidRDefault="00760DBB" w:rsidP="00760DBB">
      <w:pPr>
        <w:pStyle w:val="ManualHeading2"/>
        <w:rPr>
          <w:noProof/>
        </w:rPr>
      </w:pPr>
      <w:bookmarkStart w:id="40" w:name="_Toc514938015"/>
      <w:bookmarkStart w:id="41" w:name="_Toc520485029"/>
      <w:bookmarkStart w:id="42" w:name="_Toc160804571"/>
      <w:bookmarkStart w:id="43" w:name="_Toc167220263"/>
      <w:bookmarkStart w:id="44" w:name="_Toc177548995"/>
      <w:r w:rsidRPr="00D549BE">
        <w:t>1.3.</w:t>
      </w:r>
      <w:r w:rsidRPr="00D549BE">
        <w:tab/>
        <w:t>Objectif(s)</w:t>
      </w:r>
      <w:bookmarkEnd w:id="40"/>
      <w:bookmarkEnd w:id="41"/>
      <w:bookmarkEnd w:id="42"/>
      <w:bookmarkEnd w:id="43"/>
      <w:bookmarkEnd w:id="44"/>
    </w:p>
    <w:p w14:paraId="3CA835A1" w14:textId="77777777" w:rsidR="00760DBB" w:rsidRPr="00D549BE" w:rsidRDefault="00760DBB" w:rsidP="00760DBB">
      <w:pPr>
        <w:pStyle w:val="ManualHeading3"/>
        <w:rPr>
          <w:noProof/>
        </w:rPr>
      </w:pPr>
      <w:bookmarkStart w:id="45" w:name="_Toc514938016"/>
      <w:bookmarkStart w:id="46" w:name="_Toc520485030"/>
      <w:bookmarkStart w:id="47" w:name="_Toc160804572"/>
      <w:bookmarkStart w:id="48" w:name="_Toc167220264"/>
      <w:bookmarkStart w:id="49" w:name="_Toc177548996"/>
      <w:r w:rsidRPr="00D549BE">
        <w:t>1.3.1.</w:t>
      </w:r>
      <w:r w:rsidRPr="00D549BE">
        <w:tab/>
        <w:t>Objectif général / objectifs généraux</w:t>
      </w:r>
      <w:bookmarkEnd w:id="45"/>
      <w:bookmarkEnd w:id="46"/>
      <w:bookmarkEnd w:id="47"/>
      <w:bookmarkEnd w:id="48"/>
      <w:bookmarkEnd w:id="49"/>
    </w:p>
    <w:p w14:paraId="1C1E2E71" w14:textId="77777777" w:rsidR="00760DBB" w:rsidRPr="00D549BE" w:rsidRDefault="00760DBB" w:rsidP="0039125B">
      <w:pPr>
        <w:pStyle w:val="Text1"/>
        <w:pBdr>
          <w:top w:val="single" w:sz="4" w:space="1" w:color="auto"/>
          <w:left w:val="single" w:sz="4" w:space="4" w:color="auto"/>
          <w:bottom w:val="single" w:sz="4" w:space="1" w:color="auto"/>
          <w:right w:val="single" w:sz="4" w:space="4" w:color="auto"/>
        </w:pBdr>
        <w:rPr>
          <w:noProof/>
        </w:rPr>
      </w:pPr>
      <w:r w:rsidRPr="00D549BE">
        <w:t>Établir le prêt de soutien à l’Ukraine et mettre à la disposition de celle-ci une assistance financière et économique en vue de l’aider à couvrir ses besoins de financement pour 2026 et 2027, notamment ceux résultant de la guerre d’agression menée par la Russie et par le non-paiement, par cette dernière, des réparations dues. Le prêt de soutien à l’Ukraine fournira une assistance financière et économique à l’Ukraine d’une manière prévisible, ininterrompue, ordonnée, flexible et opportune.</w:t>
      </w:r>
    </w:p>
    <w:p w14:paraId="4CE86D6E" w14:textId="77777777" w:rsidR="00760DBB" w:rsidRPr="00D549BE" w:rsidRDefault="00760DBB" w:rsidP="00760DBB">
      <w:pPr>
        <w:pStyle w:val="ManualHeading3"/>
        <w:rPr>
          <w:noProof/>
        </w:rPr>
      </w:pPr>
      <w:bookmarkStart w:id="50" w:name="_Toc514938018"/>
      <w:bookmarkStart w:id="51" w:name="_Toc520485031"/>
      <w:bookmarkStart w:id="52" w:name="_Toc160804573"/>
      <w:bookmarkStart w:id="53" w:name="_Toc167220265"/>
      <w:bookmarkStart w:id="54" w:name="_Toc177548997"/>
      <w:r w:rsidRPr="00D549BE">
        <w:t>1.3.2.</w:t>
      </w:r>
      <w:r w:rsidRPr="00D549BE">
        <w:tab/>
        <w:t>Objectif(s) spécifique(s)</w:t>
      </w:r>
      <w:bookmarkEnd w:id="50"/>
      <w:bookmarkEnd w:id="51"/>
      <w:bookmarkEnd w:id="52"/>
      <w:bookmarkEnd w:id="53"/>
      <w:bookmarkEnd w:id="54"/>
    </w:p>
    <w:p w14:paraId="0BBB00A3"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D549BE">
        <w:t>Soutenir la stabilité macrofinancière de l’Ukraine en allégeant ses contraintes de financement externe et interne, et soutenir les capacités industrielles ukrainiennes dans le domaine de la défense par une coopération économique, financière et technique.</w:t>
      </w:r>
    </w:p>
    <w:p w14:paraId="2014215E" w14:textId="77777777" w:rsidR="00760DBB" w:rsidRPr="00D549BE" w:rsidRDefault="00760DBB" w:rsidP="00760DBB">
      <w:pPr>
        <w:pStyle w:val="ManualHeading3"/>
        <w:rPr>
          <w:noProof/>
        </w:rPr>
      </w:pPr>
      <w:bookmarkStart w:id="55" w:name="_Toc514938019"/>
      <w:bookmarkStart w:id="56" w:name="_Toc520485032"/>
      <w:bookmarkStart w:id="57" w:name="_Toc160804574"/>
      <w:bookmarkStart w:id="58" w:name="_Toc167220266"/>
      <w:bookmarkStart w:id="59" w:name="_Toc177548998"/>
      <w:r w:rsidRPr="00D549BE">
        <w:t>1.3.3.</w:t>
      </w:r>
      <w:r w:rsidRPr="00D549BE">
        <w:tab/>
        <w:t>Résultat(s) et incidence(s) attendus</w:t>
      </w:r>
      <w:bookmarkEnd w:id="55"/>
      <w:bookmarkEnd w:id="56"/>
      <w:bookmarkEnd w:id="57"/>
      <w:bookmarkEnd w:id="58"/>
      <w:bookmarkEnd w:id="59"/>
    </w:p>
    <w:p w14:paraId="3F50D6CF" w14:textId="77777777" w:rsidR="00760DBB" w:rsidRPr="00D549BE" w:rsidRDefault="00760DBB" w:rsidP="00760DBB">
      <w:pPr>
        <w:pStyle w:val="Text1"/>
        <w:rPr>
          <w:i/>
          <w:noProof/>
          <w:sz w:val="20"/>
        </w:rPr>
      </w:pPr>
      <w:r w:rsidRPr="00D549BE">
        <w:rPr>
          <w:i/>
          <w:sz w:val="20"/>
        </w:rPr>
        <w:t>Préciser les effets que la proposition/l'initiative devrait avoir sur les bénéficiaires/la population visée.</w:t>
      </w:r>
    </w:p>
    <w:p w14:paraId="1B4D9DDD"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D549BE">
        <w:t>L’Ukraine recevra un soutien financier suffisant et ininterrompu en 2026 et 2027 en réponse à la situation de crise actuelle et à la suite de celle-ci. Le prêt de soutien à l’Ukraine devrait contribuer à répondre aux besoins budgétaires et en matière de défense de l’Ukraine dans un avenir immédiat.</w:t>
      </w:r>
    </w:p>
    <w:p w14:paraId="0BADF8E3" w14:textId="77777777" w:rsidR="00760DBB" w:rsidRPr="00D549BE" w:rsidRDefault="00760DBB" w:rsidP="00760DBB">
      <w:pPr>
        <w:pStyle w:val="ManualHeading3"/>
        <w:rPr>
          <w:noProof/>
        </w:rPr>
      </w:pPr>
      <w:bookmarkStart w:id="60" w:name="_Toc514938023"/>
      <w:bookmarkStart w:id="61" w:name="_Toc520485033"/>
      <w:bookmarkStart w:id="62" w:name="_Toc160804575"/>
      <w:bookmarkStart w:id="63" w:name="_Toc167220267"/>
      <w:bookmarkStart w:id="64" w:name="_Toc177548999"/>
      <w:r w:rsidRPr="00D549BE">
        <w:t>1.3.4.</w:t>
      </w:r>
      <w:r w:rsidRPr="00D549BE">
        <w:tab/>
        <w:t>Indicateurs de performance</w:t>
      </w:r>
      <w:bookmarkEnd w:id="60"/>
      <w:bookmarkEnd w:id="61"/>
      <w:bookmarkEnd w:id="62"/>
      <w:bookmarkEnd w:id="63"/>
      <w:bookmarkEnd w:id="64"/>
    </w:p>
    <w:p w14:paraId="2C31C886" w14:textId="77777777" w:rsidR="00760DBB" w:rsidRPr="00D549BE" w:rsidRDefault="00760DBB" w:rsidP="00760DBB">
      <w:pPr>
        <w:pStyle w:val="Text1"/>
        <w:rPr>
          <w:i/>
          <w:noProof/>
          <w:sz w:val="20"/>
        </w:rPr>
      </w:pPr>
      <w:r w:rsidRPr="00D549BE">
        <w:rPr>
          <w:i/>
          <w:sz w:val="20"/>
        </w:rPr>
        <w:t>Préciser les indicateurs permettant de suivre l’avancement et les réalisations.</w:t>
      </w:r>
    </w:p>
    <w:p w14:paraId="0CE68F08" w14:textId="77777777" w:rsidR="00801416" w:rsidRPr="00D549BE" w:rsidRDefault="00801416"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D549BE">
        <w:t>Les autorités ukrainiennes seront tenues de faire régulièrement rapport sur la mise en œuvre des aides accordées précédemment au titre du prêt de soutien à l’Ukraine. Les services de la Commission resteront en contact étroit avec la plateforme des donateurs pour l’Ukraine afin de tirer parti des informations échangées lors des activités en cours des différents donateurs.</w:t>
      </w:r>
    </w:p>
    <w:p w14:paraId="0409CAED"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D549BE">
        <w:t>En ce qui concerne l’objectif d’allégement des contraintes de financement, les autorités ukrainiennes seront tenues de présenter un rapport sur le respect des conditions relatives aux politiques à mener convenues avant le décaissement de la tranche de l’assistance macrofinancière. Les services de la Commission continueront de contrôler la gestion des finances publiques, après l’évaluation opérationnelle des circuits financiers et des procédures administratives de l’Ukraine, qui a été livrée en juin 2020 et qui sera actualisée à l’avenir.</w:t>
      </w:r>
    </w:p>
    <w:p w14:paraId="06BA8F3D" w14:textId="77777777" w:rsidR="00801416" w:rsidRPr="00D549BE" w:rsidRDefault="00801416" w:rsidP="00760DBB">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D549BE">
        <w:t>Un rapport annuel au Parlement européen et au Conseil sur la mise en œuvre du présent règlement est prévu. La Commission procédera à une évaluation ex post du prêt de soutien à l’Ukraine.</w:t>
      </w:r>
    </w:p>
    <w:p w14:paraId="3E15BFEC" w14:textId="77777777" w:rsidR="00760DBB" w:rsidRPr="00D549BE" w:rsidRDefault="00760DBB" w:rsidP="00760DBB">
      <w:pPr>
        <w:pStyle w:val="ManualHeading2"/>
        <w:rPr>
          <w:noProof/>
        </w:rPr>
      </w:pPr>
      <w:bookmarkStart w:id="65" w:name="_Toc177549000"/>
      <w:r w:rsidRPr="00D549BE">
        <w:t>1.4.</w:t>
      </w:r>
      <w:r w:rsidRPr="00D549BE">
        <w:tab/>
        <w:t>La proposition/l’initiative porte sur:</w:t>
      </w:r>
      <w:bookmarkEnd w:id="65"/>
      <w:r w:rsidRPr="00D549BE">
        <w:t xml:space="preserve"> </w:t>
      </w:r>
    </w:p>
    <w:p w14:paraId="63709361" w14:textId="77777777" w:rsidR="00760DBB" w:rsidRPr="00D549BE" w:rsidRDefault="00760DBB" w:rsidP="00760DBB">
      <w:pPr>
        <w:pStyle w:val="Text1"/>
        <w:rPr>
          <w:noProof/>
          <w:sz w:val="22"/>
        </w:rPr>
      </w:pPr>
      <w:r w:rsidRPr="00D549BE">
        <w:rPr>
          <w:rFonts w:ascii="Segoe UI Symbol" w:hAnsi="Segoe UI Symbol"/>
        </w:rPr>
        <w:t>☒</w:t>
      </w:r>
      <w:r w:rsidRPr="00D549BE">
        <w:rPr>
          <w:i/>
          <w:sz w:val="22"/>
        </w:rPr>
        <w:t xml:space="preserve"> </w:t>
      </w:r>
      <w:r w:rsidRPr="00D549BE">
        <w:t>une action nouvelle</w:t>
      </w:r>
      <w:r w:rsidRPr="00D549BE">
        <w:rPr>
          <w:sz w:val="22"/>
        </w:rPr>
        <w:t xml:space="preserve"> </w:t>
      </w:r>
    </w:p>
    <w:p w14:paraId="70D2D77D" w14:textId="77777777" w:rsidR="00760DBB" w:rsidRPr="00D549BE" w:rsidRDefault="00760DBB" w:rsidP="00760DBB">
      <w:pPr>
        <w:pStyle w:val="Text1"/>
        <w:rPr>
          <w:noProof/>
          <w:sz w:val="22"/>
        </w:rPr>
      </w:pPr>
      <w:r w:rsidRPr="00D549BE">
        <w:rPr>
          <w:sz w:val="22"/>
        </w:rPr>
        <w:t>¨</w:t>
      </w:r>
      <w:r w:rsidRPr="00D549BE">
        <w:rPr>
          <w:i/>
          <w:sz w:val="22"/>
        </w:rPr>
        <w:t xml:space="preserve"> </w:t>
      </w:r>
      <w:r w:rsidRPr="00D549BE">
        <w:t>une action nouvelle suite à un projet pilote/une action préparatoire</w:t>
      </w:r>
      <w:r w:rsidRPr="00D549BE">
        <w:rPr>
          <w:rStyle w:val="FootnoteReference"/>
          <w:noProof/>
        </w:rPr>
        <w:footnoteReference w:id="35"/>
      </w:r>
      <w:r w:rsidRPr="00D549BE">
        <w:rPr>
          <w:sz w:val="22"/>
        </w:rPr>
        <w:t xml:space="preserve"> </w:t>
      </w:r>
    </w:p>
    <w:p w14:paraId="63A1BBC9" w14:textId="77777777" w:rsidR="00760DBB" w:rsidRPr="00D549BE" w:rsidRDefault="00760DBB" w:rsidP="00760DBB">
      <w:pPr>
        <w:pStyle w:val="Text1"/>
        <w:rPr>
          <w:noProof/>
          <w:sz w:val="22"/>
        </w:rPr>
      </w:pPr>
      <w:r w:rsidRPr="00D549BE">
        <w:rPr>
          <w:sz w:val="22"/>
        </w:rPr>
        <w:t>¨</w:t>
      </w:r>
      <w:r w:rsidRPr="00D549BE">
        <w:rPr>
          <w:i/>
          <w:sz w:val="22"/>
        </w:rPr>
        <w:t xml:space="preserve"> </w:t>
      </w:r>
      <w:r w:rsidRPr="00D549BE">
        <w:t>la prolongation d’une action existante</w:t>
      </w:r>
      <w:r w:rsidRPr="00D549BE">
        <w:rPr>
          <w:sz w:val="22"/>
        </w:rPr>
        <w:t xml:space="preserve"> </w:t>
      </w:r>
    </w:p>
    <w:p w14:paraId="4EAE0514" w14:textId="77777777" w:rsidR="00760DBB" w:rsidRPr="00D549BE" w:rsidRDefault="00760DBB" w:rsidP="00760DBB">
      <w:pPr>
        <w:pStyle w:val="Text1"/>
        <w:rPr>
          <w:noProof/>
        </w:rPr>
      </w:pPr>
      <w:r w:rsidRPr="00D549BE">
        <w:rPr>
          <w:sz w:val="22"/>
        </w:rPr>
        <w:t>¨</w:t>
      </w:r>
      <w:r w:rsidRPr="00D549BE">
        <w:rPr>
          <w:i/>
          <w:sz w:val="22"/>
        </w:rPr>
        <w:t xml:space="preserve"> </w:t>
      </w:r>
      <w:r w:rsidRPr="00D549BE">
        <w:t>une fusion ou une réorientation d’une ou de plusieurs actions vers une autre action/une action nouvelle</w:t>
      </w:r>
    </w:p>
    <w:p w14:paraId="0505C229" w14:textId="77777777" w:rsidR="00760DBB" w:rsidRPr="00D549BE" w:rsidRDefault="00760DBB" w:rsidP="00760DBB">
      <w:pPr>
        <w:pStyle w:val="ManualHeading2"/>
        <w:rPr>
          <w:bCs/>
          <w:noProof/>
          <w:szCs w:val="24"/>
        </w:rPr>
      </w:pPr>
      <w:bookmarkStart w:id="66" w:name="_Toc514938025"/>
      <w:bookmarkStart w:id="67" w:name="_Toc520485034"/>
      <w:bookmarkStart w:id="68" w:name="_Toc160804576"/>
      <w:bookmarkStart w:id="69" w:name="_Toc167220268"/>
      <w:bookmarkStart w:id="70" w:name="_Toc177549001"/>
      <w:r w:rsidRPr="00D549BE">
        <w:t>1.5.</w:t>
      </w:r>
      <w:r w:rsidRPr="00D549BE">
        <w:tab/>
        <w:t>Justification(s) de la proposition/de l'initiative</w:t>
      </w:r>
      <w:bookmarkEnd w:id="66"/>
      <w:bookmarkEnd w:id="67"/>
      <w:bookmarkEnd w:id="68"/>
      <w:bookmarkEnd w:id="69"/>
      <w:bookmarkEnd w:id="70"/>
      <w:r w:rsidRPr="00D549BE">
        <w:t xml:space="preserve"> </w:t>
      </w:r>
    </w:p>
    <w:p w14:paraId="48F655F7" w14:textId="77777777" w:rsidR="00760DBB" w:rsidRPr="00D549BE" w:rsidRDefault="00760DBB" w:rsidP="00760DBB">
      <w:pPr>
        <w:pStyle w:val="ManualHeading3"/>
        <w:rPr>
          <w:noProof/>
        </w:rPr>
      </w:pPr>
      <w:bookmarkStart w:id="71" w:name="_Toc514938026"/>
      <w:bookmarkStart w:id="72" w:name="_Toc520485035"/>
      <w:bookmarkStart w:id="73" w:name="_Toc160804577"/>
      <w:bookmarkStart w:id="74" w:name="_Toc167220269"/>
      <w:bookmarkStart w:id="75" w:name="_Toc177549002"/>
      <w:r w:rsidRPr="00D549BE">
        <w:t>1.5.1.</w:t>
      </w:r>
      <w:r w:rsidRPr="00D549BE">
        <w:tab/>
        <w:t>Besoin(s) à satisfaire à court ou à long terme, assorti(s) d’un calendrier détaillé pour la mise en œuvre de l’initiative</w:t>
      </w:r>
      <w:bookmarkEnd w:id="71"/>
      <w:bookmarkEnd w:id="72"/>
      <w:bookmarkEnd w:id="73"/>
      <w:bookmarkEnd w:id="74"/>
      <w:bookmarkEnd w:id="75"/>
    </w:p>
    <w:p w14:paraId="2D4CD1FA" w14:textId="77777777" w:rsidR="00760DBB" w:rsidRPr="00D549BE" w:rsidRDefault="00140FC5" w:rsidP="00760DBB">
      <w:pPr>
        <w:pStyle w:val="Text1"/>
        <w:pBdr>
          <w:top w:val="single" w:sz="4" w:space="1" w:color="auto"/>
          <w:left w:val="single" w:sz="4" w:space="4" w:color="auto"/>
          <w:bottom w:val="single" w:sz="4" w:space="1" w:color="auto"/>
          <w:right w:val="single" w:sz="4" w:space="4" w:color="auto"/>
        </w:pBdr>
        <w:rPr>
          <w:noProof/>
        </w:rPr>
      </w:pPr>
      <w:r w:rsidRPr="00D549BE">
        <w:t>En ce qui concerne la mise en œuvre du prêt de soutien à l’Ukraine, la Commission conclura avec cette dernière un accord sur un prêt de soutien à l’Ukraine, lequel précisera les conditions financières dudit prêt.</w:t>
      </w:r>
    </w:p>
    <w:p w14:paraId="77203736" w14:textId="77777777" w:rsidR="00140FC5" w:rsidRPr="00D549BE" w:rsidRDefault="00140FC5" w:rsidP="00760DBB">
      <w:pPr>
        <w:pStyle w:val="Text1"/>
        <w:pBdr>
          <w:top w:val="single" w:sz="4" w:space="1" w:color="auto"/>
          <w:left w:val="single" w:sz="4" w:space="4" w:color="auto"/>
          <w:bottom w:val="single" w:sz="4" w:space="1" w:color="auto"/>
          <w:right w:val="single" w:sz="4" w:space="4" w:color="auto"/>
        </w:pBdr>
        <w:rPr>
          <w:noProof/>
        </w:rPr>
      </w:pPr>
      <w:r w:rsidRPr="00D549BE">
        <w:t>Une fois que l’accord sur un prêt de soutien à l’Ukraine aura été mis en place, les décaissements au titre dudit prêt seront subordonnés à la présentation et à l’évaluation positive d’une stratégie ukrainienne de financement. En outre, en ce qui concerne l’assistance budgétaire, un protocole d’accord doit être conclu entre la Commission et les autorités ukrainiennes sur l’assistance macrofinancière et le plan pour l’Ukraine mis à jour dans le cadre de la facilité pour l’Ukraine. Les décaissements seront ensuite subordonnés à des conditions pertinentes tant pour l’assistance budgétaire que pour l’assistance destinée à soutenir les capacités industrielles de l’Ukraine dans le domaine de la défense.</w:t>
      </w:r>
    </w:p>
    <w:p w14:paraId="29F31931" w14:textId="77777777" w:rsidR="00820C1A" w:rsidRPr="00D549BE" w:rsidRDefault="00760DBB" w:rsidP="00820C1A">
      <w:pPr>
        <w:pStyle w:val="Text1"/>
        <w:pBdr>
          <w:top w:val="single" w:sz="4" w:space="1" w:color="auto"/>
          <w:left w:val="single" w:sz="4" w:space="4" w:color="auto"/>
          <w:bottom w:val="single" w:sz="4" w:space="1" w:color="auto"/>
          <w:right w:val="single" w:sz="4" w:space="4" w:color="auto"/>
        </w:pBdr>
        <w:rPr>
          <w:noProof/>
        </w:rPr>
      </w:pPr>
      <w:r w:rsidRPr="00D549BE">
        <w:t xml:space="preserve">Le prêt de soutien à l’Ukraine sera géré par la Commission. Des dispositions spécifiques sur la prévention de la fraude et d’autres irrégularités, conformes au règlement financier, sont applicables, y compris les dispositions pertinentes visant à préserver les intérêts financiers de l’Union conformément à l’accord-cadre prévu par le règlement (UE) 2024/792. La Commission et les autorités ukrainiennes conviendraient du protocole d’accord fixant les exigences déclaratives. </w:t>
      </w:r>
    </w:p>
    <w:p w14:paraId="6E1A28F7" w14:textId="77777777" w:rsidR="00760DBB" w:rsidRPr="00D549BE" w:rsidRDefault="00760DBB" w:rsidP="00140FC5">
      <w:pPr>
        <w:pStyle w:val="Text1"/>
        <w:ind w:left="720"/>
        <w:rPr>
          <w:rFonts w:eastAsia="Times New Roman"/>
          <w:noProof/>
          <w:u w:val="single"/>
        </w:rPr>
      </w:pPr>
    </w:p>
    <w:p w14:paraId="7CA28676" w14:textId="77777777" w:rsidR="00760DBB" w:rsidRPr="00D549BE" w:rsidRDefault="00760DBB" w:rsidP="00760DBB">
      <w:pPr>
        <w:pStyle w:val="ManualHeading3"/>
        <w:rPr>
          <w:bCs/>
          <w:noProof/>
          <w:szCs w:val="24"/>
        </w:rPr>
      </w:pPr>
      <w:bookmarkStart w:id="76" w:name="_Toc514938029"/>
      <w:bookmarkStart w:id="77" w:name="_Toc520485036"/>
      <w:bookmarkStart w:id="78" w:name="_Toc160804578"/>
      <w:bookmarkStart w:id="79" w:name="_Toc167220270"/>
      <w:bookmarkStart w:id="80" w:name="_Toc177549003"/>
      <w:r w:rsidRPr="00D549BE">
        <w:t>1.5.2.</w:t>
      </w:r>
      <w:r w:rsidRPr="00D549BE">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76"/>
      <w:bookmarkEnd w:id="77"/>
      <w:bookmarkEnd w:id="78"/>
      <w:bookmarkEnd w:id="79"/>
      <w:bookmarkEnd w:id="80"/>
    </w:p>
    <w:p w14:paraId="020D4B17"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Justification de l’action au niveau de l’UE (ex ante): la présente proposition répond à la nécessité d’une réaction commune visant à apporter un soutien adéquat à l’Ukraine, qui ne peut pas être réalisé de manière satisfaisante par les seuls États membres et peut l’être mieux par l’UE. Les principales raisons en sont la capacité et les contraintes budgétaires rencontrées au niveau national et la nécessité d’une coordination étroite afin de maximiser l’ampleur et l’efficacité du soutien, tout en limitant la charge pesant sur la capacité administrative des autorités ukrainiennes, qui est très sollicitée dans les circonstances actuelles. </w:t>
      </w:r>
    </w:p>
    <w:p w14:paraId="53066C53"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L’initiative s’inscrit dans le cadre de l’objectif de l’UE consistant à soutenir l’Ukraine et renforce les actions de l’Union en faveur d’un soutien en matière économique et de défense, ainsi que les initiatives de cette dernière visant à coordonner des actions multilatérales. </w:t>
      </w:r>
    </w:p>
    <w:p w14:paraId="3876841F"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Valeur ajoutée de l’Union escomptée (ex post): la valeur ajoutée de l’Union escomptée, notamment par rapport à d’autres instruments de l’UE, consiste en un soutien rapide à la stabilité macrofinancière en allégeant les contraintes de financement externe et interne de l’Ukraine et en un soutien aux capacités industrielles de l’Ukraine dans le domaine de la défense, au sein d’un cadre approprié pour les exigences en matière de communication d'informations. </w:t>
      </w:r>
    </w:p>
    <w:p w14:paraId="35B76D2F" w14:textId="77777777" w:rsidR="00760DBB" w:rsidRPr="00D549BE" w:rsidRDefault="00760DBB" w:rsidP="00760DBB">
      <w:pPr>
        <w:pStyle w:val="ManualHeading3"/>
        <w:rPr>
          <w:noProof/>
        </w:rPr>
      </w:pPr>
      <w:bookmarkStart w:id="81" w:name="_Toc514938030"/>
      <w:bookmarkStart w:id="82" w:name="_Toc520485037"/>
      <w:bookmarkStart w:id="83" w:name="_Toc160804579"/>
      <w:bookmarkStart w:id="84" w:name="_Toc167220271"/>
      <w:bookmarkStart w:id="85" w:name="_Toc177549004"/>
      <w:r w:rsidRPr="00D549BE">
        <w:t>1.5.3.</w:t>
      </w:r>
      <w:r w:rsidRPr="00D549BE">
        <w:tab/>
        <w:t>Leçons tirées d'expériences similaires</w:t>
      </w:r>
      <w:bookmarkEnd w:id="81"/>
      <w:bookmarkEnd w:id="82"/>
      <w:bookmarkEnd w:id="83"/>
      <w:bookmarkEnd w:id="84"/>
      <w:bookmarkEnd w:id="85"/>
    </w:p>
    <w:p w14:paraId="58E46855"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Les opérations précédentes d’assistance macrofinancière en faveur de l’Ukraine font l’objet d’une évaluation ex post. Les évaluations ex post des précédentes opérations d’assistance macrofinancière en faveur de l’Ukraine ont montré qu’elles avaient été généralement très pertinentes en ce qui concerne les objectifs poursuivis, le budget et les politiques à mener. Elles ont été déterminantes, en ce qu’elles ont aidé l’Ukraine à faire face à ses problèmes de balance des paiements et à mener des réformes structurelles essentielles pour stabiliser son économie et renforcer la soutenabilité de sa position extérieure. Elles ont permis des économies budgétaires et offert des avantages financiers et ont, en outre, servi de catalyseur pour attirer des soutiens financiers supplémentaires et accroître la confiance des investisseurs.</w:t>
      </w:r>
    </w:p>
    <w:p w14:paraId="4D8370ED" w14:textId="77777777" w:rsidR="00760DBB" w:rsidRPr="00D549BE" w:rsidRDefault="00760DBB" w:rsidP="00760DBB">
      <w:pPr>
        <w:pStyle w:val="ManualHeading3"/>
        <w:rPr>
          <w:noProof/>
        </w:rPr>
      </w:pPr>
      <w:bookmarkStart w:id="86" w:name="_Toc514938033"/>
      <w:bookmarkStart w:id="87" w:name="_Toc520485038"/>
      <w:bookmarkStart w:id="88" w:name="_Toc160804580"/>
      <w:bookmarkStart w:id="89" w:name="_Toc167220272"/>
      <w:bookmarkStart w:id="90" w:name="_Toc177549005"/>
      <w:r w:rsidRPr="00D549BE">
        <w:t>1.5.4.</w:t>
      </w:r>
      <w:r w:rsidRPr="00D549BE">
        <w:tab/>
        <w:t>Compatibilité avec le cadre financier pluriannuel et synergies éventuelles avec d’autres instruments appropriés</w:t>
      </w:r>
      <w:bookmarkEnd w:id="86"/>
      <w:bookmarkEnd w:id="87"/>
      <w:bookmarkEnd w:id="88"/>
      <w:bookmarkEnd w:id="89"/>
      <w:bookmarkEnd w:id="90"/>
    </w:p>
    <w:p w14:paraId="46900B17"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Les ressources destinées au prêt de soutien à l’Ukraine seront financées par des emprunts dans le cadre de la stratégie de financement diversifiée prévue à l’article 224 du règlement (UE, Euratom) 2024/2509. Compte tenu des risques financiers et de la couverture budgétaire, aucun provisionnement ne devrait être constitué pour le soutien sous forme de prêts au titre du présent règlement, à garantir au-delà des plafonds, et, par dérogation à l’article 214, paragraphe 1, du règlement (UE, Euratom) 2024/2509, aucun taux de provisionnement ne devrait être fixé.</w:t>
      </w:r>
    </w:p>
    <w:p w14:paraId="1F0646C7" w14:textId="77777777" w:rsidR="00BE0193" w:rsidRPr="00D549BE" w:rsidRDefault="00BE0193" w:rsidP="00BE0193">
      <w:pPr>
        <w:pStyle w:val="Text1"/>
        <w:pBdr>
          <w:top w:val="single" w:sz="4" w:space="1" w:color="auto"/>
          <w:left w:val="single" w:sz="4" w:space="4" w:color="auto"/>
          <w:bottom w:val="single" w:sz="4" w:space="1" w:color="auto"/>
          <w:right w:val="single" w:sz="4" w:space="4" w:color="auto"/>
        </w:pBdr>
        <w:rPr>
          <w:noProof/>
        </w:rPr>
      </w:pPr>
      <w:r w:rsidRPr="00D549BE">
        <w:t>Afin de fournir un soutien à l’Ukraine à des conditions très favorables, le budget de l’Union prévoira une subvention pour les coûts découlant de l’emprunt pour un prêt à l’Ukraine qui auraient, autrement, dû être supportés par l’Ukraine. Ces coûts comprennent les coûts du service de la dette (coût du financement et coûts d’émission et de gestion des liquidités) et les coûts administratifs associés. Les coûts du service de la dette seront couverts par un instrument spécial spécifique au-delà des plafonds fixés par le cadre financier pluriannuel, conformément à une proposition d’accompagnement visant à modifier le règlement (UE) 2020/2093. Lors de la mobilisation de cet instrument dans le cadre de la procédure budgétaire, les disponibilités budgétaires dans d’autres instruments spéciaux, les règles sectorielles applicables, toute obligation juridique ou autre, y compris au titre de l’instrument EURI, les priorités, une budgétisation prudente et une bonne gestion financière seront prises en considération.</w:t>
      </w:r>
    </w:p>
    <w:p w14:paraId="4ED5F677" w14:textId="77777777" w:rsidR="00BE0193" w:rsidRPr="00D549BE" w:rsidRDefault="00BE0193" w:rsidP="00BE0193">
      <w:pPr>
        <w:pStyle w:val="Text1"/>
        <w:pBdr>
          <w:top w:val="single" w:sz="4" w:space="1" w:color="auto"/>
          <w:left w:val="single" w:sz="4" w:space="4" w:color="auto"/>
          <w:bottom w:val="single" w:sz="4" w:space="1" w:color="auto"/>
          <w:right w:val="single" w:sz="4" w:space="4" w:color="auto"/>
        </w:pBdr>
        <w:rPr>
          <w:noProof/>
        </w:rPr>
      </w:pPr>
      <w:r w:rsidRPr="00D549BE">
        <w:t>Une nouvelle ligne budgétaire sera créée pour déterminer de manière claire et transparente les dépenses liées aux coûts du service de la dette résultant de la coopération renforcée. Les coûts administratifs seront pris en charge par le budget de l’Union, les coûts de personnel étant couverts par la rubrique 7 du cadre financier pluriannuel.</w:t>
      </w:r>
    </w:p>
    <w:p w14:paraId="015D1996" w14:textId="77777777" w:rsidR="00760DBB" w:rsidRPr="00D549BE" w:rsidRDefault="00760DBB" w:rsidP="00760DBB">
      <w:pPr>
        <w:pStyle w:val="ManualHeading3"/>
        <w:rPr>
          <w:noProof/>
        </w:rPr>
      </w:pPr>
      <w:bookmarkStart w:id="91" w:name="_Toc514938036"/>
      <w:bookmarkStart w:id="92" w:name="_Toc520485039"/>
      <w:bookmarkStart w:id="93" w:name="_Toc160804581"/>
      <w:bookmarkStart w:id="94" w:name="_Toc167220273"/>
      <w:bookmarkStart w:id="95" w:name="_Toc177549006"/>
      <w:r w:rsidRPr="00D549BE">
        <w:t>1.5.5.</w:t>
      </w:r>
      <w:r w:rsidRPr="00D549BE">
        <w:tab/>
        <w:t>Évaluation des différentes possibilités de financement disponibles, y compris des possibilités de redéploiement</w:t>
      </w:r>
      <w:bookmarkEnd w:id="91"/>
      <w:bookmarkEnd w:id="92"/>
      <w:bookmarkEnd w:id="93"/>
      <w:bookmarkEnd w:id="94"/>
      <w:bookmarkEnd w:id="95"/>
    </w:p>
    <w:p w14:paraId="6BAB479C" w14:textId="77777777" w:rsidR="00760DBB" w:rsidRPr="00D549BE" w:rsidRDefault="000F54C1" w:rsidP="00760DBB">
      <w:pPr>
        <w:pStyle w:val="Text1"/>
        <w:pBdr>
          <w:top w:val="single" w:sz="4" w:space="1" w:color="auto"/>
          <w:left w:val="single" w:sz="4" w:space="4" w:color="auto"/>
          <w:bottom w:val="single" w:sz="4" w:space="1" w:color="auto"/>
          <w:right w:val="single" w:sz="4" w:space="4" w:color="auto"/>
        </w:pBdr>
        <w:rPr>
          <w:noProof/>
        </w:rPr>
      </w:pPr>
      <w:r w:rsidRPr="00D549BE">
        <w:t>Le 23 octobre 2025, 26 États membres ont invité la Commission à présenter, dès que possible, des options de soutien financier à l’Ukraine. La Commission a présenté un certain nombre d’options et le 18 décembre 2025, le Conseil européen a convenu d’accorder à l’Ukraine un prêt de 90 milliards d’EUR pour les années 2026 et 2027 sur la base d’un emprunt de l’UE sur les marchés des capitaux couvert par la marge de manœuvre du budget de l’UE.</w:t>
      </w:r>
    </w:p>
    <w:p w14:paraId="24E72DC0" w14:textId="77777777" w:rsidR="00760DBB" w:rsidRPr="00D549BE" w:rsidRDefault="00760DBB" w:rsidP="00760DBB">
      <w:pPr>
        <w:pStyle w:val="ManualHeading2"/>
        <w:rPr>
          <w:bCs/>
          <w:noProof/>
          <w:szCs w:val="24"/>
        </w:rPr>
      </w:pPr>
      <w:r w:rsidRPr="00D549BE">
        <w:br w:type="page"/>
      </w:r>
      <w:bookmarkStart w:id="96" w:name="_Toc514938039"/>
      <w:bookmarkStart w:id="97" w:name="_Toc520485040"/>
      <w:bookmarkStart w:id="98" w:name="_Toc160804582"/>
      <w:bookmarkStart w:id="99" w:name="_Toc167220274"/>
      <w:bookmarkStart w:id="100" w:name="_Toc177549007"/>
      <w:r w:rsidRPr="00D549BE">
        <w:t>1.6.</w:t>
      </w:r>
      <w:r w:rsidRPr="00D549BE">
        <w:tab/>
        <w:t>Durée de la proposition/de l’initiative</w:t>
      </w:r>
      <w:bookmarkEnd w:id="96"/>
      <w:bookmarkEnd w:id="97"/>
      <w:r w:rsidRPr="00D549BE">
        <w:t xml:space="preserve"> et de son incidence financière</w:t>
      </w:r>
      <w:bookmarkEnd w:id="98"/>
      <w:bookmarkEnd w:id="99"/>
      <w:bookmarkEnd w:id="100"/>
    </w:p>
    <w:p w14:paraId="53D2EA5A" w14:textId="77777777" w:rsidR="00760DBB" w:rsidRPr="00D549BE" w:rsidRDefault="00945A1F" w:rsidP="00760DBB">
      <w:pPr>
        <w:pStyle w:val="Text1"/>
        <w:rPr>
          <w:noProof/>
        </w:rPr>
      </w:pPr>
      <w:r w:rsidRPr="00D549BE">
        <w:rPr>
          <w:rFonts w:ascii="Segoe UI Symbol" w:hAnsi="Segoe UI Symbol"/>
        </w:rPr>
        <w:t>☒</w:t>
      </w:r>
      <w:r w:rsidRPr="00D549BE">
        <w:rPr>
          <w:b/>
          <w:i/>
        </w:rPr>
        <w:t xml:space="preserve"> </w:t>
      </w:r>
      <w:r w:rsidRPr="00D549BE">
        <w:rPr>
          <w:b/>
        </w:rPr>
        <w:t xml:space="preserve">durée limitée </w:t>
      </w:r>
    </w:p>
    <w:p w14:paraId="381B6D74" w14:textId="77777777" w:rsidR="00810FCC" w:rsidRPr="00D549BE" w:rsidRDefault="00BE0193" w:rsidP="00255932">
      <w:pPr>
        <w:pStyle w:val="ListDash2"/>
        <w:rPr>
          <w:noProof/>
        </w:rPr>
      </w:pPr>
      <w:r w:rsidRPr="00D549BE">
        <w:rPr>
          <w:rFonts w:ascii="Segoe UI Symbol" w:hAnsi="Segoe UI Symbol"/>
        </w:rPr>
        <w:t>☒</w:t>
      </w:r>
      <w:r w:rsidRPr="00D549BE">
        <w:tab/>
        <w:t xml:space="preserve">incidence financière de 2026 jusqu’en 2027 pour les crédits d’engagement et de 2026 jusqu’en 2028 pour les crédits de paiement. </w:t>
      </w:r>
    </w:p>
    <w:p w14:paraId="7B679F34" w14:textId="1267EDD3" w:rsidR="00BE0193" w:rsidRPr="00D549BE" w:rsidRDefault="00BE0193" w:rsidP="00810FCC">
      <w:pPr>
        <w:pStyle w:val="Text2"/>
        <w:rPr>
          <w:noProof/>
        </w:rPr>
      </w:pPr>
      <w:r w:rsidRPr="00D549BE">
        <w:t>En outre, une bonification d'intérêt en faveur de l’Ukraine peut être accordée annuellement sur la durée du prêt.</w:t>
      </w:r>
    </w:p>
    <w:p w14:paraId="51538806" w14:textId="77777777" w:rsidR="00760DBB" w:rsidRPr="00D549BE" w:rsidRDefault="00945A1F" w:rsidP="00760DBB">
      <w:pPr>
        <w:pStyle w:val="Text1"/>
        <w:rPr>
          <w:noProof/>
        </w:rPr>
      </w:pPr>
      <w:r w:rsidRPr="00D549BE">
        <w:rPr>
          <w:rFonts w:ascii="Wingdings" w:hAnsi="Wingdings"/>
        </w:rPr>
        <w:t></w:t>
      </w:r>
      <w:r w:rsidRPr="00D549BE">
        <w:rPr>
          <w:b/>
          <w:i/>
        </w:rPr>
        <w:t xml:space="preserve"> </w:t>
      </w:r>
      <w:r w:rsidRPr="00D549BE">
        <w:rPr>
          <w:b/>
        </w:rPr>
        <w:t>durée illimitée</w:t>
      </w:r>
    </w:p>
    <w:p w14:paraId="0C962B05" w14:textId="77777777" w:rsidR="00760DBB" w:rsidRPr="00D549BE" w:rsidRDefault="00760DBB" w:rsidP="00760DBB">
      <w:pPr>
        <w:pStyle w:val="ManualHeading2"/>
        <w:ind w:left="1134"/>
        <w:rPr>
          <w:noProof/>
        </w:rPr>
      </w:pPr>
      <w:bookmarkStart w:id="101" w:name="_Toc514938040"/>
      <w:bookmarkStart w:id="102" w:name="_Toc520485041"/>
      <w:bookmarkStart w:id="103" w:name="_Toc160804583"/>
      <w:bookmarkStart w:id="104" w:name="_Toc167220275"/>
      <w:bookmarkStart w:id="105" w:name="_Toc177549008"/>
      <w:r w:rsidRPr="00D549BE">
        <w:t>1.7.</w:t>
      </w:r>
      <w:r w:rsidRPr="00D549BE">
        <w:tab/>
        <w:t>Mode(s) d’exécution budgétaire prévu(s)</w:t>
      </w:r>
      <w:bookmarkEnd w:id="101"/>
      <w:bookmarkEnd w:id="102"/>
      <w:bookmarkEnd w:id="103"/>
      <w:bookmarkEnd w:id="104"/>
      <w:bookmarkEnd w:id="105"/>
      <w:r w:rsidRPr="00D549BE">
        <w:t xml:space="preserve"> </w:t>
      </w:r>
    </w:p>
    <w:p w14:paraId="77FD1450" w14:textId="77777777" w:rsidR="00760DBB" w:rsidRPr="00D549BE" w:rsidRDefault="00760DBB" w:rsidP="00760DBB">
      <w:pPr>
        <w:pStyle w:val="Text1"/>
        <w:rPr>
          <w:noProof/>
        </w:rPr>
      </w:pPr>
      <w:r w:rsidRPr="00D549BE">
        <w:rPr>
          <w:rFonts w:ascii="Segoe UI Symbol" w:hAnsi="Segoe UI Symbol"/>
        </w:rPr>
        <w:t>☒</w:t>
      </w:r>
      <w:r w:rsidRPr="00D549BE">
        <w:rPr>
          <w:i/>
        </w:rPr>
        <w:t xml:space="preserve"> </w:t>
      </w:r>
      <w:r w:rsidRPr="00D549BE">
        <w:rPr>
          <w:b/>
        </w:rPr>
        <w:t>Gestion directe</w:t>
      </w:r>
      <w:r w:rsidRPr="00D549BE">
        <w:t xml:space="preserve"> par la Commission</w:t>
      </w:r>
    </w:p>
    <w:p w14:paraId="4301356D" w14:textId="77777777" w:rsidR="00760DBB" w:rsidRPr="00D549BE" w:rsidRDefault="00760DBB" w:rsidP="00760DBB">
      <w:pPr>
        <w:pStyle w:val="ListDash2"/>
        <w:rPr>
          <w:rFonts w:cs="EUAlbertina"/>
          <w:noProof/>
        </w:rPr>
      </w:pPr>
      <w:r w:rsidRPr="00D549BE">
        <w:rPr>
          <w:rFonts w:ascii="Segoe UI Symbol" w:hAnsi="Segoe UI Symbol"/>
        </w:rPr>
        <w:t>☒</w:t>
      </w:r>
      <w:r w:rsidRPr="00D549BE">
        <w:t xml:space="preserve"> dans ses services, y compris par l’intermédiaire de son personnel dans les délégations de l’Union; </w:t>
      </w:r>
    </w:p>
    <w:p w14:paraId="206B73E3" w14:textId="77777777" w:rsidR="00760DBB" w:rsidRPr="00D549BE" w:rsidRDefault="00760DBB" w:rsidP="00760DBB">
      <w:pPr>
        <w:pStyle w:val="ListDash2"/>
        <w:rPr>
          <w:noProof/>
        </w:rPr>
      </w:pPr>
      <w:r w:rsidRPr="00D549BE">
        <w:rPr>
          <w:rFonts w:ascii="Wingdings" w:hAnsi="Wingdings"/>
        </w:rPr>
        <w:t></w:t>
      </w:r>
      <w:r w:rsidRPr="00D549BE">
        <w:tab/>
        <w:t xml:space="preserve">par les agences exécutives. </w:t>
      </w:r>
    </w:p>
    <w:p w14:paraId="55498469" w14:textId="77777777" w:rsidR="00760DBB" w:rsidRPr="00D549BE" w:rsidRDefault="00760DBB" w:rsidP="00760DBB">
      <w:pPr>
        <w:pStyle w:val="Text1"/>
        <w:rPr>
          <w:noProof/>
        </w:rPr>
      </w:pPr>
      <w:r w:rsidRPr="00D549BE">
        <w:rPr>
          <w:rFonts w:ascii="Wingdings" w:hAnsi="Wingdings"/>
        </w:rPr>
        <w:t></w:t>
      </w:r>
      <w:r w:rsidRPr="00D549BE">
        <w:rPr>
          <w:b/>
          <w:i/>
        </w:rPr>
        <w:t xml:space="preserve"> </w:t>
      </w:r>
      <w:r w:rsidRPr="00D549BE">
        <w:rPr>
          <w:b/>
        </w:rPr>
        <w:t>Gestion partagée</w:t>
      </w:r>
      <w:r w:rsidRPr="00D549BE">
        <w:t xml:space="preserve"> avec les États membres </w:t>
      </w:r>
    </w:p>
    <w:p w14:paraId="00698BC9" w14:textId="77777777" w:rsidR="00760DBB" w:rsidRPr="00D549BE" w:rsidRDefault="00760DBB" w:rsidP="00760DBB">
      <w:pPr>
        <w:pStyle w:val="Text1"/>
        <w:rPr>
          <w:noProof/>
        </w:rPr>
      </w:pPr>
      <w:r w:rsidRPr="00D549BE">
        <w:rPr>
          <w:rFonts w:ascii="Wingdings" w:hAnsi="Wingdings"/>
        </w:rPr>
        <w:t></w:t>
      </w:r>
      <w:r w:rsidRPr="00D549BE">
        <w:rPr>
          <w:i/>
        </w:rPr>
        <w:t xml:space="preserve"> </w:t>
      </w:r>
      <w:r w:rsidRPr="00D549BE">
        <w:rPr>
          <w:b/>
        </w:rPr>
        <w:t>Gestion indirecte</w:t>
      </w:r>
      <w:r w:rsidRPr="00D549BE">
        <w:t xml:space="preserve"> en confiant des tâches d’exécution budgétaire:</w:t>
      </w:r>
    </w:p>
    <w:p w14:paraId="6C24571D" w14:textId="77777777" w:rsidR="00760DBB" w:rsidRPr="00D549BE" w:rsidRDefault="00760DBB" w:rsidP="00760DBB">
      <w:pPr>
        <w:pStyle w:val="ListDash2"/>
        <w:rPr>
          <w:noProof/>
        </w:rPr>
      </w:pPr>
      <w:r w:rsidRPr="00D549BE">
        <w:rPr>
          <w:rFonts w:ascii="Wingdings" w:hAnsi="Wingdings"/>
        </w:rPr>
        <w:t></w:t>
      </w:r>
      <w:r w:rsidRPr="00D549BE">
        <w:t xml:space="preserve"> à des pays tiers ou des organismes qu’ils ont désignés</w:t>
      </w:r>
    </w:p>
    <w:p w14:paraId="492EDD1C" w14:textId="77777777" w:rsidR="00760DBB" w:rsidRPr="00D549BE" w:rsidRDefault="00760DBB" w:rsidP="00760DBB">
      <w:pPr>
        <w:pStyle w:val="ListDash2"/>
        <w:rPr>
          <w:noProof/>
        </w:rPr>
      </w:pPr>
      <w:r w:rsidRPr="00D549BE">
        <w:rPr>
          <w:rFonts w:ascii="Wingdings" w:hAnsi="Wingdings"/>
        </w:rPr>
        <w:t></w:t>
      </w:r>
      <w:r w:rsidRPr="00D549BE">
        <w:t xml:space="preserve"> à des organisations internationales et à leurs agences (à préciser)</w:t>
      </w:r>
    </w:p>
    <w:p w14:paraId="25E560DA" w14:textId="77777777" w:rsidR="00760DBB" w:rsidRPr="00D549BE" w:rsidRDefault="00760DBB" w:rsidP="00760DBB">
      <w:pPr>
        <w:pStyle w:val="ListDash2"/>
        <w:rPr>
          <w:noProof/>
        </w:rPr>
      </w:pPr>
      <w:r w:rsidRPr="00D549BE">
        <w:rPr>
          <w:rFonts w:ascii="Wingdings" w:hAnsi="Wingdings"/>
        </w:rPr>
        <w:t></w:t>
      </w:r>
      <w:r w:rsidRPr="00D549BE">
        <w:t xml:space="preserve"> à la Banque européenne d'investissement et au Fonds européen d’investissement</w:t>
      </w:r>
    </w:p>
    <w:p w14:paraId="6BC15153" w14:textId="77777777" w:rsidR="00760DBB" w:rsidRPr="00D549BE" w:rsidRDefault="00760DBB" w:rsidP="00760DBB">
      <w:pPr>
        <w:pStyle w:val="ListDash2"/>
        <w:rPr>
          <w:noProof/>
        </w:rPr>
      </w:pPr>
      <w:r w:rsidRPr="00D549BE">
        <w:rPr>
          <w:rFonts w:ascii="Wingdings" w:hAnsi="Wingdings"/>
        </w:rPr>
        <w:t></w:t>
      </w:r>
      <w:r w:rsidRPr="00D549BE">
        <w:t xml:space="preserve"> aux organismes visés aux articles 70 et 71 du règlement financier</w:t>
      </w:r>
    </w:p>
    <w:p w14:paraId="7259DDF4" w14:textId="77777777" w:rsidR="00760DBB" w:rsidRPr="00D549BE" w:rsidRDefault="00760DBB" w:rsidP="00760DBB">
      <w:pPr>
        <w:pStyle w:val="ListDash2"/>
        <w:rPr>
          <w:noProof/>
        </w:rPr>
      </w:pPr>
      <w:r w:rsidRPr="00D549BE">
        <w:rPr>
          <w:rFonts w:ascii="Wingdings" w:hAnsi="Wingdings"/>
        </w:rPr>
        <w:t></w:t>
      </w:r>
      <w:r w:rsidRPr="00D549BE">
        <w:t xml:space="preserve"> à des établissements de droit public</w:t>
      </w:r>
    </w:p>
    <w:p w14:paraId="7CA4BCC4" w14:textId="77777777" w:rsidR="00760DBB" w:rsidRPr="00D549BE" w:rsidRDefault="00760DBB" w:rsidP="00760DBB">
      <w:pPr>
        <w:pStyle w:val="ListDash2"/>
        <w:rPr>
          <w:noProof/>
        </w:rPr>
      </w:pPr>
      <w:r w:rsidRPr="00D549BE">
        <w:rPr>
          <w:rFonts w:ascii="Wingdings" w:hAnsi="Wingdings"/>
        </w:rPr>
        <w:t></w:t>
      </w:r>
      <w:r w:rsidRPr="00D549BE">
        <w:t xml:space="preserve"> à des entités de droit privé investies d’une mission de service public, pour autant qu’elles soient dotées de garanties financières suffisantes</w:t>
      </w:r>
    </w:p>
    <w:p w14:paraId="56EAB765" w14:textId="77777777" w:rsidR="00760DBB" w:rsidRPr="00D549BE" w:rsidRDefault="00760DBB" w:rsidP="00760DBB">
      <w:pPr>
        <w:pStyle w:val="ListDash2"/>
        <w:rPr>
          <w:noProof/>
        </w:rPr>
      </w:pPr>
      <w:r w:rsidRPr="00D549BE">
        <w:rPr>
          <w:rFonts w:ascii="Wingdings" w:hAnsi="Wingdings"/>
        </w:rPr>
        <w:t></w:t>
      </w:r>
      <w:r w:rsidRPr="00D549BE">
        <w:t xml:space="preserve"> à des entités de droit privé d’un État membre qui sont chargées de la mise en œuvre d’un partenariat public-privé et dotées de garanties financières suffisantes</w:t>
      </w:r>
    </w:p>
    <w:p w14:paraId="058A71D7" w14:textId="77777777" w:rsidR="00760DBB" w:rsidRPr="00D549BE" w:rsidRDefault="00760DBB" w:rsidP="00760DBB">
      <w:pPr>
        <w:pStyle w:val="ListDash2"/>
        <w:rPr>
          <w:noProof/>
        </w:rPr>
      </w:pPr>
      <w:r w:rsidRPr="00D549BE">
        <w:rPr>
          <w:rFonts w:ascii="Wingdings" w:hAnsi="Wingdings"/>
        </w:rPr>
        <w:t></w:t>
      </w:r>
      <w:r w:rsidRPr="00D549BE">
        <w:t xml:space="preserve"> à des organismes ou des personnes chargés de l’exécution d’actions spécifiques relevant de la politique étrangère et de sécurité commune, en vertu du titre V du traité sur l’Union européenne, identifiés dans l’acte de base concerné</w:t>
      </w:r>
    </w:p>
    <w:p w14:paraId="2B3DF7E9" w14:textId="77777777" w:rsidR="00760DBB" w:rsidRPr="00D549BE" w:rsidRDefault="00760DBB" w:rsidP="00760DBB">
      <w:pPr>
        <w:pStyle w:val="ListDash2"/>
        <w:rPr>
          <w:noProof/>
        </w:rPr>
      </w:pPr>
      <w:r w:rsidRPr="00D549BE">
        <w:rPr>
          <w:rFonts w:ascii="Wingdings" w:hAnsi="Wingdings"/>
        </w:rPr>
        <w:t></w:t>
      </w:r>
      <w:r w:rsidRPr="00D549BE">
        <w:rPr>
          <w:rFonts w:ascii="Wingdings" w:hAnsi="Wingdings"/>
        </w:rPr>
        <w:t></w:t>
      </w:r>
      <w:r w:rsidRPr="00D549BE">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035C5EF8" w14:textId="77777777" w:rsidR="00760DBB" w:rsidRPr="00D549BE" w:rsidRDefault="00760DBB" w:rsidP="00760DBB">
      <w:pPr>
        <w:rPr>
          <w:noProof/>
        </w:rPr>
      </w:pPr>
      <w:r w:rsidRPr="00D549BE">
        <w:t xml:space="preserve">Remarques </w:t>
      </w:r>
    </w:p>
    <w:p w14:paraId="09B401DA" w14:textId="77777777" w:rsidR="00760DBB" w:rsidRPr="00D549BE" w:rsidRDefault="00760DBB" w:rsidP="00760DBB">
      <w:pPr>
        <w:pBdr>
          <w:top w:val="single" w:sz="4" w:space="1" w:color="auto"/>
          <w:left w:val="single" w:sz="4" w:space="4" w:color="auto"/>
          <w:bottom w:val="single" w:sz="4" w:space="1" w:color="auto"/>
          <w:right w:val="single" w:sz="4" w:space="4" w:color="auto"/>
        </w:pBdr>
        <w:rPr>
          <w:noProof/>
        </w:rPr>
      </w:pPr>
      <w:r w:rsidRPr="00D549BE">
        <w:t>s.o.</w:t>
      </w:r>
    </w:p>
    <w:p w14:paraId="59B7ACAF" w14:textId="77777777" w:rsidR="00760DBB" w:rsidRPr="00D549BE" w:rsidRDefault="00760DBB" w:rsidP="00760DBB">
      <w:pPr>
        <w:rPr>
          <w:noProof/>
        </w:rPr>
        <w:sectPr w:rsidR="00760DBB" w:rsidRPr="00D549BE" w:rsidSect="00D549BE">
          <w:pgSz w:w="11907" w:h="16840" w:code="9"/>
          <w:pgMar w:top="1134" w:right="1418" w:bottom="1134" w:left="1418" w:header="709" w:footer="709" w:gutter="0"/>
          <w:cols w:space="708"/>
          <w:docGrid w:linePitch="360"/>
        </w:sectPr>
      </w:pPr>
    </w:p>
    <w:p w14:paraId="7668A105" w14:textId="77777777" w:rsidR="00760DBB" w:rsidRPr="00D549BE" w:rsidRDefault="00760DBB" w:rsidP="00760DBB">
      <w:pPr>
        <w:pStyle w:val="ManualHeading1"/>
        <w:rPr>
          <w:noProof/>
        </w:rPr>
      </w:pPr>
      <w:bookmarkStart w:id="106" w:name="_Toc514938041"/>
      <w:bookmarkStart w:id="107" w:name="_Toc520485042"/>
      <w:bookmarkStart w:id="108" w:name="_Toc160804584"/>
      <w:bookmarkStart w:id="109" w:name="_Toc167220276"/>
      <w:bookmarkStart w:id="110" w:name="_Toc177549009"/>
      <w:r w:rsidRPr="00D549BE">
        <w:t>2.</w:t>
      </w:r>
      <w:r w:rsidRPr="00D549BE">
        <w:tab/>
        <w:t>MESURES DE GESTION</w:t>
      </w:r>
      <w:bookmarkEnd w:id="106"/>
      <w:bookmarkEnd w:id="107"/>
      <w:bookmarkEnd w:id="108"/>
      <w:bookmarkEnd w:id="109"/>
      <w:bookmarkEnd w:id="110"/>
      <w:r w:rsidRPr="00D549BE">
        <w:t xml:space="preserve"> </w:t>
      </w:r>
    </w:p>
    <w:p w14:paraId="26F628CA" w14:textId="77777777" w:rsidR="00760DBB" w:rsidRPr="00D549BE" w:rsidRDefault="00760DBB" w:rsidP="00760DBB">
      <w:pPr>
        <w:pStyle w:val="ManualHeading2"/>
        <w:rPr>
          <w:noProof/>
        </w:rPr>
      </w:pPr>
      <w:bookmarkStart w:id="111" w:name="_Toc514938042"/>
      <w:bookmarkStart w:id="112" w:name="_Toc520485043"/>
      <w:bookmarkStart w:id="113" w:name="_Toc160804585"/>
      <w:bookmarkStart w:id="114" w:name="_Toc167220277"/>
      <w:bookmarkStart w:id="115" w:name="_Toc177549010"/>
      <w:r w:rsidRPr="00D549BE">
        <w:t>2.1.</w:t>
      </w:r>
      <w:r w:rsidRPr="00D549BE">
        <w:tab/>
        <w:t>Dispositions en matière de suivi et de compte rendu</w:t>
      </w:r>
      <w:bookmarkEnd w:id="111"/>
      <w:bookmarkEnd w:id="112"/>
      <w:bookmarkEnd w:id="113"/>
      <w:bookmarkEnd w:id="114"/>
      <w:bookmarkEnd w:id="115"/>
      <w:r w:rsidRPr="00D549BE">
        <w:t xml:space="preserve"> </w:t>
      </w:r>
    </w:p>
    <w:p w14:paraId="4C879D7B" w14:textId="77777777" w:rsidR="00C03BB9"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Les obligations en matière de suivi et de rapports prévues par le règlement (UE, Euratom) 2024/2509 s’appliquent. </w:t>
      </w:r>
    </w:p>
    <w:p w14:paraId="09B15832" w14:textId="77777777" w:rsidR="00C03BB9"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Le suivi de l’action par les services de la Commission se fera sur la base de la mise en œuvre de l’assistance précédemment octroyée au titre du prêt de soutien à l’Ukraine. </w:t>
      </w:r>
    </w:p>
    <w:p w14:paraId="739127D7" w14:textId="77777777" w:rsidR="00760DBB" w:rsidRPr="00D549BE" w:rsidRDefault="00C03BB9" w:rsidP="00760DBB">
      <w:pPr>
        <w:pStyle w:val="Text1"/>
        <w:pBdr>
          <w:top w:val="single" w:sz="4" w:space="1" w:color="auto"/>
          <w:left w:val="single" w:sz="4" w:space="4" w:color="auto"/>
          <w:bottom w:val="single" w:sz="4" w:space="1" w:color="auto"/>
          <w:right w:val="single" w:sz="4" w:space="4" w:color="auto"/>
        </w:pBdr>
        <w:rPr>
          <w:noProof/>
        </w:rPr>
      </w:pPr>
      <w:r w:rsidRPr="00D549BE">
        <w:t>En outre, le suivi de l'action tiendra compte des mesures spécifiques à convenir avec les autorités ukrainiennes dans le protocole d’accord. La Commission vérifiera le respect des conditions relatives aux politiques à mener énoncées dans le protocole d’accord. La Commission informera le Parlement européen et le Conseil des résultats de cette vérification.</w:t>
      </w:r>
    </w:p>
    <w:p w14:paraId="22B24D5B" w14:textId="77777777" w:rsidR="00C03BB9" w:rsidRPr="00D549BE" w:rsidRDefault="00C03BB9" w:rsidP="00760DBB">
      <w:pPr>
        <w:pStyle w:val="Text1"/>
        <w:pBdr>
          <w:top w:val="single" w:sz="4" w:space="1" w:color="auto"/>
          <w:left w:val="single" w:sz="4" w:space="4" w:color="auto"/>
          <w:bottom w:val="single" w:sz="4" w:space="1" w:color="auto"/>
          <w:right w:val="single" w:sz="4" w:space="4" w:color="auto"/>
        </w:pBdr>
        <w:rPr>
          <w:noProof/>
          <w:color w:val="000000" w:themeColor="text1"/>
        </w:rPr>
      </w:pPr>
      <w:r w:rsidRPr="00D549BE">
        <w:t>Enfin, le suivi de l’action tiendra compte du dialogue avec les autorités ukrainiennes, et en particulier de chaque demande de fonds et des informations qui y figurent, en ce qui concerne l’assistance visant à soutenir les capacités industrielles de l’Ukraine dans le domaine de la défense.</w:t>
      </w:r>
    </w:p>
    <w:p w14:paraId="2D4E656A"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rPr>
          <w:color w:val="000000" w:themeColor="text1"/>
        </w:rPr>
        <w:t>Afin que le Parlement européen et le Conseil</w:t>
      </w:r>
      <w:r w:rsidRPr="00D549BE">
        <w:t xml:space="preserve"> puissent suivre la mise en œuvre du présent règlement, la Commission devrait régulièrement les informer des développements liés à l’assistance de l’Union à l’Ukraine au titre du présent règlement et leur fournir les documents y afférents.</w:t>
      </w:r>
    </w:p>
    <w:p w14:paraId="339566AE"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rFonts w:eastAsia="Times New Roman"/>
          <w:noProof/>
        </w:rPr>
      </w:pPr>
      <w:r w:rsidRPr="00D549BE">
        <w:t>La Commission devrait réexaminer régulièrement l’adéquation de ces exigences en matière de rapports et de suivi et faire rapport au Parlement européen et au Conseil, garantissant ainsi la transparence et l’obligation de rendre des comptes.</w:t>
      </w:r>
    </w:p>
    <w:p w14:paraId="0590EC85" w14:textId="77777777" w:rsidR="00C03BB9" w:rsidRPr="00D549BE" w:rsidRDefault="00C03BB9" w:rsidP="00760DBB">
      <w:pPr>
        <w:pStyle w:val="Text1"/>
        <w:pBdr>
          <w:top w:val="single" w:sz="4" w:space="1" w:color="auto"/>
          <w:left w:val="single" w:sz="4" w:space="4" w:color="auto"/>
          <w:bottom w:val="single" w:sz="4" w:space="1" w:color="auto"/>
          <w:right w:val="single" w:sz="4" w:space="4" w:color="auto"/>
        </w:pBdr>
        <w:rPr>
          <w:noProof/>
        </w:rPr>
      </w:pPr>
      <w:r w:rsidRPr="00D549BE">
        <w:t>Au plus tard le 30 juin 2029, la Commission soumettra au Parlement européen et au Conseil un rapport d’évaluation ex post, qui évaluera les résultats et l’efficacité du prêt de soutien à l’Ukraine octroyé au titre du présent règlement et la mesure dans laquelle il a contribué à la réalisation des objectifs de l’assistance.</w:t>
      </w:r>
    </w:p>
    <w:p w14:paraId="23CE4C7C" w14:textId="77777777" w:rsidR="00760DBB" w:rsidRPr="00D549BE" w:rsidRDefault="00760DBB" w:rsidP="00760DBB">
      <w:pPr>
        <w:pStyle w:val="ManualHeading2"/>
        <w:rPr>
          <w:bCs/>
          <w:noProof/>
          <w:szCs w:val="24"/>
        </w:rPr>
      </w:pPr>
      <w:bookmarkStart w:id="116" w:name="_Toc514938045"/>
      <w:bookmarkStart w:id="117" w:name="_Toc520485044"/>
      <w:bookmarkStart w:id="118" w:name="_Toc160804586"/>
      <w:bookmarkStart w:id="119" w:name="_Toc167220278"/>
      <w:bookmarkStart w:id="120" w:name="_Toc177549011"/>
      <w:r w:rsidRPr="00D549BE">
        <w:t>2.2.</w:t>
      </w:r>
      <w:r w:rsidRPr="00D549BE">
        <w:tab/>
        <w:t>Système(s) de gestion et de contrôle</w:t>
      </w:r>
      <w:bookmarkEnd w:id="116"/>
      <w:bookmarkEnd w:id="117"/>
      <w:bookmarkEnd w:id="118"/>
      <w:bookmarkEnd w:id="119"/>
      <w:bookmarkEnd w:id="120"/>
      <w:r w:rsidRPr="00D549BE">
        <w:t xml:space="preserve"> </w:t>
      </w:r>
    </w:p>
    <w:p w14:paraId="3C59044B" w14:textId="77777777" w:rsidR="00760DBB" w:rsidRPr="00D549BE" w:rsidRDefault="00760DBB" w:rsidP="00760DBB">
      <w:pPr>
        <w:pStyle w:val="ManualHeading3"/>
        <w:rPr>
          <w:noProof/>
        </w:rPr>
      </w:pPr>
      <w:bookmarkStart w:id="121" w:name="_Toc514938046"/>
      <w:bookmarkStart w:id="122" w:name="_Toc520485045"/>
      <w:bookmarkStart w:id="123" w:name="_Toc160804587"/>
      <w:bookmarkStart w:id="124" w:name="_Toc167220279"/>
      <w:bookmarkStart w:id="125" w:name="_Toc177549012"/>
      <w:r w:rsidRPr="00D549BE">
        <w:t>2.2.1.</w:t>
      </w:r>
      <w:r w:rsidRPr="00D549BE">
        <w:tab/>
        <w:t>Justification du (des) mode(s) d’exécution budgétaire, du (des) mécanisme(s) de mise en œuvre du financement, des modalités de paiement et de la stratégie de contrôle proposée</w:t>
      </w:r>
      <w:bookmarkEnd w:id="121"/>
      <w:bookmarkEnd w:id="122"/>
      <w:bookmarkEnd w:id="123"/>
      <w:bookmarkEnd w:id="124"/>
      <w:bookmarkEnd w:id="125"/>
    </w:p>
    <w:p w14:paraId="3E068385"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Les actions à financer au titre de la présente proposition seront mises en œuvre en gestion directe par la Commission. Le soutien financier au titre du prêt de soutien à l’Ukraine sera mis à disposition par la Commission. La libération des fonds pourra être organisée rapidement pour commencer dans le courant de 2026 et s’achever en 2028 au plus tard.</w:t>
      </w:r>
    </w:p>
    <w:p w14:paraId="1AF049BB" w14:textId="77777777" w:rsidR="00760DBB" w:rsidRPr="00D549BE" w:rsidRDefault="00760DBB" w:rsidP="00760DBB">
      <w:pPr>
        <w:pStyle w:val="ManualHeading3"/>
        <w:rPr>
          <w:rFonts w:eastAsia="Times New Roman"/>
          <w:noProof/>
        </w:rPr>
      </w:pPr>
      <w:bookmarkStart w:id="126" w:name="_Toc514938047"/>
      <w:bookmarkStart w:id="127" w:name="_Toc520485046"/>
      <w:bookmarkStart w:id="128" w:name="_Toc160804588"/>
      <w:bookmarkStart w:id="129" w:name="_Toc167220280"/>
      <w:bookmarkStart w:id="130" w:name="_Toc177549013"/>
      <w:r w:rsidRPr="00D549BE">
        <w:t>2.2.2.</w:t>
      </w:r>
      <w:r w:rsidRPr="00D549BE">
        <w:tab/>
        <w:t>Informations sur les risques recensés et sur le(s) système(s) de contrôle interne mis en place pour les atténuer</w:t>
      </w:r>
      <w:bookmarkEnd w:id="126"/>
      <w:bookmarkEnd w:id="127"/>
      <w:bookmarkEnd w:id="128"/>
      <w:bookmarkEnd w:id="129"/>
      <w:bookmarkEnd w:id="130"/>
    </w:p>
    <w:p w14:paraId="0F493832"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La Commission a accès aux informations, y compris classifiées, strictement nécessaires aux tâches qui lui sont assignées en vertu du présent règlement, en particulier aux fins de la vérification des conditions de versement des paiements et de la réalisation des vérifications, examens, audits et enquêtes, rapports ainsi que des contrôles et audits visés à l’article 20. </w:t>
      </w:r>
    </w:p>
    <w:p w14:paraId="06FD7E8E"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Afin de protéger les intérêts financiers de l’Union liés au prêt de soutien à l’Ukraine, l’accord sur un prêt de soutien à l’Ukraine à conclure entre la Commission et les autorités ukrainiennes devrait contenir des dispositions alignées sur les droits, responsabilités et obligations prévus dans l’accord-cadre au titre de la facilité pour l’Ukraine. L’Ukraine utilisera les mêmes systèmes de gestion et de contrôle que ceux proposés dans le plan pour l’Ukraine établi en vertu du règlement (UE) 2024/792. </w:t>
      </w:r>
    </w:p>
    <w:p w14:paraId="45ECBD64"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L’Ukraine sera tenue de présenter des rapports mensuels fournissant des informations sur tous les paiements. Elle ouvrira un compte spécial aux seules fins de la gestion de l’assistance financière et économique reçue pour soutenir ses capacités industrielles dans le domaine de la défense. Tous les paiements relatifs aux contrats ou accords qui sont requis aux fins de l’assistance destinée à soutenir les capacités industrielles de l’Ukraine dans le domaine de la défense seront effectués à partir de ce compte. La Commission disposera des droits de contrôle sur ce compte.  </w:t>
      </w:r>
    </w:p>
    <w:p w14:paraId="262A7AD3"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De plus, s’il est établi que l’Ukraine s’est livrée à un quelconque acte de fraude ou de corruption ou à toute autre activité illicite liée à la gestion du prêt de soutien à l’Ukraine préjudiciable aux intérêts financiers de l’Union, cette dernière peut exiger le remboursement anticipé dudit prêt. </w:t>
      </w:r>
    </w:p>
    <w:p w14:paraId="46B6ADCB"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pPr>
      <w:r w:rsidRPr="00D549BE">
        <w:t xml:space="preserve">Afin de faire face aux risques liés à la confidentialité des informations, les informations classifiées qui sont créées, traitées, stockées, échangées ou partagées en vertu du présent règlement devraient être protégées conformément aux règles de sécurité énoncées dans la décision (UE, Euratom) 2015/444 de la Commission ou à l’accord entre les États membres de l’Union européenne, réunis au sein du Conseil, relatif à la protection des informations classifiées échangées dans l’intérêt de l’Union européenne, selon le cas. La Commission devrait utiliser un système d’échange sécurisé afin de faciliter l’échange d’informations classifiées et d’informations sensibles entre la Commission et l’Ukraine ainsi que, s’il y a lieu, avec les États membres participants. </w:t>
      </w:r>
    </w:p>
    <w:p w14:paraId="693626FA" w14:textId="77777777" w:rsidR="00760DBB" w:rsidRPr="00D549BE" w:rsidRDefault="00760DBB" w:rsidP="00760DBB">
      <w:pPr>
        <w:pStyle w:val="Text1"/>
        <w:rPr>
          <w:noProof/>
        </w:rPr>
      </w:pPr>
      <w:bookmarkStart w:id="131" w:name="_Toc514938048"/>
      <w:bookmarkStart w:id="132" w:name="_Toc520485047"/>
      <w:bookmarkStart w:id="133" w:name="_Toc160804589"/>
      <w:bookmarkStart w:id="134" w:name="_Toc167220281"/>
      <w:bookmarkStart w:id="135" w:name="_Toc177549014"/>
      <w:r w:rsidRPr="00D549BE">
        <w:t>2.2.3. Estimation et justification du rapport coût/efficacité des contrôles (rapport entre les coûts du contrôle et la valeur des fonds gérés concernés), et évaluation du niveau attendu de risque d’erreur (lors du paiement et lors de la clôture)</w:t>
      </w:r>
      <w:bookmarkEnd w:id="131"/>
      <w:bookmarkEnd w:id="132"/>
      <w:bookmarkEnd w:id="133"/>
      <w:bookmarkEnd w:id="134"/>
      <w:bookmarkEnd w:id="135"/>
      <w:r w:rsidRPr="00D549BE">
        <w:t xml:space="preserve"> </w:t>
      </w:r>
    </w:p>
    <w:p w14:paraId="5D8223AE"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color w:val="000000" w:themeColor="text1"/>
        </w:rPr>
      </w:pPr>
      <w:r w:rsidRPr="00D549BE">
        <w:t>Les systèmes de contrôle en place ont assuré jusqu’à présent un taux d’erreur effectif de 0 % pour les paiements du type «assistance macrofinancière». Aucun cas de fraude, de corruption ou d’activité illégale n’a jamais été signalé. Les opérations obéissent à une logique d’intervention claire, qui permet à la Commission d’évaluer leur impact. Ces contrôles permettent la confirmation des assurances obtenues et de la réalisation des objectifs et priorités en matière de politiques.</w:t>
      </w:r>
      <w:bookmarkStart w:id="136" w:name="_Toc514938049"/>
      <w:bookmarkStart w:id="137" w:name="_Toc520485048"/>
      <w:bookmarkStart w:id="138" w:name="_Toc160804590"/>
      <w:bookmarkStart w:id="139" w:name="_Toc167220282"/>
      <w:bookmarkStart w:id="140" w:name="_Toc177549015"/>
    </w:p>
    <w:p w14:paraId="649FA266" w14:textId="77777777" w:rsidR="00760DBB" w:rsidRPr="00D549BE" w:rsidRDefault="00760DBB" w:rsidP="00DA4273">
      <w:pPr>
        <w:pStyle w:val="Text1"/>
        <w:rPr>
          <w:noProof/>
        </w:rPr>
      </w:pPr>
      <w:r w:rsidRPr="00D549BE">
        <w:rPr>
          <w:b/>
        </w:rPr>
        <w:t xml:space="preserve"> Mesures de prévention des fraudes et irrégularités</w:t>
      </w:r>
      <w:bookmarkEnd w:id="136"/>
      <w:bookmarkEnd w:id="137"/>
      <w:bookmarkEnd w:id="138"/>
      <w:bookmarkEnd w:id="139"/>
      <w:bookmarkEnd w:id="140"/>
      <w:r w:rsidRPr="00D549BE">
        <w:rPr>
          <w:b/>
        </w:rPr>
        <w:t xml:space="preserve"> </w:t>
      </w:r>
    </w:p>
    <w:p w14:paraId="5B261B3D" w14:textId="77777777" w:rsidR="00760DBB" w:rsidRPr="00D549BE" w:rsidRDefault="00760DBB" w:rsidP="00760DBB">
      <w:pPr>
        <w:pStyle w:val="Text1"/>
        <w:pBdr>
          <w:top w:val="single" w:sz="4" w:space="1" w:color="auto"/>
          <w:left w:val="single" w:sz="4" w:space="4" w:color="auto"/>
          <w:bottom w:val="single" w:sz="4" w:space="1" w:color="auto"/>
          <w:right w:val="single" w:sz="4" w:space="4" w:color="auto"/>
        </w:pBdr>
        <w:rPr>
          <w:noProof/>
        </w:rPr>
        <w:sectPr w:rsidR="00760DBB" w:rsidRPr="00D549BE" w:rsidSect="00D549BE">
          <w:pgSz w:w="11907" w:h="16840" w:code="9"/>
          <w:pgMar w:top="1134" w:right="1418" w:bottom="1134" w:left="1418" w:header="709" w:footer="709" w:gutter="0"/>
          <w:cols w:space="708"/>
          <w:docGrid w:linePitch="360"/>
        </w:sectPr>
      </w:pPr>
      <w:r w:rsidRPr="00D549BE">
        <w:t>L’accord sur le prêt de soutien à l’Ukraine à conclure entre la Commission et les autorités ukrainiennes exigera que l’Ukraine utilise les mêmes systèmes de gestion et de contrôle que ceux proposés dans le plan pour l’Ukraine établi en vertu du règlement (UE) 2024/792 qui est entré en vigueur le 20 juin 2024 afin de garantir une protection efficace des intérêts financiers de l’Union liés au prêt de soutien à l’Ukraine, et prévoit les mesures appropriées concernant la prévention de la fraude, de la corruption et de toute autre irrégularité liée à l’assistance, ainsi que lutte contre ces dernières. Cela permettra également d’accorder, conformément au règlement financier, les droits et accès nécessaires à la Commission, à l’Office européen de lutte antifraude (OLAF), à la Cour des comptes européenne et, le cas échéant, au Parquet européen, y compris de la part des tiers participant à l’exécution des fonds de l’Union pendant et après la période de mise à disposition du prêt de soutien à l’Ukraine. L’Ukraine devrait également signaler à la Commission les irrégularités relatives à l’utilisation des fonds, conformément aux procédures prévues dans l’accord-cadre au titre de la facilité pour l’Ukraine.</w:t>
      </w:r>
    </w:p>
    <w:p w14:paraId="5FEFDA7C" w14:textId="77777777" w:rsidR="00656AA8" w:rsidRPr="00D549BE" w:rsidRDefault="00760DBB" w:rsidP="00656AA8">
      <w:pPr>
        <w:pStyle w:val="ManualHeading1"/>
        <w:rPr>
          <w:bCs/>
          <w:noProof/>
          <w:szCs w:val="24"/>
        </w:rPr>
      </w:pPr>
      <w:bookmarkStart w:id="141" w:name="_Toc514938050"/>
      <w:bookmarkStart w:id="142" w:name="_Toc520485049"/>
      <w:bookmarkStart w:id="143" w:name="_Toc160804591"/>
      <w:bookmarkStart w:id="144" w:name="_Toc167220283"/>
      <w:bookmarkStart w:id="145" w:name="_Toc177549016"/>
      <w:r w:rsidRPr="00D549BE">
        <w:t>3.</w:t>
      </w:r>
      <w:r w:rsidRPr="00D549BE">
        <w:tab/>
      </w:r>
      <w:bookmarkStart w:id="146" w:name="_Toc167220301"/>
      <w:bookmarkStart w:id="147" w:name="_Toc177549035"/>
      <w:bookmarkEnd w:id="141"/>
      <w:bookmarkEnd w:id="142"/>
      <w:bookmarkEnd w:id="143"/>
      <w:bookmarkEnd w:id="144"/>
      <w:bookmarkEnd w:id="145"/>
      <w:r w:rsidRPr="00D549BE">
        <w:t xml:space="preserve">INCIDENCE FINANCIÈRE ESTIMÉE DE LA PROPOSITION/DE L'INITIATIVE </w:t>
      </w:r>
    </w:p>
    <w:p w14:paraId="0F9DB365" w14:textId="77777777" w:rsidR="00656AA8" w:rsidRPr="00D549BE" w:rsidRDefault="00656AA8" w:rsidP="00656AA8">
      <w:pPr>
        <w:pStyle w:val="ManualHeading2"/>
        <w:rPr>
          <w:noProof/>
        </w:rPr>
      </w:pPr>
      <w:bookmarkStart w:id="148" w:name="_Toc514938051"/>
      <w:bookmarkStart w:id="149" w:name="_Toc520485050"/>
      <w:bookmarkStart w:id="150" w:name="_Toc160804592"/>
      <w:bookmarkStart w:id="151" w:name="_Toc167220284"/>
      <w:bookmarkStart w:id="152" w:name="_Toc177549017"/>
      <w:r w:rsidRPr="00D549BE">
        <w:t>3.1.</w:t>
      </w:r>
      <w:r w:rsidRPr="00D549BE">
        <w:tab/>
        <w:t>Rubrique(s) du cadre financier pluriannuel et ligne(s) budgétaire(s) de dépenses concernée(s)</w:t>
      </w:r>
      <w:bookmarkEnd w:id="148"/>
      <w:bookmarkEnd w:id="149"/>
      <w:bookmarkEnd w:id="150"/>
      <w:bookmarkEnd w:id="151"/>
      <w:bookmarkEnd w:id="152"/>
      <w:r w:rsidRPr="00D549BE">
        <w:t xml:space="preserve"> </w:t>
      </w:r>
    </w:p>
    <w:p w14:paraId="2FF7F632" w14:textId="77777777" w:rsidR="00656AA8" w:rsidRPr="00D549BE" w:rsidRDefault="00656AA8" w:rsidP="00656AA8">
      <w:pPr>
        <w:pStyle w:val="ListBullet1"/>
        <w:tabs>
          <w:tab w:val="clear" w:pos="414"/>
          <w:tab w:val="num" w:pos="1134"/>
        </w:tabs>
        <w:ind w:left="1134"/>
        <w:rPr>
          <w:noProof/>
        </w:rPr>
      </w:pPr>
      <w:r w:rsidRPr="00D549BE">
        <w:t xml:space="preserve">Lignes budgétaires existantes </w:t>
      </w:r>
    </w:p>
    <w:p w14:paraId="56ACA119" w14:textId="77777777" w:rsidR="00656AA8" w:rsidRPr="00D549BE" w:rsidRDefault="00656AA8" w:rsidP="00656AA8">
      <w:pPr>
        <w:pStyle w:val="Text1"/>
        <w:rPr>
          <w:i/>
          <w:noProof/>
        </w:rPr>
      </w:pPr>
      <w:r w:rsidRPr="00D549BE">
        <w:rPr>
          <w:i/>
          <w:u w:val="single"/>
        </w:rPr>
        <w:t>Dans l'ordre</w:t>
      </w:r>
      <w:r w:rsidRPr="00D549BE">
        <w:rPr>
          <w:i/>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56AA8" w:rsidRPr="00D549BE" w14:paraId="7F244508" w14:textId="77777777" w:rsidTr="00434248">
        <w:trPr>
          <w:jc w:val="center"/>
        </w:trPr>
        <w:tc>
          <w:tcPr>
            <w:tcW w:w="1092" w:type="dxa"/>
            <w:vMerge w:val="restart"/>
            <w:vAlign w:val="center"/>
          </w:tcPr>
          <w:p w14:paraId="37AD1A1E" w14:textId="77777777" w:rsidR="00656AA8" w:rsidRPr="00D549BE" w:rsidRDefault="00656AA8" w:rsidP="00434248">
            <w:pPr>
              <w:spacing w:before="60" w:after="60"/>
              <w:jc w:val="center"/>
              <w:rPr>
                <w:noProof/>
              </w:rPr>
            </w:pPr>
            <w:r w:rsidRPr="00D549BE">
              <w:rPr>
                <w:sz w:val="18"/>
              </w:rPr>
              <w:t>Rubrique du cadre financier pluriannuel</w:t>
            </w:r>
          </w:p>
        </w:tc>
        <w:tc>
          <w:tcPr>
            <w:tcW w:w="4002" w:type="dxa"/>
            <w:vAlign w:val="center"/>
          </w:tcPr>
          <w:p w14:paraId="06CFC92B" w14:textId="77777777" w:rsidR="00656AA8" w:rsidRPr="00D549BE" w:rsidRDefault="00656AA8" w:rsidP="00434248">
            <w:pPr>
              <w:spacing w:before="60" w:after="60"/>
              <w:jc w:val="center"/>
              <w:rPr>
                <w:noProof/>
              </w:rPr>
            </w:pPr>
            <w:r w:rsidRPr="00D549BE">
              <w:rPr>
                <w:sz w:val="20"/>
              </w:rPr>
              <w:t>Ligne budgétaire</w:t>
            </w:r>
          </w:p>
        </w:tc>
        <w:tc>
          <w:tcPr>
            <w:tcW w:w="1092" w:type="dxa"/>
            <w:vAlign w:val="center"/>
          </w:tcPr>
          <w:p w14:paraId="6C65290C" w14:textId="77777777" w:rsidR="00656AA8" w:rsidRPr="00D549BE" w:rsidRDefault="00656AA8" w:rsidP="00434248">
            <w:pPr>
              <w:spacing w:before="60" w:after="60"/>
              <w:jc w:val="center"/>
              <w:rPr>
                <w:noProof/>
              </w:rPr>
            </w:pPr>
            <w:r w:rsidRPr="00D549BE">
              <w:rPr>
                <w:sz w:val="18"/>
              </w:rPr>
              <w:t>Nature de la dépense</w:t>
            </w:r>
          </w:p>
        </w:tc>
        <w:tc>
          <w:tcPr>
            <w:tcW w:w="4487" w:type="dxa"/>
            <w:gridSpan w:val="4"/>
            <w:vAlign w:val="center"/>
          </w:tcPr>
          <w:p w14:paraId="7FE49490" w14:textId="77777777" w:rsidR="00656AA8" w:rsidRPr="00D549BE" w:rsidRDefault="00656AA8" w:rsidP="00434248">
            <w:pPr>
              <w:spacing w:before="60" w:after="60"/>
              <w:jc w:val="center"/>
              <w:rPr>
                <w:noProof/>
              </w:rPr>
            </w:pPr>
            <w:r w:rsidRPr="00D549BE">
              <w:rPr>
                <w:sz w:val="20"/>
              </w:rPr>
              <w:t xml:space="preserve">Participation </w:t>
            </w:r>
          </w:p>
        </w:tc>
      </w:tr>
      <w:tr w:rsidR="00656AA8" w:rsidRPr="00D549BE" w14:paraId="49DA730C" w14:textId="77777777" w:rsidTr="00434248">
        <w:trPr>
          <w:cantSplit/>
          <w:jc w:val="center"/>
        </w:trPr>
        <w:tc>
          <w:tcPr>
            <w:tcW w:w="1092" w:type="dxa"/>
            <w:vMerge/>
            <w:vAlign w:val="center"/>
          </w:tcPr>
          <w:p w14:paraId="2D793353" w14:textId="77777777" w:rsidR="00656AA8" w:rsidRPr="00D549BE" w:rsidRDefault="00656AA8" w:rsidP="00434248">
            <w:pPr>
              <w:jc w:val="center"/>
              <w:rPr>
                <w:noProof/>
              </w:rPr>
            </w:pPr>
          </w:p>
        </w:tc>
        <w:tc>
          <w:tcPr>
            <w:tcW w:w="4002" w:type="dxa"/>
            <w:vAlign w:val="center"/>
          </w:tcPr>
          <w:p w14:paraId="1DB2D4E4" w14:textId="77777777" w:rsidR="00656AA8" w:rsidRPr="00D549BE" w:rsidRDefault="00656AA8" w:rsidP="00434248">
            <w:pPr>
              <w:rPr>
                <w:noProof/>
              </w:rPr>
            </w:pPr>
            <w:r w:rsidRPr="00D549BE">
              <w:rPr>
                <w:sz w:val="20"/>
              </w:rPr>
              <w:t xml:space="preserve">Numéro </w:t>
            </w:r>
            <w:r w:rsidRPr="00D549BE">
              <w:t xml:space="preserve"> </w:t>
            </w:r>
            <w:r w:rsidRPr="00D549BE">
              <w:br/>
            </w:r>
          </w:p>
        </w:tc>
        <w:tc>
          <w:tcPr>
            <w:tcW w:w="1092" w:type="dxa"/>
            <w:vAlign w:val="center"/>
          </w:tcPr>
          <w:p w14:paraId="709DEB38" w14:textId="77777777" w:rsidR="00656AA8" w:rsidRPr="00D549BE" w:rsidRDefault="00656AA8" w:rsidP="00434248">
            <w:pPr>
              <w:jc w:val="center"/>
              <w:rPr>
                <w:noProof/>
              </w:rPr>
            </w:pPr>
            <w:r w:rsidRPr="00D549BE">
              <w:rPr>
                <w:sz w:val="18"/>
              </w:rPr>
              <w:t>CD/CND</w:t>
            </w:r>
            <w:r w:rsidRPr="00D549BE">
              <w:rPr>
                <w:rStyle w:val="FootnoteReference"/>
                <w:noProof/>
                <w:sz w:val="18"/>
                <w:szCs w:val="18"/>
              </w:rPr>
              <w:footnoteReference w:id="36"/>
            </w:r>
          </w:p>
        </w:tc>
        <w:tc>
          <w:tcPr>
            <w:tcW w:w="966" w:type="dxa"/>
            <w:vAlign w:val="center"/>
          </w:tcPr>
          <w:p w14:paraId="7555AC9D" w14:textId="77777777" w:rsidR="00656AA8" w:rsidRPr="00D549BE" w:rsidRDefault="00656AA8" w:rsidP="00434248">
            <w:pPr>
              <w:jc w:val="center"/>
              <w:rPr>
                <w:b/>
                <w:noProof/>
                <w:sz w:val="18"/>
              </w:rPr>
            </w:pPr>
            <w:r w:rsidRPr="00D549BE">
              <w:rPr>
                <w:sz w:val="18"/>
              </w:rPr>
              <w:t>de pays AELE</w:t>
            </w:r>
            <w:r w:rsidRPr="00D549BE">
              <w:rPr>
                <w:rStyle w:val="FootnoteReference"/>
                <w:noProof/>
                <w:sz w:val="18"/>
                <w:szCs w:val="18"/>
              </w:rPr>
              <w:footnoteReference w:id="37"/>
            </w:r>
          </w:p>
        </w:tc>
        <w:tc>
          <w:tcPr>
            <w:tcW w:w="1092" w:type="dxa"/>
            <w:vAlign w:val="center"/>
          </w:tcPr>
          <w:p w14:paraId="72CC0B2D" w14:textId="77777777" w:rsidR="00656AA8" w:rsidRPr="00D549BE" w:rsidRDefault="00656AA8" w:rsidP="00434248">
            <w:pPr>
              <w:jc w:val="center"/>
              <w:rPr>
                <w:noProof/>
                <w:sz w:val="18"/>
              </w:rPr>
            </w:pPr>
            <w:r w:rsidRPr="00D549BE">
              <w:rPr>
                <w:sz w:val="18"/>
              </w:rPr>
              <w:t>de pays candidats et pays candidats potentiels</w:t>
            </w:r>
            <w:r w:rsidRPr="00D549BE">
              <w:rPr>
                <w:rStyle w:val="FootnoteReference"/>
                <w:noProof/>
                <w:sz w:val="18"/>
                <w:szCs w:val="18"/>
              </w:rPr>
              <w:footnoteReference w:id="38"/>
            </w:r>
          </w:p>
        </w:tc>
        <w:tc>
          <w:tcPr>
            <w:tcW w:w="966" w:type="dxa"/>
            <w:vAlign w:val="center"/>
          </w:tcPr>
          <w:p w14:paraId="18D5BF33" w14:textId="77777777" w:rsidR="00656AA8" w:rsidRPr="00D549BE" w:rsidRDefault="00656AA8" w:rsidP="00434248">
            <w:pPr>
              <w:jc w:val="center"/>
              <w:rPr>
                <w:noProof/>
                <w:sz w:val="18"/>
              </w:rPr>
            </w:pPr>
            <w:r w:rsidRPr="00D549BE">
              <w:rPr>
                <w:sz w:val="18"/>
              </w:rPr>
              <w:t>d’autres pays tiers</w:t>
            </w:r>
          </w:p>
        </w:tc>
        <w:tc>
          <w:tcPr>
            <w:tcW w:w="1463" w:type="dxa"/>
            <w:vAlign w:val="center"/>
          </w:tcPr>
          <w:p w14:paraId="5B14D91F" w14:textId="77777777" w:rsidR="00656AA8" w:rsidRPr="00D549BE" w:rsidRDefault="00656AA8" w:rsidP="00434248">
            <w:pPr>
              <w:jc w:val="center"/>
              <w:rPr>
                <w:noProof/>
              </w:rPr>
            </w:pPr>
            <w:r w:rsidRPr="00D549BE">
              <w:rPr>
                <w:sz w:val="18"/>
              </w:rPr>
              <w:t>autres recettes affectées</w:t>
            </w:r>
          </w:p>
        </w:tc>
      </w:tr>
      <w:tr w:rsidR="00656AA8" w:rsidRPr="00D549BE" w14:paraId="367EBD2C" w14:textId="77777777" w:rsidTr="00434248">
        <w:trPr>
          <w:jc w:val="center"/>
        </w:trPr>
        <w:tc>
          <w:tcPr>
            <w:tcW w:w="1092" w:type="dxa"/>
            <w:vAlign w:val="center"/>
          </w:tcPr>
          <w:p w14:paraId="5C7C65B4" w14:textId="77777777" w:rsidR="00656AA8" w:rsidRPr="00D549BE" w:rsidRDefault="002D4A20" w:rsidP="00434248">
            <w:pPr>
              <w:jc w:val="center"/>
              <w:rPr>
                <w:noProof/>
                <w:color w:val="0000FF"/>
              </w:rPr>
            </w:pPr>
            <w:r w:rsidRPr="00D549BE">
              <w:rPr>
                <w:color w:val="0000FF"/>
              </w:rPr>
              <w:t>2.2</w:t>
            </w:r>
          </w:p>
        </w:tc>
        <w:tc>
          <w:tcPr>
            <w:tcW w:w="4002" w:type="dxa"/>
            <w:vAlign w:val="center"/>
          </w:tcPr>
          <w:p w14:paraId="2B569C22" w14:textId="77777777" w:rsidR="00656AA8" w:rsidRPr="00D549BE" w:rsidRDefault="000B1FF4" w:rsidP="00434248">
            <w:pPr>
              <w:spacing w:after="60"/>
              <w:rPr>
                <w:noProof/>
              </w:rPr>
            </w:pPr>
            <w:r w:rsidRPr="00D549BE">
              <w:rPr>
                <w:sz w:val="22"/>
              </w:rPr>
              <w:t xml:space="preserve">[06.01.03] – Dépenses d’appui pour les activités d’emprunt et de gestion de la dette de l’Union européenne </w:t>
            </w:r>
          </w:p>
        </w:tc>
        <w:tc>
          <w:tcPr>
            <w:tcW w:w="1092" w:type="dxa"/>
            <w:vAlign w:val="center"/>
          </w:tcPr>
          <w:p w14:paraId="34B093DA" w14:textId="77777777" w:rsidR="00656AA8" w:rsidRPr="00D549BE" w:rsidRDefault="00656AA8" w:rsidP="00434248">
            <w:pPr>
              <w:jc w:val="center"/>
              <w:rPr>
                <w:noProof/>
                <w:color w:val="0000FF"/>
              </w:rPr>
            </w:pPr>
            <w:r w:rsidRPr="00D549BE">
              <w:rPr>
                <w:sz w:val="22"/>
              </w:rPr>
              <w:t>CND</w:t>
            </w:r>
          </w:p>
        </w:tc>
        <w:tc>
          <w:tcPr>
            <w:tcW w:w="966" w:type="dxa"/>
            <w:vAlign w:val="center"/>
          </w:tcPr>
          <w:p w14:paraId="7524E151" w14:textId="77777777" w:rsidR="00656AA8" w:rsidRPr="00D549BE" w:rsidRDefault="00656AA8" w:rsidP="00434248">
            <w:pPr>
              <w:jc w:val="center"/>
              <w:rPr>
                <w:noProof/>
                <w:sz w:val="20"/>
                <w:szCs w:val="20"/>
              </w:rPr>
            </w:pPr>
            <w:r w:rsidRPr="00D549BE">
              <w:rPr>
                <w:sz w:val="20"/>
              </w:rPr>
              <w:t>NON</w:t>
            </w:r>
          </w:p>
        </w:tc>
        <w:tc>
          <w:tcPr>
            <w:tcW w:w="1092" w:type="dxa"/>
            <w:vAlign w:val="center"/>
          </w:tcPr>
          <w:p w14:paraId="22E4D970" w14:textId="77777777" w:rsidR="00656AA8" w:rsidRPr="00D549BE" w:rsidRDefault="00656AA8" w:rsidP="00434248">
            <w:pPr>
              <w:jc w:val="center"/>
              <w:rPr>
                <w:noProof/>
                <w:sz w:val="20"/>
                <w:szCs w:val="20"/>
              </w:rPr>
            </w:pPr>
            <w:r w:rsidRPr="00D549BE">
              <w:rPr>
                <w:sz w:val="20"/>
              </w:rPr>
              <w:t>NON</w:t>
            </w:r>
          </w:p>
        </w:tc>
        <w:tc>
          <w:tcPr>
            <w:tcW w:w="966" w:type="dxa"/>
            <w:vAlign w:val="center"/>
          </w:tcPr>
          <w:p w14:paraId="40765EA7" w14:textId="77777777" w:rsidR="00656AA8" w:rsidRPr="00D549BE" w:rsidRDefault="00656AA8" w:rsidP="00434248">
            <w:pPr>
              <w:jc w:val="center"/>
              <w:rPr>
                <w:noProof/>
                <w:sz w:val="20"/>
                <w:szCs w:val="20"/>
              </w:rPr>
            </w:pPr>
            <w:r w:rsidRPr="00D549BE">
              <w:rPr>
                <w:sz w:val="20"/>
              </w:rPr>
              <w:t>NON</w:t>
            </w:r>
          </w:p>
        </w:tc>
        <w:tc>
          <w:tcPr>
            <w:tcW w:w="1463" w:type="dxa"/>
            <w:vAlign w:val="center"/>
          </w:tcPr>
          <w:p w14:paraId="1819F2A7" w14:textId="77777777" w:rsidR="00656AA8" w:rsidRPr="00D549BE" w:rsidRDefault="00656AA8" w:rsidP="00434248">
            <w:pPr>
              <w:jc w:val="center"/>
              <w:rPr>
                <w:noProof/>
                <w:sz w:val="20"/>
                <w:szCs w:val="20"/>
              </w:rPr>
            </w:pPr>
            <w:r w:rsidRPr="00D549BE">
              <w:rPr>
                <w:sz w:val="20"/>
              </w:rPr>
              <w:t>NON</w:t>
            </w:r>
          </w:p>
        </w:tc>
      </w:tr>
    </w:tbl>
    <w:p w14:paraId="372C05EB" w14:textId="77777777" w:rsidR="00656AA8" w:rsidRPr="00D549BE" w:rsidRDefault="00656AA8" w:rsidP="00656AA8">
      <w:pPr>
        <w:pStyle w:val="ListBullet1"/>
        <w:tabs>
          <w:tab w:val="clear" w:pos="414"/>
          <w:tab w:val="num" w:pos="1134"/>
        </w:tabs>
        <w:ind w:left="1134"/>
        <w:rPr>
          <w:noProof/>
        </w:rPr>
      </w:pPr>
      <w:r w:rsidRPr="00D549BE">
        <w:t xml:space="preserve">Nouvelles lignes budgétaires, dont la création est demandée </w:t>
      </w:r>
    </w:p>
    <w:p w14:paraId="2EEBE668" w14:textId="77777777" w:rsidR="00656AA8" w:rsidRPr="00D549BE" w:rsidRDefault="00656AA8" w:rsidP="00656AA8">
      <w:pPr>
        <w:pStyle w:val="Text1"/>
        <w:rPr>
          <w:i/>
          <w:noProof/>
          <w:sz w:val="20"/>
        </w:rPr>
      </w:pPr>
      <w:r w:rsidRPr="00D549BE">
        <w:rPr>
          <w:i/>
          <w:u w:val="single"/>
        </w:rPr>
        <w:t>Dans l'ordre</w:t>
      </w:r>
      <w:r w:rsidRPr="00D549BE">
        <w:rPr>
          <w:i/>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56AA8" w:rsidRPr="00D549BE" w14:paraId="54EEABC2" w14:textId="77777777" w:rsidTr="00434248">
        <w:trPr>
          <w:jc w:val="center"/>
        </w:trPr>
        <w:tc>
          <w:tcPr>
            <w:tcW w:w="1092" w:type="dxa"/>
            <w:vMerge w:val="restart"/>
            <w:vAlign w:val="center"/>
          </w:tcPr>
          <w:p w14:paraId="2AF2FC0C" w14:textId="77777777" w:rsidR="00656AA8" w:rsidRPr="00D549BE" w:rsidRDefault="002D4A20" w:rsidP="00434248">
            <w:pPr>
              <w:spacing w:before="60" w:after="60"/>
              <w:jc w:val="center"/>
              <w:rPr>
                <w:noProof/>
                <w:sz w:val="18"/>
                <w:szCs w:val="18"/>
              </w:rPr>
            </w:pPr>
            <w:r w:rsidRPr="00D549BE">
              <w:rPr>
                <w:sz w:val="18"/>
              </w:rPr>
              <w:t>Au-delà des plafonds du CFP</w:t>
            </w:r>
          </w:p>
        </w:tc>
        <w:tc>
          <w:tcPr>
            <w:tcW w:w="4002" w:type="dxa"/>
            <w:vAlign w:val="center"/>
          </w:tcPr>
          <w:p w14:paraId="46BC3126" w14:textId="77777777" w:rsidR="00656AA8" w:rsidRPr="00D549BE" w:rsidRDefault="00656AA8" w:rsidP="00434248">
            <w:pPr>
              <w:spacing w:before="60" w:after="60"/>
              <w:jc w:val="center"/>
              <w:rPr>
                <w:noProof/>
              </w:rPr>
            </w:pPr>
            <w:r w:rsidRPr="00D549BE">
              <w:rPr>
                <w:sz w:val="20"/>
              </w:rPr>
              <w:t>Ligne budgétaire</w:t>
            </w:r>
          </w:p>
        </w:tc>
        <w:tc>
          <w:tcPr>
            <w:tcW w:w="1092" w:type="dxa"/>
            <w:vAlign w:val="center"/>
          </w:tcPr>
          <w:p w14:paraId="3CB66203" w14:textId="77777777" w:rsidR="00656AA8" w:rsidRPr="00D549BE" w:rsidRDefault="00656AA8" w:rsidP="00434248">
            <w:pPr>
              <w:spacing w:before="60" w:after="60"/>
              <w:jc w:val="center"/>
              <w:rPr>
                <w:noProof/>
              </w:rPr>
            </w:pPr>
            <w:r w:rsidRPr="00D549BE">
              <w:rPr>
                <w:sz w:val="18"/>
              </w:rPr>
              <w:t>Nature de la dépense</w:t>
            </w:r>
          </w:p>
        </w:tc>
        <w:tc>
          <w:tcPr>
            <w:tcW w:w="4487" w:type="dxa"/>
            <w:gridSpan w:val="4"/>
            <w:vAlign w:val="center"/>
          </w:tcPr>
          <w:p w14:paraId="3BDAD373" w14:textId="77777777" w:rsidR="00656AA8" w:rsidRPr="00D549BE" w:rsidRDefault="00656AA8" w:rsidP="00434248">
            <w:pPr>
              <w:spacing w:before="60" w:after="60"/>
              <w:jc w:val="center"/>
              <w:rPr>
                <w:noProof/>
              </w:rPr>
            </w:pPr>
            <w:r w:rsidRPr="00D549BE">
              <w:rPr>
                <w:sz w:val="20"/>
              </w:rPr>
              <w:t xml:space="preserve">Participation </w:t>
            </w:r>
          </w:p>
        </w:tc>
      </w:tr>
      <w:tr w:rsidR="00656AA8" w:rsidRPr="00D549BE" w14:paraId="19356A13" w14:textId="77777777" w:rsidTr="00434248">
        <w:trPr>
          <w:cantSplit/>
          <w:jc w:val="center"/>
        </w:trPr>
        <w:tc>
          <w:tcPr>
            <w:tcW w:w="1092" w:type="dxa"/>
            <w:vMerge/>
            <w:vAlign w:val="center"/>
          </w:tcPr>
          <w:p w14:paraId="6340082B" w14:textId="77777777" w:rsidR="00656AA8" w:rsidRPr="00D549BE" w:rsidRDefault="00656AA8" w:rsidP="00434248">
            <w:pPr>
              <w:jc w:val="center"/>
              <w:rPr>
                <w:noProof/>
              </w:rPr>
            </w:pPr>
          </w:p>
        </w:tc>
        <w:tc>
          <w:tcPr>
            <w:tcW w:w="4002" w:type="dxa"/>
            <w:vAlign w:val="center"/>
          </w:tcPr>
          <w:p w14:paraId="2A863988" w14:textId="77777777" w:rsidR="00656AA8" w:rsidRPr="00D549BE" w:rsidRDefault="00656AA8" w:rsidP="00434248">
            <w:pPr>
              <w:rPr>
                <w:noProof/>
              </w:rPr>
            </w:pPr>
            <w:r w:rsidRPr="00D549BE">
              <w:rPr>
                <w:sz w:val="20"/>
              </w:rPr>
              <w:t xml:space="preserve">Numéro </w:t>
            </w:r>
            <w:r w:rsidRPr="00D549BE">
              <w:t xml:space="preserve"> </w:t>
            </w:r>
            <w:r w:rsidRPr="00D549BE">
              <w:br/>
            </w:r>
          </w:p>
        </w:tc>
        <w:tc>
          <w:tcPr>
            <w:tcW w:w="1092" w:type="dxa"/>
            <w:vAlign w:val="center"/>
          </w:tcPr>
          <w:p w14:paraId="7A59DD0F" w14:textId="77777777" w:rsidR="00656AA8" w:rsidRPr="00D549BE" w:rsidRDefault="00656AA8" w:rsidP="00434248">
            <w:pPr>
              <w:jc w:val="center"/>
              <w:rPr>
                <w:noProof/>
              </w:rPr>
            </w:pPr>
            <w:r w:rsidRPr="00D549BE">
              <w:rPr>
                <w:sz w:val="18"/>
              </w:rPr>
              <w:t>CD/CND</w:t>
            </w:r>
          </w:p>
        </w:tc>
        <w:tc>
          <w:tcPr>
            <w:tcW w:w="966" w:type="dxa"/>
            <w:vAlign w:val="center"/>
          </w:tcPr>
          <w:p w14:paraId="648293AA" w14:textId="77777777" w:rsidR="00656AA8" w:rsidRPr="00D549BE" w:rsidRDefault="00656AA8" w:rsidP="00434248">
            <w:pPr>
              <w:jc w:val="center"/>
              <w:rPr>
                <w:noProof/>
                <w:sz w:val="18"/>
              </w:rPr>
            </w:pPr>
            <w:r w:rsidRPr="00D549BE">
              <w:rPr>
                <w:sz w:val="18"/>
              </w:rPr>
              <w:t>de pays AELE</w:t>
            </w:r>
          </w:p>
        </w:tc>
        <w:tc>
          <w:tcPr>
            <w:tcW w:w="1092" w:type="dxa"/>
            <w:vAlign w:val="center"/>
          </w:tcPr>
          <w:p w14:paraId="0067CD7C" w14:textId="77777777" w:rsidR="00656AA8" w:rsidRPr="00D549BE" w:rsidRDefault="00656AA8" w:rsidP="00434248">
            <w:pPr>
              <w:jc w:val="center"/>
              <w:rPr>
                <w:noProof/>
                <w:sz w:val="18"/>
              </w:rPr>
            </w:pPr>
            <w:r w:rsidRPr="00D549BE">
              <w:rPr>
                <w:sz w:val="18"/>
              </w:rPr>
              <w:t>de pays candidats et pays candidats potentiels</w:t>
            </w:r>
          </w:p>
        </w:tc>
        <w:tc>
          <w:tcPr>
            <w:tcW w:w="966" w:type="dxa"/>
            <w:vAlign w:val="center"/>
          </w:tcPr>
          <w:p w14:paraId="2942B0AA" w14:textId="77777777" w:rsidR="00656AA8" w:rsidRPr="00D549BE" w:rsidRDefault="00656AA8" w:rsidP="00434248">
            <w:pPr>
              <w:jc w:val="center"/>
              <w:rPr>
                <w:noProof/>
                <w:sz w:val="18"/>
              </w:rPr>
            </w:pPr>
            <w:r w:rsidRPr="00D549BE">
              <w:rPr>
                <w:sz w:val="18"/>
              </w:rPr>
              <w:t>d’autres pays tiers</w:t>
            </w:r>
          </w:p>
        </w:tc>
        <w:tc>
          <w:tcPr>
            <w:tcW w:w="1463" w:type="dxa"/>
            <w:vAlign w:val="center"/>
          </w:tcPr>
          <w:p w14:paraId="7E804073" w14:textId="77777777" w:rsidR="00656AA8" w:rsidRPr="00D549BE" w:rsidRDefault="00656AA8" w:rsidP="00434248">
            <w:pPr>
              <w:jc w:val="center"/>
              <w:rPr>
                <w:noProof/>
              </w:rPr>
            </w:pPr>
            <w:r w:rsidRPr="00D549BE">
              <w:rPr>
                <w:sz w:val="18"/>
              </w:rPr>
              <w:t xml:space="preserve">autres recettes affectées </w:t>
            </w:r>
          </w:p>
        </w:tc>
      </w:tr>
      <w:tr w:rsidR="00656AA8" w:rsidRPr="00D549BE" w14:paraId="29D1FB9A" w14:textId="77777777" w:rsidTr="00434248">
        <w:trPr>
          <w:cantSplit/>
          <w:jc w:val="center"/>
        </w:trPr>
        <w:tc>
          <w:tcPr>
            <w:tcW w:w="1092" w:type="dxa"/>
            <w:vAlign w:val="center"/>
          </w:tcPr>
          <w:p w14:paraId="31331CC4" w14:textId="77777777" w:rsidR="00656AA8" w:rsidRPr="00D549BE" w:rsidRDefault="002D4A20" w:rsidP="00434248">
            <w:pPr>
              <w:jc w:val="center"/>
              <w:rPr>
                <w:noProof/>
                <w:color w:val="0000FF"/>
              </w:rPr>
            </w:pPr>
            <w:r w:rsidRPr="00D549BE">
              <w:rPr>
                <w:color w:val="0000FF"/>
              </w:rPr>
              <w:t>O</w:t>
            </w:r>
          </w:p>
        </w:tc>
        <w:tc>
          <w:tcPr>
            <w:tcW w:w="4002" w:type="dxa"/>
            <w:vAlign w:val="center"/>
          </w:tcPr>
          <w:p w14:paraId="10E35815" w14:textId="77777777" w:rsidR="00656AA8" w:rsidRPr="00D549BE" w:rsidRDefault="000B1FF4" w:rsidP="00A8443F">
            <w:pPr>
              <w:spacing w:before="60"/>
              <w:rPr>
                <w:noProof/>
              </w:rPr>
            </w:pPr>
            <w:r w:rsidRPr="00D549BE">
              <w:rPr>
                <w:sz w:val="22"/>
              </w:rPr>
              <w:t>[16.07 – Prêt de soutien à l’Ukraine</w:t>
            </w:r>
          </w:p>
        </w:tc>
        <w:tc>
          <w:tcPr>
            <w:tcW w:w="1092" w:type="dxa"/>
            <w:vAlign w:val="center"/>
          </w:tcPr>
          <w:p w14:paraId="7CB6DF0A" w14:textId="77777777" w:rsidR="00656AA8" w:rsidRPr="00D549BE" w:rsidRDefault="00656AA8" w:rsidP="00434248">
            <w:pPr>
              <w:jc w:val="center"/>
              <w:rPr>
                <w:noProof/>
                <w:color w:val="0000FF"/>
              </w:rPr>
            </w:pPr>
            <w:r w:rsidRPr="00D549BE">
              <w:rPr>
                <w:sz w:val="22"/>
              </w:rPr>
              <w:t>CD</w:t>
            </w:r>
          </w:p>
        </w:tc>
        <w:tc>
          <w:tcPr>
            <w:tcW w:w="966" w:type="dxa"/>
            <w:vAlign w:val="center"/>
          </w:tcPr>
          <w:p w14:paraId="0E97726E" w14:textId="77777777" w:rsidR="00656AA8" w:rsidRPr="00D549BE" w:rsidRDefault="00656AA8" w:rsidP="00434248">
            <w:pPr>
              <w:jc w:val="center"/>
              <w:rPr>
                <w:noProof/>
                <w:sz w:val="20"/>
                <w:szCs w:val="20"/>
              </w:rPr>
            </w:pPr>
            <w:r w:rsidRPr="00D549BE">
              <w:rPr>
                <w:sz w:val="20"/>
              </w:rPr>
              <w:t>NON</w:t>
            </w:r>
          </w:p>
        </w:tc>
        <w:tc>
          <w:tcPr>
            <w:tcW w:w="1092" w:type="dxa"/>
            <w:vAlign w:val="center"/>
          </w:tcPr>
          <w:p w14:paraId="630D99BC" w14:textId="77777777" w:rsidR="00656AA8" w:rsidRPr="00D549BE" w:rsidRDefault="00656AA8" w:rsidP="00434248">
            <w:pPr>
              <w:jc w:val="center"/>
              <w:rPr>
                <w:noProof/>
                <w:sz w:val="20"/>
                <w:szCs w:val="20"/>
              </w:rPr>
            </w:pPr>
            <w:r w:rsidRPr="00D549BE">
              <w:rPr>
                <w:sz w:val="20"/>
              </w:rPr>
              <w:t>NON</w:t>
            </w:r>
          </w:p>
        </w:tc>
        <w:tc>
          <w:tcPr>
            <w:tcW w:w="966" w:type="dxa"/>
            <w:vAlign w:val="center"/>
          </w:tcPr>
          <w:p w14:paraId="1BCFAED8" w14:textId="77777777" w:rsidR="00656AA8" w:rsidRPr="00D549BE" w:rsidRDefault="00656AA8" w:rsidP="00434248">
            <w:pPr>
              <w:jc w:val="center"/>
              <w:rPr>
                <w:noProof/>
                <w:sz w:val="20"/>
                <w:szCs w:val="20"/>
              </w:rPr>
            </w:pPr>
            <w:r w:rsidRPr="00D549BE">
              <w:rPr>
                <w:sz w:val="20"/>
              </w:rPr>
              <w:t>NON</w:t>
            </w:r>
          </w:p>
        </w:tc>
        <w:tc>
          <w:tcPr>
            <w:tcW w:w="1463" w:type="dxa"/>
            <w:vAlign w:val="center"/>
          </w:tcPr>
          <w:p w14:paraId="09735D61" w14:textId="77777777" w:rsidR="00656AA8" w:rsidRPr="00D549BE" w:rsidRDefault="00656AA8" w:rsidP="00434248">
            <w:pPr>
              <w:jc w:val="center"/>
              <w:rPr>
                <w:noProof/>
                <w:sz w:val="20"/>
                <w:szCs w:val="20"/>
              </w:rPr>
            </w:pPr>
            <w:r w:rsidRPr="00D549BE">
              <w:rPr>
                <w:sz w:val="20"/>
              </w:rPr>
              <w:t>OUI</w:t>
            </w:r>
          </w:p>
        </w:tc>
      </w:tr>
      <w:tr w:rsidR="000B1FF4" w:rsidRPr="00D549BE" w14:paraId="4F18E7D5" w14:textId="77777777" w:rsidTr="00434248">
        <w:trPr>
          <w:cantSplit/>
          <w:jc w:val="center"/>
        </w:trPr>
        <w:tc>
          <w:tcPr>
            <w:tcW w:w="1092" w:type="dxa"/>
            <w:vAlign w:val="center"/>
          </w:tcPr>
          <w:p w14:paraId="77AE009C" w14:textId="77777777" w:rsidR="000B1FF4" w:rsidRPr="00D549BE" w:rsidRDefault="000B1FF4" w:rsidP="00434248">
            <w:pPr>
              <w:jc w:val="center"/>
              <w:rPr>
                <w:noProof/>
                <w:color w:val="0000FF"/>
              </w:rPr>
            </w:pPr>
            <w:r w:rsidRPr="00D549BE">
              <w:rPr>
                <w:color w:val="0000FF"/>
              </w:rPr>
              <w:t>O</w:t>
            </w:r>
          </w:p>
        </w:tc>
        <w:tc>
          <w:tcPr>
            <w:tcW w:w="4002" w:type="dxa"/>
            <w:vAlign w:val="center"/>
          </w:tcPr>
          <w:p w14:paraId="695A4D51" w14:textId="77777777" w:rsidR="000B1FF4" w:rsidRPr="00D549BE" w:rsidRDefault="000B1FF4" w:rsidP="00434248">
            <w:pPr>
              <w:spacing w:before="60"/>
              <w:rPr>
                <w:noProof/>
              </w:rPr>
            </w:pPr>
            <w:r w:rsidRPr="00D549BE">
              <w:rPr>
                <w:sz w:val="22"/>
              </w:rPr>
              <w:t>[16.07.01] – Coût du service de la dette lié au prêt de soutien à l’Ukraine</w:t>
            </w:r>
          </w:p>
        </w:tc>
        <w:tc>
          <w:tcPr>
            <w:tcW w:w="1092" w:type="dxa"/>
            <w:vAlign w:val="center"/>
          </w:tcPr>
          <w:p w14:paraId="485504F3" w14:textId="77777777" w:rsidR="000B1FF4" w:rsidRPr="00D549BE" w:rsidRDefault="000B1FF4" w:rsidP="00434248">
            <w:pPr>
              <w:jc w:val="center"/>
              <w:rPr>
                <w:noProof/>
                <w:sz w:val="22"/>
              </w:rPr>
            </w:pPr>
            <w:r w:rsidRPr="00D549BE">
              <w:rPr>
                <w:sz w:val="22"/>
              </w:rPr>
              <w:t>CD</w:t>
            </w:r>
          </w:p>
        </w:tc>
        <w:tc>
          <w:tcPr>
            <w:tcW w:w="966" w:type="dxa"/>
            <w:vAlign w:val="center"/>
          </w:tcPr>
          <w:p w14:paraId="00ABC708" w14:textId="77777777" w:rsidR="000B1FF4" w:rsidRPr="00D549BE" w:rsidDel="000B1FF4" w:rsidRDefault="000B1FF4" w:rsidP="00434248">
            <w:pPr>
              <w:jc w:val="center"/>
              <w:rPr>
                <w:noProof/>
                <w:sz w:val="20"/>
                <w:szCs w:val="20"/>
              </w:rPr>
            </w:pPr>
            <w:r w:rsidRPr="00D549BE">
              <w:rPr>
                <w:sz w:val="20"/>
              </w:rPr>
              <w:t>NON</w:t>
            </w:r>
          </w:p>
        </w:tc>
        <w:tc>
          <w:tcPr>
            <w:tcW w:w="1092" w:type="dxa"/>
            <w:vAlign w:val="center"/>
          </w:tcPr>
          <w:p w14:paraId="58FF2ED5" w14:textId="77777777" w:rsidR="000B1FF4" w:rsidRPr="00D549BE" w:rsidDel="000B1FF4" w:rsidRDefault="000B1FF4" w:rsidP="00434248">
            <w:pPr>
              <w:jc w:val="center"/>
              <w:rPr>
                <w:noProof/>
                <w:sz w:val="20"/>
                <w:szCs w:val="20"/>
              </w:rPr>
            </w:pPr>
            <w:r w:rsidRPr="00D549BE">
              <w:rPr>
                <w:sz w:val="20"/>
              </w:rPr>
              <w:t>NON</w:t>
            </w:r>
          </w:p>
        </w:tc>
        <w:tc>
          <w:tcPr>
            <w:tcW w:w="966" w:type="dxa"/>
            <w:vAlign w:val="center"/>
          </w:tcPr>
          <w:p w14:paraId="50B492AC" w14:textId="77777777" w:rsidR="000B1FF4" w:rsidRPr="00D549BE" w:rsidDel="000B1FF4" w:rsidRDefault="000B1FF4" w:rsidP="00434248">
            <w:pPr>
              <w:jc w:val="center"/>
              <w:rPr>
                <w:noProof/>
                <w:sz w:val="20"/>
                <w:szCs w:val="20"/>
              </w:rPr>
            </w:pPr>
            <w:r w:rsidRPr="00D549BE">
              <w:rPr>
                <w:sz w:val="20"/>
              </w:rPr>
              <w:t>NON</w:t>
            </w:r>
          </w:p>
        </w:tc>
        <w:tc>
          <w:tcPr>
            <w:tcW w:w="1463" w:type="dxa"/>
            <w:vAlign w:val="center"/>
          </w:tcPr>
          <w:p w14:paraId="3A6BA800" w14:textId="77777777" w:rsidR="000B1FF4" w:rsidRPr="00D549BE" w:rsidDel="000B1FF4" w:rsidRDefault="000B1FF4" w:rsidP="00434248">
            <w:pPr>
              <w:jc w:val="center"/>
              <w:rPr>
                <w:noProof/>
                <w:sz w:val="20"/>
                <w:szCs w:val="20"/>
              </w:rPr>
            </w:pPr>
            <w:r w:rsidRPr="00D549BE">
              <w:rPr>
                <w:sz w:val="20"/>
              </w:rPr>
              <w:t>OUI</w:t>
            </w:r>
          </w:p>
        </w:tc>
      </w:tr>
    </w:tbl>
    <w:p w14:paraId="0982BC6F" w14:textId="77777777" w:rsidR="00656AA8" w:rsidRPr="00D549BE" w:rsidRDefault="00656AA8" w:rsidP="00656AA8">
      <w:pPr>
        <w:rPr>
          <w:noProof/>
        </w:rPr>
        <w:sectPr w:rsidR="00656AA8" w:rsidRPr="00D549BE" w:rsidSect="00D549BE">
          <w:pgSz w:w="11907" w:h="16840" w:code="1"/>
          <w:pgMar w:top="1134" w:right="1418" w:bottom="1134" w:left="1418" w:header="709" w:footer="709" w:gutter="0"/>
          <w:cols w:space="708"/>
          <w:docGrid w:linePitch="360"/>
        </w:sectPr>
      </w:pPr>
    </w:p>
    <w:p w14:paraId="7783B0EF" w14:textId="77777777" w:rsidR="00656AA8" w:rsidRPr="00D549BE" w:rsidRDefault="00656AA8" w:rsidP="00656AA8">
      <w:pPr>
        <w:pStyle w:val="ManualHeading2"/>
        <w:rPr>
          <w:bCs/>
          <w:noProof/>
          <w:szCs w:val="24"/>
        </w:rPr>
      </w:pPr>
      <w:bookmarkStart w:id="153" w:name="_Toc514938052"/>
      <w:bookmarkStart w:id="154" w:name="_Toc520485051"/>
      <w:bookmarkStart w:id="155" w:name="_Toc160804593"/>
      <w:bookmarkStart w:id="156" w:name="_Toc167220285"/>
      <w:bookmarkStart w:id="157" w:name="_Toc177549018"/>
      <w:r w:rsidRPr="00D549BE">
        <w:t>3.2.</w:t>
      </w:r>
      <w:r w:rsidRPr="00D549BE">
        <w:tab/>
        <w:t>Incidence financière estimée de la proposition sur les crédits</w:t>
      </w:r>
      <w:bookmarkEnd w:id="153"/>
      <w:bookmarkEnd w:id="154"/>
      <w:bookmarkEnd w:id="155"/>
      <w:bookmarkEnd w:id="156"/>
      <w:bookmarkEnd w:id="157"/>
      <w:r w:rsidRPr="00D549BE">
        <w:t xml:space="preserve"> </w:t>
      </w:r>
    </w:p>
    <w:p w14:paraId="1227AD06" w14:textId="77777777" w:rsidR="00656AA8" w:rsidRPr="00D549BE" w:rsidRDefault="00656AA8" w:rsidP="00656AA8">
      <w:pPr>
        <w:pStyle w:val="ManualHeading3"/>
        <w:rPr>
          <w:noProof/>
        </w:rPr>
      </w:pPr>
      <w:bookmarkStart w:id="158" w:name="_Toc514938053"/>
      <w:bookmarkStart w:id="159" w:name="_Toc520485052"/>
      <w:bookmarkStart w:id="160" w:name="_Toc160804594"/>
      <w:bookmarkStart w:id="161" w:name="_Toc167220286"/>
      <w:bookmarkStart w:id="162" w:name="_Toc177549019"/>
      <w:r w:rsidRPr="00D549BE">
        <w:t>3.2.1.</w:t>
      </w:r>
      <w:r w:rsidRPr="00D549BE">
        <w:tab/>
        <w:t>Synthèse de l’incidence estimée sur les crédits opérationnels</w:t>
      </w:r>
      <w:bookmarkEnd w:id="158"/>
      <w:bookmarkEnd w:id="159"/>
      <w:bookmarkEnd w:id="160"/>
      <w:bookmarkEnd w:id="161"/>
      <w:bookmarkEnd w:id="162"/>
      <w:r w:rsidRPr="00D549BE">
        <w:t xml:space="preserve"> </w:t>
      </w:r>
    </w:p>
    <w:p w14:paraId="17257DBF" w14:textId="77777777" w:rsidR="00656AA8" w:rsidRPr="00D549BE" w:rsidRDefault="00656AA8" w:rsidP="00656AA8">
      <w:pPr>
        <w:pStyle w:val="ListDash1"/>
        <w:rPr>
          <w:noProof/>
        </w:rPr>
      </w:pPr>
      <w:r w:rsidRPr="00D549BE">
        <w:rPr>
          <w:rFonts w:ascii="Wingdings" w:hAnsi="Wingdings"/>
        </w:rPr>
        <w:t></w:t>
      </w:r>
      <w:r w:rsidRPr="00D549BE">
        <w:tab/>
        <w:t xml:space="preserve">La proposition/l'initiative n'engendre pas l'utilisation de crédits opérationnels </w:t>
      </w:r>
    </w:p>
    <w:p w14:paraId="1455D591" w14:textId="77777777" w:rsidR="00656AA8" w:rsidRPr="00D549BE" w:rsidRDefault="000B1FF4" w:rsidP="00656AA8">
      <w:pPr>
        <w:pStyle w:val="ListDash1"/>
        <w:rPr>
          <w:noProof/>
        </w:rPr>
      </w:pPr>
      <w:r w:rsidRPr="00D549BE">
        <w:rPr>
          <w:rFonts w:ascii="Wingdings" w:hAnsi="Wingdings"/>
        </w:rPr>
        <w:t></w:t>
      </w:r>
      <w:r w:rsidRPr="00D549BE">
        <w:tab/>
        <w:t>La proposition/l'initiative engendre l'utilisation de crédits opérationnels, comme expliqué ci-après:</w:t>
      </w:r>
    </w:p>
    <w:p w14:paraId="3BEED299" w14:textId="77777777" w:rsidR="00656AA8" w:rsidRPr="00D549BE" w:rsidRDefault="00656AA8" w:rsidP="00656AA8">
      <w:pPr>
        <w:pStyle w:val="ManualHeading3"/>
        <w:rPr>
          <w:noProof/>
        </w:rPr>
      </w:pPr>
      <w:bookmarkStart w:id="163" w:name="_Toc160804595"/>
      <w:bookmarkStart w:id="164" w:name="_Toc167220287"/>
      <w:bookmarkStart w:id="165" w:name="_Toc177549020"/>
      <w:r w:rsidRPr="00D549BE">
        <w:t>3.2.1.1.</w:t>
      </w:r>
      <w:r w:rsidRPr="00D549BE">
        <w:tab/>
        <w:t>Crédits issus du budget voté</w:t>
      </w:r>
      <w:bookmarkEnd w:id="163"/>
      <w:bookmarkEnd w:id="164"/>
      <w:bookmarkEnd w:id="165"/>
    </w:p>
    <w:p w14:paraId="541216E4" w14:textId="77777777" w:rsidR="00656AA8" w:rsidRPr="00D549BE" w:rsidRDefault="00656AA8" w:rsidP="00656AA8">
      <w:pPr>
        <w:jc w:val="right"/>
        <w:rPr>
          <w:noProof/>
          <w:sz w:val="18"/>
          <w:szCs w:val="18"/>
        </w:rPr>
      </w:pPr>
      <w:r w:rsidRPr="00D549BE">
        <w:rPr>
          <w:sz w:val="18"/>
        </w:rPr>
        <w:t>En Mio EUR (à la 3</w:t>
      </w:r>
      <w:r w:rsidRPr="00D549BE">
        <w:rPr>
          <w:sz w:val="18"/>
          <w:vertAlign w:val="superscript"/>
        </w:rPr>
        <w:t>e</w:t>
      </w:r>
      <w:r w:rsidRPr="00D549BE">
        <w:rPr>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56AA8" w:rsidRPr="00D549BE" w14:paraId="6F7465CE" w14:textId="77777777" w:rsidTr="00434248">
        <w:tc>
          <w:tcPr>
            <w:tcW w:w="1739" w:type="pct"/>
            <w:shd w:val="thinDiagStripe" w:color="C0C0C0" w:fill="auto"/>
            <w:vAlign w:val="center"/>
          </w:tcPr>
          <w:p w14:paraId="55050477" w14:textId="77777777" w:rsidR="00656AA8" w:rsidRPr="00D549BE" w:rsidRDefault="00656AA8" w:rsidP="00434248">
            <w:pPr>
              <w:spacing w:before="60" w:after="60"/>
              <w:jc w:val="center"/>
              <w:rPr>
                <w:b/>
                <w:noProof/>
              </w:rPr>
            </w:pPr>
            <w:r w:rsidRPr="00D549BE">
              <w:rPr>
                <w:b/>
                <w:sz w:val="22"/>
              </w:rPr>
              <w:t xml:space="preserve">Rubrique du cadre financier pluriannuel </w:t>
            </w:r>
          </w:p>
        </w:tc>
        <w:tc>
          <w:tcPr>
            <w:tcW w:w="396" w:type="pct"/>
            <w:vAlign w:val="center"/>
          </w:tcPr>
          <w:p w14:paraId="3C8928B1" w14:textId="77777777" w:rsidR="00656AA8" w:rsidRPr="00D549BE" w:rsidRDefault="00656AA8" w:rsidP="00434248">
            <w:pPr>
              <w:spacing w:before="60" w:after="60"/>
              <w:jc w:val="center"/>
              <w:rPr>
                <w:noProof/>
              </w:rPr>
            </w:pPr>
            <w:r w:rsidRPr="00D549BE">
              <w:rPr>
                <w:sz w:val="22"/>
              </w:rPr>
              <w:t>Numéro</w:t>
            </w:r>
          </w:p>
        </w:tc>
        <w:tc>
          <w:tcPr>
            <w:tcW w:w="2865" w:type="pct"/>
            <w:vAlign w:val="center"/>
          </w:tcPr>
          <w:p w14:paraId="74EAD182" w14:textId="77777777" w:rsidR="00656AA8" w:rsidRPr="00D549BE" w:rsidRDefault="00656AA8" w:rsidP="00434248">
            <w:pPr>
              <w:spacing w:before="60" w:after="60"/>
              <w:rPr>
                <w:noProof/>
              </w:rPr>
            </w:pPr>
          </w:p>
        </w:tc>
      </w:tr>
    </w:tbl>
    <w:p w14:paraId="5F727A28" w14:textId="77777777" w:rsidR="00656AA8" w:rsidRPr="00D549BE" w:rsidRDefault="00656AA8" w:rsidP="00656AA8">
      <w:pPr>
        <w:rPr>
          <w:noProof/>
          <w:sz w:val="16"/>
        </w:rPr>
      </w:pPr>
    </w:p>
    <w:tbl>
      <w:tblPr>
        <w:tblW w:w="5000" w:type="pct"/>
        <w:tblLook w:val="04A0" w:firstRow="1" w:lastRow="0" w:firstColumn="1" w:lastColumn="0" w:noHBand="0" w:noVBand="1"/>
      </w:tblPr>
      <w:tblGrid>
        <w:gridCol w:w="4035"/>
        <w:gridCol w:w="290"/>
        <w:gridCol w:w="1214"/>
        <w:gridCol w:w="128"/>
        <w:gridCol w:w="1038"/>
        <w:gridCol w:w="245"/>
        <w:gridCol w:w="796"/>
        <w:gridCol w:w="614"/>
        <w:gridCol w:w="629"/>
        <w:gridCol w:w="782"/>
        <w:gridCol w:w="461"/>
        <w:gridCol w:w="941"/>
        <w:gridCol w:w="9"/>
        <w:gridCol w:w="293"/>
        <w:gridCol w:w="1101"/>
        <w:gridCol w:w="142"/>
        <w:gridCol w:w="1502"/>
      </w:tblGrid>
      <w:tr w:rsidR="00656AA8" w:rsidRPr="00D549BE" w14:paraId="04FC96D7" w14:textId="77777777" w:rsidTr="000B1FF4">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45C54725" w14:textId="77777777" w:rsidR="00656AA8" w:rsidRPr="00D549BE" w:rsidRDefault="00656AA8" w:rsidP="00434248">
            <w:pPr>
              <w:spacing w:before="0" w:after="0"/>
              <w:jc w:val="center"/>
              <w:rPr>
                <w:noProof/>
                <w:color w:val="000000"/>
                <w:sz w:val="22"/>
              </w:rPr>
            </w:pPr>
            <w:r w:rsidRPr="00D549BE">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3C471E86"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0F6ACA7B"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14:paraId="0EE69552"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0" w:type="pct"/>
            <w:gridSpan w:val="2"/>
            <w:tcBorders>
              <w:top w:val="single" w:sz="8" w:space="0" w:color="auto"/>
              <w:left w:val="nil"/>
              <w:bottom w:val="single" w:sz="8" w:space="0" w:color="auto"/>
              <w:right w:val="single" w:sz="8" w:space="0" w:color="auto"/>
            </w:tcBorders>
            <w:vAlign w:val="center"/>
            <w:hideMark/>
          </w:tcPr>
          <w:p w14:paraId="3EFB2CF3"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78"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4F84F07"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2781B7D7" w14:textId="77777777" w:rsidTr="000B1FF4">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69335AAB" w14:textId="77777777" w:rsidR="00656AA8" w:rsidRPr="00D549BE" w:rsidRDefault="00656AA8" w:rsidP="00434248">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722A4489"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5A94239E"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00275B50"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90" w:type="pct"/>
            <w:gridSpan w:val="2"/>
            <w:tcBorders>
              <w:top w:val="nil"/>
              <w:left w:val="nil"/>
              <w:bottom w:val="single" w:sz="8" w:space="0" w:color="auto"/>
              <w:right w:val="single" w:sz="8" w:space="0" w:color="auto"/>
            </w:tcBorders>
            <w:vAlign w:val="center"/>
            <w:hideMark/>
          </w:tcPr>
          <w:p w14:paraId="00E6C9A8"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78" w:type="pct"/>
            <w:gridSpan w:val="2"/>
            <w:vMerge/>
            <w:tcBorders>
              <w:top w:val="single" w:sz="8" w:space="0" w:color="auto"/>
              <w:left w:val="single" w:sz="8" w:space="0" w:color="auto"/>
              <w:bottom w:val="single" w:sz="8" w:space="0" w:color="auto"/>
              <w:right w:val="single" w:sz="8" w:space="0" w:color="auto"/>
            </w:tcBorders>
            <w:vAlign w:val="center"/>
            <w:hideMark/>
          </w:tcPr>
          <w:p w14:paraId="30D2F159"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7AB40C7C" w14:textId="77777777" w:rsidTr="00434248">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36767D5C" w14:textId="77777777" w:rsidR="00656AA8" w:rsidRPr="00D549BE" w:rsidRDefault="00656AA8" w:rsidP="00434248">
            <w:pPr>
              <w:spacing w:before="0" w:after="0"/>
              <w:jc w:val="left"/>
              <w:rPr>
                <w:noProof/>
                <w:color w:val="000000"/>
                <w:sz w:val="21"/>
                <w:szCs w:val="21"/>
              </w:rPr>
            </w:pPr>
            <w:r w:rsidRPr="00D549BE">
              <w:rPr>
                <w:color w:val="000000"/>
                <w:sz w:val="21"/>
              </w:rPr>
              <w:t xml:space="preserve">Crédits opérationnels </w:t>
            </w:r>
          </w:p>
        </w:tc>
      </w:tr>
      <w:tr w:rsidR="00656AA8" w:rsidRPr="00D549BE" w14:paraId="5A142BBD" w14:textId="77777777" w:rsidTr="000B1FF4">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684FD79F" w14:textId="77777777" w:rsidR="00656AA8" w:rsidRPr="00D549BE" w:rsidRDefault="00656AA8" w:rsidP="00434248">
            <w:pPr>
              <w:spacing w:before="0" w:after="0"/>
              <w:jc w:val="left"/>
              <w:rPr>
                <w:noProof/>
                <w:color w:val="000000"/>
                <w:sz w:val="22"/>
              </w:rPr>
            </w:pPr>
            <w:r w:rsidRPr="00D549BE">
              <w:rPr>
                <w:color w:val="000000"/>
                <w:sz w:val="22"/>
              </w:rPr>
              <w:t>Ligne budgétaire 16.07.01</w:t>
            </w:r>
          </w:p>
        </w:tc>
        <w:tc>
          <w:tcPr>
            <w:tcW w:w="529" w:type="pct"/>
            <w:gridSpan w:val="2"/>
            <w:tcBorders>
              <w:top w:val="nil"/>
              <w:left w:val="nil"/>
              <w:bottom w:val="single" w:sz="8" w:space="0" w:color="auto"/>
              <w:right w:val="single" w:sz="8" w:space="0" w:color="auto"/>
            </w:tcBorders>
            <w:vAlign w:val="center"/>
            <w:hideMark/>
          </w:tcPr>
          <w:p w14:paraId="5A0FE23A"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2E66A164" w14:textId="77777777" w:rsidR="00656AA8" w:rsidRPr="00D549BE" w:rsidRDefault="00656AA8" w:rsidP="00434248">
            <w:pPr>
              <w:spacing w:before="0" w:after="0"/>
              <w:jc w:val="center"/>
              <w:rPr>
                <w:noProof/>
                <w:color w:val="000000"/>
                <w:sz w:val="14"/>
                <w:szCs w:val="14"/>
              </w:rPr>
            </w:pPr>
            <w:r w:rsidRPr="00D549BE">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324A3665"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64159BF4"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2C0CC29F" w14:textId="77777777" w:rsidR="00656AA8" w:rsidRPr="00D549BE" w:rsidRDefault="000B1FF4" w:rsidP="00434248">
            <w:pPr>
              <w:spacing w:before="0" w:after="0"/>
              <w:jc w:val="right"/>
              <w:rPr>
                <w:noProof/>
                <w:color w:val="000000"/>
                <w:sz w:val="20"/>
                <w:szCs w:val="20"/>
              </w:rPr>
            </w:pPr>
            <w:r w:rsidRPr="00D549BE">
              <w:rPr>
                <w:color w:val="000000"/>
                <w:sz w:val="20"/>
              </w:rPr>
              <w:t xml:space="preserve">0 </w:t>
            </w:r>
          </w:p>
        </w:tc>
        <w:tc>
          <w:tcPr>
            <w:tcW w:w="490" w:type="pct"/>
            <w:gridSpan w:val="2"/>
            <w:tcBorders>
              <w:top w:val="nil"/>
              <w:left w:val="nil"/>
              <w:bottom w:val="single" w:sz="8" w:space="0" w:color="auto"/>
              <w:right w:val="single" w:sz="8" w:space="0" w:color="auto"/>
            </w:tcBorders>
            <w:vAlign w:val="center"/>
            <w:hideMark/>
          </w:tcPr>
          <w:p w14:paraId="00932595" w14:textId="77777777" w:rsidR="00656AA8" w:rsidRPr="00D549BE" w:rsidRDefault="000B1FF4" w:rsidP="00434248">
            <w:pPr>
              <w:spacing w:before="0" w:after="0"/>
              <w:jc w:val="right"/>
              <w:rPr>
                <w:noProof/>
                <w:color w:val="000000"/>
                <w:sz w:val="20"/>
                <w:szCs w:val="20"/>
              </w:rPr>
            </w:pPr>
            <w:r w:rsidRPr="00D549BE">
              <w:rPr>
                <w:color w:val="000000"/>
                <w:sz w:val="20"/>
              </w:rPr>
              <w:t xml:space="preserve">1 000,000(*)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2815741C" w14:textId="77777777" w:rsidR="00656AA8" w:rsidRPr="00D549BE" w:rsidRDefault="000B1FF4" w:rsidP="00434248">
            <w:pPr>
              <w:spacing w:before="0" w:after="0"/>
              <w:jc w:val="right"/>
              <w:rPr>
                <w:b/>
                <w:bCs/>
                <w:noProof/>
                <w:color w:val="000000"/>
                <w:sz w:val="20"/>
                <w:szCs w:val="20"/>
              </w:rPr>
            </w:pPr>
            <w:r w:rsidRPr="00D549BE">
              <w:rPr>
                <w:b/>
                <w:color w:val="000000"/>
                <w:sz w:val="20"/>
              </w:rPr>
              <w:t>1 000,000(*) </w:t>
            </w:r>
          </w:p>
        </w:tc>
      </w:tr>
      <w:tr w:rsidR="00656AA8" w:rsidRPr="00D549BE" w14:paraId="76695635" w14:textId="77777777" w:rsidTr="000B1FF4">
        <w:trPr>
          <w:trHeight w:val="315"/>
        </w:trPr>
        <w:tc>
          <w:tcPr>
            <w:tcW w:w="1419" w:type="pct"/>
            <w:vMerge/>
            <w:tcBorders>
              <w:top w:val="nil"/>
              <w:left w:val="single" w:sz="8" w:space="0" w:color="auto"/>
              <w:bottom w:val="single" w:sz="8" w:space="0" w:color="auto"/>
              <w:right w:val="single" w:sz="8" w:space="0" w:color="auto"/>
            </w:tcBorders>
            <w:vAlign w:val="center"/>
            <w:hideMark/>
          </w:tcPr>
          <w:p w14:paraId="52DEE7A2" w14:textId="77777777" w:rsidR="00656AA8" w:rsidRPr="00D549BE" w:rsidRDefault="00656AA8" w:rsidP="00434248">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4C691EA6"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77C99640" w14:textId="77777777" w:rsidR="00656AA8" w:rsidRPr="00D549BE" w:rsidRDefault="00656AA8" w:rsidP="00434248">
            <w:pPr>
              <w:spacing w:before="0" w:after="0"/>
              <w:jc w:val="center"/>
              <w:rPr>
                <w:noProof/>
                <w:color w:val="000000"/>
                <w:sz w:val="14"/>
                <w:szCs w:val="14"/>
              </w:rPr>
            </w:pPr>
            <w:r w:rsidRPr="00D549BE">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0B960E30"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6AB0183"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3965A94D" w14:textId="77777777" w:rsidR="00656AA8" w:rsidRPr="00D549BE" w:rsidRDefault="000B1FF4" w:rsidP="00434248">
            <w:pPr>
              <w:spacing w:before="0" w:after="0"/>
              <w:jc w:val="right"/>
              <w:rPr>
                <w:noProof/>
                <w:color w:val="000000"/>
                <w:sz w:val="20"/>
                <w:szCs w:val="20"/>
              </w:rPr>
            </w:pPr>
            <w:r w:rsidRPr="00D549BE">
              <w:rPr>
                <w:color w:val="000000"/>
                <w:sz w:val="20"/>
              </w:rPr>
              <w:t xml:space="preserve">0 </w:t>
            </w:r>
          </w:p>
        </w:tc>
        <w:tc>
          <w:tcPr>
            <w:tcW w:w="490" w:type="pct"/>
            <w:gridSpan w:val="2"/>
            <w:tcBorders>
              <w:top w:val="nil"/>
              <w:left w:val="nil"/>
              <w:bottom w:val="single" w:sz="8" w:space="0" w:color="auto"/>
              <w:right w:val="single" w:sz="8" w:space="0" w:color="auto"/>
            </w:tcBorders>
            <w:vAlign w:val="center"/>
            <w:hideMark/>
          </w:tcPr>
          <w:p w14:paraId="0C1CB6FB" w14:textId="77777777" w:rsidR="00656AA8" w:rsidRPr="00D549BE" w:rsidRDefault="000B1FF4" w:rsidP="00434248">
            <w:pPr>
              <w:spacing w:before="0" w:after="0"/>
              <w:jc w:val="right"/>
              <w:rPr>
                <w:noProof/>
                <w:color w:val="000000"/>
                <w:sz w:val="20"/>
                <w:szCs w:val="20"/>
              </w:rPr>
            </w:pPr>
            <w:r w:rsidRPr="00D549BE">
              <w:rPr>
                <w:color w:val="000000"/>
                <w:sz w:val="20"/>
              </w:rPr>
              <w:t xml:space="preserve">1 000,000(*)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4A48404" w14:textId="77777777" w:rsidR="00656AA8" w:rsidRPr="00D549BE" w:rsidRDefault="000B1FF4" w:rsidP="00434248">
            <w:pPr>
              <w:spacing w:before="0" w:after="0"/>
              <w:jc w:val="right"/>
              <w:rPr>
                <w:b/>
                <w:bCs/>
                <w:noProof/>
                <w:color w:val="000000"/>
                <w:sz w:val="20"/>
                <w:szCs w:val="20"/>
              </w:rPr>
            </w:pPr>
            <w:r w:rsidRPr="00D549BE">
              <w:rPr>
                <w:b/>
                <w:color w:val="000000"/>
                <w:sz w:val="20"/>
              </w:rPr>
              <w:t>1 000,000(*) </w:t>
            </w:r>
          </w:p>
        </w:tc>
      </w:tr>
      <w:tr w:rsidR="00656AA8" w:rsidRPr="00D549BE" w14:paraId="678D0FA3" w14:textId="77777777" w:rsidTr="000B1FF4">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421D1768" w14:textId="77777777" w:rsidR="00656AA8" w:rsidRPr="00D549BE" w:rsidRDefault="00656AA8" w:rsidP="00434248">
            <w:pPr>
              <w:spacing w:before="0" w:after="0"/>
              <w:rPr>
                <w:noProof/>
                <w:color w:val="000000"/>
                <w:sz w:val="20"/>
                <w:szCs w:val="20"/>
              </w:rPr>
            </w:pPr>
            <w:r w:rsidRPr="00D549BE">
              <w:rPr>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14:paraId="7117B6D6"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35CE2994" w14:textId="77777777" w:rsidR="00656AA8" w:rsidRPr="00D549BE" w:rsidRDefault="00656AA8" w:rsidP="00434248">
            <w:pPr>
              <w:spacing w:before="0" w:after="0"/>
              <w:jc w:val="center"/>
              <w:rPr>
                <w:noProof/>
                <w:color w:val="000000"/>
                <w:sz w:val="14"/>
                <w:szCs w:val="14"/>
              </w:rPr>
            </w:pPr>
            <w:r w:rsidRPr="00D549BE">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411DD3BB"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05072EB"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9556DE0"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0" w:type="pct"/>
            <w:gridSpan w:val="2"/>
            <w:tcBorders>
              <w:top w:val="nil"/>
              <w:left w:val="nil"/>
              <w:bottom w:val="single" w:sz="8" w:space="0" w:color="auto"/>
              <w:right w:val="single" w:sz="8" w:space="0" w:color="auto"/>
            </w:tcBorders>
            <w:vAlign w:val="center"/>
            <w:hideMark/>
          </w:tcPr>
          <w:p w14:paraId="7D64EF4E"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243D87BC"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14C18143" w14:textId="77777777" w:rsidTr="000B1FF4">
        <w:trPr>
          <w:trHeight w:val="315"/>
        </w:trPr>
        <w:tc>
          <w:tcPr>
            <w:tcW w:w="1419" w:type="pct"/>
            <w:vMerge/>
            <w:tcBorders>
              <w:top w:val="nil"/>
              <w:left w:val="single" w:sz="8" w:space="0" w:color="auto"/>
              <w:bottom w:val="single" w:sz="8" w:space="0" w:color="auto"/>
              <w:right w:val="single" w:sz="8" w:space="0" w:color="auto"/>
            </w:tcBorders>
            <w:vAlign w:val="center"/>
            <w:hideMark/>
          </w:tcPr>
          <w:p w14:paraId="299DBFFA" w14:textId="77777777" w:rsidR="00656AA8" w:rsidRPr="00D549BE" w:rsidRDefault="00656AA8" w:rsidP="00434248">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23DA928B"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1334A53B" w14:textId="77777777" w:rsidR="00656AA8" w:rsidRPr="00D549BE" w:rsidRDefault="00656AA8" w:rsidP="00434248">
            <w:pPr>
              <w:spacing w:before="0" w:after="0"/>
              <w:jc w:val="center"/>
              <w:rPr>
                <w:noProof/>
                <w:color w:val="000000"/>
                <w:sz w:val="14"/>
                <w:szCs w:val="14"/>
              </w:rPr>
            </w:pPr>
            <w:r w:rsidRPr="00D549BE">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65B38DE4"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4574C47"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4162194"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0" w:type="pct"/>
            <w:gridSpan w:val="2"/>
            <w:tcBorders>
              <w:top w:val="nil"/>
              <w:left w:val="nil"/>
              <w:bottom w:val="single" w:sz="8" w:space="0" w:color="auto"/>
              <w:right w:val="single" w:sz="8" w:space="0" w:color="auto"/>
            </w:tcBorders>
            <w:vAlign w:val="center"/>
            <w:hideMark/>
          </w:tcPr>
          <w:p w14:paraId="3012DFD1"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5F211F7A"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39185C11" w14:textId="77777777" w:rsidTr="00434248">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5E889711" w14:textId="77777777" w:rsidR="00656AA8" w:rsidRPr="00D549BE" w:rsidRDefault="00656AA8" w:rsidP="00434248">
            <w:pPr>
              <w:spacing w:before="0" w:after="0"/>
              <w:jc w:val="left"/>
              <w:rPr>
                <w:noProof/>
                <w:color w:val="000000"/>
                <w:sz w:val="22"/>
              </w:rPr>
            </w:pPr>
            <w:r w:rsidRPr="00D549BE">
              <w:rPr>
                <w:color w:val="000000"/>
                <w:sz w:val="22"/>
              </w:rPr>
              <w:t>Crédits de nature administrative financés par l'enveloppe de certains programmes spécifiques</w:t>
            </w:r>
            <w:r w:rsidRPr="00D549BE">
              <w:t xml:space="preserve"> </w:t>
            </w:r>
          </w:p>
        </w:tc>
      </w:tr>
      <w:tr w:rsidR="00656AA8" w:rsidRPr="00D549BE" w14:paraId="6ED96290" w14:textId="77777777" w:rsidTr="000B1FF4">
        <w:trPr>
          <w:trHeight w:val="288"/>
        </w:trPr>
        <w:tc>
          <w:tcPr>
            <w:tcW w:w="1419" w:type="pct"/>
            <w:tcBorders>
              <w:top w:val="nil"/>
              <w:left w:val="single" w:sz="8" w:space="0" w:color="auto"/>
              <w:bottom w:val="single" w:sz="8" w:space="0" w:color="auto"/>
              <w:right w:val="single" w:sz="8" w:space="0" w:color="auto"/>
            </w:tcBorders>
            <w:vAlign w:val="center"/>
            <w:hideMark/>
          </w:tcPr>
          <w:p w14:paraId="7690B96F" w14:textId="77777777" w:rsidR="00656AA8" w:rsidRPr="00D549BE" w:rsidRDefault="00656AA8" w:rsidP="00434248">
            <w:pPr>
              <w:spacing w:before="0" w:after="0"/>
              <w:rPr>
                <w:noProof/>
                <w:color w:val="000000"/>
                <w:sz w:val="20"/>
                <w:szCs w:val="20"/>
              </w:rPr>
            </w:pPr>
            <w:r w:rsidRPr="00D549BE">
              <w:rPr>
                <w:color w:val="000000"/>
                <w:sz w:val="20"/>
              </w:rPr>
              <w:t>Ligne budgétaire 06.01.03</w:t>
            </w:r>
          </w:p>
        </w:tc>
        <w:tc>
          <w:tcPr>
            <w:tcW w:w="529" w:type="pct"/>
            <w:gridSpan w:val="2"/>
            <w:tcBorders>
              <w:top w:val="nil"/>
              <w:left w:val="nil"/>
              <w:bottom w:val="single" w:sz="8" w:space="0" w:color="auto"/>
              <w:right w:val="single" w:sz="8" w:space="0" w:color="auto"/>
            </w:tcBorders>
            <w:vAlign w:val="center"/>
            <w:hideMark/>
          </w:tcPr>
          <w:p w14:paraId="2926DF8C" w14:textId="77777777" w:rsidR="00656AA8" w:rsidRPr="00D549BE" w:rsidRDefault="00656AA8" w:rsidP="00434248">
            <w:pPr>
              <w:spacing w:before="0" w:after="0"/>
              <w:jc w:val="right"/>
              <w:rPr>
                <w:noProof/>
                <w:color w:val="000000"/>
                <w:sz w:val="18"/>
                <w:szCs w:val="18"/>
              </w:rPr>
            </w:pPr>
            <w:r w:rsidRPr="00D549BE">
              <w:rPr>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14:paraId="535ABA07" w14:textId="77777777" w:rsidR="00656AA8" w:rsidRPr="00D549BE" w:rsidRDefault="00656AA8" w:rsidP="00434248">
            <w:pPr>
              <w:spacing w:before="0" w:after="0"/>
              <w:jc w:val="center"/>
              <w:rPr>
                <w:noProof/>
                <w:color w:val="000000"/>
                <w:sz w:val="14"/>
                <w:szCs w:val="14"/>
              </w:rPr>
            </w:pPr>
            <w:r w:rsidRPr="00D549BE">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5A9F72E9" w14:textId="77777777" w:rsidR="00656AA8" w:rsidRPr="00D549BE" w:rsidRDefault="00656AA8" w:rsidP="00434248">
            <w:pPr>
              <w:spacing w:before="0" w:after="0"/>
              <w:jc w:val="right"/>
              <w:rPr>
                <w:b/>
                <w:bCs/>
                <w:noProof/>
                <w:color w:val="000000"/>
                <w:sz w:val="20"/>
                <w:szCs w:val="20"/>
              </w:rPr>
            </w:pPr>
            <w:r w:rsidRPr="00D549BE">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20842B7" w14:textId="77777777" w:rsidR="00656AA8" w:rsidRPr="00D549BE" w:rsidRDefault="00656AA8" w:rsidP="00434248">
            <w:pPr>
              <w:spacing w:before="0" w:after="0"/>
              <w:jc w:val="right"/>
              <w:rPr>
                <w:b/>
                <w:bCs/>
                <w:noProof/>
                <w:color w:val="000000"/>
                <w:sz w:val="20"/>
                <w:szCs w:val="20"/>
              </w:rPr>
            </w:pPr>
            <w:r w:rsidRPr="00D549BE">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01F439CE" w14:textId="77777777" w:rsidR="00656AA8" w:rsidRPr="00D549BE" w:rsidRDefault="000B1FF4" w:rsidP="00434248">
            <w:pPr>
              <w:spacing w:before="0" w:after="0"/>
              <w:jc w:val="right"/>
              <w:rPr>
                <w:b/>
                <w:bCs/>
                <w:noProof/>
                <w:color w:val="000000"/>
                <w:sz w:val="20"/>
                <w:szCs w:val="20"/>
              </w:rPr>
            </w:pPr>
            <w:r w:rsidRPr="00D549BE">
              <w:rPr>
                <w:b/>
                <w:color w:val="000000"/>
                <w:sz w:val="20"/>
              </w:rPr>
              <w:t>1,000</w:t>
            </w:r>
          </w:p>
        </w:tc>
        <w:tc>
          <w:tcPr>
            <w:tcW w:w="490" w:type="pct"/>
            <w:gridSpan w:val="2"/>
            <w:tcBorders>
              <w:top w:val="nil"/>
              <w:left w:val="nil"/>
              <w:bottom w:val="single" w:sz="8" w:space="0" w:color="auto"/>
              <w:right w:val="single" w:sz="8" w:space="0" w:color="auto"/>
            </w:tcBorders>
            <w:vAlign w:val="center"/>
            <w:hideMark/>
          </w:tcPr>
          <w:p w14:paraId="115A46B7" w14:textId="77777777" w:rsidR="00656AA8" w:rsidRPr="00D549BE" w:rsidRDefault="000B1FF4" w:rsidP="00434248">
            <w:pPr>
              <w:spacing w:before="0" w:after="0"/>
              <w:jc w:val="right"/>
              <w:rPr>
                <w:b/>
                <w:bCs/>
                <w:noProof/>
                <w:color w:val="000000"/>
                <w:sz w:val="20"/>
                <w:szCs w:val="20"/>
              </w:rPr>
            </w:pPr>
            <w:r w:rsidRPr="00D549BE">
              <w:rPr>
                <w:b/>
                <w:color w:val="000000"/>
                <w:sz w:val="20"/>
              </w:rPr>
              <w:t>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F579AC5" w14:textId="77777777" w:rsidR="00656AA8" w:rsidRPr="00D549BE" w:rsidRDefault="000B1FF4" w:rsidP="00434248">
            <w:pPr>
              <w:spacing w:before="0" w:after="0"/>
              <w:jc w:val="right"/>
              <w:rPr>
                <w:b/>
                <w:bCs/>
                <w:noProof/>
                <w:color w:val="000000"/>
                <w:sz w:val="20"/>
                <w:szCs w:val="20"/>
              </w:rPr>
            </w:pPr>
            <w:r w:rsidRPr="00D549BE">
              <w:rPr>
                <w:b/>
                <w:color w:val="000000"/>
                <w:sz w:val="20"/>
              </w:rPr>
              <w:t>2,000</w:t>
            </w:r>
          </w:p>
        </w:tc>
      </w:tr>
      <w:tr w:rsidR="00656AA8" w:rsidRPr="00D549BE" w14:paraId="7316EAB2" w14:textId="77777777" w:rsidTr="000B1FF4">
        <w:trPr>
          <w:trHeight w:val="288"/>
        </w:trPr>
        <w:tc>
          <w:tcPr>
            <w:tcW w:w="1419" w:type="pct"/>
            <w:vMerge w:val="restart"/>
            <w:tcBorders>
              <w:top w:val="nil"/>
              <w:left w:val="single" w:sz="8" w:space="0" w:color="auto"/>
              <w:right w:val="single" w:sz="8" w:space="0" w:color="auto"/>
            </w:tcBorders>
            <w:vAlign w:val="center"/>
            <w:hideMark/>
          </w:tcPr>
          <w:p w14:paraId="24A716D7" w14:textId="77777777" w:rsidR="00656AA8" w:rsidRPr="00D549BE" w:rsidRDefault="00656AA8" w:rsidP="00434248">
            <w:pPr>
              <w:spacing w:before="0" w:after="0"/>
              <w:jc w:val="center"/>
              <w:rPr>
                <w:b/>
                <w:bCs/>
                <w:noProof/>
                <w:color w:val="000000"/>
                <w:sz w:val="22"/>
              </w:rPr>
            </w:pPr>
            <w:r w:rsidRPr="00D549BE">
              <w:rPr>
                <w:b/>
                <w:color w:val="000000"/>
                <w:sz w:val="22"/>
              </w:rPr>
              <w:t>TOTAL des crédits</w:t>
            </w:r>
          </w:p>
          <w:p w14:paraId="3923F891" w14:textId="77777777" w:rsidR="00656AA8" w:rsidRPr="00D549BE" w:rsidRDefault="00656AA8" w:rsidP="00434248">
            <w:pPr>
              <w:spacing w:before="0" w:after="0"/>
              <w:jc w:val="center"/>
              <w:rPr>
                <w:b/>
                <w:bCs/>
                <w:noProof/>
                <w:color w:val="000000"/>
                <w:sz w:val="22"/>
              </w:rPr>
            </w:pPr>
            <w:r w:rsidRPr="00D549BE">
              <w:rPr>
                <w:b/>
                <w:color w:val="000000"/>
                <w:sz w:val="22"/>
              </w:rPr>
              <w:t xml:space="preserve">pour la DG </w:t>
            </w:r>
            <w:r w:rsidRPr="00D549BE">
              <w:rPr>
                <w:color w:val="000000"/>
                <w:sz w:val="22"/>
              </w:rPr>
              <w:t>&lt;…….&gt;</w:t>
            </w:r>
          </w:p>
        </w:tc>
        <w:tc>
          <w:tcPr>
            <w:tcW w:w="529" w:type="pct"/>
            <w:gridSpan w:val="2"/>
            <w:tcBorders>
              <w:top w:val="nil"/>
              <w:left w:val="nil"/>
              <w:bottom w:val="single" w:sz="8" w:space="0" w:color="auto"/>
              <w:right w:val="single" w:sz="8" w:space="0" w:color="auto"/>
            </w:tcBorders>
            <w:vAlign w:val="center"/>
            <w:hideMark/>
          </w:tcPr>
          <w:p w14:paraId="3403B0F0"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0CA7AE00" w14:textId="77777777" w:rsidR="00656AA8" w:rsidRPr="00D549BE" w:rsidRDefault="00656AA8" w:rsidP="00434248">
            <w:pPr>
              <w:spacing w:before="0" w:after="0"/>
              <w:jc w:val="center"/>
              <w:rPr>
                <w:noProof/>
                <w:color w:val="000000"/>
                <w:sz w:val="14"/>
                <w:szCs w:val="14"/>
              </w:rPr>
            </w:pPr>
            <w:r w:rsidRPr="00D549BE">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7CADC11"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C693624"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4B4EE53C" w14:textId="77777777" w:rsidR="00656AA8" w:rsidRPr="00D549BE" w:rsidRDefault="000B1FF4" w:rsidP="00434248">
            <w:pPr>
              <w:spacing w:before="0" w:after="0"/>
              <w:jc w:val="right"/>
              <w:rPr>
                <w:b/>
                <w:bCs/>
                <w:noProof/>
                <w:color w:val="000000"/>
                <w:sz w:val="20"/>
                <w:szCs w:val="20"/>
              </w:rPr>
            </w:pPr>
            <w:r w:rsidRPr="00D549BE">
              <w:rPr>
                <w:b/>
                <w:color w:val="000000"/>
                <w:sz w:val="20"/>
              </w:rPr>
              <w:t>1,000</w:t>
            </w:r>
          </w:p>
        </w:tc>
        <w:tc>
          <w:tcPr>
            <w:tcW w:w="490" w:type="pct"/>
            <w:gridSpan w:val="2"/>
            <w:tcBorders>
              <w:top w:val="nil"/>
              <w:left w:val="nil"/>
              <w:bottom w:val="single" w:sz="8" w:space="0" w:color="auto"/>
              <w:right w:val="single" w:sz="8" w:space="0" w:color="auto"/>
            </w:tcBorders>
            <w:shd w:val="clear" w:color="000000" w:fill="D9D9D9"/>
            <w:vAlign w:val="center"/>
            <w:hideMark/>
          </w:tcPr>
          <w:p w14:paraId="2CBD06B0" w14:textId="77777777" w:rsidR="00656AA8" w:rsidRPr="00D549BE" w:rsidRDefault="000B1FF4" w:rsidP="00434248">
            <w:pPr>
              <w:spacing w:before="0" w:after="0"/>
              <w:jc w:val="right"/>
              <w:rPr>
                <w:b/>
                <w:bCs/>
                <w:noProof/>
                <w:color w:val="000000"/>
                <w:sz w:val="20"/>
                <w:szCs w:val="20"/>
              </w:rPr>
            </w:pPr>
            <w:r w:rsidRPr="00D549BE">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6AB66A3F" w14:textId="77777777" w:rsidR="00656AA8" w:rsidRPr="00D549BE" w:rsidRDefault="000B1FF4" w:rsidP="00434248">
            <w:pPr>
              <w:spacing w:before="0" w:after="0"/>
              <w:jc w:val="right"/>
              <w:rPr>
                <w:b/>
                <w:bCs/>
                <w:noProof/>
                <w:color w:val="000000"/>
                <w:sz w:val="20"/>
                <w:szCs w:val="20"/>
              </w:rPr>
            </w:pPr>
            <w:r w:rsidRPr="00D549BE">
              <w:rPr>
                <w:b/>
                <w:color w:val="000000"/>
                <w:sz w:val="20"/>
              </w:rPr>
              <w:t>1 002,000</w:t>
            </w:r>
          </w:p>
        </w:tc>
      </w:tr>
      <w:tr w:rsidR="00656AA8" w:rsidRPr="00D549BE" w14:paraId="3D5FC1C2" w14:textId="77777777" w:rsidTr="000B1FF4">
        <w:trPr>
          <w:trHeight w:val="288"/>
        </w:trPr>
        <w:tc>
          <w:tcPr>
            <w:tcW w:w="1419" w:type="pct"/>
            <w:vMerge/>
            <w:tcBorders>
              <w:left w:val="single" w:sz="8" w:space="0" w:color="auto"/>
              <w:bottom w:val="single" w:sz="4" w:space="0" w:color="auto"/>
              <w:right w:val="single" w:sz="8" w:space="0" w:color="auto"/>
            </w:tcBorders>
            <w:vAlign w:val="center"/>
            <w:hideMark/>
          </w:tcPr>
          <w:p w14:paraId="51369983" w14:textId="77777777" w:rsidR="00656AA8" w:rsidRPr="00D549BE" w:rsidRDefault="00656AA8" w:rsidP="00434248">
            <w:pPr>
              <w:spacing w:before="0" w:after="0"/>
              <w:jc w:val="center"/>
              <w:rPr>
                <w:b/>
                <w:bCs/>
                <w:noProof/>
                <w:color w:val="000000"/>
                <w:sz w:val="22"/>
                <w:lang w:eastAsia="en-IE"/>
              </w:rPr>
            </w:pPr>
          </w:p>
        </w:tc>
        <w:tc>
          <w:tcPr>
            <w:tcW w:w="529" w:type="pct"/>
            <w:gridSpan w:val="2"/>
            <w:tcBorders>
              <w:top w:val="nil"/>
              <w:left w:val="single" w:sz="8" w:space="0" w:color="auto"/>
              <w:bottom w:val="single" w:sz="8" w:space="0" w:color="auto"/>
              <w:right w:val="single" w:sz="8" w:space="0" w:color="auto"/>
            </w:tcBorders>
            <w:vAlign w:val="center"/>
            <w:hideMark/>
          </w:tcPr>
          <w:p w14:paraId="36AC1154"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02219C16" w14:textId="77777777" w:rsidR="00656AA8" w:rsidRPr="00D549BE" w:rsidRDefault="00656AA8" w:rsidP="00434248">
            <w:pPr>
              <w:spacing w:before="0" w:after="0"/>
              <w:jc w:val="center"/>
              <w:rPr>
                <w:noProof/>
                <w:color w:val="000000"/>
                <w:sz w:val="14"/>
                <w:szCs w:val="14"/>
              </w:rPr>
            </w:pPr>
            <w:r w:rsidRPr="00D549BE">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E6D9FE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E9D402F"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61B429EF" w14:textId="77777777" w:rsidR="00656AA8" w:rsidRPr="00D549BE" w:rsidRDefault="000B1FF4" w:rsidP="00434248">
            <w:pPr>
              <w:spacing w:before="0" w:after="0"/>
              <w:jc w:val="right"/>
              <w:rPr>
                <w:b/>
                <w:bCs/>
                <w:noProof/>
                <w:color w:val="000000"/>
                <w:sz w:val="20"/>
                <w:szCs w:val="20"/>
              </w:rPr>
            </w:pPr>
            <w:r w:rsidRPr="00D549BE">
              <w:rPr>
                <w:b/>
                <w:color w:val="000000"/>
                <w:sz w:val="20"/>
              </w:rPr>
              <w:t>1,000</w:t>
            </w:r>
          </w:p>
        </w:tc>
        <w:tc>
          <w:tcPr>
            <w:tcW w:w="490" w:type="pct"/>
            <w:gridSpan w:val="2"/>
            <w:tcBorders>
              <w:top w:val="nil"/>
              <w:left w:val="nil"/>
              <w:bottom w:val="single" w:sz="8" w:space="0" w:color="auto"/>
              <w:right w:val="single" w:sz="8" w:space="0" w:color="auto"/>
            </w:tcBorders>
            <w:shd w:val="clear" w:color="000000" w:fill="D9D9D9"/>
            <w:vAlign w:val="center"/>
            <w:hideMark/>
          </w:tcPr>
          <w:p w14:paraId="57B98E04" w14:textId="77777777" w:rsidR="00656AA8" w:rsidRPr="00D549BE" w:rsidRDefault="000B1FF4" w:rsidP="00434248">
            <w:pPr>
              <w:spacing w:before="0" w:after="0"/>
              <w:jc w:val="right"/>
              <w:rPr>
                <w:b/>
                <w:bCs/>
                <w:noProof/>
                <w:color w:val="000000"/>
                <w:sz w:val="20"/>
                <w:szCs w:val="20"/>
              </w:rPr>
            </w:pPr>
            <w:r w:rsidRPr="00D549BE">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048A0147" w14:textId="77777777" w:rsidR="00656AA8" w:rsidRPr="00D549BE" w:rsidRDefault="000B1FF4" w:rsidP="00434248">
            <w:pPr>
              <w:spacing w:before="0" w:after="0"/>
              <w:jc w:val="right"/>
              <w:rPr>
                <w:b/>
                <w:bCs/>
                <w:noProof/>
                <w:color w:val="000000"/>
                <w:sz w:val="20"/>
                <w:szCs w:val="20"/>
              </w:rPr>
            </w:pPr>
            <w:r w:rsidRPr="00D549BE">
              <w:rPr>
                <w:b/>
                <w:color w:val="000000"/>
                <w:sz w:val="20"/>
              </w:rPr>
              <w:t>1 002,000</w:t>
            </w:r>
          </w:p>
        </w:tc>
      </w:tr>
      <w:tr w:rsidR="00656AA8" w:rsidRPr="00D549BE" w14:paraId="50374244" w14:textId="77777777" w:rsidTr="000B1FF4">
        <w:trPr>
          <w:trHeight w:val="300"/>
        </w:trPr>
        <w:tc>
          <w:tcPr>
            <w:tcW w:w="2444"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1D98F576" w14:textId="77777777" w:rsidR="00656AA8" w:rsidRPr="00D549BE" w:rsidRDefault="00656AA8" w:rsidP="00434248">
            <w:pPr>
              <w:spacing w:before="0" w:after="0"/>
              <w:jc w:val="center"/>
              <w:rPr>
                <w:b/>
                <w:bCs/>
                <w:noProof/>
                <w:color w:val="000000"/>
                <w:sz w:val="22"/>
              </w:rPr>
            </w:pPr>
            <w:r w:rsidRPr="00D549BE">
              <w:rPr>
                <w:b/>
                <w:color w:val="000000"/>
                <w:sz w:val="22"/>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14:paraId="100D7C5F"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70690D71"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0935AC74"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14:paraId="6B25901E"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78"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B16AEA9"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43CA76AE" w14:textId="77777777" w:rsidTr="000B1FF4">
        <w:trPr>
          <w:trHeight w:val="300"/>
        </w:trPr>
        <w:tc>
          <w:tcPr>
            <w:tcW w:w="2444" w:type="pct"/>
            <w:gridSpan w:val="6"/>
            <w:vMerge/>
            <w:tcBorders>
              <w:top w:val="single" w:sz="8" w:space="0" w:color="auto"/>
              <w:left w:val="single" w:sz="8" w:space="0" w:color="auto"/>
              <w:bottom w:val="single" w:sz="8" w:space="0" w:color="000000"/>
              <w:right w:val="single" w:sz="8" w:space="0" w:color="000000"/>
            </w:tcBorders>
            <w:vAlign w:val="center"/>
            <w:hideMark/>
          </w:tcPr>
          <w:p w14:paraId="72F5FF5F" w14:textId="77777777" w:rsidR="00656AA8" w:rsidRPr="00D549BE" w:rsidRDefault="00656AA8" w:rsidP="00434248">
            <w:pPr>
              <w:spacing w:before="0" w:after="0"/>
              <w:jc w:val="left"/>
              <w:rPr>
                <w:b/>
                <w:bCs/>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6252C317"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1C1332A2"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278A2C32"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7ACE4E9B"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78" w:type="pct"/>
            <w:gridSpan w:val="2"/>
            <w:vMerge/>
            <w:tcBorders>
              <w:top w:val="single" w:sz="8" w:space="0" w:color="auto"/>
              <w:left w:val="single" w:sz="8" w:space="0" w:color="auto"/>
              <w:bottom w:val="single" w:sz="8" w:space="0" w:color="auto"/>
              <w:right w:val="single" w:sz="8" w:space="0" w:color="auto"/>
            </w:tcBorders>
            <w:vAlign w:val="center"/>
            <w:hideMark/>
          </w:tcPr>
          <w:p w14:paraId="57AA8558"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2261B4AE" w14:textId="77777777" w:rsidTr="000B1FF4">
        <w:trPr>
          <w:trHeight w:val="432"/>
        </w:trPr>
        <w:tc>
          <w:tcPr>
            <w:tcW w:w="1419" w:type="pct"/>
            <w:vMerge w:val="restart"/>
            <w:tcBorders>
              <w:top w:val="nil"/>
              <w:left w:val="single" w:sz="8" w:space="0" w:color="auto"/>
              <w:bottom w:val="single" w:sz="8" w:space="0" w:color="auto"/>
              <w:right w:val="single" w:sz="8" w:space="0" w:color="auto"/>
            </w:tcBorders>
            <w:vAlign w:val="center"/>
            <w:hideMark/>
          </w:tcPr>
          <w:p w14:paraId="4937D8C3" w14:textId="77777777" w:rsidR="00656AA8" w:rsidRPr="00D549BE" w:rsidRDefault="00656AA8" w:rsidP="00434248">
            <w:pPr>
              <w:spacing w:before="0" w:after="0"/>
              <w:rPr>
                <w:noProof/>
                <w:color w:val="000000"/>
                <w:sz w:val="21"/>
                <w:szCs w:val="21"/>
              </w:rPr>
            </w:pPr>
            <w:r w:rsidRPr="00D549BE">
              <w:rPr>
                <w:color w:val="000000"/>
                <w:sz w:val="21"/>
              </w:rPr>
              <w:t xml:space="preserve">TOTAL des crédits opérationnels </w:t>
            </w:r>
            <w:r w:rsidRPr="00D549BE">
              <w:t xml:space="preserve"> </w:t>
            </w:r>
            <w:r w:rsidRPr="00D549BE">
              <w:br/>
            </w:r>
          </w:p>
        </w:tc>
        <w:tc>
          <w:tcPr>
            <w:tcW w:w="529" w:type="pct"/>
            <w:gridSpan w:val="2"/>
            <w:tcBorders>
              <w:top w:val="nil"/>
              <w:left w:val="nil"/>
              <w:bottom w:val="single" w:sz="8" w:space="0" w:color="auto"/>
              <w:right w:val="single" w:sz="8" w:space="0" w:color="auto"/>
            </w:tcBorders>
            <w:vAlign w:val="center"/>
            <w:hideMark/>
          </w:tcPr>
          <w:p w14:paraId="7E838BB9"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17944513" w14:textId="77777777" w:rsidR="00656AA8" w:rsidRPr="00D549BE" w:rsidRDefault="00656AA8" w:rsidP="00434248">
            <w:pPr>
              <w:spacing w:before="0" w:after="0"/>
              <w:jc w:val="center"/>
              <w:rPr>
                <w:noProof/>
                <w:color w:val="000000"/>
                <w:sz w:val="14"/>
                <w:szCs w:val="14"/>
              </w:rPr>
            </w:pPr>
            <w:r w:rsidRPr="00D549BE">
              <w:rPr>
                <w:color w:val="000000"/>
                <w:sz w:val="14"/>
              </w:rPr>
              <w:t>(4)</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E2AAFF6"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6AD43D7"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0104FEB" w14:textId="77777777" w:rsidR="00656AA8" w:rsidRPr="00D549BE" w:rsidRDefault="000B1FF4" w:rsidP="00434248">
            <w:pPr>
              <w:spacing w:before="0" w:after="0"/>
              <w:jc w:val="right"/>
              <w:rPr>
                <w:noProof/>
                <w:color w:val="000000"/>
                <w:sz w:val="20"/>
                <w:szCs w:val="20"/>
              </w:rPr>
            </w:pPr>
            <w:r w:rsidRPr="00D549BE">
              <w:rPr>
                <w:color w:val="000000"/>
                <w:sz w:val="20"/>
              </w:rPr>
              <w:t>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CD6C8C7" w14:textId="77777777" w:rsidR="00656AA8" w:rsidRPr="00D549BE" w:rsidRDefault="000B1FF4" w:rsidP="00434248">
            <w:pPr>
              <w:spacing w:before="0" w:after="0"/>
              <w:jc w:val="right"/>
              <w:rPr>
                <w:noProof/>
                <w:color w:val="000000"/>
                <w:sz w:val="20"/>
                <w:szCs w:val="20"/>
              </w:rPr>
            </w:pPr>
            <w:r w:rsidRPr="00D549BE">
              <w:rPr>
                <w:color w:val="000000"/>
                <w:sz w:val="20"/>
              </w:rPr>
              <w:t>1 000,000(*)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56E17566" w14:textId="77777777" w:rsidR="00656AA8" w:rsidRPr="00D549BE" w:rsidRDefault="000B1FF4" w:rsidP="00434248">
            <w:pPr>
              <w:spacing w:before="0" w:after="0"/>
              <w:jc w:val="right"/>
              <w:rPr>
                <w:b/>
                <w:bCs/>
                <w:noProof/>
                <w:color w:val="000000"/>
                <w:sz w:val="20"/>
                <w:szCs w:val="20"/>
              </w:rPr>
            </w:pPr>
            <w:r w:rsidRPr="00D549BE">
              <w:rPr>
                <w:b/>
                <w:color w:val="000000"/>
                <w:sz w:val="20"/>
              </w:rPr>
              <w:t>1 000,000(*)</w:t>
            </w:r>
          </w:p>
        </w:tc>
      </w:tr>
      <w:tr w:rsidR="00656AA8" w:rsidRPr="00D549BE" w14:paraId="4BA6155A" w14:textId="77777777" w:rsidTr="000B1FF4">
        <w:trPr>
          <w:trHeight w:val="456"/>
        </w:trPr>
        <w:tc>
          <w:tcPr>
            <w:tcW w:w="1419" w:type="pct"/>
            <w:vMerge/>
            <w:tcBorders>
              <w:top w:val="nil"/>
              <w:left w:val="single" w:sz="8" w:space="0" w:color="auto"/>
              <w:bottom w:val="single" w:sz="8" w:space="0" w:color="auto"/>
              <w:right w:val="single" w:sz="8" w:space="0" w:color="auto"/>
            </w:tcBorders>
            <w:vAlign w:val="center"/>
            <w:hideMark/>
          </w:tcPr>
          <w:p w14:paraId="195D3CE6" w14:textId="77777777" w:rsidR="00656AA8" w:rsidRPr="00D549BE" w:rsidRDefault="00656AA8" w:rsidP="00434248">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28F5F42F"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7EA5847D" w14:textId="77777777" w:rsidR="00656AA8" w:rsidRPr="00D549BE" w:rsidRDefault="00656AA8" w:rsidP="00434248">
            <w:pPr>
              <w:spacing w:before="0" w:after="0"/>
              <w:jc w:val="center"/>
              <w:rPr>
                <w:noProof/>
                <w:color w:val="000000"/>
                <w:sz w:val="14"/>
                <w:szCs w:val="14"/>
              </w:rPr>
            </w:pPr>
            <w:r w:rsidRPr="00D549BE">
              <w:rPr>
                <w:color w:val="000000"/>
                <w:sz w:val="14"/>
              </w:rPr>
              <w:t>(5)</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ED8B250"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A3D6720"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0AA1C14" w14:textId="77777777" w:rsidR="00656AA8" w:rsidRPr="00D549BE" w:rsidRDefault="000B1FF4" w:rsidP="00434248">
            <w:pPr>
              <w:spacing w:before="0" w:after="0"/>
              <w:jc w:val="right"/>
              <w:rPr>
                <w:noProof/>
                <w:color w:val="000000"/>
                <w:sz w:val="20"/>
                <w:szCs w:val="20"/>
              </w:rPr>
            </w:pPr>
            <w:r w:rsidRPr="00D549BE">
              <w:rPr>
                <w:color w:val="000000"/>
                <w:sz w:val="20"/>
              </w:rPr>
              <w:t>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90402DC" w14:textId="77777777" w:rsidR="00656AA8" w:rsidRPr="00D549BE" w:rsidRDefault="000B1FF4" w:rsidP="00434248">
            <w:pPr>
              <w:spacing w:before="0" w:after="0"/>
              <w:jc w:val="right"/>
              <w:rPr>
                <w:noProof/>
                <w:color w:val="000000"/>
                <w:sz w:val="20"/>
                <w:szCs w:val="20"/>
              </w:rPr>
            </w:pPr>
            <w:r w:rsidRPr="00D549BE">
              <w:rPr>
                <w:color w:val="000000"/>
                <w:sz w:val="20"/>
              </w:rPr>
              <w:t>1 000,000(*)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79EE725B" w14:textId="77777777" w:rsidR="00656AA8" w:rsidRPr="00D549BE" w:rsidRDefault="000B1FF4" w:rsidP="00434248">
            <w:pPr>
              <w:spacing w:before="0" w:after="0"/>
              <w:jc w:val="right"/>
              <w:rPr>
                <w:b/>
                <w:bCs/>
                <w:noProof/>
                <w:color w:val="000000"/>
                <w:sz w:val="20"/>
                <w:szCs w:val="20"/>
              </w:rPr>
            </w:pPr>
            <w:r w:rsidRPr="00D549BE">
              <w:rPr>
                <w:b/>
                <w:color w:val="000000"/>
                <w:sz w:val="20"/>
              </w:rPr>
              <w:t>1 000,000(*)</w:t>
            </w:r>
          </w:p>
        </w:tc>
      </w:tr>
      <w:tr w:rsidR="00656AA8" w:rsidRPr="00D549BE" w14:paraId="683B0277" w14:textId="77777777" w:rsidTr="000B1FF4">
        <w:trPr>
          <w:trHeight w:val="924"/>
        </w:trPr>
        <w:tc>
          <w:tcPr>
            <w:tcW w:w="1948" w:type="pct"/>
            <w:gridSpan w:val="3"/>
            <w:tcBorders>
              <w:top w:val="single" w:sz="8" w:space="0" w:color="auto"/>
              <w:left w:val="single" w:sz="8" w:space="0" w:color="auto"/>
              <w:bottom w:val="single" w:sz="8" w:space="0" w:color="auto"/>
              <w:right w:val="single" w:sz="8" w:space="0" w:color="auto"/>
            </w:tcBorders>
            <w:vAlign w:val="center"/>
            <w:hideMark/>
          </w:tcPr>
          <w:p w14:paraId="3D8E071F" w14:textId="77777777" w:rsidR="00656AA8" w:rsidRPr="00D549BE" w:rsidRDefault="00656AA8" w:rsidP="00434248">
            <w:pPr>
              <w:spacing w:before="0" w:after="0"/>
              <w:rPr>
                <w:noProof/>
                <w:color w:val="000000"/>
                <w:sz w:val="21"/>
                <w:szCs w:val="21"/>
              </w:rPr>
            </w:pPr>
            <w:r w:rsidRPr="00D549BE">
              <w:rPr>
                <w:color w:val="000000"/>
                <w:sz w:val="21"/>
              </w:rPr>
              <w:t xml:space="preserve">TOTAL des crédits de nature administrative financés par l’enveloppe de certains programmes spécifiques </w:t>
            </w:r>
          </w:p>
        </w:tc>
        <w:tc>
          <w:tcPr>
            <w:tcW w:w="496" w:type="pct"/>
            <w:gridSpan w:val="3"/>
            <w:tcBorders>
              <w:top w:val="single" w:sz="8" w:space="0" w:color="auto"/>
              <w:left w:val="nil"/>
              <w:bottom w:val="single" w:sz="8" w:space="0" w:color="auto"/>
              <w:right w:val="single" w:sz="8" w:space="0" w:color="auto"/>
            </w:tcBorders>
            <w:vAlign w:val="center"/>
            <w:hideMark/>
          </w:tcPr>
          <w:p w14:paraId="0CB3F98C" w14:textId="77777777" w:rsidR="00656AA8" w:rsidRPr="00D549BE" w:rsidRDefault="00656AA8" w:rsidP="00434248">
            <w:pPr>
              <w:spacing w:before="0" w:after="0"/>
              <w:jc w:val="center"/>
              <w:rPr>
                <w:noProof/>
                <w:color w:val="000000"/>
                <w:sz w:val="14"/>
                <w:szCs w:val="14"/>
              </w:rPr>
            </w:pPr>
            <w:r w:rsidRPr="00D549BE">
              <w:rPr>
                <w:color w:val="000000"/>
                <w:sz w:val="14"/>
              </w:rPr>
              <w:t>(6)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F7915B2"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3424374"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022814B" w14:textId="77777777" w:rsidR="00656AA8" w:rsidRPr="00D549BE" w:rsidRDefault="000B1FF4" w:rsidP="00434248">
            <w:pPr>
              <w:spacing w:before="0" w:after="0"/>
              <w:jc w:val="right"/>
              <w:rPr>
                <w:noProof/>
                <w:color w:val="000000"/>
                <w:sz w:val="20"/>
                <w:szCs w:val="20"/>
              </w:rPr>
            </w:pPr>
            <w:r w:rsidRPr="00D549BE">
              <w:rPr>
                <w:color w:val="000000"/>
                <w:sz w:val="20"/>
              </w:rPr>
              <w:t>1,000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6C71760" w14:textId="77777777" w:rsidR="00656AA8" w:rsidRPr="00D549BE" w:rsidRDefault="000B1FF4" w:rsidP="00434248">
            <w:pPr>
              <w:spacing w:before="0" w:after="0"/>
              <w:jc w:val="right"/>
              <w:rPr>
                <w:noProof/>
                <w:color w:val="000000"/>
                <w:sz w:val="20"/>
                <w:szCs w:val="20"/>
              </w:rPr>
            </w:pPr>
            <w:r w:rsidRPr="00D549BE">
              <w:rPr>
                <w:color w:val="000000"/>
                <w:sz w:val="20"/>
              </w:rPr>
              <w:t>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ED8A4E7" w14:textId="77777777" w:rsidR="00656AA8" w:rsidRPr="00D549BE" w:rsidRDefault="000B1FF4" w:rsidP="00434248">
            <w:pPr>
              <w:spacing w:before="0" w:after="0"/>
              <w:jc w:val="right"/>
              <w:rPr>
                <w:b/>
                <w:bCs/>
                <w:noProof/>
                <w:color w:val="000000"/>
                <w:sz w:val="20"/>
                <w:szCs w:val="20"/>
              </w:rPr>
            </w:pPr>
            <w:r w:rsidRPr="00D549BE">
              <w:rPr>
                <w:b/>
                <w:color w:val="000000"/>
                <w:sz w:val="20"/>
              </w:rPr>
              <w:t>2,000</w:t>
            </w:r>
          </w:p>
        </w:tc>
      </w:tr>
      <w:tr w:rsidR="00656AA8" w:rsidRPr="00D549BE" w14:paraId="484D3774" w14:textId="77777777" w:rsidTr="000B1FF4">
        <w:trPr>
          <w:trHeight w:val="564"/>
        </w:trPr>
        <w:tc>
          <w:tcPr>
            <w:tcW w:w="1419" w:type="pct"/>
            <w:tcBorders>
              <w:top w:val="nil"/>
              <w:left w:val="single" w:sz="8" w:space="0" w:color="auto"/>
              <w:bottom w:val="nil"/>
              <w:right w:val="single" w:sz="8" w:space="0" w:color="auto"/>
            </w:tcBorders>
            <w:shd w:val="thinDiagStripe" w:color="C0C0C0" w:fill="F1F1F1"/>
            <w:vAlign w:val="center"/>
            <w:hideMark/>
          </w:tcPr>
          <w:p w14:paraId="3ADA732F" w14:textId="77777777" w:rsidR="00656AA8" w:rsidRPr="00D549BE" w:rsidRDefault="00656AA8" w:rsidP="00434248">
            <w:pPr>
              <w:spacing w:before="0" w:after="0"/>
              <w:jc w:val="center"/>
              <w:rPr>
                <w:b/>
                <w:bCs/>
                <w:noProof/>
                <w:color w:val="000000"/>
                <w:sz w:val="22"/>
              </w:rPr>
            </w:pPr>
            <w:r w:rsidRPr="00D549BE">
              <w:rPr>
                <w:b/>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14:paraId="6981B7C0"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30732D3F" w14:textId="77777777" w:rsidR="00656AA8" w:rsidRPr="00D549BE" w:rsidRDefault="00656AA8" w:rsidP="00434248">
            <w:pPr>
              <w:spacing w:before="0" w:after="0"/>
              <w:jc w:val="center"/>
              <w:rPr>
                <w:noProof/>
                <w:color w:val="000000"/>
                <w:sz w:val="14"/>
                <w:szCs w:val="14"/>
              </w:rPr>
            </w:pPr>
            <w:r w:rsidRPr="00D549BE">
              <w:rPr>
                <w:color w:val="000000"/>
                <w:sz w:val="14"/>
              </w:rPr>
              <w:t>=4+6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D9BA453"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6FBE735"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8E1BB09" w14:textId="77777777" w:rsidR="00656AA8" w:rsidRPr="00D549BE" w:rsidRDefault="000B1FF4" w:rsidP="00434248">
            <w:pPr>
              <w:spacing w:before="0" w:after="0"/>
              <w:jc w:val="right"/>
              <w:rPr>
                <w:b/>
                <w:bCs/>
                <w:noProof/>
                <w:color w:val="000000"/>
                <w:sz w:val="20"/>
                <w:szCs w:val="20"/>
              </w:rPr>
            </w:pPr>
            <w:r w:rsidRPr="00D549BE">
              <w:rPr>
                <w:b/>
                <w:color w:val="000000"/>
                <w:sz w:val="20"/>
              </w:rPr>
              <w:t>1,000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6D13FDB" w14:textId="77777777" w:rsidR="00656AA8" w:rsidRPr="00D549BE" w:rsidRDefault="000B1FF4" w:rsidP="00434248">
            <w:pPr>
              <w:spacing w:before="0" w:after="0"/>
              <w:jc w:val="right"/>
              <w:rPr>
                <w:b/>
                <w:bCs/>
                <w:noProof/>
                <w:color w:val="000000"/>
                <w:sz w:val="20"/>
                <w:szCs w:val="20"/>
              </w:rPr>
            </w:pPr>
            <w:r w:rsidRPr="00D549BE">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148B8A81" w14:textId="77777777" w:rsidR="00656AA8" w:rsidRPr="00D549BE" w:rsidRDefault="000B1FF4" w:rsidP="00434248">
            <w:pPr>
              <w:spacing w:before="0" w:after="0"/>
              <w:jc w:val="right"/>
              <w:rPr>
                <w:b/>
                <w:bCs/>
                <w:noProof/>
                <w:color w:val="000000"/>
                <w:sz w:val="20"/>
                <w:szCs w:val="20"/>
              </w:rPr>
            </w:pPr>
            <w:r w:rsidRPr="00D549BE">
              <w:rPr>
                <w:b/>
                <w:color w:val="000000"/>
                <w:sz w:val="20"/>
              </w:rPr>
              <w:t>1 002,000</w:t>
            </w:r>
          </w:p>
        </w:tc>
      </w:tr>
      <w:tr w:rsidR="00656AA8" w:rsidRPr="00D549BE" w14:paraId="422D705B" w14:textId="77777777" w:rsidTr="000B1FF4">
        <w:trPr>
          <w:trHeight w:val="528"/>
        </w:trPr>
        <w:tc>
          <w:tcPr>
            <w:tcW w:w="1419" w:type="pct"/>
            <w:tcBorders>
              <w:top w:val="nil"/>
              <w:left w:val="single" w:sz="8" w:space="0" w:color="auto"/>
              <w:bottom w:val="single" w:sz="8" w:space="0" w:color="auto"/>
              <w:right w:val="single" w:sz="8" w:space="0" w:color="auto"/>
            </w:tcBorders>
            <w:shd w:val="thinDiagStripe" w:color="C0C0C0" w:fill="F1F1F1"/>
            <w:vAlign w:val="center"/>
            <w:hideMark/>
          </w:tcPr>
          <w:p w14:paraId="555526A5" w14:textId="77777777" w:rsidR="00656AA8" w:rsidRPr="00D549BE" w:rsidRDefault="00656AA8" w:rsidP="00434248">
            <w:pPr>
              <w:spacing w:before="0" w:after="0"/>
              <w:jc w:val="center"/>
              <w:rPr>
                <w:noProof/>
                <w:color w:val="000000"/>
                <w:sz w:val="22"/>
              </w:rPr>
            </w:pPr>
            <w:r w:rsidRPr="00D549BE">
              <w:rPr>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14:paraId="3EB8690D"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43A2DAC9" w14:textId="77777777" w:rsidR="00656AA8" w:rsidRPr="00D549BE" w:rsidRDefault="00656AA8" w:rsidP="00434248">
            <w:pPr>
              <w:spacing w:before="0" w:after="0"/>
              <w:jc w:val="center"/>
              <w:rPr>
                <w:noProof/>
                <w:color w:val="000000"/>
                <w:sz w:val="14"/>
                <w:szCs w:val="14"/>
              </w:rPr>
            </w:pPr>
            <w:r w:rsidRPr="00D549BE">
              <w:rPr>
                <w:color w:val="000000"/>
                <w:sz w:val="14"/>
              </w:rPr>
              <w:t>=5+6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9B01A4C"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3EDC82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42535C5" w14:textId="77777777" w:rsidR="00656AA8" w:rsidRPr="00D549BE" w:rsidRDefault="000B1FF4" w:rsidP="00434248">
            <w:pPr>
              <w:spacing w:before="0" w:after="0"/>
              <w:jc w:val="right"/>
              <w:rPr>
                <w:b/>
                <w:bCs/>
                <w:noProof/>
                <w:color w:val="000000"/>
                <w:sz w:val="20"/>
                <w:szCs w:val="20"/>
              </w:rPr>
            </w:pPr>
            <w:r w:rsidRPr="00D549BE">
              <w:rPr>
                <w:b/>
                <w:color w:val="000000"/>
                <w:sz w:val="20"/>
              </w:rPr>
              <w:t>1,000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28CB517" w14:textId="77777777" w:rsidR="00656AA8" w:rsidRPr="00D549BE" w:rsidRDefault="000B1FF4" w:rsidP="00434248">
            <w:pPr>
              <w:spacing w:before="0" w:after="0"/>
              <w:jc w:val="right"/>
              <w:rPr>
                <w:b/>
                <w:bCs/>
                <w:noProof/>
                <w:color w:val="000000"/>
                <w:sz w:val="20"/>
                <w:szCs w:val="20"/>
              </w:rPr>
            </w:pPr>
            <w:r w:rsidRPr="00D549BE">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6B0BE3C2" w14:textId="77777777" w:rsidR="00656AA8" w:rsidRPr="00D549BE" w:rsidRDefault="000B1FF4" w:rsidP="00434248">
            <w:pPr>
              <w:spacing w:before="0" w:after="0"/>
              <w:jc w:val="right"/>
              <w:rPr>
                <w:b/>
                <w:bCs/>
                <w:noProof/>
                <w:color w:val="000000"/>
                <w:sz w:val="20"/>
                <w:szCs w:val="20"/>
              </w:rPr>
            </w:pPr>
            <w:r w:rsidRPr="00D549BE">
              <w:rPr>
                <w:b/>
                <w:color w:val="000000"/>
                <w:sz w:val="20"/>
              </w:rPr>
              <w:t>1 002,000</w:t>
            </w:r>
          </w:p>
        </w:tc>
      </w:tr>
      <w:tr w:rsidR="00656AA8" w:rsidRPr="00D549BE" w14:paraId="16305F3C" w14:textId="77777777" w:rsidTr="000B1FF4">
        <w:trPr>
          <w:trHeight w:val="288"/>
        </w:trPr>
        <w:tc>
          <w:tcPr>
            <w:tcW w:w="1521" w:type="pct"/>
            <w:gridSpan w:val="2"/>
            <w:tcBorders>
              <w:top w:val="nil"/>
              <w:left w:val="nil"/>
              <w:bottom w:val="nil"/>
              <w:right w:val="nil"/>
            </w:tcBorders>
            <w:noWrap/>
            <w:vAlign w:val="bottom"/>
            <w:hideMark/>
          </w:tcPr>
          <w:p w14:paraId="643C2C99" w14:textId="77777777" w:rsidR="00656AA8" w:rsidRPr="00D549BE" w:rsidRDefault="00656AA8" w:rsidP="00434248">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14:paraId="7387C5BE" w14:textId="77777777" w:rsidR="00656AA8" w:rsidRPr="00D549BE" w:rsidRDefault="00656AA8" w:rsidP="00434248">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3AB9F3E6" w14:textId="77777777" w:rsidR="00656AA8" w:rsidRPr="00D549BE" w:rsidRDefault="00656AA8" w:rsidP="00434248">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0ACE8B5C" w14:textId="77777777" w:rsidR="00656AA8" w:rsidRPr="00D549BE" w:rsidRDefault="00656AA8" w:rsidP="00434248">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30C502DE"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110BCC34"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37" w:type="pct"/>
            <w:gridSpan w:val="3"/>
            <w:tcBorders>
              <w:top w:val="single" w:sz="8" w:space="0" w:color="auto"/>
              <w:left w:val="nil"/>
              <w:bottom w:val="nil"/>
              <w:right w:val="single" w:sz="8" w:space="0" w:color="auto"/>
            </w:tcBorders>
            <w:vAlign w:val="center"/>
            <w:hideMark/>
          </w:tcPr>
          <w:p w14:paraId="0CA59A4B"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481CF9F3"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1AADBCCA"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624B4DD7" w14:textId="77777777" w:rsidTr="000B1FF4">
        <w:trPr>
          <w:trHeight w:val="300"/>
        </w:trPr>
        <w:tc>
          <w:tcPr>
            <w:tcW w:w="1521" w:type="pct"/>
            <w:gridSpan w:val="2"/>
            <w:tcBorders>
              <w:top w:val="nil"/>
              <w:left w:val="nil"/>
              <w:bottom w:val="nil"/>
              <w:right w:val="nil"/>
            </w:tcBorders>
            <w:noWrap/>
            <w:vAlign w:val="bottom"/>
            <w:hideMark/>
          </w:tcPr>
          <w:p w14:paraId="58C25012" w14:textId="77777777" w:rsidR="00656AA8" w:rsidRPr="00D549BE" w:rsidRDefault="00656AA8" w:rsidP="00434248">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14:paraId="3186A31F" w14:textId="77777777" w:rsidR="00656AA8" w:rsidRPr="00D549BE" w:rsidRDefault="00656AA8" w:rsidP="00434248">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152CBB46" w14:textId="77777777" w:rsidR="00656AA8" w:rsidRPr="00D549BE" w:rsidRDefault="00656AA8" w:rsidP="00434248">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70192C31" w14:textId="77777777" w:rsidR="00656AA8" w:rsidRPr="00D549BE" w:rsidRDefault="00656AA8" w:rsidP="00434248">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10C143BF"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6150B83F"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37" w:type="pct"/>
            <w:gridSpan w:val="3"/>
            <w:tcBorders>
              <w:top w:val="nil"/>
              <w:left w:val="nil"/>
              <w:bottom w:val="single" w:sz="8" w:space="0" w:color="auto"/>
              <w:right w:val="single" w:sz="8" w:space="0" w:color="auto"/>
            </w:tcBorders>
            <w:vAlign w:val="center"/>
            <w:hideMark/>
          </w:tcPr>
          <w:p w14:paraId="70B93C20"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0D447F67"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17D85BED"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1CCA0D07" w14:textId="77777777" w:rsidTr="000B1FF4">
        <w:trPr>
          <w:trHeight w:val="300"/>
        </w:trPr>
        <w:tc>
          <w:tcPr>
            <w:tcW w:w="1521"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DF61A87" w14:textId="77777777" w:rsidR="00656AA8" w:rsidRPr="00D549BE" w:rsidRDefault="00656AA8" w:rsidP="00434248">
            <w:pPr>
              <w:spacing w:before="0" w:after="0"/>
              <w:rPr>
                <w:noProof/>
                <w:color w:val="000000"/>
                <w:sz w:val="21"/>
                <w:szCs w:val="21"/>
              </w:rPr>
            </w:pPr>
            <w:r w:rsidRPr="00D549BE">
              <w:rPr>
                <w:rFonts w:ascii="Calibri" w:hAnsi="Calibri"/>
                <w:color w:val="000000"/>
                <w:sz w:val="21"/>
              </w:rPr>
              <w:t xml:space="preserve">• </w:t>
            </w:r>
            <w:r w:rsidRPr="00D549BE">
              <w:rPr>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14:paraId="65649CAF"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14:paraId="5FDBD84A" w14:textId="77777777" w:rsidR="00656AA8" w:rsidRPr="00D549BE" w:rsidRDefault="00656AA8" w:rsidP="00434248">
            <w:pPr>
              <w:spacing w:before="0" w:after="0"/>
              <w:jc w:val="center"/>
              <w:rPr>
                <w:noProof/>
                <w:color w:val="000000"/>
                <w:sz w:val="14"/>
                <w:szCs w:val="14"/>
              </w:rPr>
            </w:pPr>
            <w:r w:rsidRPr="00D549BE">
              <w:rPr>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0056C3F"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B166CCD"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658CBFD"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79688BE"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6508C713"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4238FB6F" w14:textId="77777777" w:rsidTr="000B1FF4">
        <w:trPr>
          <w:trHeight w:val="300"/>
        </w:trPr>
        <w:tc>
          <w:tcPr>
            <w:tcW w:w="1521" w:type="pct"/>
            <w:gridSpan w:val="2"/>
            <w:vMerge/>
            <w:tcBorders>
              <w:top w:val="single" w:sz="8" w:space="0" w:color="auto"/>
              <w:left w:val="single" w:sz="8" w:space="0" w:color="auto"/>
              <w:bottom w:val="single" w:sz="8" w:space="0" w:color="auto"/>
              <w:right w:val="single" w:sz="8" w:space="0" w:color="auto"/>
            </w:tcBorders>
            <w:vAlign w:val="center"/>
            <w:hideMark/>
          </w:tcPr>
          <w:p w14:paraId="0E629951" w14:textId="77777777" w:rsidR="00656AA8" w:rsidRPr="00D549BE" w:rsidRDefault="00656AA8" w:rsidP="00434248">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77A06EBF"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60C589AC" w14:textId="77777777" w:rsidR="00656AA8" w:rsidRPr="00D549BE" w:rsidRDefault="00656AA8" w:rsidP="00434248">
            <w:pPr>
              <w:spacing w:before="0" w:after="0"/>
              <w:jc w:val="center"/>
              <w:rPr>
                <w:noProof/>
                <w:color w:val="000000"/>
                <w:sz w:val="14"/>
                <w:szCs w:val="14"/>
              </w:rPr>
            </w:pPr>
            <w:r w:rsidRPr="00D549BE">
              <w:rPr>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53F8818"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154B6D1"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9F64F4F"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94D6C4E"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1A40C7A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6D44CA27" w14:textId="77777777" w:rsidTr="000B1FF4">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1F12A505" w14:textId="77777777" w:rsidR="00656AA8" w:rsidRPr="00D549BE" w:rsidRDefault="00656AA8" w:rsidP="00434248">
            <w:pPr>
              <w:spacing w:before="0" w:after="0"/>
              <w:rPr>
                <w:noProof/>
                <w:color w:val="000000"/>
                <w:sz w:val="21"/>
                <w:szCs w:val="21"/>
              </w:rPr>
            </w:pPr>
            <w:r w:rsidRPr="00D549BE">
              <w:rPr>
                <w:rFonts w:ascii="Calibri" w:hAnsi="Calibri"/>
                <w:color w:val="000000"/>
                <w:sz w:val="21"/>
              </w:rPr>
              <w:t xml:space="preserve">• </w:t>
            </w:r>
            <w:r w:rsidRPr="00D549BE">
              <w:rPr>
                <w:color w:val="000000"/>
                <w:sz w:val="21"/>
              </w:rPr>
              <w:t>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14:paraId="29518689" w14:textId="77777777" w:rsidR="00656AA8" w:rsidRPr="00D549BE" w:rsidRDefault="00656AA8" w:rsidP="00434248">
            <w:pPr>
              <w:spacing w:before="0" w:after="0"/>
              <w:jc w:val="center"/>
              <w:rPr>
                <w:noProof/>
                <w:color w:val="000000"/>
                <w:sz w:val="14"/>
                <w:szCs w:val="14"/>
              </w:rPr>
            </w:pPr>
            <w:r w:rsidRPr="00D549BE">
              <w:rPr>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7A307D1"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46FB2CC"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C2AF5BB"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721D490"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57E452AE"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790879EF" w14:textId="77777777" w:rsidTr="000B1FF4">
        <w:trPr>
          <w:trHeight w:val="564"/>
        </w:trPr>
        <w:tc>
          <w:tcPr>
            <w:tcW w:w="1521" w:type="pct"/>
            <w:gridSpan w:val="2"/>
            <w:tcBorders>
              <w:top w:val="nil"/>
              <w:left w:val="single" w:sz="8" w:space="0" w:color="auto"/>
              <w:bottom w:val="nil"/>
              <w:right w:val="single" w:sz="8" w:space="0" w:color="auto"/>
            </w:tcBorders>
            <w:shd w:val="thinDiagStripe" w:color="C0C0C0" w:fill="F1F1F1"/>
            <w:vAlign w:val="center"/>
            <w:hideMark/>
          </w:tcPr>
          <w:p w14:paraId="030C3E6C" w14:textId="77777777" w:rsidR="00656AA8" w:rsidRPr="00D549BE" w:rsidRDefault="00656AA8" w:rsidP="00434248">
            <w:pPr>
              <w:spacing w:before="0" w:after="0"/>
              <w:jc w:val="center"/>
              <w:rPr>
                <w:b/>
                <w:bCs/>
                <w:noProof/>
                <w:color w:val="000000"/>
                <w:sz w:val="22"/>
              </w:rPr>
            </w:pPr>
            <w:r w:rsidRPr="00D549BE">
              <w:rPr>
                <w:b/>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14:paraId="07C35947"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14:paraId="6C44BA6E" w14:textId="77777777" w:rsidR="00656AA8" w:rsidRPr="00D549BE" w:rsidRDefault="00656AA8" w:rsidP="00434248">
            <w:pPr>
              <w:spacing w:before="0" w:after="0"/>
              <w:jc w:val="center"/>
              <w:rPr>
                <w:noProof/>
                <w:color w:val="000000"/>
                <w:sz w:val="14"/>
                <w:szCs w:val="14"/>
              </w:rPr>
            </w:pPr>
            <w:r w:rsidRPr="00D549BE">
              <w:rPr>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3B1034B"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8D809D2"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2FD9241"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4E0C712"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3E41AFF7"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5D3C8063" w14:textId="77777777" w:rsidTr="000B1FF4">
        <w:trPr>
          <w:trHeight w:val="588"/>
        </w:trPr>
        <w:tc>
          <w:tcPr>
            <w:tcW w:w="1521"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553AB28B" w14:textId="77777777" w:rsidR="00656AA8" w:rsidRPr="00D549BE" w:rsidRDefault="00656AA8" w:rsidP="00434248">
            <w:pPr>
              <w:spacing w:before="0" w:after="0"/>
              <w:jc w:val="center"/>
              <w:rPr>
                <w:noProof/>
                <w:color w:val="000000"/>
                <w:sz w:val="20"/>
                <w:szCs w:val="20"/>
              </w:rPr>
            </w:pPr>
            <w:r w:rsidRPr="00D549BE">
              <w:rPr>
                <w:color w:val="000000"/>
                <w:sz w:val="20"/>
              </w:rPr>
              <w:t>du cadre financier pluriannuel</w:t>
            </w:r>
            <w:r w:rsidRPr="00D549BE">
              <w:t xml:space="preserve"> </w:t>
            </w:r>
            <w:r w:rsidRPr="00D549BE">
              <w:br/>
            </w:r>
            <w:r w:rsidRPr="00D549BE">
              <w:rPr>
                <w:color w:val="000000"/>
                <w:sz w:val="20"/>
              </w:rPr>
              <w:t>(Montant de référence)</w:t>
            </w:r>
          </w:p>
        </w:tc>
        <w:tc>
          <w:tcPr>
            <w:tcW w:w="471" w:type="pct"/>
            <w:gridSpan w:val="2"/>
            <w:tcBorders>
              <w:top w:val="nil"/>
              <w:left w:val="nil"/>
              <w:bottom w:val="single" w:sz="8" w:space="0" w:color="auto"/>
              <w:right w:val="single" w:sz="8" w:space="0" w:color="auto"/>
            </w:tcBorders>
            <w:vAlign w:val="center"/>
            <w:hideMark/>
          </w:tcPr>
          <w:p w14:paraId="47E06DEA"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07E587AC" w14:textId="77777777" w:rsidR="00656AA8" w:rsidRPr="00D549BE" w:rsidRDefault="00656AA8" w:rsidP="00434248">
            <w:pPr>
              <w:spacing w:before="0" w:after="0"/>
              <w:jc w:val="center"/>
              <w:rPr>
                <w:noProof/>
                <w:color w:val="000000"/>
                <w:sz w:val="14"/>
                <w:szCs w:val="14"/>
              </w:rPr>
            </w:pPr>
            <w:r w:rsidRPr="00D549BE">
              <w:rPr>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B9286E9"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F4E5FAE"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CB9512E"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C6C29AC"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5C87B520"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bl>
    <w:p w14:paraId="75164827" w14:textId="77777777" w:rsidR="000B1FF4" w:rsidRPr="00D549BE" w:rsidRDefault="000B1FF4" w:rsidP="000B1FF4">
      <w:pPr>
        <w:rPr>
          <w:i/>
          <w:iCs/>
          <w:noProof/>
        </w:rPr>
      </w:pPr>
      <w:r w:rsidRPr="00D549BE">
        <w:rPr>
          <w:i/>
        </w:rPr>
        <w:t>(*) Ces montants sont indicatifs et basés sur les taux d’intérêt à terme actuels, en prenant pour hypothèse le décaissement de 45 milliards d’EUR en 2026 (15 milliards d’EUR par trimestre à partir du deuxième trimestre de 2026). Les crédits effectifs en 2027 dépendront des conditions du marché au moment de l’emprunt et du rythme réel de décaissement, et pourraient atteindre jusqu’à 1,3 milliard d’EUR dans un scénario de hausse des taux d'intérêt de 100 points de base par rapport à la valeur de référence.</w:t>
      </w:r>
    </w:p>
    <w:p w14:paraId="72DAF979" w14:textId="77777777" w:rsidR="00656AA8" w:rsidRPr="00D549BE" w:rsidRDefault="00656AA8" w:rsidP="00656AA8">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656AA8" w:rsidRPr="00D549BE" w14:paraId="356B2967" w14:textId="77777777" w:rsidTr="00434248">
        <w:trPr>
          <w:jc w:val="center"/>
        </w:trPr>
        <w:tc>
          <w:tcPr>
            <w:tcW w:w="1739" w:type="pct"/>
            <w:gridSpan w:val="2"/>
            <w:vAlign w:val="center"/>
          </w:tcPr>
          <w:p w14:paraId="55A19A28" w14:textId="77777777" w:rsidR="00656AA8" w:rsidRPr="00D549BE" w:rsidRDefault="00656AA8" w:rsidP="00434248">
            <w:pPr>
              <w:spacing w:before="60" w:after="60"/>
              <w:jc w:val="center"/>
              <w:rPr>
                <w:b/>
                <w:noProof/>
              </w:rPr>
            </w:pPr>
            <w:r w:rsidRPr="00D549BE">
              <w:br w:type="page"/>
            </w:r>
            <w:r w:rsidRPr="00D549BE">
              <w:rPr>
                <w:b/>
                <w:sz w:val="22"/>
              </w:rPr>
              <w:t xml:space="preserve">Rubrique du cadre financier pluriannuel </w:t>
            </w:r>
          </w:p>
        </w:tc>
        <w:tc>
          <w:tcPr>
            <w:tcW w:w="396" w:type="pct"/>
            <w:vAlign w:val="center"/>
          </w:tcPr>
          <w:p w14:paraId="33A3CC78" w14:textId="77777777" w:rsidR="00656AA8" w:rsidRPr="00D549BE" w:rsidRDefault="00656AA8" w:rsidP="00434248">
            <w:pPr>
              <w:spacing w:before="60" w:after="60"/>
              <w:jc w:val="center"/>
              <w:rPr>
                <w:noProof/>
              </w:rPr>
            </w:pPr>
            <w:r w:rsidRPr="00D549BE">
              <w:rPr>
                <w:b/>
                <w:sz w:val="22"/>
              </w:rPr>
              <w:t>7</w:t>
            </w:r>
          </w:p>
        </w:tc>
        <w:tc>
          <w:tcPr>
            <w:tcW w:w="2865" w:type="pct"/>
            <w:gridSpan w:val="8"/>
            <w:vAlign w:val="center"/>
          </w:tcPr>
          <w:p w14:paraId="2DE7EC90" w14:textId="77777777" w:rsidR="00656AA8" w:rsidRPr="00D549BE" w:rsidRDefault="00656AA8" w:rsidP="00434248">
            <w:pPr>
              <w:spacing w:before="60" w:after="60"/>
              <w:rPr>
                <w:noProof/>
              </w:rPr>
            </w:pPr>
            <w:r w:rsidRPr="00D549BE">
              <w:rPr>
                <w:sz w:val="22"/>
              </w:rPr>
              <w:t>«Dépenses administratives»</w:t>
            </w:r>
          </w:p>
        </w:tc>
      </w:tr>
      <w:tr w:rsidR="00656AA8" w:rsidRPr="00D549BE" w14:paraId="3840C1BE"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6B202D21" w14:textId="77777777" w:rsidR="00656AA8" w:rsidRPr="00D549BE" w:rsidRDefault="00656AA8" w:rsidP="00434248">
            <w:pPr>
              <w:spacing w:before="0" w:after="0"/>
              <w:jc w:val="center"/>
              <w:rPr>
                <w:noProof/>
                <w:color w:val="000000"/>
                <w:lang w:eastAsia="en-IE"/>
              </w:rPr>
            </w:pPr>
          </w:p>
        </w:tc>
        <w:tc>
          <w:tcPr>
            <w:tcW w:w="376" w:type="pct"/>
            <w:tcBorders>
              <w:top w:val="single" w:sz="8" w:space="0" w:color="auto"/>
              <w:left w:val="nil"/>
              <w:bottom w:val="nil"/>
              <w:right w:val="single" w:sz="8" w:space="0" w:color="auto"/>
            </w:tcBorders>
            <w:vAlign w:val="center"/>
            <w:hideMark/>
          </w:tcPr>
          <w:p w14:paraId="4C704D96"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376" w:type="pct"/>
            <w:tcBorders>
              <w:top w:val="single" w:sz="8" w:space="0" w:color="auto"/>
              <w:left w:val="nil"/>
              <w:bottom w:val="nil"/>
              <w:right w:val="single" w:sz="8" w:space="0" w:color="auto"/>
            </w:tcBorders>
            <w:vAlign w:val="center"/>
            <w:hideMark/>
          </w:tcPr>
          <w:p w14:paraId="0B5D646A"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376" w:type="pct"/>
            <w:tcBorders>
              <w:top w:val="single" w:sz="8" w:space="0" w:color="auto"/>
              <w:left w:val="nil"/>
              <w:bottom w:val="nil"/>
              <w:right w:val="single" w:sz="8" w:space="0" w:color="auto"/>
            </w:tcBorders>
            <w:vAlign w:val="center"/>
            <w:hideMark/>
          </w:tcPr>
          <w:p w14:paraId="18E1DFB9"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376" w:type="pct"/>
            <w:tcBorders>
              <w:top w:val="single" w:sz="8" w:space="0" w:color="auto"/>
              <w:left w:val="nil"/>
              <w:bottom w:val="nil"/>
              <w:right w:val="single" w:sz="8" w:space="0" w:color="auto"/>
            </w:tcBorders>
            <w:vAlign w:val="center"/>
            <w:hideMark/>
          </w:tcPr>
          <w:p w14:paraId="2C506BF0"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6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2449A4B7"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198BD55B"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vAlign w:val="center"/>
            <w:hideMark/>
          </w:tcPr>
          <w:p w14:paraId="275577E2" w14:textId="77777777" w:rsidR="00656AA8" w:rsidRPr="00D549BE" w:rsidRDefault="00656AA8" w:rsidP="00434248">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14E4D51F"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376" w:type="pct"/>
            <w:tcBorders>
              <w:top w:val="nil"/>
              <w:left w:val="nil"/>
              <w:bottom w:val="single" w:sz="8" w:space="0" w:color="auto"/>
              <w:right w:val="single" w:sz="8" w:space="0" w:color="auto"/>
            </w:tcBorders>
            <w:vAlign w:val="center"/>
            <w:hideMark/>
          </w:tcPr>
          <w:p w14:paraId="29D0CCB2"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376" w:type="pct"/>
            <w:tcBorders>
              <w:top w:val="nil"/>
              <w:left w:val="nil"/>
              <w:bottom w:val="single" w:sz="8" w:space="0" w:color="auto"/>
              <w:right w:val="single" w:sz="8" w:space="0" w:color="auto"/>
            </w:tcBorders>
            <w:vAlign w:val="center"/>
            <w:hideMark/>
          </w:tcPr>
          <w:p w14:paraId="4A49989D"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376" w:type="pct"/>
            <w:tcBorders>
              <w:top w:val="nil"/>
              <w:left w:val="nil"/>
              <w:bottom w:val="single" w:sz="8" w:space="0" w:color="auto"/>
              <w:right w:val="single" w:sz="8" w:space="0" w:color="auto"/>
            </w:tcBorders>
            <w:vAlign w:val="center"/>
            <w:hideMark/>
          </w:tcPr>
          <w:p w14:paraId="0470919C"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464" w:type="pct"/>
            <w:vMerge/>
            <w:vAlign w:val="center"/>
            <w:hideMark/>
          </w:tcPr>
          <w:p w14:paraId="6D8EC797"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37357FF0"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2484D44F" w14:textId="77777777" w:rsidR="00656AA8" w:rsidRPr="00D549BE" w:rsidRDefault="00656AA8" w:rsidP="00434248">
            <w:pPr>
              <w:spacing w:before="0" w:after="0"/>
              <w:jc w:val="left"/>
              <w:rPr>
                <w:rFonts w:ascii="Wingdings" w:hAnsi="Wingdings" w:cs="Calibri"/>
                <w:noProof/>
                <w:color w:val="000000"/>
                <w:sz w:val="22"/>
              </w:rPr>
            </w:pPr>
            <w:r w:rsidRPr="00D549BE">
              <w:rPr>
                <w:rFonts w:ascii="Wingdings" w:hAnsi="Wingdings"/>
                <w:color w:val="000000"/>
                <w:sz w:val="22"/>
              </w:rPr>
              <w:t></w:t>
            </w:r>
            <w:r w:rsidRPr="00D549BE">
              <w:rPr>
                <w:color w:val="000000"/>
                <w:sz w:val="22"/>
              </w:rPr>
              <w:t xml:space="preserve"> Ressources humaines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16D1A2C8"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035EA275" w14:textId="77777777" w:rsidR="00656AA8" w:rsidRPr="00D549BE" w:rsidRDefault="00656AA8" w:rsidP="00434248">
            <w:pPr>
              <w:spacing w:before="0" w:after="0"/>
              <w:jc w:val="right"/>
              <w:rPr>
                <w:noProof/>
                <w:color w:val="000000" w:themeColor="text1"/>
                <w:sz w:val="20"/>
                <w:szCs w:val="20"/>
              </w:rPr>
            </w:pPr>
            <w:r w:rsidRPr="00D549BE">
              <w:rPr>
                <w:color w:val="000000" w:themeColor="text1"/>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608B2723" w14:textId="77777777" w:rsidR="00656AA8" w:rsidRPr="00D549BE" w:rsidRDefault="00656AA8" w:rsidP="00434248">
            <w:pPr>
              <w:spacing w:before="0" w:after="0"/>
              <w:jc w:val="right"/>
              <w:rPr>
                <w:noProof/>
                <w:color w:val="000000" w:themeColor="text1"/>
                <w:sz w:val="20"/>
                <w:szCs w:val="20"/>
              </w:rPr>
            </w:pPr>
            <w:r w:rsidRPr="00D549BE">
              <w:rPr>
                <w:color w:val="000000" w:themeColor="text1"/>
                <w:sz w:val="20"/>
              </w:rPr>
              <w:t>11,366</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569523D" w14:textId="77777777" w:rsidR="00656AA8" w:rsidRPr="00D549BE" w:rsidRDefault="00656AA8" w:rsidP="00434248">
            <w:pPr>
              <w:spacing w:before="0" w:after="0"/>
              <w:jc w:val="right"/>
              <w:rPr>
                <w:noProof/>
                <w:color w:val="000000" w:themeColor="text1"/>
                <w:sz w:val="20"/>
                <w:szCs w:val="20"/>
              </w:rPr>
            </w:pPr>
            <w:r w:rsidRPr="00D549BE">
              <w:rPr>
                <w:color w:val="000000" w:themeColor="text1"/>
                <w:sz w:val="20"/>
              </w:rPr>
              <w:t>11,366</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484D6E9"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22,732</w:t>
            </w:r>
          </w:p>
        </w:tc>
      </w:tr>
      <w:tr w:rsidR="00656AA8" w:rsidRPr="00D549BE" w14:paraId="06832E32"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1A79E51E" w14:textId="77777777" w:rsidR="00656AA8" w:rsidRPr="00D549BE" w:rsidRDefault="00656AA8" w:rsidP="00434248">
            <w:pPr>
              <w:spacing w:before="0" w:after="0"/>
              <w:jc w:val="left"/>
              <w:rPr>
                <w:rFonts w:ascii="Wingdings" w:hAnsi="Wingdings" w:cs="Calibri"/>
                <w:noProof/>
                <w:color w:val="000000"/>
                <w:sz w:val="22"/>
              </w:rPr>
            </w:pPr>
            <w:r w:rsidRPr="00D549BE">
              <w:rPr>
                <w:rFonts w:ascii="Wingdings" w:hAnsi="Wingdings"/>
                <w:color w:val="000000"/>
                <w:sz w:val="22"/>
              </w:rPr>
              <w:t></w:t>
            </w:r>
            <w:r w:rsidRPr="00D549BE">
              <w:rPr>
                <w:color w:val="000000"/>
                <w:sz w:val="22"/>
              </w:rPr>
              <w:t xml:space="preserve"> Autres dépenses administratives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1577BF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243B0121" w14:textId="77777777" w:rsidR="00656AA8" w:rsidRPr="00D549BE" w:rsidRDefault="00656AA8" w:rsidP="00434248">
            <w:pPr>
              <w:spacing w:before="0" w:after="0"/>
              <w:jc w:val="right"/>
              <w:rPr>
                <w:noProof/>
                <w:color w:val="000000" w:themeColor="text1"/>
                <w:sz w:val="20"/>
                <w:szCs w:val="20"/>
              </w:rPr>
            </w:pPr>
            <w:r w:rsidRPr="00D549BE">
              <w:rPr>
                <w:color w:val="000000" w:themeColor="text1"/>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06A71F64" w14:textId="3F9853CA" w:rsidR="00656AA8" w:rsidRPr="00D549BE" w:rsidRDefault="00656AA8" w:rsidP="00434248">
            <w:pPr>
              <w:spacing w:before="0" w:after="0"/>
              <w:jc w:val="right"/>
              <w:rPr>
                <w:noProof/>
                <w:color w:val="000000" w:themeColor="text1"/>
                <w:sz w:val="20"/>
                <w:szCs w:val="20"/>
              </w:rPr>
            </w:pPr>
            <w:r w:rsidRPr="00D549BE">
              <w:rPr>
                <w:color w:val="000000" w:themeColor="text1"/>
                <w:sz w:val="20"/>
              </w:rPr>
              <w:t>0,336</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46BEEFB" w14:textId="51D338BC" w:rsidR="00656AA8" w:rsidRPr="00D549BE" w:rsidRDefault="00656AA8" w:rsidP="00434248">
            <w:pPr>
              <w:spacing w:before="0" w:after="0"/>
              <w:jc w:val="right"/>
              <w:rPr>
                <w:noProof/>
                <w:color w:val="000000" w:themeColor="text1"/>
                <w:sz w:val="20"/>
                <w:szCs w:val="20"/>
              </w:rPr>
            </w:pPr>
            <w:r w:rsidRPr="00D549BE">
              <w:rPr>
                <w:color w:val="000000" w:themeColor="text1"/>
                <w:sz w:val="20"/>
              </w:rPr>
              <w:t>0,336</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BBC011A" w14:textId="07935050" w:rsidR="00656AA8" w:rsidRPr="00D549BE" w:rsidRDefault="009905CA" w:rsidP="00434248">
            <w:pPr>
              <w:spacing w:before="0" w:after="0"/>
              <w:jc w:val="right"/>
              <w:rPr>
                <w:b/>
                <w:bCs/>
                <w:noProof/>
                <w:color w:val="000000" w:themeColor="text1"/>
                <w:sz w:val="20"/>
                <w:szCs w:val="20"/>
              </w:rPr>
            </w:pPr>
            <w:r w:rsidRPr="00D549BE">
              <w:rPr>
                <w:b/>
                <w:color w:val="000000" w:themeColor="text1"/>
                <w:sz w:val="20"/>
              </w:rPr>
              <w:t>0,672</w:t>
            </w:r>
          </w:p>
        </w:tc>
      </w:tr>
      <w:tr w:rsidR="00656AA8" w:rsidRPr="00D549BE" w14:paraId="1178B005"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718FEF48" w14:textId="77777777" w:rsidR="00656AA8" w:rsidRPr="00D549BE" w:rsidRDefault="00656AA8" w:rsidP="00434248">
            <w:pPr>
              <w:spacing w:before="0" w:after="0"/>
              <w:jc w:val="center"/>
              <w:rPr>
                <w:noProof/>
                <w:color w:val="000000"/>
                <w:sz w:val="22"/>
              </w:rPr>
            </w:pPr>
            <w:r w:rsidRPr="00D549BE">
              <w:rPr>
                <w:b/>
                <w:color w:val="000000" w:themeColor="text1"/>
                <w:sz w:val="22"/>
              </w:rPr>
              <w:t>TOTAL</w:t>
            </w:r>
          </w:p>
        </w:tc>
        <w:tc>
          <w:tcPr>
            <w:tcW w:w="1379" w:type="pct"/>
            <w:gridSpan w:val="5"/>
            <w:tcBorders>
              <w:top w:val="single" w:sz="8" w:space="0" w:color="auto"/>
              <w:left w:val="nil"/>
              <w:bottom w:val="single" w:sz="8" w:space="0" w:color="auto"/>
              <w:right w:val="single" w:sz="8" w:space="0" w:color="auto"/>
            </w:tcBorders>
            <w:vAlign w:val="center"/>
            <w:hideMark/>
          </w:tcPr>
          <w:p w14:paraId="39DB830F" w14:textId="77777777" w:rsidR="00656AA8" w:rsidRPr="00D549BE" w:rsidRDefault="00656AA8" w:rsidP="00434248">
            <w:pPr>
              <w:spacing w:before="0" w:after="0"/>
              <w:jc w:val="left"/>
              <w:rPr>
                <w:noProof/>
                <w:color w:val="000000"/>
                <w:sz w:val="18"/>
                <w:szCs w:val="18"/>
              </w:rPr>
            </w:pPr>
            <w:r w:rsidRPr="00D549BE">
              <w:rPr>
                <w:color w:val="000000"/>
                <w:sz w:val="18"/>
              </w:rPr>
              <w:t xml:space="preserve">Crédits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353FB17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6788D67C" w14:textId="77777777" w:rsidR="00656AA8" w:rsidRPr="00D549BE" w:rsidRDefault="00656AA8" w:rsidP="00434248">
            <w:pPr>
              <w:spacing w:before="0" w:after="0"/>
              <w:jc w:val="right"/>
              <w:rPr>
                <w:b/>
                <w:bCs/>
                <w:noProof/>
                <w:color w:val="000000" w:themeColor="text1"/>
                <w:sz w:val="20"/>
                <w:szCs w:val="20"/>
              </w:rPr>
            </w:pPr>
            <w:r w:rsidRPr="00D549BE">
              <w:rPr>
                <w:b/>
                <w:color w:val="000000" w:themeColor="text1"/>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0799373B" w14:textId="019A23D1" w:rsidR="00656AA8" w:rsidRPr="00D549BE" w:rsidRDefault="009905CA" w:rsidP="00434248">
            <w:pPr>
              <w:spacing w:before="0" w:after="0"/>
              <w:jc w:val="right"/>
              <w:rPr>
                <w:b/>
                <w:bCs/>
                <w:noProof/>
                <w:color w:val="000000" w:themeColor="text1"/>
                <w:sz w:val="20"/>
                <w:szCs w:val="20"/>
              </w:rPr>
            </w:pPr>
            <w:r w:rsidRPr="00D549BE">
              <w:rPr>
                <w:b/>
                <w:color w:val="000000" w:themeColor="text1"/>
                <w:sz w:val="20"/>
              </w:rPr>
              <w:t>11,702</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1BE8804B" w14:textId="2F891803" w:rsidR="00656AA8" w:rsidRPr="00D549BE" w:rsidRDefault="009905CA" w:rsidP="00434248">
            <w:pPr>
              <w:spacing w:before="0" w:after="0"/>
              <w:jc w:val="right"/>
              <w:rPr>
                <w:b/>
                <w:bCs/>
                <w:noProof/>
                <w:color w:val="000000" w:themeColor="text1"/>
                <w:sz w:val="20"/>
                <w:szCs w:val="20"/>
              </w:rPr>
            </w:pPr>
            <w:r w:rsidRPr="00D549BE">
              <w:rPr>
                <w:b/>
                <w:color w:val="000000" w:themeColor="text1"/>
                <w:sz w:val="20"/>
              </w:rPr>
              <w:t>11,702</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18E7704" w14:textId="5862AECF" w:rsidR="00656AA8" w:rsidRPr="00D549BE" w:rsidRDefault="009905CA" w:rsidP="00434248">
            <w:pPr>
              <w:spacing w:before="0" w:after="0"/>
              <w:jc w:val="right"/>
              <w:rPr>
                <w:b/>
                <w:bCs/>
                <w:noProof/>
                <w:color w:val="000000" w:themeColor="text1"/>
                <w:sz w:val="20"/>
                <w:szCs w:val="20"/>
              </w:rPr>
            </w:pPr>
            <w:r w:rsidRPr="00D549BE">
              <w:rPr>
                <w:b/>
                <w:color w:val="000000" w:themeColor="text1"/>
                <w:sz w:val="20"/>
              </w:rPr>
              <w:t>23,404</w:t>
            </w:r>
          </w:p>
        </w:tc>
      </w:tr>
      <w:tr w:rsidR="00656AA8" w:rsidRPr="00D549BE" w14:paraId="35EAC9A0"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5E0561F1" w14:textId="77777777" w:rsidR="00656AA8" w:rsidRPr="00D549BE" w:rsidRDefault="00656AA8" w:rsidP="00434248">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0F8B4840" w14:textId="77777777" w:rsidR="00656AA8" w:rsidRPr="00D549BE" w:rsidRDefault="00656AA8" w:rsidP="00434248">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6D5F6FBA" w14:textId="77777777" w:rsidR="00656AA8" w:rsidRPr="00D549BE" w:rsidRDefault="00656AA8" w:rsidP="00434248">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014E206B" w14:textId="77777777" w:rsidR="00656AA8" w:rsidRPr="00D549BE" w:rsidRDefault="00656AA8" w:rsidP="00434248">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2D3E6770" w14:textId="77777777" w:rsidR="00656AA8" w:rsidRPr="00D549BE" w:rsidRDefault="00656AA8" w:rsidP="00434248">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4E1300DD" w14:textId="77777777" w:rsidR="00656AA8" w:rsidRPr="00D549BE" w:rsidRDefault="00656AA8" w:rsidP="00434248">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4A150712" w14:textId="77777777" w:rsidR="00656AA8" w:rsidRPr="00D549BE" w:rsidRDefault="00656AA8" w:rsidP="00434248">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23BD2B89" w14:textId="77777777" w:rsidR="00656AA8" w:rsidRPr="00D549BE" w:rsidRDefault="00656AA8" w:rsidP="00434248">
            <w:pPr>
              <w:spacing w:before="0" w:after="0"/>
              <w:jc w:val="left"/>
              <w:rPr>
                <w:noProof/>
                <w:color w:val="000000" w:themeColor="text1"/>
                <w:sz w:val="20"/>
                <w:szCs w:val="20"/>
                <w:lang w:eastAsia="en-IE"/>
              </w:rPr>
            </w:pPr>
          </w:p>
        </w:tc>
        <w:tc>
          <w:tcPr>
            <w:tcW w:w="464" w:type="pct"/>
            <w:tcBorders>
              <w:top w:val="nil"/>
              <w:left w:val="nil"/>
              <w:bottom w:val="nil"/>
              <w:right w:val="nil"/>
            </w:tcBorders>
            <w:noWrap/>
            <w:vAlign w:val="bottom"/>
            <w:hideMark/>
          </w:tcPr>
          <w:p w14:paraId="2B3BF320" w14:textId="77777777" w:rsidR="00656AA8" w:rsidRPr="00D549BE" w:rsidRDefault="00656AA8" w:rsidP="00434248">
            <w:pPr>
              <w:spacing w:before="0" w:after="0"/>
              <w:jc w:val="left"/>
              <w:rPr>
                <w:noProof/>
                <w:color w:val="000000" w:themeColor="text1"/>
                <w:sz w:val="20"/>
                <w:szCs w:val="20"/>
                <w:lang w:eastAsia="en-IE"/>
              </w:rPr>
            </w:pPr>
          </w:p>
        </w:tc>
      </w:tr>
      <w:tr w:rsidR="00656AA8" w:rsidRPr="00D549BE" w14:paraId="2A1CFAD5"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0B45BF0B" w14:textId="77777777" w:rsidR="00656AA8" w:rsidRPr="00D549BE" w:rsidRDefault="00656AA8" w:rsidP="00434248">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0DBEBA27" w14:textId="77777777" w:rsidR="00656AA8" w:rsidRPr="00D549BE" w:rsidRDefault="00656AA8" w:rsidP="00434248">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68F823A3" w14:textId="77777777" w:rsidR="00656AA8" w:rsidRPr="00D549BE" w:rsidRDefault="00656AA8" w:rsidP="00434248">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127C0A45" w14:textId="77777777" w:rsidR="00656AA8" w:rsidRPr="00D549BE" w:rsidRDefault="00656AA8" w:rsidP="00434248">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3BA2BBAE" w14:textId="77777777" w:rsidR="00656AA8" w:rsidRPr="00D549BE" w:rsidRDefault="00656AA8" w:rsidP="00434248">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6D06C80B" w14:textId="77777777" w:rsidR="00656AA8" w:rsidRPr="00D549BE" w:rsidRDefault="00656AA8" w:rsidP="00434248">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383532ED" w14:textId="77777777" w:rsidR="00656AA8" w:rsidRPr="00D549BE" w:rsidRDefault="00656AA8" w:rsidP="00434248">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6BEF7B59" w14:textId="77777777" w:rsidR="00656AA8" w:rsidRPr="00D549BE" w:rsidRDefault="00656AA8" w:rsidP="00434248">
            <w:pPr>
              <w:spacing w:before="0" w:after="0"/>
              <w:jc w:val="left"/>
              <w:rPr>
                <w:noProof/>
                <w:color w:val="000000" w:themeColor="text1"/>
                <w:sz w:val="20"/>
                <w:szCs w:val="20"/>
                <w:lang w:eastAsia="en-IE"/>
              </w:rPr>
            </w:pPr>
          </w:p>
        </w:tc>
        <w:tc>
          <w:tcPr>
            <w:tcW w:w="464" w:type="pct"/>
            <w:tcBorders>
              <w:top w:val="nil"/>
              <w:left w:val="nil"/>
              <w:bottom w:val="nil"/>
              <w:right w:val="nil"/>
            </w:tcBorders>
            <w:noWrap/>
            <w:vAlign w:val="bottom"/>
            <w:hideMark/>
          </w:tcPr>
          <w:p w14:paraId="5D5BE996" w14:textId="77777777" w:rsidR="00656AA8" w:rsidRPr="00D549BE" w:rsidRDefault="00656AA8" w:rsidP="00434248">
            <w:pPr>
              <w:spacing w:before="0" w:after="0"/>
              <w:jc w:val="left"/>
              <w:rPr>
                <w:noProof/>
                <w:color w:val="000000" w:themeColor="text1"/>
                <w:sz w:val="20"/>
                <w:szCs w:val="20"/>
                <w:lang w:eastAsia="en-IE"/>
              </w:rPr>
            </w:pPr>
          </w:p>
        </w:tc>
      </w:tr>
      <w:tr w:rsidR="00656AA8" w:rsidRPr="00D549BE" w14:paraId="19FF129F" w14:textId="77777777" w:rsidTr="0043424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clear" w:color="auto" w:fill="F1F1F1"/>
            <w:vAlign w:val="center"/>
            <w:hideMark/>
          </w:tcPr>
          <w:p w14:paraId="34CF80F7" w14:textId="77777777" w:rsidR="00656AA8" w:rsidRPr="00D549BE" w:rsidRDefault="00656AA8" w:rsidP="00434248">
            <w:pPr>
              <w:spacing w:before="0" w:after="0"/>
              <w:jc w:val="center"/>
              <w:rPr>
                <w:b/>
                <w:bCs/>
                <w:noProof/>
                <w:color w:val="000000"/>
                <w:sz w:val="22"/>
              </w:rPr>
            </w:pPr>
            <w:r w:rsidRPr="00D549BE">
              <w:rPr>
                <w:b/>
                <w:color w:val="000000"/>
                <w:sz w:val="22"/>
              </w:rPr>
              <w:t xml:space="preserve">TOTAL des crédits pour la RUBRIQUE 7 du cadre financier pluriannuel </w:t>
            </w:r>
          </w:p>
        </w:tc>
        <w:tc>
          <w:tcPr>
            <w:tcW w:w="449" w:type="pct"/>
            <w:gridSpan w:val="2"/>
            <w:tcBorders>
              <w:top w:val="single" w:sz="8" w:space="0" w:color="auto"/>
              <w:left w:val="nil"/>
              <w:bottom w:val="single" w:sz="8" w:space="0" w:color="auto"/>
              <w:right w:val="single" w:sz="8" w:space="0" w:color="auto"/>
            </w:tcBorders>
            <w:vAlign w:val="center"/>
            <w:hideMark/>
          </w:tcPr>
          <w:p w14:paraId="1793576E" w14:textId="77777777" w:rsidR="00656AA8" w:rsidRPr="00D549BE" w:rsidRDefault="00656AA8" w:rsidP="00434248">
            <w:pPr>
              <w:spacing w:before="0" w:after="0"/>
              <w:jc w:val="center"/>
              <w:rPr>
                <w:noProof/>
                <w:color w:val="000000"/>
                <w:sz w:val="18"/>
                <w:szCs w:val="18"/>
              </w:rPr>
            </w:pPr>
            <w:r w:rsidRPr="00D549BE">
              <w:rPr>
                <w:color w:val="000000"/>
                <w:sz w:val="18"/>
              </w:rPr>
              <w:t>(Total engagements = Total paiements)</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A8DC652"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BFDE378" w14:textId="77777777" w:rsidR="00656AA8" w:rsidRPr="00D549BE" w:rsidRDefault="00656AA8" w:rsidP="00434248">
            <w:pPr>
              <w:spacing w:before="0" w:after="0"/>
              <w:jc w:val="right"/>
              <w:rPr>
                <w:b/>
                <w:bCs/>
                <w:noProof/>
                <w:color w:val="000000" w:themeColor="text1"/>
                <w:sz w:val="20"/>
                <w:szCs w:val="20"/>
              </w:rPr>
            </w:pPr>
            <w:r w:rsidRPr="00D549BE">
              <w:rPr>
                <w:b/>
                <w:color w:val="000000" w:themeColor="text1"/>
                <w:sz w:val="20"/>
              </w:rPr>
              <w:t>0,000</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60C6ED3" w14:textId="12F4252C" w:rsidR="00656AA8" w:rsidRPr="00D549BE" w:rsidRDefault="009905CA" w:rsidP="00434248">
            <w:pPr>
              <w:spacing w:before="0" w:after="0"/>
              <w:jc w:val="right"/>
              <w:rPr>
                <w:b/>
                <w:bCs/>
                <w:noProof/>
                <w:color w:val="000000" w:themeColor="text1"/>
                <w:sz w:val="20"/>
                <w:szCs w:val="20"/>
              </w:rPr>
            </w:pPr>
            <w:r w:rsidRPr="00D549BE">
              <w:rPr>
                <w:b/>
                <w:color w:val="000000" w:themeColor="text1"/>
                <w:sz w:val="20"/>
              </w:rPr>
              <w:t>11,702</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60474C9" w14:textId="0D21CB90" w:rsidR="00656AA8" w:rsidRPr="00D549BE" w:rsidRDefault="009905CA" w:rsidP="00434248">
            <w:pPr>
              <w:spacing w:before="0" w:after="0"/>
              <w:jc w:val="right"/>
              <w:rPr>
                <w:b/>
                <w:bCs/>
                <w:noProof/>
                <w:color w:val="000000" w:themeColor="text1"/>
                <w:sz w:val="20"/>
                <w:szCs w:val="20"/>
              </w:rPr>
            </w:pPr>
            <w:r w:rsidRPr="00D549BE">
              <w:rPr>
                <w:b/>
                <w:color w:val="000000" w:themeColor="text1"/>
                <w:sz w:val="20"/>
              </w:rPr>
              <w:t>11,702</w:t>
            </w:r>
          </w:p>
        </w:tc>
        <w:tc>
          <w:tcPr>
            <w:tcW w:w="46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4011E94" w14:textId="47FCFD9C" w:rsidR="00656AA8" w:rsidRPr="00D549BE" w:rsidRDefault="009905CA" w:rsidP="00434248">
            <w:pPr>
              <w:spacing w:before="0" w:after="0"/>
              <w:jc w:val="right"/>
              <w:rPr>
                <w:b/>
                <w:bCs/>
                <w:noProof/>
                <w:color w:val="000000" w:themeColor="text1"/>
                <w:sz w:val="20"/>
                <w:szCs w:val="20"/>
              </w:rPr>
            </w:pPr>
            <w:r w:rsidRPr="00D549BE">
              <w:rPr>
                <w:b/>
                <w:color w:val="000000" w:themeColor="text1"/>
                <w:sz w:val="20"/>
              </w:rPr>
              <w:t>23,404</w:t>
            </w:r>
          </w:p>
        </w:tc>
      </w:tr>
    </w:tbl>
    <w:p w14:paraId="697A2517" w14:textId="77777777" w:rsidR="00656AA8" w:rsidRPr="00D549BE" w:rsidRDefault="00656AA8" w:rsidP="00656AA8">
      <w:pPr>
        <w:jc w:val="right"/>
        <w:rPr>
          <w:noProof/>
          <w:sz w:val="20"/>
        </w:rPr>
      </w:pPr>
      <w:r w:rsidRPr="00D549BE">
        <w:rPr>
          <w:sz w:val="20"/>
        </w:rPr>
        <w:t>En Mio EUR (à la 3</w:t>
      </w:r>
      <w:r w:rsidRPr="00D549BE">
        <w:rPr>
          <w:sz w:val="20"/>
          <w:vertAlign w:val="superscript"/>
        </w:rPr>
        <w:t>e</w:t>
      </w:r>
      <w:r w:rsidRPr="00D549BE">
        <w:rPr>
          <w:sz w:val="20"/>
        </w:rPr>
        <w:t> décimale)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656AA8" w:rsidRPr="00D549BE" w14:paraId="464BBB3C" w14:textId="77777777" w:rsidTr="00434248">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DEDE090" w14:textId="77777777" w:rsidR="00656AA8" w:rsidRPr="00D549BE" w:rsidRDefault="00656AA8" w:rsidP="00434248">
            <w:pPr>
              <w:spacing w:before="0" w:after="0"/>
              <w:jc w:val="center"/>
              <w:rPr>
                <w:noProof/>
                <w:color w:val="000000"/>
                <w:szCs w:val="24"/>
              </w:rPr>
            </w:pPr>
            <w:r w:rsidRPr="00D549BE">
              <w:rPr>
                <w:color w:val="000000"/>
              </w:rPr>
              <w:t xml:space="preserve"> </w:t>
            </w:r>
          </w:p>
        </w:tc>
        <w:tc>
          <w:tcPr>
            <w:tcW w:w="441" w:type="pct"/>
            <w:tcBorders>
              <w:top w:val="single" w:sz="8" w:space="0" w:color="auto"/>
              <w:left w:val="nil"/>
              <w:bottom w:val="nil"/>
              <w:right w:val="single" w:sz="8" w:space="0" w:color="auto"/>
            </w:tcBorders>
            <w:vAlign w:val="center"/>
            <w:hideMark/>
          </w:tcPr>
          <w:p w14:paraId="79CCBBCA"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41" w:type="pct"/>
            <w:tcBorders>
              <w:top w:val="single" w:sz="8" w:space="0" w:color="auto"/>
              <w:left w:val="nil"/>
              <w:bottom w:val="nil"/>
              <w:right w:val="single" w:sz="8" w:space="0" w:color="auto"/>
            </w:tcBorders>
            <w:vAlign w:val="center"/>
            <w:hideMark/>
          </w:tcPr>
          <w:p w14:paraId="3E4D3F86"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41" w:type="pct"/>
            <w:tcBorders>
              <w:top w:val="single" w:sz="8" w:space="0" w:color="auto"/>
              <w:left w:val="nil"/>
              <w:bottom w:val="nil"/>
              <w:right w:val="single" w:sz="8" w:space="0" w:color="auto"/>
            </w:tcBorders>
            <w:vAlign w:val="center"/>
            <w:hideMark/>
          </w:tcPr>
          <w:p w14:paraId="348ADD5C"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41" w:type="pct"/>
            <w:tcBorders>
              <w:top w:val="single" w:sz="8" w:space="0" w:color="auto"/>
              <w:left w:val="nil"/>
              <w:bottom w:val="nil"/>
              <w:right w:val="single" w:sz="8" w:space="0" w:color="auto"/>
            </w:tcBorders>
            <w:vAlign w:val="center"/>
            <w:hideMark/>
          </w:tcPr>
          <w:p w14:paraId="4E5AD88E"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33"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0E329A07"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5A1D685B" w14:textId="77777777" w:rsidTr="00434248">
        <w:trPr>
          <w:trHeight w:val="300"/>
        </w:trPr>
        <w:tc>
          <w:tcPr>
            <w:tcW w:w="2702" w:type="pct"/>
            <w:gridSpan w:val="2"/>
            <w:vMerge/>
            <w:vAlign w:val="center"/>
            <w:hideMark/>
          </w:tcPr>
          <w:p w14:paraId="625ACB94" w14:textId="77777777" w:rsidR="00656AA8" w:rsidRPr="00D549BE" w:rsidRDefault="00656AA8" w:rsidP="00434248">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14:paraId="5040E45A"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41" w:type="pct"/>
            <w:tcBorders>
              <w:top w:val="nil"/>
              <w:left w:val="nil"/>
              <w:bottom w:val="single" w:sz="8" w:space="0" w:color="auto"/>
              <w:right w:val="single" w:sz="8" w:space="0" w:color="auto"/>
            </w:tcBorders>
            <w:vAlign w:val="center"/>
            <w:hideMark/>
          </w:tcPr>
          <w:p w14:paraId="648526A3"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41" w:type="pct"/>
            <w:tcBorders>
              <w:top w:val="nil"/>
              <w:left w:val="nil"/>
              <w:bottom w:val="single" w:sz="8" w:space="0" w:color="auto"/>
              <w:right w:val="single" w:sz="8" w:space="0" w:color="auto"/>
            </w:tcBorders>
            <w:vAlign w:val="center"/>
            <w:hideMark/>
          </w:tcPr>
          <w:p w14:paraId="6328222A"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41" w:type="pct"/>
            <w:tcBorders>
              <w:top w:val="nil"/>
              <w:left w:val="nil"/>
              <w:bottom w:val="single" w:sz="8" w:space="0" w:color="auto"/>
              <w:right w:val="single" w:sz="8" w:space="0" w:color="auto"/>
            </w:tcBorders>
            <w:vAlign w:val="center"/>
            <w:hideMark/>
          </w:tcPr>
          <w:p w14:paraId="15B39521"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33" w:type="pct"/>
            <w:vMerge/>
            <w:vAlign w:val="center"/>
            <w:hideMark/>
          </w:tcPr>
          <w:p w14:paraId="256CCDBC"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5C4432AD" w14:textId="77777777" w:rsidTr="00434248">
        <w:trPr>
          <w:trHeight w:val="564"/>
        </w:trPr>
        <w:tc>
          <w:tcPr>
            <w:tcW w:w="1971"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5395AB4" w14:textId="77777777" w:rsidR="00656AA8" w:rsidRPr="00D549BE" w:rsidRDefault="00656AA8" w:rsidP="00434248">
            <w:pPr>
              <w:spacing w:before="0" w:after="0"/>
              <w:jc w:val="center"/>
              <w:rPr>
                <w:b/>
                <w:bCs/>
                <w:noProof/>
                <w:color w:val="000000"/>
                <w:sz w:val="22"/>
              </w:rPr>
            </w:pPr>
            <w:r w:rsidRPr="00D549BE">
              <w:rPr>
                <w:b/>
                <w:color w:val="000000"/>
                <w:sz w:val="22"/>
              </w:rPr>
              <w:t>TOTAL des crédits pour les RUBRIQUES 1 à 7</w:t>
            </w:r>
          </w:p>
        </w:tc>
        <w:tc>
          <w:tcPr>
            <w:tcW w:w="731" w:type="pct"/>
            <w:tcBorders>
              <w:top w:val="single" w:sz="8" w:space="0" w:color="auto"/>
              <w:left w:val="nil"/>
              <w:bottom w:val="single" w:sz="8" w:space="0" w:color="auto"/>
              <w:right w:val="single" w:sz="8" w:space="0" w:color="auto"/>
            </w:tcBorders>
            <w:vAlign w:val="center"/>
            <w:hideMark/>
          </w:tcPr>
          <w:p w14:paraId="74597797"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274DD1A5" w14:textId="77777777" w:rsidR="00656AA8" w:rsidRPr="00D549BE" w:rsidRDefault="00656AA8" w:rsidP="00434248">
            <w:pPr>
              <w:spacing w:before="0" w:after="0"/>
              <w:jc w:val="right"/>
              <w:rPr>
                <w:b/>
                <w:bCs/>
                <w:noProof/>
                <w:color w:val="000000"/>
                <w:szCs w:val="24"/>
              </w:rPr>
            </w:pPr>
            <w:r w:rsidRPr="00D549BE">
              <w:rPr>
                <w:b/>
                <w:color w:val="000000"/>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6F706F18" w14:textId="77777777" w:rsidR="00656AA8" w:rsidRPr="00D549BE" w:rsidRDefault="00656AA8" w:rsidP="00434248">
            <w:pPr>
              <w:spacing w:before="0" w:after="0"/>
              <w:jc w:val="right"/>
              <w:rPr>
                <w:b/>
                <w:bCs/>
                <w:noProof/>
                <w:color w:val="000000"/>
                <w:szCs w:val="24"/>
              </w:rPr>
            </w:pPr>
            <w:r w:rsidRPr="00D549BE">
              <w:rPr>
                <w:b/>
                <w:color w:val="000000"/>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4762E8D9" w14:textId="4F9A2C21" w:rsidR="00656AA8" w:rsidRPr="00D549BE" w:rsidRDefault="009905CA" w:rsidP="00434248">
            <w:pPr>
              <w:spacing w:before="0" w:after="0"/>
              <w:jc w:val="right"/>
              <w:rPr>
                <w:b/>
                <w:bCs/>
                <w:noProof/>
                <w:color w:val="000000"/>
                <w:szCs w:val="24"/>
              </w:rPr>
            </w:pPr>
            <w:r w:rsidRPr="00D549BE">
              <w:rPr>
                <w:b/>
                <w:color w:val="000000"/>
              </w:rPr>
              <w:t>12,702</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388BB3DC" w14:textId="689BBB63" w:rsidR="00656AA8" w:rsidRPr="00D549BE" w:rsidRDefault="009905CA" w:rsidP="00434248">
            <w:pPr>
              <w:spacing w:before="0" w:after="0"/>
              <w:jc w:val="right"/>
              <w:rPr>
                <w:b/>
                <w:bCs/>
                <w:noProof/>
                <w:color w:val="000000"/>
                <w:szCs w:val="24"/>
              </w:rPr>
            </w:pPr>
            <w:r w:rsidRPr="00D549BE">
              <w:rPr>
                <w:b/>
              </w:rPr>
              <w:t>1 012,702</w:t>
            </w:r>
          </w:p>
        </w:tc>
        <w:tc>
          <w:tcPr>
            <w:tcW w:w="533" w:type="pct"/>
            <w:tcBorders>
              <w:top w:val="nil"/>
              <w:left w:val="nil"/>
              <w:bottom w:val="single" w:sz="8" w:space="0" w:color="auto"/>
              <w:right w:val="single" w:sz="8" w:space="0" w:color="auto"/>
            </w:tcBorders>
            <w:shd w:val="clear" w:color="auto" w:fill="D9D9D9" w:themeFill="background1" w:themeFillShade="D9"/>
            <w:vAlign w:val="center"/>
            <w:hideMark/>
          </w:tcPr>
          <w:p w14:paraId="627FCF65" w14:textId="3970B728" w:rsidR="00656AA8" w:rsidRPr="00D549BE" w:rsidRDefault="009905CA" w:rsidP="00434248">
            <w:pPr>
              <w:spacing w:before="0" w:after="0"/>
              <w:jc w:val="right"/>
              <w:rPr>
                <w:b/>
                <w:bCs/>
                <w:noProof/>
                <w:color w:val="000000"/>
                <w:szCs w:val="24"/>
              </w:rPr>
            </w:pPr>
            <w:r w:rsidRPr="00D549BE">
              <w:rPr>
                <w:b/>
                <w:color w:val="000000" w:themeColor="text1"/>
              </w:rPr>
              <w:t>1 025,404</w:t>
            </w:r>
          </w:p>
        </w:tc>
      </w:tr>
      <w:tr w:rsidR="00656AA8" w:rsidRPr="00D549BE" w14:paraId="2F5C8779" w14:textId="77777777" w:rsidTr="00434248">
        <w:trPr>
          <w:trHeight w:val="540"/>
        </w:trPr>
        <w:tc>
          <w:tcPr>
            <w:tcW w:w="1971"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F5900A6" w14:textId="77777777" w:rsidR="00656AA8" w:rsidRPr="00D549BE" w:rsidRDefault="00656AA8" w:rsidP="00434248">
            <w:pPr>
              <w:spacing w:before="0" w:after="0"/>
              <w:jc w:val="center"/>
              <w:rPr>
                <w:noProof/>
                <w:color w:val="000000"/>
                <w:sz w:val="22"/>
              </w:rPr>
            </w:pPr>
            <w:r w:rsidRPr="00D549BE">
              <w:rPr>
                <w:color w:val="000000"/>
                <w:sz w:val="22"/>
              </w:rPr>
              <w:t>du cadre financier pluriannuel</w:t>
            </w:r>
            <w:r w:rsidRPr="00D549BE">
              <w:rPr>
                <w:b/>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14:paraId="547AA610"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004191C7" w14:textId="77777777" w:rsidR="00656AA8" w:rsidRPr="00D549BE" w:rsidRDefault="00656AA8" w:rsidP="00434248">
            <w:pPr>
              <w:spacing w:before="0" w:after="0"/>
              <w:jc w:val="right"/>
              <w:rPr>
                <w:b/>
                <w:bCs/>
                <w:noProof/>
              </w:rPr>
            </w:pPr>
            <w:r w:rsidRPr="00D549BE">
              <w:rPr>
                <w:b/>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6E822A39" w14:textId="77777777" w:rsidR="00656AA8" w:rsidRPr="00D549BE" w:rsidRDefault="00656AA8" w:rsidP="00434248">
            <w:pPr>
              <w:spacing w:before="0" w:after="0"/>
              <w:jc w:val="right"/>
              <w:rPr>
                <w:b/>
                <w:bCs/>
                <w:noProof/>
              </w:rPr>
            </w:pPr>
            <w:r w:rsidRPr="00D549BE">
              <w:rPr>
                <w:b/>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129ACFFC" w14:textId="342F4C7A" w:rsidR="00656AA8" w:rsidRPr="00D549BE" w:rsidRDefault="009905CA" w:rsidP="00434248">
            <w:pPr>
              <w:spacing w:before="0" w:after="0"/>
              <w:jc w:val="right"/>
              <w:rPr>
                <w:b/>
                <w:bCs/>
                <w:noProof/>
              </w:rPr>
            </w:pPr>
            <w:r w:rsidRPr="00D549BE">
              <w:rPr>
                <w:b/>
              </w:rPr>
              <w:t>12,702</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5829C166" w14:textId="1595C116" w:rsidR="00656AA8" w:rsidRPr="00D549BE" w:rsidRDefault="009905CA" w:rsidP="00434248">
            <w:pPr>
              <w:spacing w:before="0" w:after="0"/>
              <w:jc w:val="right"/>
              <w:rPr>
                <w:b/>
                <w:bCs/>
                <w:noProof/>
              </w:rPr>
            </w:pPr>
            <w:r w:rsidRPr="00D549BE">
              <w:rPr>
                <w:b/>
              </w:rPr>
              <w:t>1 012,702</w:t>
            </w:r>
          </w:p>
        </w:tc>
        <w:tc>
          <w:tcPr>
            <w:tcW w:w="533" w:type="pct"/>
            <w:tcBorders>
              <w:top w:val="nil"/>
              <w:left w:val="nil"/>
              <w:bottom w:val="single" w:sz="8" w:space="0" w:color="auto"/>
              <w:right w:val="single" w:sz="8" w:space="0" w:color="auto"/>
            </w:tcBorders>
            <w:shd w:val="clear" w:color="auto" w:fill="D9D9D9" w:themeFill="background1" w:themeFillShade="D9"/>
            <w:vAlign w:val="center"/>
            <w:hideMark/>
          </w:tcPr>
          <w:p w14:paraId="54ED5180" w14:textId="2D1D1786" w:rsidR="00656AA8" w:rsidRPr="00D549BE" w:rsidRDefault="009905CA" w:rsidP="00434248">
            <w:pPr>
              <w:spacing w:before="0" w:after="0"/>
              <w:jc w:val="right"/>
              <w:rPr>
                <w:b/>
                <w:bCs/>
                <w:noProof/>
                <w:szCs w:val="24"/>
              </w:rPr>
            </w:pPr>
            <w:r w:rsidRPr="00D549BE">
              <w:rPr>
                <w:b/>
                <w:color w:val="000000" w:themeColor="text1"/>
              </w:rPr>
              <w:t>1 025,404</w:t>
            </w:r>
          </w:p>
        </w:tc>
      </w:tr>
    </w:tbl>
    <w:p w14:paraId="0BC5FCFC" w14:textId="77777777" w:rsidR="00656AA8" w:rsidRPr="00D549BE" w:rsidRDefault="00656AA8" w:rsidP="00656AA8">
      <w:pPr>
        <w:pStyle w:val="ManualHeading3"/>
        <w:rPr>
          <w:noProof/>
        </w:rPr>
      </w:pPr>
      <w:bookmarkStart w:id="166" w:name="_Toc160804596"/>
      <w:bookmarkStart w:id="167" w:name="_Toc167220288"/>
      <w:bookmarkStart w:id="168" w:name="_Toc177549021"/>
      <w:r w:rsidRPr="00D549BE">
        <w:t>3.2.1.2.</w:t>
      </w:r>
      <w:r w:rsidRPr="00D549BE">
        <w:tab/>
        <w:t>Crédits issus de recettes affectées externes</w:t>
      </w:r>
      <w:bookmarkEnd w:id="166"/>
      <w:bookmarkEnd w:id="167"/>
      <w:bookmarkEnd w:id="168"/>
    </w:p>
    <w:p w14:paraId="458702B9" w14:textId="77777777" w:rsidR="00656AA8" w:rsidRPr="00D549BE" w:rsidRDefault="00656AA8" w:rsidP="00656AA8">
      <w:pPr>
        <w:jc w:val="right"/>
        <w:rPr>
          <w:noProof/>
          <w:sz w:val="18"/>
          <w:szCs w:val="18"/>
        </w:rPr>
      </w:pPr>
      <w:r w:rsidRPr="00D549BE">
        <w:rPr>
          <w:sz w:val="18"/>
        </w:rPr>
        <w:t>En Mio EUR (à la 3</w:t>
      </w:r>
      <w:r w:rsidRPr="00D549BE">
        <w:rPr>
          <w:sz w:val="18"/>
          <w:vertAlign w:val="superscript"/>
        </w:rPr>
        <w:t>e</w:t>
      </w:r>
      <w:r w:rsidRPr="00D549BE">
        <w:rPr>
          <w:sz w:val="18"/>
        </w:rPr>
        <w:t xml:space="preserve">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56AA8" w:rsidRPr="00D549BE" w14:paraId="0F01D320" w14:textId="77777777" w:rsidTr="00434248">
        <w:trPr>
          <w:jc w:val="center"/>
        </w:trPr>
        <w:tc>
          <w:tcPr>
            <w:tcW w:w="1739" w:type="pct"/>
            <w:shd w:val="thinDiagStripe" w:color="C0C0C0" w:fill="auto"/>
            <w:vAlign w:val="center"/>
          </w:tcPr>
          <w:p w14:paraId="67804F5E" w14:textId="77777777" w:rsidR="00656AA8" w:rsidRPr="00D549BE" w:rsidRDefault="00656AA8" w:rsidP="00434248">
            <w:pPr>
              <w:spacing w:before="60" w:after="60"/>
              <w:jc w:val="center"/>
              <w:rPr>
                <w:b/>
                <w:noProof/>
              </w:rPr>
            </w:pPr>
            <w:r w:rsidRPr="00D549BE">
              <w:rPr>
                <w:b/>
                <w:sz w:val="22"/>
              </w:rPr>
              <w:t xml:space="preserve">Rubrique du cadre financier pluriannuel </w:t>
            </w:r>
          </w:p>
        </w:tc>
        <w:tc>
          <w:tcPr>
            <w:tcW w:w="396" w:type="pct"/>
            <w:vAlign w:val="center"/>
          </w:tcPr>
          <w:p w14:paraId="4071B306" w14:textId="77777777" w:rsidR="00656AA8" w:rsidRPr="00D549BE" w:rsidRDefault="00656AA8" w:rsidP="00434248">
            <w:pPr>
              <w:spacing w:before="60" w:after="60"/>
              <w:jc w:val="center"/>
              <w:rPr>
                <w:noProof/>
              </w:rPr>
            </w:pPr>
            <w:r w:rsidRPr="00D549BE">
              <w:rPr>
                <w:sz w:val="22"/>
              </w:rPr>
              <w:t>Numéro</w:t>
            </w:r>
          </w:p>
        </w:tc>
        <w:tc>
          <w:tcPr>
            <w:tcW w:w="2865" w:type="pct"/>
            <w:vAlign w:val="center"/>
          </w:tcPr>
          <w:p w14:paraId="64EDB9E8" w14:textId="77777777" w:rsidR="00656AA8" w:rsidRPr="00D549BE" w:rsidRDefault="00656AA8" w:rsidP="00434248">
            <w:pPr>
              <w:spacing w:before="60" w:after="60"/>
              <w:rPr>
                <w:noProof/>
              </w:rPr>
            </w:pPr>
          </w:p>
        </w:tc>
      </w:tr>
    </w:tbl>
    <w:p w14:paraId="540D1DEF" w14:textId="77777777" w:rsidR="00656AA8" w:rsidRPr="00D549BE" w:rsidRDefault="00656AA8" w:rsidP="00656AA8">
      <w:pPr>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rsidR="00656AA8" w:rsidRPr="00D549BE" w14:paraId="6BA96692" w14:textId="77777777" w:rsidTr="00434248">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16423337" w14:textId="77777777" w:rsidR="00656AA8" w:rsidRPr="00D549BE" w:rsidRDefault="00656AA8" w:rsidP="00434248">
            <w:pPr>
              <w:spacing w:before="0" w:after="0"/>
              <w:jc w:val="center"/>
              <w:rPr>
                <w:noProof/>
                <w:color w:val="000000"/>
                <w:sz w:val="22"/>
              </w:rPr>
            </w:pPr>
            <w:r w:rsidRPr="00D549BE">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04B39336"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14:paraId="78232401"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14:paraId="77292CB3"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14:paraId="01A4D66D"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2BC2CFC4"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11BFBBFE" w14:textId="77777777" w:rsidTr="00434248">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5CD0E89C" w14:textId="77777777" w:rsidR="00656AA8" w:rsidRPr="00D549BE" w:rsidRDefault="00656AA8" w:rsidP="00434248">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55788AC1"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0C6FDF0A"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3ACC3CB4"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48419676"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14:paraId="17361B3D"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0A559CB2" w14:textId="77777777" w:rsidTr="00434248">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039BC808" w14:textId="77777777" w:rsidR="00656AA8" w:rsidRPr="00D549BE" w:rsidRDefault="00656AA8" w:rsidP="00434248">
            <w:pPr>
              <w:spacing w:before="0" w:after="0"/>
              <w:jc w:val="left"/>
              <w:rPr>
                <w:noProof/>
                <w:color w:val="000000"/>
                <w:sz w:val="21"/>
                <w:szCs w:val="21"/>
              </w:rPr>
            </w:pPr>
            <w:r w:rsidRPr="00D549BE">
              <w:rPr>
                <w:color w:val="000000"/>
                <w:sz w:val="21"/>
              </w:rPr>
              <w:t xml:space="preserve">Crédits opérationnels </w:t>
            </w:r>
          </w:p>
        </w:tc>
      </w:tr>
      <w:tr w:rsidR="00656AA8" w:rsidRPr="00D549BE" w14:paraId="0122997C" w14:textId="77777777" w:rsidTr="00434248">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11691E93" w14:textId="77777777" w:rsidR="00656AA8" w:rsidRPr="00D549BE" w:rsidRDefault="00656AA8" w:rsidP="00434248">
            <w:pPr>
              <w:spacing w:before="0" w:after="0"/>
              <w:jc w:val="left"/>
              <w:rPr>
                <w:noProof/>
                <w:color w:val="000000"/>
                <w:sz w:val="22"/>
              </w:rPr>
            </w:pPr>
            <w:r w:rsidRPr="00D549BE">
              <w:rPr>
                <w:color w:val="000000"/>
                <w:sz w:val="22"/>
              </w:rPr>
              <w:t>Ligne budgétaire</w:t>
            </w:r>
          </w:p>
        </w:tc>
        <w:tc>
          <w:tcPr>
            <w:tcW w:w="529" w:type="pct"/>
            <w:gridSpan w:val="2"/>
            <w:tcBorders>
              <w:top w:val="nil"/>
              <w:left w:val="nil"/>
              <w:bottom w:val="single" w:sz="8" w:space="0" w:color="auto"/>
              <w:right w:val="single" w:sz="8" w:space="0" w:color="auto"/>
            </w:tcBorders>
            <w:vAlign w:val="center"/>
            <w:hideMark/>
          </w:tcPr>
          <w:p w14:paraId="08C6B2F1"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49CB6A3E" w14:textId="77777777" w:rsidR="00656AA8" w:rsidRPr="00D549BE" w:rsidRDefault="00656AA8" w:rsidP="00434248">
            <w:pPr>
              <w:spacing w:before="0" w:after="0"/>
              <w:jc w:val="center"/>
              <w:rPr>
                <w:noProof/>
                <w:color w:val="000000"/>
                <w:sz w:val="14"/>
                <w:szCs w:val="14"/>
              </w:rPr>
            </w:pPr>
            <w:r w:rsidRPr="00D549BE">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1BB7AA30"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008A8DC"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742ED52"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7D971DC1"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295D7372"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5D61D740" w14:textId="77777777" w:rsidTr="00434248">
        <w:trPr>
          <w:trHeight w:val="315"/>
        </w:trPr>
        <w:tc>
          <w:tcPr>
            <w:tcW w:w="1419" w:type="pct"/>
            <w:vMerge/>
            <w:tcBorders>
              <w:top w:val="nil"/>
              <w:left w:val="single" w:sz="8" w:space="0" w:color="auto"/>
              <w:bottom w:val="single" w:sz="8" w:space="0" w:color="auto"/>
              <w:right w:val="single" w:sz="8" w:space="0" w:color="auto"/>
            </w:tcBorders>
            <w:vAlign w:val="center"/>
            <w:hideMark/>
          </w:tcPr>
          <w:p w14:paraId="2766DEF3" w14:textId="77777777" w:rsidR="00656AA8" w:rsidRPr="00D549BE" w:rsidRDefault="00656AA8" w:rsidP="00434248">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3083CCE6"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4B585082" w14:textId="77777777" w:rsidR="00656AA8" w:rsidRPr="00D549BE" w:rsidRDefault="00656AA8" w:rsidP="00434248">
            <w:pPr>
              <w:spacing w:before="0" w:after="0"/>
              <w:jc w:val="center"/>
              <w:rPr>
                <w:noProof/>
                <w:color w:val="000000"/>
                <w:sz w:val="14"/>
                <w:szCs w:val="14"/>
              </w:rPr>
            </w:pPr>
            <w:r w:rsidRPr="00D549BE">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16156F39"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4F588D5C"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333F058"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4A98255A"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49DDCF2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105E574F" w14:textId="77777777" w:rsidTr="00434248">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0D8B8D4B" w14:textId="77777777" w:rsidR="00656AA8" w:rsidRPr="00D549BE" w:rsidRDefault="00656AA8" w:rsidP="00434248">
            <w:pPr>
              <w:spacing w:before="0" w:after="0"/>
              <w:rPr>
                <w:noProof/>
                <w:color w:val="000000"/>
                <w:sz w:val="20"/>
                <w:szCs w:val="20"/>
              </w:rPr>
            </w:pPr>
            <w:r w:rsidRPr="00D549BE">
              <w:rPr>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14:paraId="3DB81DF5"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5B62242F" w14:textId="77777777" w:rsidR="00656AA8" w:rsidRPr="00D549BE" w:rsidRDefault="00656AA8" w:rsidP="00434248">
            <w:pPr>
              <w:spacing w:before="0" w:after="0"/>
              <w:jc w:val="center"/>
              <w:rPr>
                <w:noProof/>
                <w:color w:val="000000"/>
                <w:sz w:val="14"/>
                <w:szCs w:val="14"/>
              </w:rPr>
            </w:pPr>
            <w:r w:rsidRPr="00D549BE">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5F12F34B"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50C6460"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773B8CC"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2D85691D"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21E52E0"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73394E16" w14:textId="77777777" w:rsidTr="00434248">
        <w:trPr>
          <w:trHeight w:val="315"/>
        </w:trPr>
        <w:tc>
          <w:tcPr>
            <w:tcW w:w="1419" w:type="pct"/>
            <w:vMerge/>
            <w:tcBorders>
              <w:top w:val="nil"/>
              <w:left w:val="single" w:sz="8" w:space="0" w:color="auto"/>
              <w:bottom w:val="single" w:sz="8" w:space="0" w:color="auto"/>
              <w:right w:val="single" w:sz="8" w:space="0" w:color="auto"/>
            </w:tcBorders>
            <w:vAlign w:val="center"/>
            <w:hideMark/>
          </w:tcPr>
          <w:p w14:paraId="0E4835F6" w14:textId="77777777" w:rsidR="00656AA8" w:rsidRPr="00D549BE" w:rsidRDefault="00656AA8" w:rsidP="00434248">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034AE40E"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6B1B9DB6" w14:textId="77777777" w:rsidR="00656AA8" w:rsidRPr="00D549BE" w:rsidRDefault="00656AA8" w:rsidP="00434248">
            <w:pPr>
              <w:spacing w:before="0" w:after="0"/>
              <w:jc w:val="center"/>
              <w:rPr>
                <w:noProof/>
                <w:color w:val="000000"/>
                <w:sz w:val="14"/>
                <w:szCs w:val="14"/>
              </w:rPr>
            </w:pPr>
            <w:r w:rsidRPr="00D549BE">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1D7E4AE7"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10C4D2C"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FF94EE1"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A53C290" w14:textId="77777777" w:rsidR="00656AA8" w:rsidRPr="00D549BE" w:rsidRDefault="00656AA8" w:rsidP="00434248">
            <w:pPr>
              <w:spacing w:before="0" w:after="0"/>
              <w:jc w:val="right"/>
              <w:rPr>
                <w:noProof/>
                <w:color w:val="000000"/>
                <w:sz w:val="20"/>
                <w:szCs w:val="20"/>
              </w:rPr>
            </w:pPr>
            <w:r w:rsidRPr="00D549BE">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3A5BEA53"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53215264" w14:textId="77777777" w:rsidTr="00434248">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78759D52" w14:textId="77777777" w:rsidR="00656AA8" w:rsidRPr="00D549BE" w:rsidRDefault="00656AA8" w:rsidP="00434248">
            <w:pPr>
              <w:spacing w:before="0" w:after="0"/>
              <w:jc w:val="left"/>
              <w:rPr>
                <w:noProof/>
                <w:color w:val="000000"/>
                <w:sz w:val="22"/>
              </w:rPr>
            </w:pPr>
            <w:r w:rsidRPr="00D549BE">
              <w:rPr>
                <w:color w:val="000000"/>
                <w:sz w:val="22"/>
              </w:rPr>
              <w:t>Crédits de nature administrative financés par l'enveloppe de certains programmes spécifiques</w:t>
            </w:r>
            <w:r w:rsidRPr="00D549BE">
              <w:t xml:space="preserve"> </w:t>
            </w:r>
          </w:p>
        </w:tc>
      </w:tr>
      <w:tr w:rsidR="00656AA8" w:rsidRPr="00D549BE" w14:paraId="4220007A" w14:textId="77777777" w:rsidTr="00434248">
        <w:trPr>
          <w:trHeight w:val="288"/>
        </w:trPr>
        <w:tc>
          <w:tcPr>
            <w:tcW w:w="1419" w:type="pct"/>
            <w:tcBorders>
              <w:top w:val="nil"/>
              <w:left w:val="single" w:sz="8" w:space="0" w:color="auto"/>
              <w:bottom w:val="single" w:sz="8" w:space="0" w:color="auto"/>
              <w:right w:val="single" w:sz="8" w:space="0" w:color="auto"/>
            </w:tcBorders>
            <w:vAlign w:val="center"/>
            <w:hideMark/>
          </w:tcPr>
          <w:p w14:paraId="4062AD0E" w14:textId="77777777" w:rsidR="00656AA8" w:rsidRPr="00D549BE" w:rsidRDefault="00656AA8" w:rsidP="00434248">
            <w:pPr>
              <w:spacing w:before="0" w:after="0"/>
              <w:rPr>
                <w:noProof/>
                <w:color w:val="000000"/>
                <w:sz w:val="20"/>
                <w:szCs w:val="20"/>
              </w:rPr>
            </w:pPr>
            <w:r w:rsidRPr="00D549BE">
              <w:rPr>
                <w:color w:val="000000"/>
                <w:sz w:val="20"/>
              </w:rPr>
              <w:t>Ligne budgétaire</w:t>
            </w:r>
          </w:p>
        </w:tc>
        <w:tc>
          <w:tcPr>
            <w:tcW w:w="529" w:type="pct"/>
            <w:gridSpan w:val="2"/>
            <w:tcBorders>
              <w:top w:val="nil"/>
              <w:left w:val="nil"/>
              <w:bottom w:val="single" w:sz="8" w:space="0" w:color="auto"/>
              <w:right w:val="single" w:sz="8" w:space="0" w:color="auto"/>
            </w:tcBorders>
            <w:vAlign w:val="center"/>
            <w:hideMark/>
          </w:tcPr>
          <w:p w14:paraId="2495CD0D" w14:textId="77777777" w:rsidR="00656AA8" w:rsidRPr="00D549BE" w:rsidRDefault="00656AA8" w:rsidP="00434248">
            <w:pPr>
              <w:spacing w:before="0" w:after="0"/>
              <w:jc w:val="right"/>
              <w:rPr>
                <w:noProof/>
                <w:color w:val="000000"/>
                <w:sz w:val="18"/>
                <w:szCs w:val="18"/>
              </w:rPr>
            </w:pPr>
            <w:r w:rsidRPr="00D549BE">
              <w:rPr>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14:paraId="21E832D5" w14:textId="77777777" w:rsidR="00656AA8" w:rsidRPr="00D549BE" w:rsidRDefault="00656AA8" w:rsidP="00434248">
            <w:pPr>
              <w:spacing w:before="0" w:after="0"/>
              <w:jc w:val="center"/>
              <w:rPr>
                <w:noProof/>
                <w:color w:val="000000"/>
                <w:sz w:val="14"/>
                <w:szCs w:val="14"/>
              </w:rPr>
            </w:pPr>
            <w:r w:rsidRPr="00D549BE">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63F2D750" w14:textId="77777777" w:rsidR="00656AA8" w:rsidRPr="00D549BE" w:rsidRDefault="00656AA8" w:rsidP="00434248">
            <w:pPr>
              <w:spacing w:before="0" w:after="0"/>
              <w:jc w:val="right"/>
              <w:rPr>
                <w:b/>
                <w:bCs/>
                <w:noProof/>
                <w:color w:val="000000"/>
                <w:sz w:val="20"/>
                <w:szCs w:val="20"/>
              </w:rPr>
            </w:pPr>
            <w:r w:rsidRPr="00D549BE">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63B1244" w14:textId="77777777" w:rsidR="00656AA8" w:rsidRPr="00D549BE" w:rsidRDefault="00656AA8" w:rsidP="00434248">
            <w:pPr>
              <w:spacing w:before="0" w:after="0"/>
              <w:jc w:val="right"/>
              <w:rPr>
                <w:b/>
                <w:bCs/>
                <w:noProof/>
                <w:color w:val="000000"/>
                <w:sz w:val="20"/>
                <w:szCs w:val="20"/>
              </w:rPr>
            </w:pPr>
            <w:r w:rsidRPr="00D549BE">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5338C4B8" w14:textId="77777777" w:rsidR="00656AA8" w:rsidRPr="00D549BE" w:rsidRDefault="00656AA8" w:rsidP="00434248">
            <w:pPr>
              <w:spacing w:before="0" w:after="0"/>
              <w:jc w:val="right"/>
              <w:rPr>
                <w:b/>
                <w:bCs/>
                <w:noProof/>
                <w:color w:val="000000"/>
                <w:sz w:val="20"/>
                <w:szCs w:val="20"/>
              </w:rPr>
            </w:pPr>
            <w:r w:rsidRPr="00D549BE">
              <w:rPr>
                <w:b/>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43DFB729" w14:textId="77777777" w:rsidR="00656AA8" w:rsidRPr="00D549BE" w:rsidRDefault="00656AA8" w:rsidP="00434248">
            <w:pPr>
              <w:spacing w:before="0" w:after="0"/>
              <w:jc w:val="right"/>
              <w:rPr>
                <w:b/>
                <w:bCs/>
                <w:noProof/>
                <w:color w:val="000000"/>
                <w:sz w:val="20"/>
                <w:szCs w:val="20"/>
              </w:rPr>
            </w:pPr>
            <w:r w:rsidRPr="00D549BE">
              <w:rPr>
                <w:b/>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8828472"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0221581D" w14:textId="77777777" w:rsidTr="00434248">
        <w:trPr>
          <w:trHeight w:val="288"/>
        </w:trPr>
        <w:tc>
          <w:tcPr>
            <w:tcW w:w="1419" w:type="pct"/>
            <w:vMerge w:val="restart"/>
            <w:tcBorders>
              <w:top w:val="nil"/>
              <w:left w:val="single" w:sz="8" w:space="0" w:color="auto"/>
              <w:right w:val="single" w:sz="8" w:space="0" w:color="auto"/>
            </w:tcBorders>
            <w:vAlign w:val="center"/>
            <w:hideMark/>
          </w:tcPr>
          <w:p w14:paraId="60BF13EC" w14:textId="77777777" w:rsidR="00656AA8" w:rsidRPr="00D549BE" w:rsidRDefault="00656AA8" w:rsidP="00434248">
            <w:pPr>
              <w:spacing w:before="0" w:after="0"/>
              <w:jc w:val="center"/>
              <w:rPr>
                <w:b/>
                <w:bCs/>
                <w:noProof/>
                <w:color w:val="000000"/>
                <w:sz w:val="22"/>
              </w:rPr>
            </w:pPr>
            <w:r w:rsidRPr="00D549BE">
              <w:rPr>
                <w:b/>
                <w:color w:val="000000"/>
                <w:sz w:val="22"/>
              </w:rPr>
              <w:t>TOTAL des crédits</w:t>
            </w:r>
          </w:p>
          <w:p w14:paraId="1D6C2924" w14:textId="77777777" w:rsidR="00656AA8" w:rsidRPr="00D549BE" w:rsidRDefault="00656AA8" w:rsidP="00434248">
            <w:pPr>
              <w:spacing w:before="0" w:after="0"/>
              <w:jc w:val="center"/>
              <w:rPr>
                <w:b/>
                <w:bCs/>
                <w:noProof/>
                <w:color w:val="000000"/>
                <w:sz w:val="22"/>
              </w:rPr>
            </w:pPr>
            <w:r w:rsidRPr="00D549BE">
              <w:rPr>
                <w:b/>
                <w:color w:val="000000"/>
                <w:sz w:val="22"/>
              </w:rPr>
              <w:t xml:space="preserve">pour la DG </w:t>
            </w:r>
            <w:r w:rsidRPr="00D549BE">
              <w:rPr>
                <w:color w:val="000000"/>
                <w:sz w:val="22"/>
              </w:rPr>
              <w:t>&lt;…….&gt;</w:t>
            </w:r>
          </w:p>
        </w:tc>
        <w:tc>
          <w:tcPr>
            <w:tcW w:w="529" w:type="pct"/>
            <w:gridSpan w:val="2"/>
            <w:tcBorders>
              <w:top w:val="nil"/>
              <w:left w:val="nil"/>
              <w:bottom w:val="single" w:sz="8" w:space="0" w:color="auto"/>
              <w:right w:val="single" w:sz="8" w:space="0" w:color="auto"/>
            </w:tcBorders>
            <w:vAlign w:val="center"/>
            <w:hideMark/>
          </w:tcPr>
          <w:p w14:paraId="59730CD7"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14:paraId="2DC067E0" w14:textId="77777777" w:rsidR="00656AA8" w:rsidRPr="00D549BE" w:rsidRDefault="00656AA8" w:rsidP="00434248">
            <w:pPr>
              <w:spacing w:before="0" w:after="0"/>
              <w:jc w:val="center"/>
              <w:rPr>
                <w:noProof/>
                <w:color w:val="000000"/>
                <w:sz w:val="14"/>
                <w:szCs w:val="14"/>
              </w:rPr>
            </w:pPr>
            <w:r w:rsidRPr="00D549BE">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95DD910"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05D08B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7C2510E6"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35064A61"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4D604AC5"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07B27801" w14:textId="77777777" w:rsidTr="00434248">
        <w:trPr>
          <w:trHeight w:val="288"/>
        </w:trPr>
        <w:tc>
          <w:tcPr>
            <w:tcW w:w="1419" w:type="pct"/>
            <w:vMerge/>
            <w:tcBorders>
              <w:left w:val="single" w:sz="8" w:space="0" w:color="auto"/>
              <w:bottom w:val="single" w:sz="8" w:space="0" w:color="auto"/>
              <w:right w:val="single" w:sz="8" w:space="0" w:color="auto"/>
            </w:tcBorders>
            <w:vAlign w:val="center"/>
            <w:hideMark/>
          </w:tcPr>
          <w:p w14:paraId="543DFD44" w14:textId="77777777" w:rsidR="00656AA8" w:rsidRPr="00D549BE" w:rsidRDefault="00656AA8" w:rsidP="00434248">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692A0467"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14:paraId="0BF7C713" w14:textId="77777777" w:rsidR="00656AA8" w:rsidRPr="00D549BE" w:rsidRDefault="00656AA8" w:rsidP="00434248">
            <w:pPr>
              <w:spacing w:before="0" w:after="0"/>
              <w:jc w:val="center"/>
              <w:rPr>
                <w:noProof/>
                <w:color w:val="000000"/>
                <w:sz w:val="14"/>
                <w:szCs w:val="14"/>
              </w:rPr>
            </w:pPr>
            <w:r w:rsidRPr="00D549BE">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B9CEDB5"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E580F60"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63528873"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704994EB"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51E2DFD9"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49F58F9A" w14:textId="77777777" w:rsidTr="00434248">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64B26E9D" w14:textId="77777777" w:rsidR="00656AA8" w:rsidRPr="00D549BE" w:rsidRDefault="00656AA8" w:rsidP="00434248">
            <w:pPr>
              <w:spacing w:before="0" w:after="0"/>
              <w:jc w:val="center"/>
              <w:rPr>
                <w:b/>
                <w:bCs/>
                <w:noProof/>
                <w:color w:val="000000"/>
                <w:sz w:val="22"/>
              </w:rPr>
            </w:pPr>
            <w:r w:rsidRPr="00D549BE">
              <w:rPr>
                <w:b/>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2C4A7C57"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4090E062"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10FCF415"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14:paraId="532C935C"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01E0011"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09F3DB1B" w14:textId="77777777" w:rsidTr="00434248">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6C92D17F" w14:textId="77777777" w:rsidR="00656AA8" w:rsidRPr="00D549BE" w:rsidRDefault="00656AA8" w:rsidP="00434248">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577BEB13"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47F60E25"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45897DE7"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46AFE64D"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6522FA94"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2E4AE30E" w14:textId="77777777" w:rsidTr="00434248">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6B295E64" w14:textId="77777777" w:rsidR="00656AA8" w:rsidRPr="00D549BE" w:rsidRDefault="00656AA8" w:rsidP="00434248">
            <w:pPr>
              <w:spacing w:before="0" w:after="0"/>
              <w:rPr>
                <w:noProof/>
                <w:color w:val="000000"/>
                <w:sz w:val="21"/>
                <w:szCs w:val="21"/>
              </w:rPr>
            </w:pPr>
            <w:r w:rsidRPr="00D549BE">
              <w:rPr>
                <w:color w:val="000000"/>
                <w:sz w:val="21"/>
              </w:rPr>
              <w:t xml:space="preserve">TOTAL des crédits opérationnels </w:t>
            </w:r>
            <w:r w:rsidRPr="00D549BE">
              <w:t xml:space="preserve"> </w:t>
            </w:r>
            <w:r w:rsidRPr="00D549BE">
              <w:br/>
            </w:r>
          </w:p>
        </w:tc>
        <w:tc>
          <w:tcPr>
            <w:tcW w:w="529" w:type="pct"/>
            <w:gridSpan w:val="2"/>
            <w:tcBorders>
              <w:top w:val="nil"/>
              <w:left w:val="nil"/>
              <w:bottom w:val="single" w:sz="8" w:space="0" w:color="auto"/>
              <w:right w:val="single" w:sz="8" w:space="0" w:color="auto"/>
            </w:tcBorders>
            <w:vAlign w:val="center"/>
            <w:hideMark/>
          </w:tcPr>
          <w:p w14:paraId="2D171C63"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6AA8D7C1" w14:textId="77777777" w:rsidR="00656AA8" w:rsidRPr="00D549BE" w:rsidRDefault="00656AA8" w:rsidP="00434248">
            <w:pPr>
              <w:spacing w:before="0" w:after="0"/>
              <w:jc w:val="center"/>
              <w:rPr>
                <w:noProof/>
                <w:color w:val="000000"/>
                <w:sz w:val="14"/>
                <w:szCs w:val="14"/>
              </w:rPr>
            </w:pPr>
            <w:r w:rsidRPr="00D549BE">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A6A067D"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087E186"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7E38BAC"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6F7235F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B8CA963"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38617197" w14:textId="77777777" w:rsidTr="00434248">
        <w:trPr>
          <w:trHeight w:val="456"/>
        </w:trPr>
        <w:tc>
          <w:tcPr>
            <w:tcW w:w="1411" w:type="pct"/>
            <w:vMerge/>
            <w:tcBorders>
              <w:top w:val="nil"/>
              <w:left w:val="single" w:sz="8" w:space="0" w:color="auto"/>
              <w:bottom w:val="single" w:sz="8" w:space="0" w:color="auto"/>
              <w:right w:val="single" w:sz="8" w:space="0" w:color="auto"/>
            </w:tcBorders>
            <w:vAlign w:val="center"/>
            <w:hideMark/>
          </w:tcPr>
          <w:p w14:paraId="09F54A62" w14:textId="77777777" w:rsidR="00656AA8" w:rsidRPr="00D549BE" w:rsidRDefault="00656AA8" w:rsidP="00434248">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22335138"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25BF8CFD" w14:textId="77777777" w:rsidR="00656AA8" w:rsidRPr="00D549BE" w:rsidRDefault="00656AA8" w:rsidP="00434248">
            <w:pPr>
              <w:spacing w:before="0" w:after="0"/>
              <w:jc w:val="center"/>
              <w:rPr>
                <w:noProof/>
                <w:color w:val="000000"/>
                <w:sz w:val="14"/>
                <w:szCs w:val="14"/>
              </w:rPr>
            </w:pPr>
            <w:r w:rsidRPr="00D549BE">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0908FDD"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4EBF5D8"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B4309CD"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5DBEF5E"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617AA038"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2012259F" w14:textId="77777777" w:rsidTr="00434248">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0D4F8141" w14:textId="77777777" w:rsidR="00656AA8" w:rsidRPr="00D549BE" w:rsidRDefault="00656AA8" w:rsidP="00434248">
            <w:pPr>
              <w:spacing w:before="0" w:after="0"/>
              <w:rPr>
                <w:noProof/>
                <w:color w:val="000000"/>
                <w:sz w:val="21"/>
                <w:szCs w:val="21"/>
              </w:rPr>
            </w:pPr>
            <w:r w:rsidRPr="00D549BE">
              <w:rPr>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14:paraId="3E1E5475" w14:textId="77777777" w:rsidR="00656AA8" w:rsidRPr="00D549BE" w:rsidRDefault="00656AA8" w:rsidP="00434248">
            <w:pPr>
              <w:spacing w:before="0" w:after="0"/>
              <w:jc w:val="center"/>
              <w:rPr>
                <w:noProof/>
                <w:color w:val="000000"/>
                <w:sz w:val="14"/>
                <w:szCs w:val="14"/>
              </w:rPr>
            </w:pPr>
            <w:r w:rsidRPr="00D549BE">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C9AEF09"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ED100A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3125B49"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244D2D7"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5595B59"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5D33EDFC" w14:textId="77777777" w:rsidTr="0043424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733A18C1" w14:textId="77777777" w:rsidR="00656AA8" w:rsidRPr="00D549BE" w:rsidRDefault="00656AA8" w:rsidP="00434248">
            <w:pPr>
              <w:spacing w:before="0" w:after="0"/>
              <w:jc w:val="center"/>
              <w:rPr>
                <w:b/>
                <w:bCs/>
                <w:noProof/>
                <w:color w:val="000000"/>
                <w:sz w:val="22"/>
              </w:rPr>
            </w:pPr>
            <w:r w:rsidRPr="00D549BE">
              <w:rPr>
                <w:b/>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14:paraId="16D495B5"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74800250" w14:textId="77777777" w:rsidR="00656AA8" w:rsidRPr="00D549BE" w:rsidRDefault="00656AA8" w:rsidP="00434248">
            <w:pPr>
              <w:spacing w:before="0" w:after="0"/>
              <w:jc w:val="center"/>
              <w:rPr>
                <w:noProof/>
                <w:color w:val="000000"/>
                <w:sz w:val="14"/>
                <w:szCs w:val="14"/>
              </w:rPr>
            </w:pPr>
            <w:r w:rsidRPr="00D549BE">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DE5B4CA"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055A1CB"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02CBEB1"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1F9C4CE4"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A3E9055"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03A3B6A3" w14:textId="77777777" w:rsidTr="0043424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C3DC5F9" w14:textId="77777777" w:rsidR="00656AA8" w:rsidRPr="00D549BE" w:rsidRDefault="00656AA8" w:rsidP="00434248">
            <w:pPr>
              <w:spacing w:before="0" w:after="0"/>
              <w:jc w:val="center"/>
              <w:rPr>
                <w:noProof/>
                <w:color w:val="000000"/>
                <w:sz w:val="22"/>
              </w:rPr>
            </w:pPr>
            <w:r w:rsidRPr="00D549BE">
              <w:rPr>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14:paraId="58E0AABC"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3E02E0DD" w14:textId="77777777" w:rsidR="00656AA8" w:rsidRPr="00D549BE" w:rsidRDefault="00656AA8" w:rsidP="00434248">
            <w:pPr>
              <w:spacing w:before="0" w:after="0"/>
              <w:jc w:val="center"/>
              <w:rPr>
                <w:noProof/>
                <w:color w:val="000000"/>
                <w:sz w:val="14"/>
                <w:szCs w:val="14"/>
              </w:rPr>
            </w:pPr>
            <w:r w:rsidRPr="00D549BE">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F794DB6"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BA70746"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1CEDF33"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855680A"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F853089"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700456E2" w14:textId="77777777" w:rsidTr="00434248">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3AA24DE7" w14:textId="77777777" w:rsidR="00656AA8" w:rsidRPr="00D549BE" w:rsidRDefault="00656AA8" w:rsidP="00434248">
            <w:pPr>
              <w:spacing w:before="0" w:after="0"/>
              <w:jc w:val="center"/>
              <w:rPr>
                <w:b/>
                <w:bCs/>
                <w:noProof/>
                <w:color w:val="000000"/>
                <w:sz w:val="22"/>
              </w:rPr>
            </w:pPr>
            <w:r w:rsidRPr="00D549BE">
              <w:rPr>
                <w:b/>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7F9363B7"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54656AA6"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14:paraId="51B95638"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14:paraId="4E2D7C1B"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1FF08E0"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77802D6C" w14:textId="77777777" w:rsidTr="00434248">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71861050" w14:textId="77777777" w:rsidR="00656AA8" w:rsidRPr="00D549BE" w:rsidRDefault="00656AA8" w:rsidP="00434248">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3F2CC2C6"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33390D8E"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2EC9E272"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1200EB6F"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4854C7C2"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27965A52" w14:textId="77777777" w:rsidTr="00434248">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0B5B812C" w14:textId="77777777" w:rsidR="00656AA8" w:rsidRPr="00D549BE" w:rsidRDefault="00656AA8" w:rsidP="00434248">
            <w:pPr>
              <w:spacing w:before="0" w:after="0"/>
              <w:rPr>
                <w:noProof/>
                <w:color w:val="000000"/>
                <w:sz w:val="21"/>
                <w:szCs w:val="21"/>
              </w:rPr>
            </w:pPr>
            <w:r w:rsidRPr="00D549BE">
              <w:rPr>
                <w:color w:val="000000"/>
                <w:sz w:val="21"/>
              </w:rPr>
              <w:t xml:space="preserve">TOTAL des crédits opérationnels </w:t>
            </w:r>
            <w:r w:rsidRPr="00D549BE">
              <w:t xml:space="preserve"> </w:t>
            </w:r>
            <w:r w:rsidRPr="00D549BE">
              <w:br/>
            </w:r>
          </w:p>
        </w:tc>
        <w:tc>
          <w:tcPr>
            <w:tcW w:w="529" w:type="pct"/>
            <w:gridSpan w:val="2"/>
            <w:tcBorders>
              <w:top w:val="nil"/>
              <w:left w:val="nil"/>
              <w:bottom w:val="single" w:sz="8" w:space="0" w:color="auto"/>
              <w:right w:val="single" w:sz="8" w:space="0" w:color="auto"/>
            </w:tcBorders>
            <w:vAlign w:val="center"/>
            <w:hideMark/>
          </w:tcPr>
          <w:p w14:paraId="50772F0E"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0754FD2A" w14:textId="77777777" w:rsidR="00656AA8" w:rsidRPr="00D549BE" w:rsidRDefault="00656AA8" w:rsidP="00434248">
            <w:pPr>
              <w:spacing w:before="0" w:after="0"/>
              <w:jc w:val="center"/>
              <w:rPr>
                <w:noProof/>
                <w:color w:val="000000"/>
                <w:sz w:val="14"/>
                <w:szCs w:val="14"/>
              </w:rPr>
            </w:pPr>
            <w:r w:rsidRPr="00D549BE">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280D5E6"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39AC7C1"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3EDD981"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6BE1204"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4C5E95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3776C3E9" w14:textId="77777777" w:rsidTr="00434248">
        <w:trPr>
          <w:trHeight w:val="456"/>
        </w:trPr>
        <w:tc>
          <w:tcPr>
            <w:tcW w:w="1411" w:type="pct"/>
            <w:vMerge/>
            <w:tcBorders>
              <w:top w:val="nil"/>
              <w:left w:val="single" w:sz="8" w:space="0" w:color="auto"/>
              <w:bottom w:val="single" w:sz="8" w:space="0" w:color="auto"/>
              <w:right w:val="single" w:sz="8" w:space="0" w:color="auto"/>
            </w:tcBorders>
            <w:vAlign w:val="center"/>
            <w:hideMark/>
          </w:tcPr>
          <w:p w14:paraId="4E13C4D8" w14:textId="77777777" w:rsidR="00656AA8" w:rsidRPr="00D549BE" w:rsidRDefault="00656AA8" w:rsidP="00434248">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67737021"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52A17DC6" w14:textId="77777777" w:rsidR="00656AA8" w:rsidRPr="00D549BE" w:rsidRDefault="00656AA8" w:rsidP="00434248">
            <w:pPr>
              <w:spacing w:before="0" w:after="0"/>
              <w:jc w:val="center"/>
              <w:rPr>
                <w:noProof/>
                <w:color w:val="000000"/>
                <w:sz w:val="14"/>
                <w:szCs w:val="14"/>
              </w:rPr>
            </w:pPr>
            <w:r w:rsidRPr="00D549BE">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630254"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95D0B7C"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18E6C0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FD2925E"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C4613EA"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1C122FB5" w14:textId="77777777" w:rsidTr="00434248">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62469B8F" w14:textId="77777777" w:rsidR="00656AA8" w:rsidRPr="00D549BE" w:rsidRDefault="00656AA8" w:rsidP="00434248">
            <w:pPr>
              <w:spacing w:before="0" w:after="0"/>
              <w:rPr>
                <w:noProof/>
                <w:color w:val="000000"/>
                <w:sz w:val="21"/>
                <w:szCs w:val="21"/>
              </w:rPr>
            </w:pPr>
            <w:r w:rsidRPr="00D549BE">
              <w:rPr>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14:paraId="49CA9597" w14:textId="77777777" w:rsidR="00656AA8" w:rsidRPr="00D549BE" w:rsidRDefault="00656AA8" w:rsidP="00434248">
            <w:pPr>
              <w:spacing w:before="0" w:after="0"/>
              <w:jc w:val="center"/>
              <w:rPr>
                <w:noProof/>
                <w:color w:val="000000"/>
                <w:sz w:val="14"/>
                <w:szCs w:val="14"/>
              </w:rPr>
            </w:pPr>
            <w:r w:rsidRPr="00D549BE">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BD9971F"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5877539"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8A8FA61"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59A1995"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3D42167"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40C6647D" w14:textId="77777777" w:rsidTr="0043424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00BCEA94" w14:textId="77777777" w:rsidR="00656AA8" w:rsidRPr="00D549BE" w:rsidRDefault="00656AA8" w:rsidP="00434248">
            <w:pPr>
              <w:spacing w:before="0" w:after="0"/>
              <w:jc w:val="center"/>
              <w:rPr>
                <w:b/>
                <w:bCs/>
                <w:noProof/>
                <w:color w:val="000000"/>
                <w:sz w:val="22"/>
              </w:rPr>
            </w:pPr>
            <w:r w:rsidRPr="00D549BE">
              <w:rPr>
                <w:b/>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14:paraId="6A7FEF9A"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14:paraId="4917DDDC" w14:textId="77777777" w:rsidR="00656AA8" w:rsidRPr="00D549BE" w:rsidRDefault="00656AA8" w:rsidP="00434248">
            <w:pPr>
              <w:spacing w:before="0" w:after="0"/>
              <w:jc w:val="center"/>
              <w:rPr>
                <w:noProof/>
                <w:color w:val="000000"/>
                <w:sz w:val="14"/>
                <w:szCs w:val="14"/>
              </w:rPr>
            </w:pPr>
            <w:r w:rsidRPr="00D549BE">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3A709FA"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A36997B"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BAADF79"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54BEBF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3CA92A3E"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70977E30" w14:textId="77777777" w:rsidTr="0043424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1609F2B1" w14:textId="77777777" w:rsidR="00656AA8" w:rsidRPr="00D549BE" w:rsidRDefault="00656AA8" w:rsidP="00434248">
            <w:pPr>
              <w:spacing w:before="0" w:after="0"/>
              <w:jc w:val="center"/>
              <w:rPr>
                <w:noProof/>
                <w:color w:val="000000"/>
                <w:sz w:val="22"/>
              </w:rPr>
            </w:pPr>
            <w:r w:rsidRPr="00D549BE">
              <w:rPr>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14:paraId="16B03DA1"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14:paraId="02390E5A" w14:textId="77777777" w:rsidR="00656AA8" w:rsidRPr="00D549BE" w:rsidRDefault="00656AA8" w:rsidP="00434248">
            <w:pPr>
              <w:spacing w:before="0" w:after="0"/>
              <w:jc w:val="center"/>
              <w:rPr>
                <w:noProof/>
                <w:color w:val="000000"/>
                <w:sz w:val="14"/>
                <w:szCs w:val="14"/>
              </w:rPr>
            </w:pPr>
            <w:r w:rsidRPr="00D549BE">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1E84366"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6E7C72"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7A8EA77"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637DB42"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47E3288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0D1335B9" w14:textId="77777777" w:rsidTr="00434248">
        <w:trPr>
          <w:trHeight w:val="288"/>
        </w:trPr>
        <w:tc>
          <w:tcPr>
            <w:tcW w:w="1522" w:type="pct"/>
            <w:gridSpan w:val="2"/>
            <w:tcBorders>
              <w:top w:val="nil"/>
              <w:left w:val="nil"/>
              <w:bottom w:val="nil"/>
              <w:right w:val="nil"/>
            </w:tcBorders>
            <w:noWrap/>
            <w:vAlign w:val="bottom"/>
            <w:hideMark/>
          </w:tcPr>
          <w:p w14:paraId="7ED0F6E3" w14:textId="77777777" w:rsidR="00656AA8" w:rsidRPr="00D549BE" w:rsidRDefault="00656AA8" w:rsidP="00434248">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14:paraId="319C619F" w14:textId="77777777" w:rsidR="00656AA8" w:rsidRPr="00D549BE" w:rsidRDefault="00656AA8" w:rsidP="00434248">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5759CDAD" w14:textId="77777777" w:rsidR="00656AA8" w:rsidRPr="00D549BE" w:rsidRDefault="00656AA8" w:rsidP="00434248">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2B34598A" w14:textId="77777777" w:rsidR="00656AA8" w:rsidRPr="00D549BE" w:rsidRDefault="00656AA8" w:rsidP="00434248">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125BC7FF"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66143257"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37" w:type="pct"/>
            <w:gridSpan w:val="3"/>
            <w:tcBorders>
              <w:top w:val="single" w:sz="8" w:space="0" w:color="auto"/>
              <w:left w:val="nil"/>
              <w:bottom w:val="nil"/>
              <w:right w:val="single" w:sz="8" w:space="0" w:color="auto"/>
            </w:tcBorders>
            <w:vAlign w:val="center"/>
            <w:hideMark/>
          </w:tcPr>
          <w:p w14:paraId="2FDC0FFE"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437" w:type="pct"/>
            <w:gridSpan w:val="2"/>
            <w:tcBorders>
              <w:top w:val="single" w:sz="8" w:space="0" w:color="auto"/>
              <w:left w:val="nil"/>
              <w:bottom w:val="nil"/>
              <w:right w:val="single" w:sz="8" w:space="0" w:color="auto"/>
            </w:tcBorders>
            <w:vAlign w:val="center"/>
            <w:hideMark/>
          </w:tcPr>
          <w:p w14:paraId="285E5BB1"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46F055AA"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55600FD6" w14:textId="77777777" w:rsidTr="00434248">
        <w:trPr>
          <w:trHeight w:val="300"/>
        </w:trPr>
        <w:tc>
          <w:tcPr>
            <w:tcW w:w="1522" w:type="pct"/>
            <w:gridSpan w:val="2"/>
            <w:tcBorders>
              <w:top w:val="nil"/>
              <w:left w:val="nil"/>
              <w:bottom w:val="nil"/>
              <w:right w:val="nil"/>
            </w:tcBorders>
            <w:noWrap/>
            <w:vAlign w:val="bottom"/>
            <w:hideMark/>
          </w:tcPr>
          <w:p w14:paraId="3500C151" w14:textId="77777777" w:rsidR="00656AA8" w:rsidRPr="00D549BE" w:rsidRDefault="00656AA8" w:rsidP="00434248">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14:paraId="7905025C" w14:textId="77777777" w:rsidR="00656AA8" w:rsidRPr="00D549BE" w:rsidRDefault="00656AA8" w:rsidP="00434248">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50387DA1" w14:textId="77777777" w:rsidR="00656AA8" w:rsidRPr="00D549BE" w:rsidRDefault="00656AA8" w:rsidP="00434248">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22386D38" w14:textId="77777777" w:rsidR="00656AA8" w:rsidRPr="00D549BE" w:rsidRDefault="00656AA8" w:rsidP="00434248">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69C2CE1D"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716A2764"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437" w:type="pct"/>
            <w:gridSpan w:val="3"/>
            <w:tcBorders>
              <w:top w:val="nil"/>
              <w:left w:val="nil"/>
              <w:bottom w:val="single" w:sz="8" w:space="0" w:color="auto"/>
              <w:right w:val="single" w:sz="8" w:space="0" w:color="auto"/>
            </w:tcBorders>
            <w:vAlign w:val="center"/>
            <w:hideMark/>
          </w:tcPr>
          <w:p w14:paraId="10762702"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1FC33EFC"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2054196C"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66D789A0" w14:textId="77777777" w:rsidTr="00434248">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14C6925" w14:textId="77777777" w:rsidR="00656AA8" w:rsidRPr="00D549BE" w:rsidRDefault="00656AA8" w:rsidP="00434248">
            <w:pPr>
              <w:spacing w:before="0" w:after="0"/>
              <w:rPr>
                <w:noProof/>
                <w:color w:val="000000"/>
                <w:sz w:val="21"/>
                <w:szCs w:val="21"/>
              </w:rPr>
            </w:pPr>
            <w:r w:rsidRPr="00D549BE">
              <w:rPr>
                <w:rFonts w:ascii="Calibri" w:hAnsi="Calibri"/>
                <w:color w:val="000000"/>
                <w:sz w:val="21"/>
              </w:rPr>
              <w:t xml:space="preserve">• </w:t>
            </w:r>
            <w:r w:rsidRPr="00D549BE">
              <w:rPr>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14:paraId="4B6A9991"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14:paraId="53922372" w14:textId="77777777" w:rsidR="00656AA8" w:rsidRPr="00D549BE" w:rsidRDefault="00656AA8" w:rsidP="00434248">
            <w:pPr>
              <w:spacing w:before="0" w:after="0"/>
              <w:jc w:val="center"/>
              <w:rPr>
                <w:noProof/>
                <w:color w:val="000000"/>
                <w:sz w:val="14"/>
                <w:szCs w:val="14"/>
              </w:rPr>
            </w:pPr>
            <w:r w:rsidRPr="00D549BE">
              <w:rPr>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866A91A"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5721860"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051DCAC2"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2F82A9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658628C9"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6139243B" w14:textId="77777777" w:rsidTr="00434248">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75C79A76" w14:textId="77777777" w:rsidR="00656AA8" w:rsidRPr="00D549BE" w:rsidRDefault="00656AA8" w:rsidP="00434248">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057D8AD2"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3C4347C5" w14:textId="77777777" w:rsidR="00656AA8" w:rsidRPr="00D549BE" w:rsidRDefault="00656AA8" w:rsidP="00434248">
            <w:pPr>
              <w:spacing w:before="0" w:after="0"/>
              <w:jc w:val="center"/>
              <w:rPr>
                <w:noProof/>
                <w:color w:val="000000"/>
                <w:sz w:val="14"/>
                <w:szCs w:val="14"/>
              </w:rPr>
            </w:pPr>
            <w:r w:rsidRPr="00D549BE">
              <w:rPr>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C253438"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A51388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8F1D048"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FD03A10"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025064D6"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63ED4457" w14:textId="77777777" w:rsidTr="00434248">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682FD801" w14:textId="77777777" w:rsidR="00656AA8" w:rsidRPr="00D549BE" w:rsidRDefault="00656AA8" w:rsidP="00434248">
            <w:pPr>
              <w:spacing w:before="0" w:after="0"/>
              <w:rPr>
                <w:noProof/>
                <w:color w:val="000000"/>
                <w:sz w:val="21"/>
                <w:szCs w:val="21"/>
              </w:rPr>
            </w:pPr>
            <w:r w:rsidRPr="00D549BE">
              <w:rPr>
                <w:rFonts w:ascii="Calibri" w:hAnsi="Calibri"/>
                <w:color w:val="000000"/>
                <w:sz w:val="21"/>
              </w:rPr>
              <w:t xml:space="preserve">• </w:t>
            </w:r>
            <w:r w:rsidRPr="00D549BE">
              <w:rPr>
                <w:color w:val="000000"/>
                <w:sz w:val="21"/>
              </w:rPr>
              <w:t>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14:paraId="0E7E96C7" w14:textId="77777777" w:rsidR="00656AA8" w:rsidRPr="00D549BE" w:rsidRDefault="00656AA8" w:rsidP="00434248">
            <w:pPr>
              <w:spacing w:before="0" w:after="0"/>
              <w:jc w:val="center"/>
              <w:rPr>
                <w:noProof/>
                <w:color w:val="000000"/>
                <w:sz w:val="14"/>
                <w:szCs w:val="14"/>
              </w:rPr>
            </w:pPr>
            <w:r w:rsidRPr="00D549BE">
              <w:rPr>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96AFFCD"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8E41519"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10A0758"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8C89BB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730A0EF8"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6821E141" w14:textId="77777777" w:rsidTr="00434248">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2063AE60" w14:textId="77777777" w:rsidR="00656AA8" w:rsidRPr="00D549BE" w:rsidRDefault="00656AA8" w:rsidP="00434248">
            <w:pPr>
              <w:spacing w:before="0" w:after="0"/>
              <w:jc w:val="center"/>
              <w:rPr>
                <w:b/>
                <w:bCs/>
                <w:noProof/>
                <w:color w:val="000000"/>
                <w:sz w:val="22"/>
              </w:rPr>
            </w:pPr>
            <w:r w:rsidRPr="00D549BE">
              <w:rPr>
                <w:b/>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14:paraId="2B255A84"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14:paraId="530E31EC" w14:textId="77777777" w:rsidR="00656AA8" w:rsidRPr="00D549BE" w:rsidRDefault="00656AA8" w:rsidP="00434248">
            <w:pPr>
              <w:spacing w:before="0" w:after="0"/>
              <w:jc w:val="center"/>
              <w:rPr>
                <w:noProof/>
                <w:color w:val="000000"/>
                <w:sz w:val="14"/>
                <w:szCs w:val="14"/>
              </w:rPr>
            </w:pPr>
            <w:r w:rsidRPr="00D549BE">
              <w:rPr>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29E1EDF"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7133FAE"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87EDAEA"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5A121A4"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71947A39"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r w:rsidR="00656AA8" w:rsidRPr="00D549BE" w14:paraId="218952CC" w14:textId="77777777" w:rsidTr="00434248">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76CB60E3" w14:textId="77777777" w:rsidR="00656AA8" w:rsidRPr="00D549BE" w:rsidRDefault="00656AA8" w:rsidP="00434248">
            <w:pPr>
              <w:spacing w:before="0" w:after="0"/>
              <w:jc w:val="center"/>
              <w:rPr>
                <w:noProof/>
                <w:color w:val="000000"/>
                <w:sz w:val="20"/>
                <w:szCs w:val="20"/>
              </w:rPr>
            </w:pPr>
            <w:r w:rsidRPr="00D549BE">
              <w:rPr>
                <w:color w:val="000000"/>
                <w:sz w:val="20"/>
              </w:rPr>
              <w:t>du cadre financier pluriannuel (montant de référence)</w:t>
            </w:r>
          </w:p>
        </w:tc>
        <w:tc>
          <w:tcPr>
            <w:tcW w:w="471" w:type="pct"/>
            <w:gridSpan w:val="2"/>
            <w:tcBorders>
              <w:top w:val="nil"/>
              <w:left w:val="nil"/>
              <w:bottom w:val="single" w:sz="8" w:space="0" w:color="auto"/>
              <w:right w:val="single" w:sz="8" w:space="0" w:color="auto"/>
            </w:tcBorders>
            <w:vAlign w:val="center"/>
            <w:hideMark/>
          </w:tcPr>
          <w:p w14:paraId="7350E257"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14:paraId="010829CE" w14:textId="77777777" w:rsidR="00656AA8" w:rsidRPr="00D549BE" w:rsidRDefault="00656AA8" w:rsidP="00434248">
            <w:pPr>
              <w:spacing w:before="0" w:after="0"/>
              <w:jc w:val="center"/>
              <w:rPr>
                <w:noProof/>
                <w:color w:val="000000"/>
                <w:sz w:val="14"/>
                <w:szCs w:val="14"/>
              </w:rPr>
            </w:pPr>
            <w:r w:rsidRPr="00D549BE">
              <w:rPr>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138839A"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01D7486"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50C2C41"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F0AAD9B"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77B2CDAD"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r>
    </w:tbl>
    <w:p w14:paraId="2C3A13C8" w14:textId="77777777" w:rsidR="00656AA8" w:rsidRPr="00D549BE" w:rsidRDefault="00656AA8" w:rsidP="00656AA8">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56AA8" w:rsidRPr="00D549BE" w14:paraId="58EF7ED2" w14:textId="77777777" w:rsidTr="00434248">
        <w:trPr>
          <w:jc w:val="center"/>
        </w:trPr>
        <w:tc>
          <w:tcPr>
            <w:tcW w:w="1668" w:type="pct"/>
            <w:vAlign w:val="center"/>
          </w:tcPr>
          <w:p w14:paraId="4B15B7EC" w14:textId="77777777" w:rsidR="00656AA8" w:rsidRPr="00D549BE" w:rsidRDefault="00656AA8" w:rsidP="00434248">
            <w:pPr>
              <w:spacing w:before="60" w:after="60"/>
              <w:jc w:val="center"/>
              <w:rPr>
                <w:b/>
                <w:noProof/>
              </w:rPr>
            </w:pPr>
            <w:r w:rsidRPr="00D549BE">
              <w:br w:type="page"/>
            </w:r>
            <w:r w:rsidRPr="00D549BE">
              <w:rPr>
                <w:b/>
                <w:sz w:val="22"/>
              </w:rPr>
              <w:t xml:space="preserve">Rubrique du cadre financier pluriannuel </w:t>
            </w:r>
          </w:p>
        </w:tc>
        <w:tc>
          <w:tcPr>
            <w:tcW w:w="380" w:type="pct"/>
            <w:vAlign w:val="center"/>
          </w:tcPr>
          <w:p w14:paraId="1B3DB187" w14:textId="77777777" w:rsidR="00656AA8" w:rsidRPr="00D549BE" w:rsidRDefault="00656AA8" w:rsidP="00434248">
            <w:pPr>
              <w:spacing w:before="60" w:after="60"/>
              <w:jc w:val="center"/>
              <w:rPr>
                <w:noProof/>
              </w:rPr>
            </w:pPr>
            <w:r w:rsidRPr="00D549BE">
              <w:rPr>
                <w:b/>
                <w:sz w:val="22"/>
              </w:rPr>
              <w:t>7</w:t>
            </w:r>
          </w:p>
        </w:tc>
        <w:tc>
          <w:tcPr>
            <w:tcW w:w="2749" w:type="pct"/>
            <w:vAlign w:val="center"/>
          </w:tcPr>
          <w:p w14:paraId="28D044E3" w14:textId="77777777" w:rsidR="00656AA8" w:rsidRPr="00D549BE" w:rsidRDefault="00656AA8" w:rsidP="00434248">
            <w:pPr>
              <w:spacing w:before="60" w:after="60"/>
              <w:rPr>
                <w:noProof/>
              </w:rPr>
            </w:pPr>
            <w:r w:rsidRPr="00D549BE">
              <w:rPr>
                <w:sz w:val="22"/>
              </w:rPr>
              <w:t>«Dépenses administratives»</w:t>
            </w:r>
            <w:r w:rsidRPr="00D549BE">
              <w:t xml:space="preserve"> </w:t>
            </w:r>
          </w:p>
        </w:tc>
      </w:tr>
    </w:tbl>
    <w:p w14:paraId="76E12DA1" w14:textId="77777777" w:rsidR="00656AA8" w:rsidRPr="00D549BE" w:rsidRDefault="00656AA8" w:rsidP="00656AA8">
      <w:pPr>
        <w:jc w:val="right"/>
        <w:rPr>
          <w:noProof/>
          <w:sz w:val="20"/>
        </w:rPr>
      </w:pPr>
      <w:r w:rsidRPr="00D549BE">
        <w:rPr>
          <w:sz w:val="20"/>
        </w:rPr>
        <w:t>En Mio EUR (à la 3</w:t>
      </w:r>
      <w:r w:rsidRPr="00D549BE">
        <w:rPr>
          <w:sz w:val="20"/>
          <w:vertAlign w:val="superscript"/>
        </w:rPr>
        <w:t>e</w:t>
      </w:r>
      <w:r w:rsidRPr="00D549BE">
        <w:rPr>
          <w:sz w:val="20"/>
        </w:rPr>
        <w:t> décimale)</w:t>
      </w:r>
    </w:p>
    <w:tbl>
      <w:tblPr>
        <w:tblW w:w="13326"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656AA8" w:rsidRPr="00D549BE" w14:paraId="595276F3" w14:textId="77777777" w:rsidTr="00434248">
        <w:trPr>
          <w:trHeight w:val="288"/>
        </w:trPr>
        <w:tc>
          <w:tcPr>
            <w:tcW w:w="8078"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37A0768B" w14:textId="77777777" w:rsidR="00656AA8" w:rsidRPr="00D549BE" w:rsidRDefault="00656AA8" w:rsidP="00434248">
            <w:pPr>
              <w:spacing w:before="0" w:after="0"/>
              <w:jc w:val="center"/>
              <w:rPr>
                <w:noProof/>
                <w:color w:val="000000"/>
                <w:szCs w:val="24"/>
              </w:rPr>
            </w:pPr>
            <w:r w:rsidRPr="00D549BE">
              <w:rPr>
                <w:color w:val="000000"/>
              </w:rPr>
              <w:t>DG: &lt;…….&gt;</w:t>
            </w:r>
          </w:p>
        </w:tc>
        <w:tc>
          <w:tcPr>
            <w:tcW w:w="1001" w:type="dxa"/>
            <w:tcBorders>
              <w:top w:val="single" w:sz="8" w:space="0" w:color="auto"/>
              <w:left w:val="nil"/>
              <w:bottom w:val="nil"/>
              <w:right w:val="single" w:sz="8" w:space="0" w:color="auto"/>
            </w:tcBorders>
            <w:vAlign w:val="center"/>
            <w:hideMark/>
          </w:tcPr>
          <w:p w14:paraId="21F0927B"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1001" w:type="dxa"/>
            <w:tcBorders>
              <w:top w:val="single" w:sz="8" w:space="0" w:color="auto"/>
              <w:left w:val="nil"/>
              <w:bottom w:val="nil"/>
              <w:right w:val="single" w:sz="8" w:space="0" w:color="auto"/>
            </w:tcBorders>
            <w:vAlign w:val="center"/>
            <w:hideMark/>
          </w:tcPr>
          <w:p w14:paraId="25304650" w14:textId="77777777" w:rsidR="00656AA8" w:rsidRPr="00D549BE" w:rsidRDefault="00656AA8" w:rsidP="00434248">
            <w:pPr>
              <w:spacing w:before="0" w:after="0"/>
              <w:jc w:val="center"/>
              <w:rPr>
                <w:noProof/>
                <w:color w:val="000000" w:themeColor="text1"/>
                <w:sz w:val="20"/>
                <w:szCs w:val="20"/>
              </w:rPr>
            </w:pPr>
            <w:r w:rsidRPr="00D549BE">
              <w:rPr>
                <w:color w:val="000000" w:themeColor="text1"/>
                <w:sz w:val="20"/>
              </w:rPr>
              <w:t>Année</w:t>
            </w:r>
          </w:p>
        </w:tc>
        <w:tc>
          <w:tcPr>
            <w:tcW w:w="1001" w:type="dxa"/>
            <w:tcBorders>
              <w:top w:val="single" w:sz="8" w:space="0" w:color="auto"/>
              <w:left w:val="nil"/>
              <w:bottom w:val="nil"/>
              <w:right w:val="single" w:sz="8" w:space="0" w:color="auto"/>
            </w:tcBorders>
            <w:vAlign w:val="center"/>
            <w:hideMark/>
          </w:tcPr>
          <w:p w14:paraId="4806256E" w14:textId="77777777" w:rsidR="00656AA8" w:rsidRPr="00D549BE" w:rsidRDefault="00656AA8" w:rsidP="00434248">
            <w:pPr>
              <w:spacing w:before="0" w:after="0"/>
              <w:jc w:val="center"/>
              <w:rPr>
                <w:noProof/>
                <w:color w:val="000000" w:themeColor="text1"/>
                <w:sz w:val="20"/>
                <w:szCs w:val="20"/>
              </w:rPr>
            </w:pPr>
            <w:r w:rsidRPr="00D549BE">
              <w:rPr>
                <w:color w:val="000000" w:themeColor="text1"/>
                <w:sz w:val="20"/>
              </w:rPr>
              <w:t>Année</w:t>
            </w:r>
          </w:p>
        </w:tc>
        <w:tc>
          <w:tcPr>
            <w:tcW w:w="1001" w:type="dxa"/>
            <w:tcBorders>
              <w:top w:val="single" w:sz="8" w:space="0" w:color="auto"/>
              <w:left w:val="nil"/>
              <w:bottom w:val="nil"/>
              <w:right w:val="single" w:sz="8" w:space="0" w:color="auto"/>
            </w:tcBorders>
            <w:vAlign w:val="center"/>
            <w:hideMark/>
          </w:tcPr>
          <w:p w14:paraId="2ED6D9E8" w14:textId="77777777" w:rsidR="00656AA8" w:rsidRPr="00D549BE" w:rsidRDefault="00656AA8" w:rsidP="00434248">
            <w:pPr>
              <w:spacing w:before="0" w:after="0"/>
              <w:jc w:val="center"/>
              <w:rPr>
                <w:noProof/>
                <w:color w:val="000000" w:themeColor="text1"/>
                <w:sz w:val="20"/>
                <w:szCs w:val="20"/>
              </w:rPr>
            </w:pPr>
            <w:r w:rsidRPr="00D549BE">
              <w:rPr>
                <w:color w:val="000000" w:themeColor="text1"/>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0372772C" w14:textId="77777777" w:rsidR="00656AA8" w:rsidRPr="00D549BE" w:rsidRDefault="00656AA8" w:rsidP="00434248">
            <w:pPr>
              <w:spacing w:before="0" w:after="0"/>
              <w:jc w:val="center"/>
              <w:rPr>
                <w:b/>
                <w:bCs/>
                <w:noProof/>
                <w:color w:val="000000" w:themeColor="text1"/>
                <w:sz w:val="20"/>
                <w:szCs w:val="20"/>
              </w:rPr>
            </w:pPr>
            <w:r w:rsidRPr="00D549BE">
              <w:rPr>
                <w:b/>
                <w:color w:val="000000" w:themeColor="text1"/>
                <w:sz w:val="20"/>
              </w:rPr>
              <w:t>TOTAL CFP 2021-2027</w:t>
            </w:r>
          </w:p>
        </w:tc>
      </w:tr>
      <w:tr w:rsidR="00656AA8" w:rsidRPr="00D549BE" w14:paraId="1489ABF4" w14:textId="77777777" w:rsidTr="00434248">
        <w:trPr>
          <w:trHeight w:val="300"/>
        </w:trPr>
        <w:tc>
          <w:tcPr>
            <w:tcW w:w="8078" w:type="dxa"/>
            <w:gridSpan w:val="4"/>
            <w:vMerge/>
            <w:tcBorders>
              <w:top w:val="single" w:sz="8" w:space="0" w:color="auto"/>
              <w:left w:val="single" w:sz="8" w:space="0" w:color="auto"/>
              <w:bottom w:val="single" w:sz="8" w:space="0" w:color="auto"/>
              <w:right w:val="single" w:sz="8" w:space="0" w:color="auto"/>
            </w:tcBorders>
            <w:vAlign w:val="center"/>
            <w:hideMark/>
          </w:tcPr>
          <w:p w14:paraId="4BAA294F" w14:textId="77777777" w:rsidR="00656AA8" w:rsidRPr="00D549BE" w:rsidRDefault="00656AA8" w:rsidP="00434248">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14:paraId="59FF9E27"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1001" w:type="dxa"/>
            <w:tcBorders>
              <w:top w:val="nil"/>
              <w:left w:val="nil"/>
              <w:bottom w:val="single" w:sz="8" w:space="0" w:color="auto"/>
              <w:right w:val="single" w:sz="8" w:space="0" w:color="auto"/>
            </w:tcBorders>
            <w:vAlign w:val="center"/>
            <w:hideMark/>
          </w:tcPr>
          <w:p w14:paraId="3E6331EF" w14:textId="77777777" w:rsidR="00656AA8" w:rsidRPr="00D549BE" w:rsidRDefault="00656AA8" w:rsidP="00434248">
            <w:pPr>
              <w:spacing w:before="0" w:after="0"/>
              <w:jc w:val="center"/>
              <w:rPr>
                <w:b/>
                <w:bCs/>
                <w:noProof/>
                <w:color w:val="000000" w:themeColor="text1"/>
                <w:sz w:val="20"/>
                <w:szCs w:val="20"/>
              </w:rPr>
            </w:pPr>
            <w:r w:rsidRPr="00D549BE">
              <w:rPr>
                <w:b/>
                <w:color w:val="000000" w:themeColor="text1"/>
                <w:sz w:val="20"/>
              </w:rPr>
              <w:t>2025</w:t>
            </w:r>
          </w:p>
        </w:tc>
        <w:tc>
          <w:tcPr>
            <w:tcW w:w="1001" w:type="dxa"/>
            <w:tcBorders>
              <w:top w:val="nil"/>
              <w:left w:val="nil"/>
              <w:bottom w:val="single" w:sz="8" w:space="0" w:color="auto"/>
              <w:right w:val="single" w:sz="8" w:space="0" w:color="auto"/>
            </w:tcBorders>
            <w:vAlign w:val="center"/>
            <w:hideMark/>
          </w:tcPr>
          <w:p w14:paraId="7E7F69A6" w14:textId="77777777" w:rsidR="00656AA8" w:rsidRPr="00D549BE" w:rsidRDefault="00656AA8" w:rsidP="00434248">
            <w:pPr>
              <w:spacing w:before="0" w:after="0"/>
              <w:jc w:val="center"/>
              <w:rPr>
                <w:b/>
                <w:bCs/>
                <w:noProof/>
                <w:color w:val="000000" w:themeColor="text1"/>
                <w:sz w:val="20"/>
                <w:szCs w:val="20"/>
              </w:rPr>
            </w:pPr>
            <w:r w:rsidRPr="00D549BE">
              <w:rPr>
                <w:b/>
                <w:color w:val="000000" w:themeColor="text1"/>
                <w:sz w:val="20"/>
              </w:rPr>
              <w:t>2026</w:t>
            </w:r>
          </w:p>
        </w:tc>
        <w:tc>
          <w:tcPr>
            <w:tcW w:w="1001" w:type="dxa"/>
            <w:tcBorders>
              <w:top w:val="nil"/>
              <w:left w:val="nil"/>
              <w:bottom w:val="single" w:sz="8" w:space="0" w:color="auto"/>
              <w:right w:val="single" w:sz="8" w:space="0" w:color="auto"/>
            </w:tcBorders>
            <w:vAlign w:val="center"/>
            <w:hideMark/>
          </w:tcPr>
          <w:p w14:paraId="7904FE9C" w14:textId="77777777" w:rsidR="00656AA8" w:rsidRPr="00D549BE" w:rsidRDefault="00656AA8" w:rsidP="00434248">
            <w:pPr>
              <w:spacing w:before="0" w:after="0"/>
              <w:jc w:val="center"/>
              <w:rPr>
                <w:b/>
                <w:bCs/>
                <w:noProof/>
                <w:color w:val="000000" w:themeColor="text1"/>
                <w:sz w:val="20"/>
                <w:szCs w:val="20"/>
              </w:rPr>
            </w:pPr>
            <w:r w:rsidRPr="00D549BE">
              <w:rPr>
                <w:b/>
                <w:color w:val="000000" w:themeColor="text1"/>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4FA8A9DF" w14:textId="77777777" w:rsidR="00656AA8" w:rsidRPr="00D549BE" w:rsidRDefault="00656AA8" w:rsidP="00434248">
            <w:pPr>
              <w:spacing w:before="0" w:after="0"/>
              <w:jc w:val="left"/>
              <w:rPr>
                <w:b/>
                <w:bCs/>
                <w:noProof/>
                <w:color w:val="000000" w:themeColor="text1"/>
                <w:sz w:val="20"/>
                <w:szCs w:val="20"/>
                <w:lang w:eastAsia="en-IE"/>
              </w:rPr>
            </w:pPr>
          </w:p>
        </w:tc>
      </w:tr>
      <w:tr w:rsidR="00656AA8" w:rsidRPr="00D549BE" w14:paraId="02C19836" w14:textId="77777777" w:rsidTr="00434248">
        <w:trPr>
          <w:trHeight w:val="300"/>
        </w:trPr>
        <w:tc>
          <w:tcPr>
            <w:tcW w:w="8078" w:type="dxa"/>
            <w:gridSpan w:val="4"/>
            <w:tcBorders>
              <w:top w:val="single" w:sz="8" w:space="0" w:color="auto"/>
              <w:left w:val="single" w:sz="8" w:space="0" w:color="auto"/>
              <w:bottom w:val="single" w:sz="8" w:space="0" w:color="auto"/>
              <w:right w:val="single" w:sz="8" w:space="0" w:color="auto"/>
            </w:tcBorders>
            <w:vAlign w:val="center"/>
            <w:hideMark/>
          </w:tcPr>
          <w:p w14:paraId="00965E40" w14:textId="77777777" w:rsidR="00656AA8" w:rsidRPr="00D549BE" w:rsidRDefault="00656AA8" w:rsidP="00434248">
            <w:pPr>
              <w:spacing w:before="0" w:after="0"/>
              <w:jc w:val="left"/>
              <w:rPr>
                <w:rFonts w:ascii="Wingdings" w:hAnsi="Wingdings" w:cs="Calibri"/>
                <w:noProof/>
                <w:color w:val="000000"/>
                <w:sz w:val="22"/>
              </w:rPr>
            </w:pPr>
            <w:r w:rsidRPr="00D549BE">
              <w:rPr>
                <w:rFonts w:ascii="Wingdings" w:hAnsi="Wingdings"/>
                <w:color w:val="000000"/>
                <w:sz w:val="22"/>
              </w:rPr>
              <w:t></w:t>
            </w:r>
            <w:r w:rsidRPr="00D549BE">
              <w:rPr>
                <w:color w:val="000000"/>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14:paraId="23AA6FFA"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C96A289" w14:textId="77777777" w:rsidR="00656AA8" w:rsidRPr="00D549BE" w:rsidRDefault="00656AA8" w:rsidP="00434248">
            <w:pPr>
              <w:spacing w:before="0" w:after="0"/>
              <w:jc w:val="right"/>
              <w:rPr>
                <w:noProof/>
                <w:color w:val="000000" w:themeColor="text1"/>
                <w:sz w:val="20"/>
                <w:szCs w:val="20"/>
              </w:rPr>
            </w:pPr>
            <w:r w:rsidRPr="00D549BE">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19E64983" w14:textId="77777777" w:rsidR="00656AA8" w:rsidRPr="00D549BE" w:rsidRDefault="000B1FF4" w:rsidP="00434248">
            <w:pPr>
              <w:spacing w:before="0" w:after="0"/>
              <w:jc w:val="right"/>
              <w:rPr>
                <w:noProof/>
                <w:color w:val="000000" w:themeColor="text1"/>
                <w:sz w:val="20"/>
                <w:szCs w:val="20"/>
              </w:rPr>
            </w:pPr>
            <w:r w:rsidRPr="00D549BE">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329ED964" w14:textId="77777777" w:rsidR="00656AA8" w:rsidRPr="00D549BE" w:rsidRDefault="000B1FF4" w:rsidP="00434248">
            <w:pPr>
              <w:spacing w:before="0" w:after="0"/>
              <w:jc w:val="right"/>
              <w:rPr>
                <w:noProof/>
                <w:color w:val="000000" w:themeColor="text1"/>
                <w:sz w:val="20"/>
                <w:szCs w:val="20"/>
              </w:rPr>
            </w:pPr>
            <w:r w:rsidRPr="00D549BE">
              <w:rPr>
                <w:color w:val="000000" w:themeColor="text1"/>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1306B104"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r>
      <w:tr w:rsidR="00656AA8" w:rsidRPr="00D549BE" w14:paraId="1BCBFCFB" w14:textId="77777777" w:rsidTr="00434248">
        <w:trPr>
          <w:trHeight w:val="300"/>
        </w:trPr>
        <w:tc>
          <w:tcPr>
            <w:tcW w:w="8078" w:type="dxa"/>
            <w:gridSpan w:val="4"/>
            <w:tcBorders>
              <w:top w:val="single" w:sz="8" w:space="0" w:color="auto"/>
              <w:left w:val="single" w:sz="8" w:space="0" w:color="auto"/>
              <w:bottom w:val="single" w:sz="8" w:space="0" w:color="auto"/>
              <w:right w:val="single" w:sz="8" w:space="0" w:color="auto"/>
            </w:tcBorders>
            <w:vAlign w:val="center"/>
            <w:hideMark/>
          </w:tcPr>
          <w:p w14:paraId="57F8F41B" w14:textId="77777777" w:rsidR="00656AA8" w:rsidRPr="00D549BE" w:rsidRDefault="00656AA8" w:rsidP="00434248">
            <w:pPr>
              <w:spacing w:before="0" w:after="0"/>
              <w:jc w:val="left"/>
              <w:rPr>
                <w:rFonts w:ascii="Wingdings" w:hAnsi="Wingdings" w:cs="Calibri"/>
                <w:noProof/>
                <w:color w:val="000000"/>
                <w:sz w:val="22"/>
              </w:rPr>
            </w:pPr>
            <w:r w:rsidRPr="00D549BE">
              <w:rPr>
                <w:rFonts w:ascii="Wingdings" w:hAnsi="Wingdings"/>
                <w:color w:val="000000"/>
                <w:sz w:val="22"/>
              </w:rPr>
              <w:t></w:t>
            </w:r>
            <w:r w:rsidRPr="00D549BE">
              <w:rPr>
                <w:color w:val="000000"/>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14:paraId="04B99B43" w14:textId="77777777" w:rsidR="00656AA8" w:rsidRPr="00D549BE" w:rsidRDefault="00656AA8" w:rsidP="00434248">
            <w:pPr>
              <w:spacing w:before="0" w:after="0"/>
              <w:jc w:val="right"/>
              <w:rPr>
                <w:noProof/>
                <w:color w:val="000000"/>
                <w:sz w:val="20"/>
                <w:szCs w:val="20"/>
              </w:rPr>
            </w:pPr>
            <w:r w:rsidRPr="00D549BE">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F860F96" w14:textId="77777777" w:rsidR="00656AA8" w:rsidRPr="00D549BE" w:rsidRDefault="00656AA8" w:rsidP="00434248">
            <w:pPr>
              <w:spacing w:before="0" w:after="0"/>
              <w:jc w:val="right"/>
              <w:rPr>
                <w:noProof/>
                <w:color w:val="000000" w:themeColor="text1"/>
                <w:sz w:val="20"/>
                <w:szCs w:val="20"/>
              </w:rPr>
            </w:pPr>
            <w:r w:rsidRPr="00D549BE">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3510DAD0" w14:textId="77777777" w:rsidR="00656AA8" w:rsidRPr="00D549BE" w:rsidRDefault="000B1FF4" w:rsidP="00434248">
            <w:pPr>
              <w:spacing w:before="0" w:after="0"/>
              <w:jc w:val="right"/>
              <w:rPr>
                <w:noProof/>
                <w:color w:val="000000" w:themeColor="text1"/>
                <w:sz w:val="20"/>
                <w:szCs w:val="20"/>
              </w:rPr>
            </w:pPr>
            <w:r w:rsidRPr="00D549BE">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2A737ED" w14:textId="77777777" w:rsidR="00656AA8" w:rsidRPr="00D549BE" w:rsidRDefault="000B1FF4" w:rsidP="00434248">
            <w:pPr>
              <w:spacing w:before="0" w:after="0"/>
              <w:jc w:val="right"/>
              <w:rPr>
                <w:noProof/>
                <w:color w:val="000000" w:themeColor="text1"/>
                <w:sz w:val="20"/>
                <w:szCs w:val="20"/>
              </w:rPr>
            </w:pPr>
            <w:r w:rsidRPr="00D549BE">
              <w:rPr>
                <w:color w:val="000000" w:themeColor="text1"/>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4195B2F"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r>
      <w:tr w:rsidR="00656AA8" w:rsidRPr="00D549BE" w14:paraId="362BBE04" w14:textId="77777777" w:rsidTr="00434248">
        <w:trPr>
          <w:trHeight w:val="300"/>
        </w:trPr>
        <w:tc>
          <w:tcPr>
            <w:tcW w:w="4405" w:type="dxa"/>
            <w:tcBorders>
              <w:top w:val="nil"/>
              <w:left w:val="single" w:sz="8" w:space="0" w:color="auto"/>
              <w:bottom w:val="single" w:sz="8" w:space="0" w:color="auto"/>
              <w:right w:val="single" w:sz="8" w:space="0" w:color="auto"/>
            </w:tcBorders>
            <w:vAlign w:val="center"/>
            <w:hideMark/>
          </w:tcPr>
          <w:p w14:paraId="7BB4FA07" w14:textId="77777777" w:rsidR="00656AA8" w:rsidRPr="00D549BE" w:rsidRDefault="00656AA8" w:rsidP="00434248">
            <w:pPr>
              <w:spacing w:before="0" w:after="0"/>
              <w:jc w:val="center"/>
              <w:rPr>
                <w:b/>
                <w:bCs/>
                <w:noProof/>
                <w:color w:val="000000"/>
                <w:sz w:val="22"/>
              </w:rPr>
            </w:pPr>
            <w:r w:rsidRPr="00D549BE">
              <w:rPr>
                <w:b/>
                <w:color w:val="000000"/>
                <w:sz w:val="22"/>
              </w:rPr>
              <w:t xml:space="preserve">TOTAL DG </w:t>
            </w:r>
            <w:r w:rsidRPr="00D549BE">
              <w:rPr>
                <w:color w:val="000000"/>
                <w:sz w:val="22"/>
              </w:rPr>
              <w:t>&lt;…….&gt;</w:t>
            </w:r>
          </w:p>
        </w:tc>
        <w:tc>
          <w:tcPr>
            <w:tcW w:w="3673" w:type="dxa"/>
            <w:gridSpan w:val="3"/>
            <w:tcBorders>
              <w:top w:val="single" w:sz="8" w:space="0" w:color="auto"/>
              <w:left w:val="nil"/>
              <w:bottom w:val="single" w:sz="8" w:space="0" w:color="auto"/>
              <w:right w:val="single" w:sz="8" w:space="0" w:color="auto"/>
            </w:tcBorders>
            <w:vAlign w:val="center"/>
            <w:hideMark/>
          </w:tcPr>
          <w:p w14:paraId="68E8DE5E" w14:textId="77777777" w:rsidR="00656AA8" w:rsidRPr="00D549BE" w:rsidRDefault="00656AA8" w:rsidP="00434248">
            <w:pPr>
              <w:spacing w:before="0" w:after="0"/>
              <w:jc w:val="left"/>
              <w:rPr>
                <w:noProof/>
                <w:color w:val="000000"/>
                <w:sz w:val="18"/>
                <w:szCs w:val="18"/>
              </w:rPr>
            </w:pPr>
            <w:r w:rsidRPr="00D549BE">
              <w:rPr>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14:paraId="48A7B7DB"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5452220" w14:textId="77777777" w:rsidR="00656AA8" w:rsidRPr="00D549BE" w:rsidRDefault="00656AA8" w:rsidP="00434248">
            <w:pPr>
              <w:spacing w:before="0" w:after="0"/>
              <w:jc w:val="right"/>
              <w:rPr>
                <w:b/>
                <w:bCs/>
                <w:noProof/>
                <w:color w:val="000000" w:themeColor="text1"/>
                <w:sz w:val="20"/>
                <w:szCs w:val="20"/>
              </w:rPr>
            </w:pPr>
            <w:r w:rsidRPr="00D549BE">
              <w:rPr>
                <w:b/>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283B101A"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7CE56D30"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089AD00A"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r>
      <w:tr w:rsidR="00656AA8" w:rsidRPr="00D549BE" w14:paraId="5A56B5E2" w14:textId="77777777" w:rsidTr="00434248">
        <w:trPr>
          <w:trHeight w:val="300"/>
        </w:trPr>
        <w:tc>
          <w:tcPr>
            <w:tcW w:w="4405" w:type="dxa"/>
            <w:tcBorders>
              <w:top w:val="nil"/>
              <w:left w:val="nil"/>
              <w:bottom w:val="nil"/>
              <w:right w:val="nil"/>
            </w:tcBorders>
            <w:noWrap/>
            <w:vAlign w:val="bottom"/>
            <w:hideMark/>
          </w:tcPr>
          <w:p w14:paraId="472563A3" w14:textId="77777777" w:rsidR="00656AA8" w:rsidRPr="00D549BE" w:rsidRDefault="00656AA8" w:rsidP="00434248">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14:paraId="006C494C" w14:textId="77777777" w:rsidR="00656AA8" w:rsidRPr="00D549BE" w:rsidRDefault="00656AA8" w:rsidP="00434248">
            <w:pPr>
              <w:spacing w:before="0" w:after="0"/>
              <w:jc w:val="left"/>
              <w:rPr>
                <w:noProof/>
                <w:sz w:val="20"/>
                <w:szCs w:val="20"/>
                <w:lang w:eastAsia="en-IE"/>
              </w:rPr>
            </w:pPr>
          </w:p>
        </w:tc>
        <w:tc>
          <w:tcPr>
            <w:tcW w:w="598" w:type="dxa"/>
            <w:tcBorders>
              <w:top w:val="nil"/>
              <w:left w:val="nil"/>
              <w:bottom w:val="nil"/>
              <w:right w:val="nil"/>
            </w:tcBorders>
            <w:noWrap/>
            <w:vAlign w:val="bottom"/>
            <w:hideMark/>
          </w:tcPr>
          <w:p w14:paraId="55449D5C" w14:textId="77777777" w:rsidR="00656AA8" w:rsidRPr="00D549BE" w:rsidRDefault="00656AA8" w:rsidP="00434248">
            <w:pPr>
              <w:spacing w:before="0" w:after="0"/>
              <w:jc w:val="left"/>
              <w:rPr>
                <w:noProof/>
                <w:sz w:val="20"/>
                <w:szCs w:val="20"/>
                <w:lang w:eastAsia="en-IE"/>
              </w:rPr>
            </w:pPr>
          </w:p>
        </w:tc>
        <w:tc>
          <w:tcPr>
            <w:tcW w:w="598" w:type="dxa"/>
            <w:tcBorders>
              <w:top w:val="nil"/>
              <w:left w:val="nil"/>
              <w:bottom w:val="nil"/>
              <w:right w:val="nil"/>
            </w:tcBorders>
            <w:noWrap/>
            <w:vAlign w:val="bottom"/>
            <w:hideMark/>
          </w:tcPr>
          <w:p w14:paraId="4455A777" w14:textId="77777777" w:rsidR="00656AA8" w:rsidRPr="00D549BE" w:rsidRDefault="00656AA8" w:rsidP="00434248">
            <w:pPr>
              <w:spacing w:before="0" w:after="0"/>
              <w:jc w:val="left"/>
              <w:rPr>
                <w:noProof/>
                <w:sz w:val="20"/>
                <w:szCs w:val="20"/>
                <w:lang w:eastAsia="en-IE"/>
              </w:rPr>
            </w:pPr>
          </w:p>
        </w:tc>
        <w:tc>
          <w:tcPr>
            <w:tcW w:w="1001" w:type="dxa"/>
            <w:tcBorders>
              <w:top w:val="nil"/>
              <w:left w:val="nil"/>
              <w:bottom w:val="nil"/>
              <w:right w:val="nil"/>
            </w:tcBorders>
            <w:noWrap/>
            <w:vAlign w:val="bottom"/>
            <w:hideMark/>
          </w:tcPr>
          <w:p w14:paraId="25066BC1" w14:textId="77777777" w:rsidR="00656AA8" w:rsidRPr="00D549BE" w:rsidRDefault="00656AA8" w:rsidP="00434248">
            <w:pPr>
              <w:spacing w:before="0" w:after="0"/>
              <w:jc w:val="left"/>
              <w:rPr>
                <w:noProof/>
                <w:sz w:val="20"/>
                <w:szCs w:val="20"/>
                <w:lang w:eastAsia="en-IE"/>
              </w:rPr>
            </w:pPr>
          </w:p>
        </w:tc>
        <w:tc>
          <w:tcPr>
            <w:tcW w:w="1001" w:type="dxa"/>
            <w:tcBorders>
              <w:top w:val="nil"/>
              <w:left w:val="nil"/>
              <w:bottom w:val="nil"/>
              <w:right w:val="nil"/>
            </w:tcBorders>
            <w:noWrap/>
            <w:vAlign w:val="bottom"/>
            <w:hideMark/>
          </w:tcPr>
          <w:p w14:paraId="026097B2" w14:textId="77777777" w:rsidR="00656AA8" w:rsidRPr="00D549BE" w:rsidRDefault="00656AA8" w:rsidP="00434248">
            <w:pPr>
              <w:spacing w:before="0" w:after="0"/>
              <w:jc w:val="left"/>
              <w:rPr>
                <w:noProof/>
                <w:color w:val="000000" w:themeColor="text1"/>
                <w:sz w:val="20"/>
                <w:szCs w:val="20"/>
                <w:lang w:eastAsia="en-IE"/>
              </w:rPr>
            </w:pPr>
          </w:p>
        </w:tc>
        <w:tc>
          <w:tcPr>
            <w:tcW w:w="1001" w:type="dxa"/>
            <w:tcBorders>
              <w:top w:val="nil"/>
              <w:left w:val="nil"/>
              <w:bottom w:val="nil"/>
              <w:right w:val="nil"/>
            </w:tcBorders>
            <w:noWrap/>
            <w:vAlign w:val="bottom"/>
            <w:hideMark/>
          </w:tcPr>
          <w:p w14:paraId="4EA82D34" w14:textId="77777777" w:rsidR="00656AA8" w:rsidRPr="00D549BE" w:rsidRDefault="00656AA8" w:rsidP="00434248">
            <w:pPr>
              <w:spacing w:before="0" w:after="0"/>
              <w:jc w:val="left"/>
              <w:rPr>
                <w:noProof/>
                <w:color w:val="000000" w:themeColor="text1"/>
                <w:sz w:val="20"/>
                <w:szCs w:val="20"/>
                <w:lang w:eastAsia="en-IE"/>
              </w:rPr>
            </w:pPr>
          </w:p>
        </w:tc>
        <w:tc>
          <w:tcPr>
            <w:tcW w:w="1001" w:type="dxa"/>
            <w:tcBorders>
              <w:top w:val="nil"/>
              <w:left w:val="nil"/>
              <w:bottom w:val="nil"/>
              <w:right w:val="nil"/>
            </w:tcBorders>
            <w:noWrap/>
            <w:vAlign w:val="bottom"/>
            <w:hideMark/>
          </w:tcPr>
          <w:p w14:paraId="24DAFDCF" w14:textId="77777777" w:rsidR="00656AA8" w:rsidRPr="00D549BE" w:rsidRDefault="00656AA8" w:rsidP="00434248">
            <w:pPr>
              <w:spacing w:before="0" w:after="0"/>
              <w:jc w:val="left"/>
              <w:rPr>
                <w:noProof/>
                <w:color w:val="000000" w:themeColor="text1"/>
                <w:sz w:val="20"/>
                <w:szCs w:val="20"/>
                <w:lang w:eastAsia="en-IE"/>
              </w:rPr>
            </w:pPr>
          </w:p>
        </w:tc>
        <w:tc>
          <w:tcPr>
            <w:tcW w:w="1244" w:type="dxa"/>
            <w:tcBorders>
              <w:top w:val="nil"/>
              <w:left w:val="nil"/>
              <w:bottom w:val="nil"/>
              <w:right w:val="nil"/>
            </w:tcBorders>
            <w:noWrap/>
            <w:vAlign w:val="bottom"/>
            <w:hideMark/>
          </w:tcPr>
          <w:p w14:paraId="0047B77C" w14:textId="77777777" w:rsidR="00656AA8" w:rsidRPr="00D549BE" w:rsidRDefault="00656AA8" w:rsidP="00434248">
            <w:pPr>
              <w:spacing w:before="0" w:after="0"/>
              <w:jc w:val="left"/>
              <w:rPr>
                <w:noProof/>
                <w:color w:val="000000" w:themeColor="text1"/>
                <w:sz w:val="20"/>
                <w:szCs w:val="20"/>
                <w:lang w:eastAsia="en-IE"/>
              </w:rPr>
            </w:pPr>
          </w:p>
        </w:tc>
      </w:tr>
      <w:tr w:rsidR="00656AA8" w:rsidRPr="00D549BE" w14:paraId="353D8917" w14:textId="77777777" w:rsidTr="00434248">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B8C94E4" w14:textId="77777777" w:rsidR="00656AA8" w:rsidRPr="00D549BE" w:rsidRDefault="00656AA8" w:rsidP="00434248">
            <w:pPr>
              <w:spacing w:before="0" w:after="0"/>
              <w:jc w:val="center"/>
              <w:rPr>
                <w:b/>
                <w:bCs/>
                <w:noProof/>
                <w:color w:val="000000"/>
                <w:sz w:val="22"/>
              </w:rPr>
            </w:pPr>
            <w:r w:rsidRPr="00D549BE">
              <w:rPr>
                <w:b/>
                <w:color w:val="000000"/>
                <w:sz w:val="22"/>
              </w:rPr>
              <w:t xml:space="preserve">TOTAL des crédits pour la RUBRIQUE 7 du cadre financier pluriannuel </w:t>
            </w:r>
          </w:p>
        </w:tc>
        <w:tc>
          <w:tcPr>
            <w:tcW w:w="1196" w:type="dxa"/>
            <w:gridSpan w:val="2"/>
            <w:tcBorders>
              <w:top w:val="single" w:sz="8" w:space="0" w:color="auto"/>
              <w:left w:val="nil"/>
              <w:bottom w:val="single" w:sz="8" w:space="0" w:color="auto"/>
              <w:right w:val="single" w:sz="8" w:space="0" w:color="auto"/>
            </w:tcBorders>
            <w:vAlign w:val="center"/>
            <w:hideMark/>
          </w:tcPr>
          <w:p w14:paraId="6B38C55E" w14:textId="77777777" w:rsidR="00656AA8" w:rsidRPr="00D549BE" w:rsidRDefault="00656AA8" w:rsidP="00434248">
            <w:pPr>
              <w:spacing w:before="0" w:after="0"/>
              <w:jc w:val="center"/>
              <w:rPr>
                <w:noProof/>
                <w:color w:val="000000"/>
                <w:sz w:val="18"/>
                <w:szCs w:val="18"/>
              </w:rPr>
            </w:pPr>
            <w:r w:rsidRPr="00D549BE">
              <w:rPr>
                <w:color w:val="000000"/>
                <w:sz w:val="18"/>
              </w:rPr>
              <w:t>(Total engagements = Total paiements)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7BF89F7B" w14:textId="77777777" w:rsidR="00656AA8" w:rsidRPr="00D549BE" w:rsidRDefault="00656AA8" w:rsidP="00434248">
            <w:pPr>
              <w:spacing w:before="0" w:after="0"/>
              <w:jc w:val="right"/>
              <w:rPr>
                <w:b/>
                <w:bCs/>
                <w:noProof/>
                <w:color w:val="000000"/>
                <w:sz w:val="20"/>
                <w:szCs w:val="20"/>
              </w:rPr>
            </w:pPr>
            <w:r w:rsidRPr="00D549BE">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0C0B271A" w14:textId="77777777" w:rsidR="00656AA8" w:rsidRPr="00D549BE" w:rsidRDefault="00656AA8" w:rsidP="00434248">
            <w:pPr>
              <w:spacing w:before="0" w:after="0"/>
              <w:jc w:val="right"/>
              <w:rPr>
                <w:b/>
                <w:bCs/>
                <w:noProof/>
                <w:color w:val="000000" w:themeColor="text1"/>
                <w:sz w:val="20"/>
                <w:szCs w:val="20"/>
              </w:rPr>
            </w:pPr>
            <w:r w:rsidRPr="00D549BE">
              <w:rPr>
                <w:b/>
                <w:color w:val="000000" w:themeColor="text1"/>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2E7B5D6"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E379EB9"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26D0D9BA" w14:textId="77777777" w:rsidR="00656AA8" w:rsidRPr="00D549BE" w:rsidRDefault="000B1FF4" w:rsidP="00434248">
            <w:pPr>
              <w:spacing w:before="0" w:after="0"/>
              <w:jc w:val="right"/>
              <w:rPr>
                <w:b/>
                <w:bCs/>
                <w:noProof/>
                <w:color w:val="000000" w:themeColor="text1"/>
                <w:sz w:val="20"/>
                <w:szCs w:val="20"/>
              </w:rPr>
            </w:pPr>
            <w:r w:rsidRPr="00D549BE">
              <w:rPr>
                <w:b/>
                <w:color w:val="000000" w:themeColor="text1"/>
                <w:sz w:val="20"/>
              </w:rPr>
              <w:t>0,000</w:t>
            </w:r>
          </w:p>
        </w:tc>
      </w:tr>
    </w:tbl>
    <w:p w14:paraId="14C10D00" w14:textId="77777777" w:rsidR="00656AA8" w:rsidRPr="00D549BE" w:rsidRDefault="00656AA8" w:rsidP="00656AA8">
      <w:pPr>
        <w:jc w:val="right"/>
        <w:rPr>
          <w:noProof/>
          <w:sz w:val="20"/>
        </w:rPr>
      </w:pPr>
      <w:r w:rsidRPr="00D549BE">
        <w:rPr>
          <w:sz w:val="20"/>
        </w:rPr>
        <w:t>En Mio EUR (à la 3</w:t>
      </w:r>
      <w:r w:rsidRPr="00D549BE">
        <w:rPr>
          <w:sz w:val="20"/>
          <w:vertAlign w:val="superscript"/>
        </w:rPr>
        <w:t>e</w:t>
      </w:r>
      <w:r w:rsidRPr="00D549BE">
        <w:rPr>
          <w:sz w:val="20"/>
        </w:rPr>
        <w:t> décimale)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656AA8" w:rsidRPr="00D549BE" w14:paraId="51A730D0" w14:textId="77777777" w:rsidTr="00434248">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4D1C8414" w14:textId="77777777" w:rsidR="00656AA8" w:rsidRPr="00D549BE" w:rsidRDefault="00656AA8" w:rsidP="00434248">
            <w:pPr>
              <w:spacing w:before="0" w:after="0"/>
              <w:jc w:val="center"/>
              <w:rPr>
                <w:noProof/>
                <w:color w:val="000000"/>
                <w:szCs w:val="24"/>
              </w:rPr>
            </w:pPr>
            <w:r w:rsidRPr="00D549BE">
              <w:rPr>
                <w:color w:val="000000"/>
              </w:rPr>
              <w:t xml:space="preserve"> </w:t>
            </w:r>
          </w:p>
        </w:tc>
        <w:tc>
          <w:tcPr>
            <w:tcW w:w="1160" w:type="dxa"/>
            <w:tcBorders>
              <w:top w:val="single" w:sz="8" w:space="0" w:color="auto"/>
              <w:left w:val="nil"/>
              <w:bottom w:val="nil"/>
              <w:right w:val="single" w:sz="8" w:space="0" w:color="auto"/>
            </w:tcBorders>
            <w:vAlign w:val="center"/>
            <w:hideMark/>
          </w:tcPr>
          <w:p w14:paraId="5A03CD41"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1160" w:type="dxa"/>
            <w:tcBorders>
              <w:top w:val="single" w:sz="8" w:space="0" w:color="auto"/>
              <w:left w:val="nil"/>
              <w:bottom w:val="nil"/>
              <w:right w:val="single" w:sz="8" w:space="0" w:color="auto"/>
            </w:tcBorders>
            <w:vAlign w:val="center"/>
            <w:hideMark/>
          </w:tcPr>
          <w:p w14:paraId="5EE61638"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1160" w:type="dxa"/>
            <w:tcBorders>
              <w:top w:val="single" w:sz="8" w:space="0" w:color="auto"/>
              <w:left w:val="nil"/>
              <w:bottom w:val="nil"/>
              <w:right w:val="single" w:sz="8" w:space="0" w:color="auto"/>
            </w:tcBorders>
            <w:vAlign w:val="center"/>
            <w:hideMark/>
          </w:tcPr>
          <w:p w14:paraId="3BEF59DB"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1160" w:type="dxa"/>
            <w:tcBorders>
              <w:top w:val="single" w:sz="8" w:space="0" w:color="auto"/>
              <w:left w:val="nil"/>
              <w:bottom w:val="nil"/>
              <w:right w:val="single" w:sz="8" w:space="0" w:color="auto"/>
            </w:tcBorders>
            <w:vAlign w:val="center"/>
            <w:hideMark/>
          </w:tcPr>
          <w:p w14:paraId="6856F588"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1400"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6B164D7A" w14:textId="77777777" w:rsidR="00656AA8" w:rsidRPr="00D549BE" w:rsidRDefault="00656AA8" w:rsidP="00434248">
            <w:pPr>
              <w:spacing w:before="0" w:after="0"/>
              <w:jc w:val="center"/>
              <w:rPr>
                <w:b/>
                <w:bCs/>
                <w:noProof/>
                <w:color w:val="000000"/>
                <w:sz w:val="20"/>
                <w:szCs w:val="20"/>
              </w:rPr>
            </w:pPr>
            <w:r w:rsidRPr="00D549BE">
              <w:rPr>
                <w:b/>
                <w:color w:val="000000"/>
                <w:sz w:val="20"/>
              </w:rPr>
              <w:t>TOTAL CFP 2021-2027</w:t>
            </w:r>
          </w:p>
        </w:tc>
      </w:tr>
      <w:tr w:rsidR="00656AA8" w:rsidRPr="00D549BE" w14:paraId="0039458D" w14:textId="77777777" w:rsidTr="00434248">
        <w:trPr>
          <w:trHeight w:val="300"/>
        </w:trPr>
        <w:tc>
          <w:tcPr>
            <w:tcW w:w="7100" w:type="dxa"/>
            <w:gridSpan w:val="2"/>
            <w:vMerge/>
            <w:vAlign w:val="center"/>
            <w:hideMark/>
          </w:tcPr>
          <w:p w14:paraId="16088032" w14:textId="77777777" w:rsidR="00656AA8" w:rsidRPr="00D549BE" w:rsidRDefault="00656AA8" w:rsidP="00434248">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14:paraId="5F2AAF77"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1160" w:type="dxa"/>
            <w:tcBorders>
              <w:top w:val="nil"/>
              <w:left w:val="nil"/>
              <w:bottom w:val="single" w:sz="8" w:space="0" w:color="auto"/>
              <w:right w:val="single" w:sz="8" w:space="0" w:color="auto"/>
            </w:tcBorders>
            <w:vAlign w:val="center"/>
            <w:hideMark/>
          </w:tcPr>
          <w:p w14:paraId="039A5601"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1160" w:type="dxa"/>
            <w:tcBorders>
              <w:top w:val="nil"/>
              <w:left w:val="nil"/>
              <w:bottom w:val="single" w:sz="8" w:space="0" w:color="auto"/>
              <w:right w:val="single" w:sz="8" w:space="0" w:color="auto"/>
            </w:tcBorders>
            <w:vAlign w:val="center"/>
            <w:hideMark/>
          </w:tcPr>
          <w:p w14:paraId="52E21BCF"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1160" w:type="dxa"/>
            <w:tcBorders>
              <w:top w:val="nil"/>
              <w:left w:val="nil"/>
              <w:bottom w:val="single" w:sz="8" w:space="0" w:color="auto"/>
              <w:right w:val="single" w:sz="8" w:space="0" w:color="auto"/>
            </w:tcBorders>
            <w:vAlign w:val="center"/>
            <w:hideMark/>
          </w:tcPr>
          <w:p w14:paraId="4751BDEC"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c>
          <w:tcPr>
            <w:tcW w:w="1400" w:type="dxa"/>
            <w:vMerge/>
            <w:vAlign w:val="center"/>
            <w:hideMark/>
          </w:tcPr>
          <w:p w14:paraId="25EFEBE4" w14:textId="77777777" w:rsidR="00656AA8" w:rsidRPr="00D549BE" w:rsidRDefault="00656AA8" w:rsidP="00434248">
            <w:pPr>
              <w:spacing w:before="0" w:after="0"/>
              <w:jc w:val="left"/>
              <w:rPr>
                <w:b/>
                <w:bCs/>
                <w:noProof/>
                <w:color w:val="000000"/>
                <w:sz w:val="20"/>
                <w:szCs w:val="20"/>
                <w:lang w:eastAsia="en-IE"/>
              </w:rPr>
            </w:pPr>
          </w:p>
        </w:tc>
      </w:tr>
      <w:tr w:rsidR="00656AA8" w:rsidRPr="00D549BE" w14:paraId="647F0E46" w14:textId="77777777" w:rsidTr="00434248">
        <w:trPr>
          <w:trHeight w:val="564"/>
        </w:trPr>
        <w:tc>
          <w:tcPr>
            <w:tcW w:w="5180" w:type="dxa"/>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02DDCC9" w14:textId="77777777" w:rsidR="00656AA8" w:rsidRPr="00D549BE" w:rsidRDefault="00656AA8" w:rsidP="00434248">
            <w:pPr>
              <w:spacing w:before="0" w:after="0"/>
              <w:jc w:val="center"/>
              <w:rPr>
                <w:b/>
                <w:bCs/>
                <w:noProof/>
                <w:color w:val="000000"/>
                <w:sz w:val="22"/>
              </w:rPr>
            </w:pPr>
            <w:r w:rsidRPr="00D549BE">
              <w:rPr>
                <w:b/>
                <w:color w:val="000000"/>
                <w:sz w:val="22"/>
              </w:rPr>
              <w:t>TOTAL des crédits pour les RUBRIQUES 1 à 7</w:t>
            </w:r>
          </w:p>
        </w:tc>
        <w:tc>
          <w:tcPr>
            <w:tcW w:w="1920" w:type="dxa"/>
            <w:tcBorders>
              <w:top w:val="single" w:sz="8" w:space="0" w:color="auto"/>
              <w:left w:val="nil"/>
              <w:bottom w:val="single" w:sz="8" w:space="0" w:color="auto"/>
              <w:right w:val="single" w:sz="8" w:space="0" w:color="auto"/>
            </w:tcBorders>
            <w:vAlign w:val="center"/>
            <w:hideMark/>
          </w:tcPr>
          <w:p w14:paraId="6A7BC517" w14:textId="77777777" w:rsidR="00656AA8" w:rsidRPr="00D549BE" w:rsidRDefault="00656AA8" w:rsidP="00434248">
            <w:pPr>
              <w:spacing w:before="0" w:after="0"/>
              <w:rPr>
                <w:noProof/>
                <w:color w:val="000000"/>
                <w:sz w:val="18"/>
                <w:szCs w:val="18"/>
              </w:rPr>
            </w:pPr>
            <w:r w:rsidRPr="00D549BE">
              <w:rPr>
                <w:color w:val="000000"/>
                <w:sz w:val="18"/>
              </w:rPr>
              <w:t>Engagements</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2944E2D1" w14:textId="77777777" w:rsidR="00656AA8" w:rsidRPr="00D549BE" w:rsidRDefault="00656AA8" w:rsidP="00434248">
            <w:pPr>
              <w:spacing w:before="0" w:after="0"/>
              <w:jc w:val="right"/>
              <w:rPr>
                <w:b/>
                <w:bCs/>
                <w:noProof/>
              </w:rPr>
            </w:pPr>
            <w:r w:rsidRPr="00D549BE">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52BE2F23" w14:textId="77777777" w:rsidR="00656AA8" w:rsidRPr="00D549BE" w:rsidRDefault="00656AA8" w:rsidP="00434248">
            <w:pPr>
              <w:spacing w:before="0" w:after="0"/>
              <w:jc w:val="right"/>
              <w:rPr>
                <w:b/>
                <w:bCs/>
                <w:noProof/>
              </w:rPr>
            </w:pPr>
            <w:r w:rsidRPr="00D549BE">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652328EE" w14:textId="77777777" w:rsidR="00656AA8" w:rsidRPr="00D549BE" w:rsidRDefault="00656AA8" w:rsidP="00434248">
            <w:pPr>
              <w:spacing w:before="0" w:after="0"/>
              <w:jc w:val="right"/>
              <w:rPr>
                <w:b/>
                <w:bCs/>
                <w:noProof/>
              </w:rPr>
            </w:pPr>
            <w:r w:rsidRPr="00D549BE">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10E61CCA" w14:textId="77777777" w:rsidR="00656AA8" w:rsidRPr="00D549BE" w:rsidRDefault="00656AA8" w:rsidP="00434248">
            <w:pPr>
              <w:spacing w:before="0" w:after="0"/>
              <w:jc w:val="right"/>
              <w:rPr>
                <w:b/>
                <w:bCs/>
                <w:noProof/>
              </w:rPr>
            </w:pPr>
            <w:r w:rsidRPr="00D549BE">
              <w:rPr>
                <w:b/>
              </w:rPr>
              <w:t>0,000</w:t>
            </w:r>
          </w:p>
        </w:tc>
        <w:tc>
          <w:tcPr>
            <w:tcW w:w="1400" w:type="dxa"/>
            <w:tcBorders>
              <w:top w:val="nil"/>
              <w:left w:val="nil"/>
              <w:bottom w:val="single" w:sz="8" w:space="0" w:color="auto"/>
              <w:right w:val="single" w:sz="8" w:space="0" w:color="auto"/>
            </w:tcBorders>
            <w:shd w:val="clear" w:color="auto" w:fill="D9D9D9" w:themeFill="background1" w:themeFillShade="D9"/>
            <w:vAlign w:val="center"/>
            <w:hideMark/>
          </w:tcPr>
          <w:p w14:paraId="66EB1B31" w14:textId="77777777" w:rsidR="00656AA8" w:rsidRPr="00D549BE" w:rsidRDefault="00656AA8" w:rsidP="00434248">
            <w:pPr>
              <w:spacing w:before="0" w:after="0"/>
              <w:jc w:val="right"/>
              <w:rPr>
                <w:b/>
                <w:bCs/>
                <w:noProof/>
              </w:rPr>
            </w:pPr>
            <w:r w:rsidRPr="00D549BE">
              <w:rPr>
                <w:b/>
              </w:rPr>
              <w:t>0,000</w:t>
            </w:r>
          </w:p>
        </w:tc>
      </w:tr>
      <w:tr w:rsidR="00656AA8" w:rsidRPr="00D549BE" w14:paraId="79EA2DAC" w14:textId="77777777" w:rsidTr="00434248">
        <w:trPr>
          <w:trHeight w:val="540"/>
        </w:trPr>
        <w:tc>
          <w:tcPr>
            <w:tcW w:w="5180" w:type="dxa"/>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79538DB6" w14:textId="77777777" w:rsidR="00656AA8" w:rsidRPr="00D549BE" w:rsidRDefault="00656AA8" w:rsidP="00434248">
            <w:pPr>
              <w:spacing w:before="0" w:after="0"/>
              <w:jc w:val="center"/>
              <w:rPr>
                <w:noProof/>
                <w:color w:val="000000"/>
                <w:sz w:val="22"/>
              </w:rPr>
            </w:pPr>
            <w:r w:rsidRPr="00D549BE">
              <w:rPr>
                <w:color w:val="000000"/>
                <w:sz w:val="22"/>
              </w:rPr>
              <w:t>du cadre financier pluriannuel</w:t>
            </w:r>
            <w:r w:rsidRPr="00D549BE">
              <w:rPr>
                <w:b/>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14:paraId="157069BE" w14:textId="77777777" w:rsidR="00656AA8" w:rsidRPr="00D549BE" w:rsidRDefault="00656AA8" w:rsidP="00434248">
            <w:pPr>
              <w:spacing w:before="0" w:after="0"/>
              <w:rPr>
                <w:noProof/>
                <w:color w:val="000000"/>
                <w:sz w:val="18"/>
                <w:szCs w:val="18"/>
              </w:rPr>
            </w:pPr>
            <w:r w:rsidRPr="00D549BE">
              <w:rPr>
                <w:color w:val="000000"/>
                <w:sz w:val="18"/>
              </w:rPr>
              <w:t>Paiements</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149563C9" w14:textId="77777777" w:rsidR="00656AA8" w:rsidRPr="00D549BE" w:rsidRDefault="00656AA8" w:rsidP="00434248">
            <w:pPr>
              <w:spacing w:before="0" w:after="0"/>
              <w:jc w:val="right"/>
              <w:rPr>
                <w:b/>
                <w:bCs/>
                <w:noProof/>
              </w:rPr>
            </w:pPr>
            <w:r w:rsidRPr="00D549BE">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4221CD9E" w14:textId="77777777" w:rsidR="00656AA8" w:rsidRPr="00D549BE" w:rsidRDefault="00656AA8" w:rsidP="00434248">
            <w:pPr>
              <w:spacing w:before="0" w:after="0"/>
              <w:jc w:val="right"/>
              <w:rPr>
                <w:b/>
                <w:bCs/>
                <w:noProof/>
              </w:rPr>
            </w:pPr>
            <w:r w:rsidRPr="00D549BE">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25D9F7B3" w14:textId="77777777" w:rsidR="00656AA8" w:rsidRPr="00D549BE" w:rsidRDefault="00656AA8" w:rsidP="00434248">
            <w:pPr>
              <w:spacing w:before="0" w:after="0"/>
              <w:jc w:val="right"/>
              <w:rPr>
                <w:b/>
                <w:bCs/>
                <w:noProof/>
              </w:rPr>
            </w:pPr>
            <w:r w:rsidRPr="00D549BE">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36004493" w14:textId="77777777" w:rsidR="00656AA8" w:rsidRPr="00D549BE" w:rsidRDefault="00656AA8" w:rsidP="00434248">
            <w:pPr>
              <w:spacing w:before="0" w:after="0"/>
              <w:jc w:val="right"/>
              <w:rPr>
                <w:b/>
                <w:bCs/>
                <w:noProof/>
              </w:rPr>
            </w:pPr>
            <w:r w:rsidRPr="00D549BE">
              <w:rPr>
                <w:b/>
              </w:rPr>
              <w:t>0,000</w:t>
            </w:r>
          </w:p>
        </w:tc>
        <w:tc>
          <w:tcPr>
            <w:tcW w:w="1400" w:type="dxa"/>
            <w:tcBorders>
              <w:top w:val="nil"/>
              <w:left w:val="nil"/>
              <w:bottom w:val="single" w:sz="8" w:space="0" w:color="auto"/>
              <w:right w:val="single" w:sz="8" w:space="0" w:color="auto"/>
            </w:tcBorders>
            <w:shd w:val="clear" w:color="auto" w:fill="D9D9D9" w:themeFill="background1" w:themeFillShade="D9"/>
            <w:vAlign w:val="center"/>
            <w:hideMark/>
          </w:tcPr>
          <w:p w14:paraId="43539E3C" w14:textId="77777777" w:rsidR="00656AA8" w:rsidRPr="00D549BE" w:rsidRDefault="00656AA8" w:rsidP="00434248">
            <w:pPr>
              <w:spacing w:before="0" w:after="0"/>
              <w:jc w:val="right"/>
              <w:rPr>
                <w:b/>
                <w:bCs/>
                <w:noProof/>
              </w:rPr>
            </w:pPr>
            <w:r w:rsidRPr="00D549BE">
              <w:rPr>
                <w:b/>
              </w:rPr>
              <w:t>0,000</w:t>
            </w:r>
          </w:p>
        </w:tc>
      </w:tr>
    </w:tbl>
    <w:p w14:paraId="27E7236F" w14:textId="77777777" w:rsidR="00656AA8" w:rsidRPr="00D549BE" w:rsidRDefault="00656AA8" w:rsidP="00656AA8">
      <w:pPr>
        <w:pStyle w:val="ManualHeading3"/>
        <w:rPr>
          <w:bCs/>
          <w:noProof/>
          <w:szCs w:val="24"/>
        </w:rPr>
      </w:pPr>
      <w:bookmarkStart w:id="169" w:name="_Toc514938054"/>
      <w:bookmarkStart w:id="170" w:name="_Toc520485053"/>
      <w:bookmarkStart w:id="171" w:name="_Toc160804597"/>
      <w:bookmarkStart w:id="172" w:name="_Toc167220289"/>
      <w:bookmarkStart w:id="173" w:name="_Toc177549022"/>
      <w:r w:rsidRPr="00D549BE">
        <w:t>3.2.2.</w:t>
      </w:r>
      <w:r w:rsidRPr="00D549BE">
        <w:tab/>
        <w:t>Estimation des réalisations financées à partir des crédits opérationnels</w:t>
      </w:r>
      <w:bookmarkEnd w:id="169"/>
      <w:bookmarkEnd w:id="170"/>
      <w:r w:rsidRPr="00D549BE">
        <w:t xml:space="preserve"> (cette section ne doit pas être complétée pour les organismes décentralisés)</w:t>
      </w:r>
      <w:bookmarkEnd w:id="171"/>
      <w:bookmarkEnd w:id="172"/>
      <w:bookmarkEnd w:id="173"/>
    </w:p>
    <w:p w14:paraId="69472E37" w14:textId="77777777" w:rsidR="00656AA8" w:rsidRPr="00D549BE" w:rsidRDefault="00656AA8" w:rsidP="00656AA8">
      <w:pPr>
        <w:jc w:val="right"/>
        <w:rPr>
          <w:noProof/>
          <w:sz w:val="20"/>
        </w:rPr>
      </w:pPr>
      <w:r w:rsidRPr="00D549BE">
        <w:rPr>
          <w:sz w:val="20"/>
        </w:rPr>
        <w:t>Crédits d’engagement en Mio EUR (à la 3</w:t>
      </w:r>
      <w:r w:rsidRPr="00D549BE">
        <w:rPr>
          <w:sz w:val="20"/>
          <w:vertAlign w:val="superscript"/>
        </w:rPr>
        <w:t>e</w:t>
      </w:r>
      <w:r w:rsidRPr="00D549BE">
        <w:rPr>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78"/>
        <w:gridCol w:w="427"/>
        <w:gridCol w:w="720"/>
        <w:gridCol w:w="540"/>
        <w:gridCol w:w="720"/>
        <w:gridCol w:w="720"/>
        <w:gridCol w:w="720"/>
        <w:gridCol w:w="900"/>
        <w:gridCol w:w="51"/>
        <w:gridCol w:w="669"/>
        <w:gridCol w:w="540"/>
        <w:gridCol w:w="648"/>
        <w:gridCol w:w="432"/>
        <w:gridCol w:w="720"/>
        <w:gridCol w:w="540"/>
        <w:gridCol w:w="720"/>
        <w:gridCol w:w="720"/>
        <w:gridCol w:w="900"/>
      </w:tblGrid>
      <w:tr w:rsidR="00656AA8" w:rsidRPr="00D549BE" w14:paraId="0494104D" w14:textId="77777777" w:rsidTr="00D549BE">
        <w:trPr>
          <w:jc w:val="center"/>
        </w:trPr>
        <w:tc>
          <w:tcPr>
            <w:tcW w:w="1423" w:type="dxa"/>
            <w:vMerge w:val="restart"/>
            <w:vAlign w:val="center"/>
          </w:tcPr>
          <w:p w14:paraId="6AC4EC76" w14:textId="77777777" w:rsidR="00656AA8" w:rsidRPr="00D549BE" w:rsidRDefault="00656AA8" w:rsidP="00434248">
            <w:pPr>
              <w:ind w:right="-29"/>
              <w:jc w:val="center"/>
              <w:rPr>
                <w:b/>
                <w:noProof/>
                <w:sz w:val="18"/>
                <w:szCs w:val="18"/>
              </w:rPr>
            </w:pPr>
            <w:r w:rsidRPr="00D549BE">
              <w:rPr>
                <w:b/>
                <w:sz w:val="18"/>
              </w:rPr>
              <w:t xml:space="preserve">Indiquer les objectifs et les réalisations </w:t>
            </w:r>
          </w:p>
          <w:p w14:paraId="1FB06E12" w14:textId="77777777" w:rsidR="00656AA8" w:rsidRPr="00D549BE" w:rsidRDefault="00656AA8" w:rsidP="00434248">
            <w:pPr>
              <w:ind w:right="-29"/>
              <w:jc w:val="center"/>
              <w:rPr>
                <w:b/>
                <w:noProof/>
                <w:sz w:val="18"/>
                <w:szCs w:val="18"/>
              </w:rPr>
            </w:pPr>
          </w:p>
          <w:p w14:paraId="4E7B5E1D" w14:textId="77777777" w:rsidR="00656AA8" w:rsidRPr="00D549BE" w:rsidRDefault="00656AA8" w:rsidP="00434248">
            <w:pPr>
              <w:ind w:right="-29"/>
              <w:jc w:val="center"/>
              <w:rPr>
                <w:noProof/>
                <w:sz w:val="18"/>
                <w:szCs w:val="18"/>
              </w:rPr>
            </w:pPr>
            <w:r w:rsidRPr="00D549BE">
              <w:rPr>
                <w:rFonts w:ascii="Wingdings" w:hAnsi="Wingdings"/>
                <w:sz w:val="18"/>
              </w:rPr>
              <w:t></w:t>
            </w:r>
          </w:p>
        </w:tc>
        <w:tc>
          <w:tcPr>
            <w:tcW w:w="720" w:type="dxa"/>
            <w:vAlign w:val="center"/>
          </w:tcPr>
          <w:p w14:paraId="6DD65380" w14:textId="77777777" w:rsidR="00656AA8" w:rsidRPr="00D549BE" w:rsidRDefault="00656AA8" w:rsidP="00434248">
            <w:pPr>
              <w:ind w:right="-29"/>
              <w:jc w:val="center"/>
              <w:rPr>
                <w:noProof/>
                <w:sz w:val="18"/>
                <w:szCs w:val="18"/>
              </w:rPr>
            </w:pPr>
          </w:p>
        </w:tc>
        <w:tc>
          <w:tcPr>
            <w:tcW w:w="778" w:type="dxa"/>
            <w:vAlign w:val="center"/>
          </w:tcPr>
          <w:p w14:paraId="524E54F4" w14:textId="77777777" w:rsidR="00656AA8" w:rsidRPr="00D549BE" w:rsidRDefault="00656AA8" w:rsidP="00434248">
            <w:pPr>
              <w:ind w:right="-29"/>
              <w:jc w:val="center"/>
              <w:rPr>
                <w:noProof/>
                <w:sz w:val="18"/>
                <w:szCs w:val="18"/>
              </w:rPr>
            </w:pPr>
          </w:p>
        </w:tc>
        <w:tc>
          <w:tcPr>
            <w:tcW w:w="1147" w:type="dxa"/>
            <w:gridSpan w:val="2"/>
            <w:tcBorders>
              <w:left w:val="nil"/>
            </w:tcBorders>
            <w:vAlign w:val="center"/>
          </w:tcPr>
          <w:p w14:paraId="221DED6F" w14:textId="77777777" w:rsidR="00656AA8" w:rsidRPr="00D549BE" w:rsidRDefault="00656AA8" w:rsidP="00434248">
            <w:pPr>
              <w:ind w:right="-29"/>
              <w:jc w:val="center"/>
              <w:rPr>
                <w:noProof/>
                <w:sz w:val="18"/>
                <w:szCs w:val="18"/>
              </w:rPr>
            </w:pPr>
            <w:r w:rsidRPr="00D549BE">
              <w:rPr>
                <w:sz w:val="18"/>
              </w:rPr>
              <w:t xml:space="preserve">Année </w:t>
            </w:r>
            <w:r w:rsidRPr="00D549BE">
              <w:br/>
            </w:r>
            <w:r w:rsidRPr="00D549BE">
              <w:rPr>
                <w:b/>
                <w:sz w:val="18"/>
              </w:rPr>
              <w:t>2024</w:t>
            </w:r>
          </w:p>
        </w:tc>
        <w:tc>
          <w:tcPr>
            <w:tcW w:w="1260" w:type="dxa"/>
            <w:gridSpan w:val="2"/>
            <w:vAlign w:val="center"/>
          </w:tcPr>
          <w:p w14:paraId="712A782A" w14:textId="77777777" w:rsidR="00656AA8" w:rsidRPr="00D549BE" w:rsidRDefault="00656AA8" w:rsidP="00434248">
            <w:pPr>
              <w:ind w:right="-29"/>
              <w:jc w:val="center"/>
              <w:rPr>
                <w:noProof/>
                <w:sz w:val="18"/>
                <w:szCs w:val="18"/>
              </w:rPr>
            </w:pPr>
            <w:r w:rsidRPr="00D549BE">
              <w:rPr>
                <w:sz w:val="18"/>
              </w:rPr>
              <w:t xml:space="preserve">Année </w:t>
            </w:r>
            <w:r w:rsidRPr="00D549BE">
              <w:br/>
            </w:r>
            <w:r w:rsidRPr="00D549BE">
              <w:rPr>
                <w:b/>
                <w:sz w:val="18"/>
              </w:rPr>
              <w:t>2025</w:t>
            </w:r>
          </w:p>
        </w:tc>
        <w:tc>
          <w:tcPr>
            <w:tcW w:w="1440" w:type="dxa"/>
            <w:gridSpan w:val="2"/>
            <w:vAlign w:val="center"/>
          </w:tcPr>
          <w:p w14:paraId="0550CFFC" w14:textId="77777777" w:rsidR="00656AA8" w:rsidRPr="00D549BE" w:rsidRDefault="00656AA8" w:rsidP="00434248">
            <w:pPr>
              <w:ind w:right="-29"/>
              <w:jc w:val="center"/>
              <w:rPr>
                <w:noProof/>
                <w:sz w:val="18"/>
                <w:szCs w:val="18"/>
              </w:rPr>
            </w:pPr>
            <w:r w:rsidRPr="00D549BE">
              <w:rPr>
                <w:sz w:val="18"/>
              </w:rPr>
              <w:t xml:space="preserve">Année </w:t>
            </w:r>
            <w:r w:rsidRPr="00D549BE">
              <w:br/>
            </w:r>
            <w:r w:rsidRPr="00D549BE">
              <w:rPr>
                <w:b/>
                <w:sz w:val="18"/>
              </w:rPr>
              <w:t>2026</w:t>
            </w:r>
          </w:p>
        </w:tc>
        <w:tc>
          <w:tcPr>
            <w:tcW w:w="1620" w:type="dxa"/>
            <w:gridSpan w:val="3"/>
            <w:vAlign w:val="center"/>
          </w:tcPr>
          <w:p w14:paraId="0847993E" w14:textId="77777777" w:rsidR="00656AA8" w:rsidRPr="00D549BE" w:rsidRDefault="00656AA8" w:rsidP="00434248">
            <w:pPr>
              <w:ind w:right="-29"/>
              <w:jc w:val="center"/>
              <w:rPr>
                <w:noProof/>
                <w:sz w:val="18"/>
                <w:szCs w:val="18"/>
              </w:rPr>
            </w:pPr>
            <w:r w:rsidRPr="00D549BE">
              <w:rPr>
                <w:sz w:val="18"/>
              </w:rPr>
              <w:t xml:space="preserve">Année </w:t>
            </w:r>
            <w:r w:rsidRPr="00D549BE">
              <w:br/>
            </w:r>
            <w:r w:rsidRPr="00D549BE">
              <w:rPr>
                <w:b/>
                <w:sz w:val="18"/>
              </w:rPr>
              <w:t>2027</w:t>
            </w:r>
          </w:p>
        </w:tc>
        <w:tc>
          <w:tcPr>
            <w:tcW w:w="3600" w:type="dxa"/>
            <w:gridSpan w:val="6"/>
            <w:vAlign w:val="center"/>
          </w:tcPr>
          <w:p w14:paraId="3DCE96D2" w14:textId="77777777" w:rsidR="00656AA8" w:rsidRPr="00D549BE" w:rsidRDefault="00656AA8" w:rsidP="00434248">
            <w:pPr>
              <w:jc w:val="center"/>
              <w:rPr>
                <w:noProof/>
                <w:sz w:val="18"/>
                <w:szCs w:val="18"/>
              </w:rPr>
            </w:pPr>
            <w:r w:rsidRPr="00D549BE">
              <w:rPr>
                <w:sz w:val="18"/>
              </w:rPr>
              <w:t>Insérer autant d’années que nécessaire, pour refléter la durée de l’incidence (cf. section 1.6)</w:t>
            </w:r>
          </w:p>
        </w:tc>
        <w:tc>
          <w:tcPr>
            <w:tcW w:w="1620" w:type="dxa"/>
            <w:gridSpan w:val="2"/>
            <w:tcBorders>
              <w:left w:val="nil"/>
              <w:bottom w:val="nil"/>
            </w:tcBorders>
            <w:vAlign w:val="center"/>
          </w:tcPr>
          <w:p w14:paraId="397CD214" w14:textId="77777777" w:rsidR="00656AA8" w:rsidRPr="00D549BE" w:rsidRDefault="00656AA8" w:rsidP="00434248">
            <w:pPr>
              <w:ind w:right="-29"/>
              <w:jc w:val="center"/>
              <w:rPr>
                <w:noProof/>
                <w:sz w:val="18"/>
                <w:szCs w:val="18"/>
              </w:rPr>
            </w:pPr>
            <w:r w:rsidRPr="00D549BE">
              <w:rPr>
                <w:b/>
                <w:sz w:val="18"/>
              </w:rPr>
              <w:t>TOTAL</w:t>
            </w:r>
          </w:p>
        </w:tc>
      </w:tr>
      <w:tr w:rsidR="00656AA8" w:rsidRPr="00D549BE" w14:paraId="1FED603C" w14:textId="77777777" w:rsidTr="00434248">
        <w:trPr>
          <w:jc w:val="center"/>
        </w:trPr>
        <w:tc>
          <w:tcPr>
            <w:tcW w:w="1423" w:type="dxa"/>
            <w:vMerge/>
            <w:vAlign w:val="center"/>
          </w:tcPr>
          <w:p w14:paraId="3F4214F1" w14:textId="77777777" w:rsidR="00656AA8" w:rsidRPr="00D549BE" w:rsidRDefault="00656AA8" w:rsidP="00434248">
            <w:pPr>
              <w:ind w:right="-29"/>
              <w:jc w:val="center"/>
              <w:rPr>
                <w:noProof/>
                <w:sz w:val="18"/>
                <w:szCs w:val="18"/>
              </w:rPr>
            </w:pPr>
          </w:p>
        </w:tc>
        <w:tc>
          <w:tcPr>
            <w:tcW w:w="12185" w:type="dxa"/>
            <w:gridSpan w:val="19"/>
            <w:vAlign w:val="center"/>
          </w:tcPr>
          <w:p w14:paraId="652A3984" w14:textId="77777777" w:rsidR="00656AA8" w:rsidRPr="00D549BE" w:rsidRDefault="00656AA8" w:rsidP="00434248">
            <w:pPr>
              <w:spacing w:before="60" w:after="60"/>
              <w:ind w:right="-29"/>
              <w:jc w:val="center"/>
              <w:rPr>
                <w:noProof/>
                <w:sz w:val="18"/>
                <w:szCs w:val="18"/>
              </w:rPr>
            </w:pPr>
            <w:r w:rsidRPr="00D549BE">
              <w:rPr>
                <w:b/>
                <w:sz w:val="18"/>
              </w:rPr>
              <w:t>RÉALISATIONS (outputs)</w:t>
            </w:r>
          </w:p>
        </w:tc>
      </w:tr>
      <w:tr w:rsidR="00656AA8" w:rsidRPr="00D549BE" w14:paraId="6DB5935B" w14:textId="77777777" w:rsidTr="00D549BE">
        <w:trPr>
          <w:cantSplit/>
          <w:trHeight w:val="1134"/>
          <w:jc w:val="center"/>
        </w:trPr>
        <w:tc>
          <w:tcPr>
            <w:tcW w:w="1423" w:type="dxa"/>
            <w:vMerge/>
            <w:vAlign w:val="center"/>
          </w:tcPr>
          <w:p w14:paraId="7091AB1F" w14:textId="77777777" w:rsidR="00656AA8" w:rsidRPr="00D549BE" w:rsidRDefault="00656AA8" w:rsidP="00434248">
            <w:pPr>
              <w:rPr>
                <w:noProof/>
                <w:sz w:val="18"/>
                <w:szCs w:val="18"/>
              </w:rPr>
            </w:pPr>
          </w:p>
        </w:tc>
        <w:tc>
          <w:tcPr>
            <w:tcW w:w="720" w:type="dxa"/>
            <w:vAlign w:val="center"/>
          </w:tcPr>
          <w:p w14:paraId="1F5EAF7D" w14:textId="77777777" w:rsidR="00656AA8" w:rsidRPr="00D549BE" w:rsidRDefault="00656AA8" w:rsidP="00434248">
            <w:pPr>
              <w:jc w:val="center"/>
              <w:rPr>
                <w:noProof/>
                <w:sz w:val="18"/>
                <w:szCs w:val="18"/>
              </w:rPr>
            </w:pPr>
            <w:r w:rsidRPr="00D549BE">
              <w:rPr>
                <w:sz w:val="18"/>
              </w:rPr>
              <w:t>Type</w:t>
            </w:r>
            <w:r w:rsidRPr="00D549BE">
              <w:rPr>
                <w:rStyle w:val="FootnoteReference"/>
                <w:noProof/>
                <w:sz w:val="18"/>
                <w:szCs w:val="18"/>
              </w:rPr>
              <w:footnoteReference w:id="39"/>
            </w:r>
          </w:p>
          <w:p w14:paraId="0E7EFF31" w14:textId="77777777" w:rsidR="00656AA8" w:rsidRPr="00D549BE" w:rsidRDefault="00656AA8" w:rsidP="00434248">
            <w:pPr>
              <w:spacing w:before="0" w:after="0"/>
              <w:jc w:val="center"/>
              <w:rPr>
                <w:noProof/>
                <w:sz w:val="18"/>
                <w:szCs w:val="18"/>
              </w:rPr>
            </w:pPr>
          </w:p>
        </w:tc>
        <w:tc>
          <w:tcPr>
            <w:tcW w:w="778" w:type="dxa"/>
            <w:vAlign w:val="center"/>
          </w:tcPr>
          <w:p w14:paraId="3910B7CB" w14:textId="77777777" w:rsidR="00656AA8" w:rsidRPr="00D549BE" w:rsidRDefault="00656AA8" w:rsidP="00434248">
            <w:pPr>
              <w:jc w:val="center"/>
              <w:rPr>
                <w:noProof/>
                <w:sz w:val="18"/>
                <w:szCs w:val="18"/>
              </w:rPr>
            </w:pPr>
            <w:r w:rsidRPr="00D549BE">
              <w:rPr>
                <w:sz w:val="18"/>
              </w:rPr>
              <w:t>Coût moyen</w:t>
            </w:r>
          </w:p>
        </w:tc>
        <w:tc>
          <w:tcPr>
            <w:tcW w:w="427" w:type="dxa"/>
            <w:tcBorders>
              <w:left w:val="nil"/>
              <w:right w:val="dashSmallGap" w:sz="4" w:space="0" w:color="auto"/>
            </w:tcBorders>
            <w:textDirection w:val="btLr"/>
            <w:vAlign w:val="center"/>
          </w:tcPr>
          <w:p w14:paraId="5167BB0A" w14:textId="77777777" w:rsidR="00656AA8" w:rsidRPr="00D549BE" w:rsidRDefault="00656AA8" w:rsidP="00434248">
            <w:pPr>
              <w:ind w:left="113" w:right="113"/>
              <w:jc w:val="center"/>
              <w:rPr>
                <w:noProof/>
                <w:sz w:val="18"/>
                <w:szCs w:val="18"/>
              </w:rPr>
            </w:pPr>
            <w:r w:rsidRPr="00D549BE">
              <w:rPr>
                <w:sz w:val="18"/>
              </w:rPr>
              <w:t>Nbre</w:t>
            </w:r>
          </w:p>
        </w:tc>
        <w:tc>
          <w:tcPr>
            <w:tcW w:w="720" w:type="dxa"/>
            <w:tcBorders>
              <w:left w:val="dashSmallGap" w:sz="4" w:space="0" w:color="auto"/>
            </w:tcBorders>
            <w:vAlign w:val="center"/>
          </w:tcPr>
          <w:p w14:paraId="137F55BD" w14:textId="77777777" w:rsidR="00656AA8" w:rsidRPr="00D549BE" w:rsidRDefault="00656AA8" w:rsidP="00434248">
            <w:pPr>
              <w:jc w:val="center"/>
              <w:rPr>
                <w:noProof/>
                <w:sz w:val="18"/>
                <w:szCs w:val="18"/>
              </w:rPr>
            </w:pPr>
            <w:r w:rsidRPr="00D549BE">
              <w:rPr>
                <w:sz w:val="18"/>
              </w:rPr>
              <w:t>Coût</w:t>
            </w:r>
          </w:p>
        </w:tc>
        <w:tc>
          <w:tcPr>
            <w:tcW w:w="540" w:type="dxa"/>
            <w:tcBorders>
              <w:right w:val="dashSmallGap" w:sz="4" w:space="0" w:color="auto"/>
            </w:tcBorders>
            <w:textDirection w:val="btLr"/>
            <w:vAlign w:val="center"/>
          </w:tcPr>
          <w:p w14:paraId="1708E4BE" w14:textId="77777777" w:rsidR="00656AA8" w:rsidRPr="00D549BE" w:rsidRDefault="00656AA8" w:rsidP="00434248">
            <w:pPr>
              <w:ind w:left="113" w:right="113"/>
              <w:jc w:val="center"/>
              <w:rPr>
                <w:noProof/>
                <w:sz w:val="18"/>
                <w:szCs w:val="18"/>
              </w:rPr>
            </w:pPr>
            <w:r w:rsidRPr="00D549BE">
              <w:rPr>
                <w:sz w:val="18"/>
              </w:rPr>
              <w:t>Nbre</w:t>
            </w:r>
          </w:p>
        </w:tc>
        <w:tc>
          <w:tcPr>
            <w:tcW w:w="720" w:type="dxa"/>
            <w:tcBorders>
              <w:left w:val="dashSmallGap" w:sz="4" w:space="0" w:color="auto"/>
            </w:tcBorders>
            <w:vAlign w:val="center"/>
          </w:tcPr>
          <w:p w14:paraId="4B3BFF86" w14:textId="77777777" w:rsidR="00656AA8" w:rsidRPr="00D549BE" w:rsidRDefault="00656AA8" w:rsidP="00434248">
            <w:pPr>
              <w:jc w:val="center"/>
              <w:rPr>
                <w:noProof/>
                <w:sz w:val="18"/>
                <w:szCs w:val="18"/>
              </w:rPr>
            </w:pPr>
            <w:r w:rsidRPr="00D549BE">
              <w:rPr>
                <w:sz w:val="18"/>
              </w:rPr>
              <w:t>Coût</w:t>
            </w:r>
          </w:p>
        </w:tc>
        <w:tc>
          <w:tcPr>
            <w:tcW w:w="720" w:type="dxa"/>
            <w:tcBorders>
              <w:right w:val="dashSmallGap" w:sz="4" w:space="0" w:color="auto"/>
            </w:tcBorders>
            <w:textDirection w:val="btLr"/>
            <w:vAlign w:val="center"/>
          </w:tcPr>
          <w:p w14:paraId="57C6A1DA" w14:textId="77777777" w:rsidR="00656AA8" w:rsidRPr="00D549BE" w:rsidRDefault="00656AA8" w:rsidP="00434248">
            <w:pPr>
              <w:ind w:left="113" w:right="113"/>
              <w:jc w:val="center"/>
              <w:rPr>
                <w:noProof/>
                <w:sz w:val="18"/>
                <w:szCs w:val="18"/>
              </w:rPr>
            </w:pPr>
            <w:r w:rsidRPr="00D549BE">
              <w:rPr>
                <w:sz w:val="18"/>
              </w:rPr>
              <w:t>Nbre</w:t>
            </w:r>
          </w:p>
        </w:tc>
        <w:tc>
          <w:tcPr>
            <w:tcW w:w="720" w:type="dxa"/>
            <w:tcBorders>
              <w:left w:val="dashSmallGap" w:sz="4" w:space="0" w:color="auto"/>
            </w:tcBorders>
            <w:vAlign w:val="center"/>
          </w:tcPr>
          <w:p w14:paraId="7A3C10CB" w14:textId="77777777" w:rsidR="00656AA8" w:rsidRPr="00D549BE" w:rsidRDefault="00656AA8" w:rsidP="00434248">
            <w:pPr>
              <w:jc w:val="center"/>
              <w:rPr>
                <w:noProof/>
                <w:sz w:val="18"/>
                <w:szCs w:val="18"/>
              </w:rPr>
            </w:pPr>
            <w:r w:rsidRPr="00D549BE">
              <w:rPr>
                <w:sz w:val="18"/>
              </w:rPr>
              <w:t>Coût</w:t>
            </w:r>
          </w:p>
        </w:tc>
        <w:tc>
          <w:tcPr>
            <w:tcW w:w="900" w:type="dxa"/>
            <w:tcBorders>
              <w:right w:val="dashSmallGap" w:sz="4" w:space="0" w:color="auto"/>
            </w:tcBorders>
            <w:textDirection w:val="btLr"/>
            <w:vAlign w:val="center"/>
          </w:tcPr>
          <w:p w14:paraId="6D5D2B76" w14:textId="77777777" w:rsidR="00656AA8" w:rsidRPr="00D549BE" w:rsidRDefault="00656AA8" w:rsidP="00434248">
            <w:pPr>
              <w:ind w:left="113" w:right="113"/>
              <w:jc w:val="center"/>
              <w:rPr>
                <w:noProof/>
                <w:sz w:val="18"/>
                <w:szCs w:val="18"/>
              </w:rPr>
            </w:pPr>
            <w:r w:rsidRPr="00D549BE">
              <w:rPr>
                <w:sz w:val="18"/>
              </w:rPr>
              <w:t>Nbre</w:t>
            </w:r>
          </w:p>
        </w:tc>
        <w:tc>
          <w:tcPr>
            <w:tcW w:w="720" w:type="dxa"/>
            <w:gridSpan w:val="2"/>
            <w:tcBorders>
              <w:left w:val="dashSmallGap" w:sz="4" w:space="0" w:color="auto"/>
            </w:tcBorders>
            <w:vAlign w:val="center"/>
          </w:tcPr>
          <w:p w14:paraId="2A59477A" w14:textId="77777777" w:rsidR="00656AA8" w:rsidRPr="00D549BE" w:rsidRDefault="00656AA8" w:rsidP="00434248">
            <w:pPr>
              <w:jc w:val="center"/>
              <w:rPr>
                <w:noProof/>
                <w:sz w:val="18"/>
                <w:szCs w:val="18"/>
              </w:rPr>
            </w:pPr>
            <w:r w:rsidRPr="00D549BE">
              <w:rPr>
                <w:sz w:val="18"/>
              </w:rPr>
              <w:t>Coût</w:t>
            </w:r>
          </w:p>
        </w:tc>
        <w:tc>
          <w:tcPr>
            <w:tcW w:w="540" w:type="dxa"/>
            <w:tcBorders>
              <w:right w:val="dashSmallGap" w:sz="4" w:space="0" w:color="auto"/>
            </w:tcBorders>
            <w:textDirection w:val="btLr"/>
            <w:vAlign w:val="center"/>
          </w:tcPr>
          <w:p w14:paraId="3E17E5AB" w14:textId="77777777" w:rsidR="00656AA8" w:rsidRPr="00D549BE" w:rsidRDefault="00656AA8" w:rsidP="00434248">
            <w:pPr>
              <w:ind w:left="113" w:right="113"/>
              <w:jc w:val="center"/>
              <w:rPr>
                <w:noProof/>
                <w:sz w:val="18"/>
                <w:szCs w:val="18"/>
              </w:rPr>
            </w:pPr>
            <w:r w:rsidRPr="00D549BE">
              <w:rPr>
                <w:sz w:val="18"/>
              </w:rPr>
              <w:t>Nbre</w:t>
            </w:r>
          </w:p>
        </w:tc>
        <w:tc>
          <w:tcPr>
            <w:tcW w:w="648" w:type="dxa"/>
            <w:tcBorders>
              <w:left w:val="dashSmallGap" w:sz="4" w:space="0" w:color="auto"/>
            </w:tcBorders>
            <w:vAlign w:val="center"/>
          </w:tcPr>
          <w:p w14:paraId="35D29C80" w14:textId="77777777" w:rsidR="00656AA8" w:rsidRPr="00D549BE" w:rsidRDefault="00656AA8" w:rsidP="00434248">
            <w:pPr>
              <w:jc w:val="center"/>
              <w:rPr>
                <w:noProof/>
                <w:sz w:val="18"/>
                <w:szCs w:val="18"/>
              </w:rPr>
            </w:pPr>
            <w:r w:rsidRPr="00D549BE">
              <w:rPr>
                <w:sz w:val="18"/>
              </w:rPr>
              <w:t>Coût</w:t>
            </w:r>
          </w:p>
        </w:tc>
        <w:tc>
          <w:tcPr>
            <w:tcW w:w="432" w:type="dxa"/>
            <w:tcBorders>
              <w:right w:val="dashSmallGap" w:sz="4" w:space="0" w:color="auto"/>
            </w:tcBorders>
            <w:textDirection w:val="btLr"/>
            <w:vAlign w:val="center"/>
          </w:tcPr>
          <w:p w14:paraId="6BCAA9FF" w14:textId="77777777" w:rsidR="00656AA8" w:rsidRPr="00D549BE" w:rsidRDefault="00656AA8" w:rsidP="00434248">
            <w:pPr>
              <w:ind w:left="113" w:right="113"/>
              <w:jc w:val="center"/>
              <w:rPr>
                <w:noProof/>
                <w:sz w:val="18"/>
                <w:szCs w:val="18"/>
              </w:rPr>
            </w:pPr>
            <w:r w:rsidRPr="00D549BE">
              <w:rPr>
                <w:sz w:val="18"/>
              </w:rPr>
              <w:t>Nbre</w:t>
            </w:r>
          </w:p>
        </w:tc>
        <w:tc>
          <w:tcPr>
            <w:tcW w:w="720" w:type="dxa"/>
            <w:tcBorders>
              <w:left w:val="dashSmallGap" w:sz="4" w:space="0" w:color="auto"/>
            </w:tcBorders>
            <w:vAlign w:val="center"/>
          </w:tcPr>
          <w:p w14:paraId="58E89120" w14:textId="77777777" w:rsidR="00656AA8" w:rsidRPr="00D549BE" w:rsidRDefault="00656AA8" w:rsidP="00434248">
            <w:pPr>
              <w:jc w:val="center"/>
              <w:rPr>
                <w:noProof/>
                <w:sz w:val="18"/>
                <w:szCs w:val="18"/>
              </w:rPr>
            </w:pPr>
            <w:r w:rsidRPr="00D549BE">
              <w:rPr>
                <w:sz w:val="18"/>
              </w:rPr>
              <w:t>Coût</w:t>
            </w:r>
          </w:p>
        </w:tc>
        <w:tc>
          <w:tcPr>
            <w:tcW w:w="540" w:type="dxa"/>
            <w:tcBorders>
              <w:right w:val="dashSmallGap" w:sz="4" w:space="0" w:color="auto"/>
            </w:tcBorders>
            <w:textDirection w:val="btLr"/>
            <w:vAlign w:val="center"/>
          </w:tcPr>
          <w:p w14:paraId="6D144B45" w14:textId="77777777" w:rsidR="00656AA8" w:rsidRPr="00D549BE" w:rsidRDefault="00656AA8" w:rsidP="00434248">
            <w:pPr>
              <w:ind w:left="113" w:right="113"/>
              <w:jc w:val="center"/>
              <w:rPr>
                <w:noProof/>
                <w:sz w:val="18"/>
                <w:szCs w:val="18"/>
              </w:rPr>
            </w:pPr>
            <w:r w:rsidRPr="00D549BE">
              <w:rPr>
                <w:sz w:val="18"/>
              </w:rPr>
              <w:t>Nbre</w:t>
            </w:r>
          </w:p>
        </w:tc>
        <w:tc>
          <w:tcPr>
            <w:tcW w:w="720" w:type="dxa"/>
            <w:tcBorders>
              <w:left w:val="dashSmallGap" w:sz="4" w:space="0" w:color="auto"/>
            </w:tcBorders>
            <w:vAlign w:val="center"/>
          </w:tcPr>
          <w:p w14:paraId="3E987D51" w14:textId="77777777" w:rsidR="00656AA8" w:rsidRPr="00D549BE" w:rsidRDefault="00656AA8" w:rsidP="00434248">
            <w:pPr>
              <w:jc w:val="center"/>
              <w:rPr>
                <w:noProof/>
                <w:sz w:val="18"/>
                <w:szCs w:val="18"/>
              </w:rPr>
            </w:pPr>
            <w:r w:rsidRPr="00D549BE">
              <w:rPr>
                <w:sz w:val="18"/>
              </w:rPr>
              <w:t>Coût</w:t>
            </w:r>
          </w:p>
        </w:tc>
        <w:tc>
          <w:tcPr>
            <w:tcW w:w="720" w:type="dxa"/>
            <w:tcBorders>
              <w:right w:val="dashSmallGap" w:sz="4" w:space="0" w:color="auto"/>
            </w:tcBorders>
            <w:vAlign w:val="center"/>
          </w:tcPr>
          <w:p w14:paraId="7B0C71F3" w14:textId="77777777" w:rsidR="00656AA8" w:rsidRPr="00D549BE" w:rsidRDefault="00656AA8" w:rsidP="00434248">
            <w:pPr>
              <w:jc w:val="center"/>
              <w:rPr>
                <w:noProof/>
                <w:sz w:val="18"/>
                <w:szCs w:val="18"/>
              </w:rPr>
            </w:pPr>
            <w:r w:rsidRPr="00D549BE">
              <w:rPr>
                <w:sz w:val="18"/>
              </w:rPr>
              <w:t>Nbre total</w:t>
            </w:r>
          </w:p>
        </w:tc>
        <w:tc>
          <w:tcPr>
            <w:tcW w:w="900" w:type="dxa"/>
            <w:tcBorders>
              <w:left w:val="dashSmallGap" w:sz="4" w:space="0" w:color="auto"/>
            </w:tcBorders>
            <w:vAlign w:val="center"/>
          </w:tcPr>
          <w:p w14:paraId="277C7C34" w14:textId="77777777" w:rsidR="00656AA8" w:rsidRPr="00D549BE" w:rsidRDefault="00656AA8" w:rsidP="00434248">
            <w:pPr>
              <w:jc w:val="center"/>
              <w:rPr>
                <w:noProof/>
                <w:sz w:val="18"/>
                <w:szCs w:val="18"/>
              </w:rPr>
            </w:pPr>
            <w:r w:rsidRPr="00D549BE">
              <w:rPr>
                <w:sz w:val="18"/>
              </w:rPr>
              <w:t>Coût total</w:t>
            </w:r>
          </w:p>
        </w:tc>
      </w:tr>
      <w:tr w:rsidR="00656AA8" w:rsidRPr="00D549BE" w14:paraId="1A4A106C" w14:textId="77777777" w:rsidTr="00D549BE">
        <w:trPr>
          <w:jc w:val="center"/>
        </w:trPr>
        <w:tc>
          <w:tcPr>
            <w:tcW w:w="2921" w:type="dxa"/>
            <w:gridSpan w:val="3"/>
            <w:vAlign w:val="center"/>
          </w:tcPr>
          <w:p w14:paraId="69E2FA4D" w14:textId="77777777" w:rsidR="00656AA8" w:rsidRPr="00D549BE" w:rsidRDefault="00656AA8" w:rsidP="00434248">
            <w:pPr>
              <w:spacing w:before="60" w:after="60"/>
              <w:ind w:right="-29"/>
              <w:jc w:val="center"/>
              <w:rPr>
                <w:noProof/>
                <w:sz w:val="18"/>
                <w:szCs w:val="18"/>
              </w:rPr>
            </w:pPr>
            <w:r w:rsidRPr="00D549BE">
              <w:rPr>
                <w:sz w:val="18"/>
              </w:rPr>
              <w:t>OBJECTIF SPÉCIFIQUE nº 1</w:t>
            </w:r>
            <w:r w:rsidRPr="00D549BE">
              <w:rPr>
                <w:rStyle w:val="FootnoteReference"/>
                <w:noProof/>
                <w:sz w:val="18"/>
                <w:szCs w:val="18"/>
              </w:rPr>
              <w:footnoteReference w:id="40"/>
            </w:r>
            <w:r w:rsidRPr="00D549BE">
              <w:rPr>
                <w:sz w:val="18"/>
              </w:rPr>
              <w:t>...</w:t>
            </w:r>
          </w:p>
        </w:tc>
        <w:tc>
          <w:tcPr>
            <w:tcW w:w="427" w:type="dxa"/>
            <w:tcBorders>
              <w:top w:val="nil"/>
              <w:left w:val="nil"/>
              <w:bottom w:val="nil"/>
              <w:right w:val="nil"/>
            </w:tcBorders>
          </w:tcPr>
          <w:p w14:paraId="43A939B5"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4E17B782" w14:textId="77777777" w:rsidR="00656AA8" w:rsidRPr="00D549BE" w:rsidRDefault="00656AA8" w:rsidP="00434248">
            <w:pPr>
              <w:spacing w:before="60" w:after="60"/>
              <w:ind w:right="-29"/>
              <w:jc w:val="center"/>
              <w:rPr>
                <w:noProof/>
                <w:sz w:val="18"/>
                <w:szCs w:val="18"/>
              </w:rPr>
            </w:pPr>
          </w:p>
        </w:tc>
        <w:tc>
          <w:tcPr>
            <w:tcW w:w="540" w:type="dxa"/>
            <w:tcBorders>
              <w:top w:val="nil"/>
              <w:left w:val="nil"/>
              <w:bottom w:val="nil"/>
              <w:right w:val="nil"/>
            </w:tcBorders>
          </w:tcPr>
          <w:p w14:paraId="7EE7DF7F"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20761335"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6CCBACB2"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5CAD1DB3" w14:textId="77777777" w:rsidR="00656AA8" w:rsidRPr="00D549BE" w:rsidRDefault="00656AA8" w:rsidP="00434248">
            <w:pPr>
              <w:spacing w:before="60" w:after="60"/>
              <w:ind w:right="-29"/>
              <w:jc w:val="center"/>
              <w:rPr>
                <w:noProof/>
                <w:sz w:val="18"/>
                <w:szCs w:val="18"/>
              </w:rPr>
            </w:pPr>
          </w:p>
        </w:tc>
        <w:tc>
          <w:tcPr>
            <w:tcW w:w="900" w:type="dxa"/>
            <w:tcBorders>
              <w:top w:val="nil"/>
              <w:left w:val="nil"/>
              <w:bottom w:val="nil"/>
              <w:right w:val="nil"/>
            </w:tcBorders>
          </w:tcPr>
          <w:p w14:paraId="785951BD" w14:textId="77777777" w:rsidR="00656AA8" w:rsidRPr="00D549BE" w:rsidRDefault="00656AA8" w:rsidP="00434248">
            <w:pPr>
              <w:spacing w:before="60" w:after="60"/>
              <w:ind w:right="-29"/>
              <w:jc w:val="center"/>
              <w:rPr>
                <w:noProof/>
                <w:sz w:val="18"/>
                <w:szCs w:val="18"/>
              </w:rPr>
            </w:pPr>
          </w:p>
        </w:tc>
        <w:tc>
          <w:tcPr>
            <w:tcW w:w="720" w:type="dxa"/>
            <w:gridSpan w:val="2"/>
            <w:tcBorders>
              <w:top w:val="nil"/>
              <w:left w:val="nil"/>
              <w:bottom w:val="nil"/>
              <w:right w:val="nil"/>
            </w:tcBorders>
          </w:tcPr>
          <w:p w14:paraId="15A1A737" w14:textId="77777777" w:rsidR="00656AA8" w:rsidRPr="00D549BE" w:rsidRDefault="00656AA8" w:rsidP="00434248">
            <w:pPr>
              <w:spacing w:before="60" w:after="60"/>
              <w:ind w:right="-29"/>
              <w:jc w:val="center"/>
              <w:rPr>
                <w:noProof/>
                <w:sz w:val="18"/>
                <w:szCs w:val="18"/>
              </w:rPr>
            </w:pPr>
          </w:p>
        </w:tc>
        <w:tc>
          <w:tcPr>
            <w:tcW w:w="540" w:type="dxa"/>
            <w:tcBorders>
              <w:top w:val="nil"/>
              <w:left w:val="nil"/>
              <w:bottom w:val="nil"/>
              <w:right w:val="nil"/>
            </w:tcBorders>
          </w:tcPr>
          <w:p w14:paraId="75989DA7" w14:textId="77777777" w:rsidR="00656AA8" w:rsidRPr="00D549BE" w:rsidRDefault="00656AA8" w:rsidP="00434248">
            <w:pPr>
              <w:spacing w:before="60" w:after="60"/>
              <w:ind w:right="-29"/>
              <w:jc w:val="center"/>
              <w:rPr>
                <w:noProof/>
                <w:sz w:val="18"/>
                <w:szCs w:val="18"/>
              </w:rPr>
            </w:pPr>
          </w:p>
        </w:tc>
        <w:tc>
          <w:tcPr>
            <w:tcW w:w="648" w:type="dxa"/>
            <w:tcBorders>
              <w:top w:val="nil"/>
              <w:left w:val="nil"/>
              <w:bottom w:val="nil"/>
              <w:right w:val="nil"/>
            </w:tcBorders>
          </w:tcPr>
          <w:p w14:paraId="7AE5041A" w14:textId="77777777" w:rsidR="00656AA8" w:rsidRPr="00D549BE" w:rsidRDefault="00656AA8" w:rsidP="00434248">
            <w:pPr>
              <w:spacing w:before="60" w:after="60"/>
              <w:ind w:right="-29"/>
              <w:jc w:val="center"/>
              <w:rPr>
                <w:noProof/>
                <w:sz w:val="18"/>
                <w:szCs w:val="18"/>
              </w:rPr>
            </w:pPr>
          </w:p>
        </w:tc>
        <w:tc>
          <w:tcPr>
            <w:tcW w:w="432" w:type="dxa"/>
            <w:tcBorders>
              <w:top w:val="nil"/>
              <w:left w:val="nil"/>
              <w:bottom w:val="nil"/>
              <w:right w:val="nil"/>
            </w:tcBorders>
          </w:tcPr>
          <w:p w14:paraId="3EDB6423"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019D74F3" w14:textId="77777777" w:rsidR="00656AA8" w:rsidRPr="00D549BE" w:rsidRDefault="00656AA8" w:rsidP="00434248">
            <w:pPr>
              <w:spacing w:before="60" w:after="60"/>
              <w:ind w:right="-29"/>
              <w:jc w:val="center"/>
              <w:rPr>
                <w:noProof/>
                <w:sz w:val="18"/>
                <w:szCs w:val="18"/>
              </w:rPr>
            </w:pPr>
          </w:p>
        </w:tc>
        <w:tc>
          <w:tcPr>
            <w:tcW w:w="540" w:type="dxa"/>
            <w:tcBorders>
              <w:top w:val="nil"/>
              <w:left w:val="nil"/>
              <w:bottom w:val="nil"/>
              <w:right w:val="nil"/>
            </w:tcBorders>
          </w:tcPr>
          <w:p w14:paraId="109C46C7"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5653F21F"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6D7C6C95" w14:textId="77777777" w:rsidR="00656AA8" w:rsidRPr="00D549BE" w:rsidRDefault="00656AA8" w:rsidP="00434248">
            <w:pPr>
              <w:spacing w:before="60" w:after="60"/>
              <w:ind w:right="-29"/>
              <w:jc w:val="center"/>
              <w:rPr>
                <w:noProof/>
                <w:sz w:val="18"/>
                <w:szCs w:val="18"/>
              </w:rPr>
            </w:pPr>
          </w:p>
        </w:tc>
        <w:tc>
          <w:tcPr>
            <w:tcW w:w="900" w:type="dxa"/>
            <w:tcBorders>
              <w:top w:val="nil"/>
              <w:left w:val="nil"/>
              <w:bottom w:val="nil"/>
              <w:right w:val="nil"/>
            </w:tcBorders>
          </w:tcPr>
          <w:p w14:paraId="595E8611" w14:textId="77777777" w:rsidR="00656AA8" w:rsidRPr="00D549BE" w:rsidRDefault="00656AA8" w:rsidP="00434248">
            <w:pPr>
              <w:spacing w:before="60" w:after="60"/>
              <w:ind w:right="-29"/>
              <w:jc w:val="center"/>
              <w:rPr>
                <w:noProof/>
                <w:sz w:val="18"/>
                <w:szCs w:val="18"/>
              </w:rPr>
            </w:pPr>
          </w:p>
        </w:tc>
      </w:tr>
      <w:tr w:rsidR="00656AA8" w:rsidRPr="00D549BE" w14:paraId="4175F8A6" w14:textId="77777777" w:rsidTr="00D549BE">
        <w:trPr>
          <w:trHeight w:hRule="exact" w:val="369"/>
          <w:jc w:val="center"/>
        </w:trPr>
        <w:tc>
          <w:tcPr>
            <w:tcW w:w="1423" w:type="dxa"/>
          </w:tcPr>
          <w:p w14:paraId="2664B556" w14:textId="77777777" w:rsidR="00656AA8" w:rsidRPr="00D549BE" w:rsidRDefault="00656AA8" w:rsidP="00434248">
            <w:pPr>
              <w:ind w:right="-29"/>
              <w:jc w:val="center"/>
              <w:rPr>
                <w:noProof/>
                <w:sz w:val="18"/>
                <w:szCs w:val="18"/>
              </w:rPr>
            </w:pPr>
            <w:r w:rsidRPr="00D549BE">
              <w:rPr>
                <w:sz w:val="18"/>
              </w:rPr>
              <w:t>- Réalisation</w:t>
            </w:r>
          </w:p>
        </w:tc>
        <w:tc>
          <w:tcPr>
            <w:tcW w:w="720" w:type="dxa"/>
          </w:tcPr>
          <w:p w14:paraId="008D5D44" w14:textId="77777777" w:rsidR="00656AA8" w:rsidRPr="00D549BE" w:rsidRDefault="00656AA8" w:rsidP="00434248">
            <w:pPr>
              <w:ind w:right="-29"/>
              <w:jc w:val="center"/>
              <w:rPr>
                <w:noProof/>
                <w:sz w:val="18"/>
                <w:szCs w:val="18"/>
              </w:rPr>
            </w:pPr>
          </w:p>
        </w:tc>
        <w:tc>
          <w:tcPr>
            <w:tcW w:w="778" w:type="dxa"/>
          </w:tcPr>
          <w:p w14:paraId="4A3FB5F2" w14:textId="77777777" w:rsidR="00656AA8" w:rsidRPr="00D549BE" w:rsidRDefault="00656AA8" w:rsidP="00434248">
            <w:pPr>
              <w:ind w:right="-29"/>
              <w:jc w:val="center"/>
              <w:rPr>
                <w:noProof/>
                <w:sz w:val="18"/>
                <w:szCs w:val="18"/>
              </w:rPr>
            </w:pPr>
          </w:p>
        </w:tc>
        <w:tc>
          <w:tcPr>
            <w:tcW w:w="427" w:type="dxa"/>
            <w:tcBorders>
              <w:right w:val="dashSmallGap" w:sz="4" w:space="0" w:color="auto"/>
            </w:tcBorders>
          </w:tcPr>
          <w:p w14:paraId="0933E042"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262EECAA" w14:textId="77777777" w:rsidR="00656AA8" w:rsidRPr="00D549BE" w:rsidRDefault="00656AA8" w:rsidP="00434248">
            <w:pPr>
              <w:ind w:right="-29"/>
              <w:jc w:val="center"/>
              <w:rPr>
                <w:noProof/>
                <w:sz w:val="18"/>
                <w:szCs w:val="18"/>
              </w:rPr>
            </w:pPr>
          </w:p>
        </w:tc>
        <w:tc>
          <w:tcPr>
            <w:tcW w:w="540" w:type="dxa"/>
            <w:tcBorders>
              <w:right w:val="dashSmallGap" w:sz="4" w:space="0" w:color="auto"/>
            </w:tcBorders>
          </w:tcPr>
          <w:p w14:paraId="713A016F"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5955EAB2" w14:textId="77777777" w:rsidR="00656AA8" w:rsidRPr="00D549BE" w:rsidRDefault="00656AA8" w:rsidP="00434248">
            <w:pPr>
              <w:ind w:right="-29"/>
              <w:jc w:val="center"/>
              <w:rPr>
                <w:noProof/>
                <w:sz w:val="18"/>
                <w:szCs w:val="18"/>
              </w:rPr>
            </w:pPr>
          </w:p>
        </w:tc>
        <w:tc>
          <w:tcPr>
            <w:tcW w:w="720" w:type="dxa"/>
            <w:tcBorders>
              <w:right w:val="dashSmallGap" w:sz="4" w:space="0" w:color="auto"/>
            </w:tcBorders>
          </w:tcPr>
          <w:p w14:paraId="501993BE"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0045BB24" w14:textId="77777777" w:rsidR="00656AA8" w:rsidRPr="00D549BE" w:rsidRDefault="00656AA8" w:rsidP="00434248">
            <w:pPr>
              <w:ind w:right="-29"/>
              <w:jc w:val="center"/>
              <w:rPr>
                <w:noProof/>
                <w:sz w:val="18"/>
                <w:szCs w:val="18"/>
              </w:rPr>
            </w:pPr>
          </w:p>
        </w:tc>
        <w:tc>
          <w:tcPr>
            <w:tcW w:w="900" w:type="dxa"/>
            <w:tcBorders>
              <w:right w:val="dashSmallGap" w:sz="4" w:space="0" w:color="auto"/>
            </w:tcBorders>
          </w:tcPr>
          <w:p w14:paraId="0E2902C3" w14:textId="77777777" w:rsidR="00656AA8" w:rsidRPr="00D549BE" w:rsidRDefault="00656AA8" w:rsidP="00434248">
            <w:pPr>
              <w:ind w:right="-29"/>
              <w:jc w:val="center"/>
              <w:rPr>
                <w:noProof/>
                <w:sz w:val="18"/>
                <w:szCs w:val="18"/>
              </w:rPr>
            </w:pPr>
          </w:p>
        </w:tc>
        <w:tc>
          <w:tcPr>
            <w:tcW w:w="720" w:type="dxa"/>
            <w:gridSpan w:val="2"/>
            <w:tcBorders>
              <w:left w:val="dashSmallGap" w:sz="4" w:space="0" w:color="auto"/>
            </w:tcBorders>
          </w:tcPr>
          <w:p w14:paraId="565BAC89" w14:textId="77777777" w:rsidR="00656AA8" w:rsidRPr="00D549BE" w:rsidRDefault="00656AA8" w:rsidP="00434248">
            <w:pPr>
              <w:ind w:right="-29"/>
              <w:jc w:val="center"/>
              <w:rPr>
                <w:noProof/>
                <w:sz w:val="18"/>
                <w:szCs w:val="18"/>
              </w:rPr>
            </w:pPr>
          </w:p>
        </w:tc>
        <w:tc>
          <w:tcPr>
            <w:tcW w:w="540" w:type="dxa"/>
            <w:tcBorders>
              <w:right w:val="dashSmallGap" w:sz="4" w:space="0" w:color="auto"/>
            </w:tcBorders>
          </w:tcPr>
          <w:p w14:paraId="15F6E6BC" w14:textId="77777777" w:rsidR="00656AA8" w:rsidRPr="00D549BE" w:rsidRDefault="00656AA8" w:rsidP="00434248">
            <w:pPr>
              <w:ind w:right="-29"/>
              <w:jc w:val="center"/>
              <w:rPr>
                <w:noProof/>
                <w:sz w:val="18"/>
                <w:szCs w:val="18"/>
              </w:rPr>
            </w:pPr>
          </w:p>
        </w:tc>
        <w:tc>
          <w:tcPr>
            <w:tcW w:w="648" w:type="dxa"/>
            <w:tcBorders>
              <w:left w:val="dashSmallGap" w:sz="4" w:space="0" w:color="auto"/>
            </w:tcBorders>
          </w:tcPr>
          <w:p w14:paraId="3BFE739E" w14:textId="77777777" w:rsidR="00656AA8" w:rsidRPr="00D549BE" w:rsidRDefault="00656AA8" w:rsidP="00434248">
            <w:pPr>
              <w:ind w:right="-29"/>
              <w:jc w:val="center"/>
              <w:rPr>
                <w:noProof/>
                <w:sz w:val="18"/>
                <w:szCs w:val="18"/>
              </w:rPr>
            </w:pPr>
          </w:p>
        </w:tc>
        <w:tc>
          <w:tcPr>
            <w:tcW w:w="432" w:type="dxa"/>
            <w:tcBorders>
              <w:right w:val="dashSmallGap" w:sz="4" w:space="0" w:color="auto"/>
            </w:tcBorders>
          </w:tcPr>
          <w:p w14:paraId="2BA64C84"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25D22ECF" w14:textId="77777777" w:rsidR="00656AA8" w:rsidRPr="00D549BE" w:rsidRDefault="00656AA8" w:rsidP="00434248">
            <w:pPr>
              <w:ind w:right="-29"/>
              <w:jc w:val="center"/>
              <w:rPr>
                <w:noProof/>
                <w:sz w:val="18"/>
                <w:szCs w:val="18"/>
              </w:rPr>
            </w:pPr>
          </w:p>
        </w:tc>
        <w:tc>
          <w:tcPr>
            <w:tcW w:w="540" w:type="dxa"/>
            <w:tcBorders>
              <w:right w:val="dashSmallGap" w:sz="4" w:space="0" w:color="auto"/>
            </w:tcBorders>
          </w:tcPr>
          <w:p w14:paraId="0B5A8049"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29F83621" w14:textId="77777777" w:rsidR="00656AA8" w:rsidRPr="00D549BE" w:rsidRDefault="00656AA8" w:rsidP="00434248">
            <w:pPr>
              <w:ind w:right="-29"/>
              <w:jc w:val="center"/>
              <w:rPr>
                <w:noProof/>
                <w:sz w:val="18"/>
                <w:szCs w:val="18"/>
              </w:rPr>
            </w:pPr>
          </w:p>
        </w:tc>
        <w:tc>
          <w:tcPr>
            <w:tcW w:w="720" w:type="dxa"/>
          </w:tcPr>
          <w:p w14:paraId="32416003" w14:textId="77777777" w:rsidR="00656AA8" w:rsidRPr="00D549BE" w:rsidRDefault="00656AA8" w:rsidP="00434248">
            <w:pPr>
              <w:ind w:right="-29"/>
              <w:jc w:val="center"/>
              <w:rPr>
                <w:noProof/>
                <w:sz w:val="18"/>
                <w:szCs w:val="18"/>
              </w:rPr>
            </w:pPr>
          </w:p>
        </w:tc>
        <w:tc>
          <w:tcPr>
            <w:tcW w:w="900" w:type="dxa"/>
          </w:tcPr>
          <w:p w14:paraId="110D2CA2" w14:textId="77777777" w:rsidR="00656AA8" w:rsidRPr="00D549BE" w:rsidRDefault="00656AA8" w:rsidP="00434248">
            <w:pPr>
              <w:ind w:right="-29"/>
              <w:jc w:val="center"/>
              <w:rPr>
                <w:noProof/>
                <w:sz w:val="18"/>
                <w:szCs w:val="18"/>
              </w:rPr>
            </w:pPr>
          </w:p>
        </w:tc>
      </w:tr>
      <w:tr w:rsidR="00656AA8" w:rsidRPr="00D549BE" w14:paraId="59B9597B" w14:textId="77777777" w:rsidTr="00D549BE">
        <w:trPr>
          <w:trHeight w:hRule="exact" w:val="369"/>
          <w:jc w:val="center"/>
        </w:trPr>
        <w:tc>
          <w:tcPr>
            <w:tcW w:w="1423" w:type="dxa"/>
          </w:tcPr>
          <w:p w14:paraId="65D0E22D" w14:textId="77777777" w:rsidR="00656AA8" w:rsidRPr="00D549BE" w:rsidRDefault="00656AA8" w:rsidP="00434248">
            <w:pPr>
              <w:ind w:right="-29"/>
              <w:jc w:val="center"/>
              <w:rPr>
                <w:noProof/>
                <w:sz w:val="18"/>
                <w:szCs w:val="18"/>
              </w:rPr>
            </w:pPr>
            <w:r w:rsidRPr="00D549BE">
              <w:rPr>
                <w:sz w:val="18"/>
              </w:rPr>
              <w:t>- Réalisation</w:t>
            </w:r>
          </w:p>
        </w:tc>
        <w:tc>
          <w:tcPr>
            <w:tcW w:w="720" w:type="dxa"/>
          </w:tcPr>
          <w:p w14:paraId="1981CB71" w14:textId="77777777" w:rsidR="00656AA8" w:rsidRPr="00D549BE" w:rsidRDefault="00656AA8" w:rsidP="00434248">
            <w:pPr>
              <w:ind w:right="-29"/>
              <w:jc w:val="center"/>
              <w:rPr>
                <w:noProof/>
                <w:sz w:val="18"/>
                <w:szCs w:val="18"/>
              </w:rPr>
            </w:pPr>
          </w:p>
        </w:tc>
        <w:tc>
          <w:tcPr>
            <w:tcW w:w="778" w:type="dxa"/>
          </w:tcPr>
          <w:p w14:paraId="23666187" w14:textId="77777777" w:rsidR="00656AA8" w:rsidRPr="00D549BE" w:rsidRDefault="00656AA8" w:rsidP="00434248">
            <w:pPr>
              <w:ind w:right="-29"/>
              <w:jc w:val="center"/>
              <w:rPr>
                <w:noProof/>
                <w:sz w:val="18"/>
                <w:szCs w:val="18"/>
              </w:rPr>
            </w:pPr>
          </w:p>
        </w:tc>
        <w:tc>
          <w:tcPr>
            <w:tcW w:w="427" w:type="dxa"/>
            <w:tcBorders>
              <w:right w:val="dashSmallGap" w:sz="4" w:space="0" w:color="auto"/>
            </w:tcBorders>
          </w:tcPr>
          <w:p w14:paraId="29B849B7"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1DF0CADF" w14:textId="77777777" w:rsidR="00656AA8" w:rsidRPr="00D549BE" w:rsidRDefault="00656AA8" w:rsidP="00434248">
            <w:pPr>
              <w:ind w:right="-29"/>
              <w:jc w:val="center"/>
              <w:rPr>
                <w:noProof/>
                <w:sz w:val="18"/>
                <w:szCs w:val="18"/>
              </w:rPr>
            </w:pPr>
          </w:p>
        </w:tc>
        <w:tc>
          <w:tcPr>
            <w:tcW w:w="540" w:type="dxa"/>
            <w:tcBorders>
              <w:right w:val="dashSmallGap" w:sz="4" w:space="0" w:color="auto"/>
            </w:tcBorders>
          </w:tcPr>
          <w:p w14:paraId="39A39B3D"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54873EE9" w14:textId="77777777" w:rsidR="00656AA8" w:rsidRPr="00D549BE" w:rsidRDefault="00656AA8" w:rsidP="00434248">
            <w:pPr>
              <w:ind w:right="-29"/>
              <w:jc w:val="center"/>
              <w:rPr>
                <w:noProof/>
                <w:sz w:val="18"/>
                <w:szCs w:val="18"/>
              </w:rPr>
            </w:pPr>
          </w:p>
        </w:tc>
        <w:tc>
          <w:tcPr>
            <w:tcW w:w="720" w:type="dxa"/>
            <w:tcBorders>
              <w:right w:val="dashSmallGap" w:sz="4" w:space="0" w:color="auto"/>
            </w:tcBorders>
          </w:tcPr>
          <w:p w14:paraId="638562FC"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0F333E6F" w14:textId="77777777" w:rsidR="00656AA8" w:rsidRPr="00D549BE" w:rsidRDefault="00656AA8" w:rsidP="00434248">
            <w:pPr>
              <w:ind w:right="-29"/>
              <w:jc w:val="center"/>
              <w:rPr>
                <w:noProof/>
                <w:sz w:val="18"/>
                <w:szCs w:val="18"/>
              </w:rPr>
            </w:pPr>
          </w:p>
        </w:tc>
        <w:tc>
          <w:tcPr>
            <w:tcW w:w="900" w:type="dxa"/>
            <w:tcBorders>
              <w:right w:val="dashSmallGap" w:sz="4" w:space="0" w:color="auto"/>
            </w:tcBorders>
          </w:tcPr>
          <w:p w14:paraId="3BEED67B" w14:textId="77777777" w:rsidR="00656AA8" w:rsidRPr="00D549BE" w:rsidRDefault="00656AA8" w:rsidP="00434248">
            <w:pPr>
              <w:ind w:right="-29"/>
              <w:jc w:val="center"/>
              <w:rPr>
                <w:noProof/>
                <w:sz w:val="18"/>
                <w:szCs w:val="18"/>
              </w:rPr>
            </w:pPr>
          </w:p>
        </w:tc>
        <w:tc>
          <w:tcPr>
            <w:tcW w:w="720" w:type="dxa"/>
            <w:gridSpan w:val="2"/>
            <w:tcBorders>
              <w:left w:val="dashSmallGap" w:sz="4" w:space="0" w:color="auto"/>
            </w:tcBorders>
          </w:tcPr>
          <w:p w14:paraId="54A70253" w14:textId="77777777" w:rsidR="00656AA8" w:rsidRPr="00D549BE" w:rsidRDefault="00656AA8" w:rsidP="00434248">
            <w:pPr>
              <w:ind w:right="-29"/>
              <w:jc w:val="center"/>
              <w:rPr>
                <w:noProof/>
                <w:sz w:val="18"/>
                <w:szCs w:val="18"/>
              </w:rPr>
            </w:pPr>
          </w:p>
        </w:tc>
        <w:tc>
          <w:tcPr>
            <w:tcW w:w="540" w:type="dxa"/>
            <w:tcBorders>
              <w:right w:val="dashSmallGap" w:sz="4" w:space="0" w:color="auto"/>
            </w:tcBorders>
          </w:tcPr>
          <w:p w14:paraId="26111B98" w14:textId="77777777" w:rsidR="00656AA8" w:rsidRPr="00D549BE" w:rsidRDefault="00656AA8" w:rsidP="00434248">
            <w:pPr>
              <w:ind w:right="-29"/>
              <w:jc w:val="center"/>
              <w:rPr>
                <w:noProof/>
                <w:sz w:val="18"/>
                <w:szCs w:val="18"/>
              </w:rPr>
            </w:pPr>
          </w:p>
        </w:tc>
        <w:tc>
          <w:tcPr>
            <w:tcW w:w="648" w:type="dxa"/>
            <w:tcBorders>
              <w:left w:val="dashSmallGap" w:sz="4" w:space="0" w:color="auto"/>
            </w:tcBorders>
          </w:tcPr>
          <w:p w14:paraId="795C7034" w14:textId="77777777" w:rsidR="00656AA8" w:rsidRPr="00D549BE" w:rsidRDefault="00656AA8" w:rsidP="00434248">
            <w:pPr>
              <w:ind w:right="-29"/>
              <w:jc w:val="center"/>
              <w:rPr>
                <w:noProof/>
                <w:sz w:val="18"/>
                <w:szCs w:val="18"/>
              </w:rPr>
            </w:pPr>
          </w:p>
        </w:tc>
        <w:tc>
          <w:tcPr>
            <w:tcW w:w="432" w:type="dxa"/>
            <w:tcBorders>
              <w:right w:val="dashSmallGap" w:sz="4" w:space="0" w:color="auto"/>
            </w:tcBorders>
          </w:tcPr>
          <w:p w14:paraId="6A4980DC"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20E16F6F" w14:textId="77777777" w:rsidR="00656AA8" w:rsidRPr="00D549BE" w:rsidRDefault="00656AA8" w:rsidP="00434248">
            <w:pPr>
              <w:ind w:right="-29"/>
              <w:jc w:val="center"/>
              <w:rPr>
                <w:noProof/>
                <w:sz w:val="18"/>
                <w:szCs w:val="18"/>
              </w:rPr>
            </w:pPr>
          </w:p>
        </w:tc>
        <w:tc>
          <w:tcPr>
            <w:tcW w:w="540" w:type="dxa"/>
            <w:tcBorders>
              <w:right w:val="dashSmallGap" w:sz="4" w:space="0" w:color="auto"/>
            </w:tcBorders>
          </w:tcPr>
          <w:p w14:paraId="037CC44D" w14:textId="77777777" w:rsidR="00656AA8" w:rsidRPr="00D549BE" w:rsidRDefault="00656AA8" w:rsidP="00434248">
            <w:pPr>
              <w:ind w:right="-29"/>
              <w:jc w:val="center"/>
              <w:rPr>
                <w:noProof/>
                <w:sz w:val="18"/>
                <w:szCs w:val="18"/>
              </w:rPr>
            </w:pPr>
          </w:p>
        </w:tc>
        <w:tc>
          <w:tcPr>
            <w:tcW w:w="720" w:type="dxa"/>
            <w:tcBorders>
              <w:left w:val="dashSmallGap" w:sz="4" w:space="0" w:color="auto"/>
            </w:tcBorders>
          </w:tcPr>
          <w:p w14:paraId="648382AE" w14:textId="77777777" w:rsidR="00656AA8" w:rsidRPr="00D549BE" w:rsidRDefault="00656AA8" w:rsidP="00434248">
            <w:pPr>
              <w:ind w:right="-29"/>
              <w:jc w:val="center"/>
              <w:rPr>
                <w:noProof/>
                <w:sz w:val="18"/>
                <w:szCs w:val="18"/>
              </w:rPr>
            </w:pPr>
          </w:p>
        </w:tc>
        <w:tc>
          <w:tcPr>
            <w:tcW w:w="720" w:type="dxa"/>
          </w:tcPr>
          <w:p w14:paraId="24393CB5" w14:textId="77777777" w:rsidR="00656AA8" w:rsidRPr="00D549BE" w:rsidRDefault="00656AA8" w:rsidP="00434248">
            <w:pPr>
              <w:ind w:right="-29"/>
              <w:jc w:val="center"/>
              <w:rPr>
                <w:noProof/>
                <w:sz w:val="18"/>
                <w:szCs w:val="18"/>
              </w:rPr>
            </w:pPr>
          </w:p>
        </w:tc>
        <w:tc>
          <w:tcPr>
            <w:tcW w:w="900" w:type="dxa"/>
          </w:tcPr>
          <w:p w14:paraId="42DAAA05" w14:textId="77777777" w:rsidR="00656AA8" w:rsidRPr="00D549BE" w:rsidRDefault="00656AA8" w:rsidP="00434248">
            <w:pPr>
              <w:ind w:right="-29"/>
              <w:jc w:val="center"/>
              <w:rPr>
                <w:noProof/>
                <w:sz w:val="18"/>
                <w:szCs w:val="18"/>
              </w:rPr>
            </w:pPr>
          </w:p>
        </w:tc>
      </w:tr>
      <w:tr w:rsidR="00656AA8" w:rsidRPr="00D549BE" w14:paraId="597ADDE8" w14:textId="77777777" w:rsidTr="00D549BE">
        <w:trPr>
          <w:trHeight w:hRule="exact" w:val="369"/>
          <w:jc w:val="center"/>
        </w:trPr>
        <w:tc>
          <w:tcPr>
            <w:tcW w:w="1423" w:type="dxa"/>
          </w:tcPr>
          <w:p w14:paraId="36AAB174" w14:textId="77777777" w:rsidR="00656AA8" w:rsidRPr="00D549BE" w:rsidRDefault="00656AA8" w:rsidP="00434248">
            <w:pPr>
              <w:ind w:right="-29"/>
              <w:jc w:val="center"/>
              <w:rPr>
                <w:noProof/>
                <w:sz w:val="18"/>
                <w:szCs w:val="18"/>
              </w:rPr>
            </w:pPr>
            <w:r w:rsidRPr="00D549BE">
              <w:rPr>
                <w:sz w:val="18"/>
              </w:rPr>
              <w:t>- Réalisation</w:t>
            </w:r>
          </w:p>
        </w:tc>
        <w:tc>
          <w:tcPr>
            <w:tcW w:w="720" w:type="dxa"/>
          </w:tcPr>
          <w:p w14:paraId="4D668CF3" w14:textId="77777777" w:rsidR="00656AA8" w:rsidRPr="00D549BE" w:rsidRDefault="00656AA8" w:rsidP="00434248">
            <w:pPr>
              <w:ind w:right="-29"/>
              <w:jc w:val="center"/>
              <w:rPr>
                <w:noProof/>
                <w:sz w:val="18"/>
                <w:szCs w:val="18"/>
              </w:rPr>
            </w:pPr>
          </w:p>
        </w:tc>
        <w:tc>
          <w:tcPr>
            <w:tcW w:w="778" w:type="dxa"/>
          </w:tcPr>
          <w:p w14:paraId="723A3000" w14:textId="77777777" w:rsidR="00656AA8" w:rsidRPr="00D549BE" w:rsidRDefault="00656AA8" w:rsidP="00434248">
            <w:pPr>
              <w:ind w:right="-29"/>
              <w:jc w:val="center"/>
              <w:rPr>
                <w:noProof/>
                <w:sz w:val="18"/>
                <w:szCs w:val="18"/>
              </w:rPr>
            </w:pPr>
          </w:p>
        </w:tc>
        <w:tc>
          <w:tcPr>
            <w:tcW w:w="427" w:type="dxa"/>
          </w:tcPr>
          <w:p w14:paraId="3D505527" w14:textId="77777777" w:rsidR="00656AA8" w:rsidRPr="00D549BE" w:rsidRDefault="00656AA8" w:rsidP="00434248">
            <w:pPr>
              <w:ind w:right="-29"/>
              <w:jc w:val="center"/>
              <w:rPr>
                <w:noProof/>
                <w:sz w:val="18"/>
                <w:szCs w:val="18"/>
              </w:rPr>
            </w:pPr>
          </w:p>
        </w:tc>
        <w:tc>
          <w:tcPr>
            <w:tcW w:w="720" w:type="dxa"/>
          </w:tcPr>
          <w:p w14:paraId="4DDF9B66" w14:textId="77777777" w:rsidR="00656AA8" w:rsidRPr="00D549BE" w:rsidRDefault="00656AA8" w:rsidP="00434248">
            <w:pPr>
              <w:ind w:right="-29"/>
              <w:jc w:val="center"/>
              <w:rPr>
                <w:noProof/>
                <w:sz w:val="18"/>
                <w:szCs w:val="18"/>
              </w:rPr>
            </w:pPr>
          </w:p>
        </w:tc>
        <w:tc>
          <w:tcPr>
            <w:tcW w:w="540" w:type="dxa"/>
          </w:tcPr>
          <w:p w14:paraId="165976EB" w14:textId="77777777" w:rsidR="00656AA8" w:rsidRPr="00D549BE" w:rsidRDefault="00656AA8" w:rsidP="00434248">
            <w:pPr>
              <w:ind w:right="-29"/>
              <w:jc w:val="center"/>
              <w:rPr>
                <w:noProof/>
                <w:sz w:val="18"/>
                <w:szCs w:val="18"/>
              </w:rPr>
            </w:pPr>
          </w:p>
        </w:tc>
        <w:tc>
          <w:tcPr>
            <w:tcW w:w="720" w:type="dxa"/>
          </w:tcPr>
          <w:p w14:paraId="0133C734" w14:textId="77777777" w:rsidR="00656AA8" w:rsidRPr="00D549BE" w:rsidRDefault="00656AA8" w:rsidP="00434248">
            <w:pPr>
              <w:ind w:right="-29"/>
              <w:jc w:val="center"/>
              <w:rPr>
                <w:noProof/>
                <w:sz w:val="18"/>
                <w:szCs w:val="18"/>
              </w:rPr>
            </w:pPr>
          </w:p>
        </w:tc>
        <w:tc>
          <w:tcPr>
            <w:tcW w:w="720" w:type="dxa"/>
          </w:tcPr>
          <w:p w14:paraId="3A6DC15A" w14:textId="77777777" w:rsidR="00656AA8" w:rsidRPr="00D549BE" w:rsidRDefault="00656AA8" w:rsidP="00434248">
            <w:pPr>
              <w:ind w:right="-29"/>
              <w:jc w:val="center"/>
              <w:rPr>
                <w:noProof/>
                <w:sz w:val="18"/>
                <w:szCs w:val="18"/>
              </w:rPr>
            </w:pPr>
          </w:p>
        </w:tc>
        <w:tc>
          <w:tcPr>
            <w:tcW w:w="720" w:type="dxa"/>
          </w:tcPr>
          <w:p w14:paraId="1F9F5AA9" w14:textId="77777777" w:rsidR="00656AA8" w:rsidRPr="00D549BE" w:rsidRDefault="00656AA8" w:rsidP="00434248">
            <w:pPr>
              <w:ind w:right="-29"/>
              <w:jc w:val="center"/>
              <w:rPr>
                <w:noProof/>
                <w:sz w:val="18"/>
                <w:szCs w:val="18"/>
              </w:rPr>
            </w:pPr>
          </w:p>
        </w:tc>
        <w:tc>
          <w:tcPr>
            <w:tcW w:w="900" w:type="dxa"/>
          </w:tcPr>
          <w:p w14:paraId="3F65D6D8" w14:textId="77777777" w:rsidR="00656AA8" w:rsidRPr="00D549BE" w:rsidRDefault="00656AA8" w:rsidP="00434248">
            <w:pPr>
              <w:ind w:right="-29"/>
              <w:jc w:val="center"/>
              <w:rPr>
                <w:noProof/>
                <w:sz w:val="18"/>
                <w:szCs w:val="18"/>
              </w:rPr>
            </w:pPr>
          </w:p>
        </w:tc>
        <w:tc>
          <w:tcPr>
            <w:tcW w:w="720" w:type="dxa"/>
            <w:gridSpan w:val="2"/>
          </w:tcPr>
          <w:p w14:paraId="40EFE0F4" w14:textId="77777777" w:rsidR="00656AA8" w:rsidRPr="00D549BE" w:rsidRDefault="00656AA8" w:rsidP="00434248">
            <w:pPr>
              <w:ind w:right="-29"/>
              <w:jc w:val="center"/>
              <w:rPr>
                <w:noProof/>
                <w:sz w:val="18"/>
                <w:szCs w:val="18"/>
              </w:rPr>
            </w:pPr>
          </w:p>
        </w:tc>
        <w:tc>
          <w:tcPr>
            <w:tcW w:w="540" w:type="dxa"/>
          </w:tcPr>
          <w:p w14:paraId="4D95CB3A" w14:textId="77777777" w:rsidR="00656AA8" w:rsidRPr="00D549BE" w:rsidRDefault="00656AA8" w:rsidP="00434248">
            <w:pPr>
              <w:ind w:right="-29"/>
              <w:jc w:val="center"/>
              <w:rPr>
                <w:noProof/>
                <w:sz w:val="18"/>
                <w:szCs w:val="18"/>
              </w:rPr>
            </w:pPr>
          </w:p>
        </w:tc>
        <w:tc>
          <w:tcPr>
            <w:tcW w:w="648" w:type="dxa"/>
          </w:tcPr>
          <w:p w14:paraId="06A26111" w14:textId="77777777" w:rsidR="00656AA8" w:rsidRPr="00D549BE" w:rsidRDefault="00656AA8" w:rsidP="00434248">
            <w:pPr>
              <w:ind w:right="-29"/>
              <w:jc w:val="center"/>
              <w:rPr>
                <w:noProof/>
                <w:sz w:val="18"/>
                <w:szCs w:val="18"/>
              </w:rPr>
            </w:pPr>
          </w:p>
        </w:tc>
        <w:tc>
          <w:tcPr>
            <w:tcW w:w="432" w:type="dxa"/>
          </w:tcPr>
          <w:p w14:paraId="1E72795B" w14:textId="77777777" w:rsidR="00656AA8" w:rsidRPr="00D549BE" w:rsidRDefault="00656AA8" w:rsidP="00434248">
            <w:pPr>
              <w:ind w:right="-29"/>
              <w:jc w:val="center"/>
              <w:rPr>
                <w:noProof/>
                <w:sz w:val="18"/>
                <w:szCs w:val="18"/>
              </w:rPr>
            </w:pPr>
          </w:p>
        </w:tc>
        <w:tc>
          <w:tcPr>
            <w:tcW w:w="720" w:type="dxa"/>
          </w:tcPr>
          <w:p w14:paraId="28A66A08" w14:textId="77777777" w:rsidR="00656AA8" w:rsidRPr="00D549BE" w:rsidRDefault="00656AA8" w:rsidP="00434248">
            <w:pPr>
              <w:ind w:right="-29"/>
              <w:jc w:val="center"/>
              <w:rPr>
                <w:noProof/>
                <w:sz w:val="18"/>
                <w:szCs w:val="18"/>
              </w:rPr>
            </w:pPr>
          </w:p>
        </w:tc>
        <w:tc>
          <w:tcPr>
            <w:tcW w:w="540" w:type="dxa"/>
          </w:tcPr>
          <w:p w14:paraId="133E83CF" w14:textId="77777777" w:rsidR="00656AA8" w:rsidRPr="00D549BE" w:rsidRDefault="00656AA8" w:rsidP="00434248">
            <w:pPr>
              <w:ind w:right="-29"/>
              <w:jc w:val="center"/>
              <w:rPr>
                <w:noProof/>
                <w:sz w:val="18"/>
                <w:szCs w:val="18"/>
              </w:rPr>
            </w:pPr>
          </w:p>
        </w:tc>
        <w:tc>
          <w:tcPr>
            <w:tcW w:w="720" w:type="dxa"/>
          </w:tcPr>
          <w:p w14:paraId="605359F0" w14:textId="77777777" w:rsidR="00656AA8" w:rsidRPr="00D549BE" w:rsidRDefault="00656AA8" w:rsidP="00434248">
            <w:pPr>
              <w:ind w:right="-29"/>
              <w:jc w:val="center"/>
              <w:rPr>
                <w:noProof/>
                <w:sz w:val="18"/>
                <w:szCs w:val="18"/>
              </w:rPr>
            </w:pPr>
          </w:p>
        </w:tc>
        <w:tc>
          <w:tcPr>
            <w:tcW w:w="720" w:type="dxa"/>
          </w:tcPr>
          <w:p w14:paraId="78AE3FCC" w14:textId="77777777" w:rsidR="00656AA8" w:rsidRPr="00D549BE" w:rsidRDefault="00656AA8" w:rsidP="00434248">
            <w:pPr>
              <w:ind w:right="-29"/>
              <w:jc w:val="center"/>
              <w:rPr>
                <w:noProof/>
                <w:sz w:val="18"/>
                <w:szCs w:val="18"/>
              </w:rPr>
            </w:pPr>
          </w:p>
        </w:tc>
        <w:tc>
          <w:tcPr>
            <w:tcW w:w="900" w:type="dxa"/>
          </w:tcPr>
          <w:p w14:paraId="4FD27FBA" w14:textId="77777777" w:rsidR="00656AA8" w:rsidRPr="00D549BE" w:rsidRDefault="00656AA8" w:rsidP="00434248">
            <w:pPr>
              <w:ind w:right="-29"/>
              <w:jc w:val="center"/>
              <w:rPr>
                <w:noProof/>
                <w:sz w:val="18"/>
                <w:szCs w:val="18"/>
              </w:rPr>
            </w:pPr>
          </w:p>
        </w:tc>
      </w:tr>
      <w:tr w:rsidR="00656AA8" w:rsidRPr="00D549BE" w14:paraId="0A06A5BB" w14:textId="77777777" w:rsidTr="00D549BE">
        <w:trPr>
          <w:trHeight w:val="77"/>
          <w:jc w:val="center"/>
        </w:trPr>
        <w:tc>
          <w:tcPr>
            <w:tcW w:w="2921" w:type="dxa"/>
            <w:gridSpan w:val="3"/>
            <w:tcBorders>
              <w:bottom w:val="single" w:sz="12" w:space="0" w:color="auto"/>
            </w:tcBorders>
            <w:vAlign w:val="center"/>
          </w:tcPr>
          <w:p w14:paraId="599FF73B" w14:textId="77777777" w:rsidR="00656AA8" w:rsidRPr="00D549BE" w:rsidRDefault="00656AA8" w:rsidP="00434248">
            <w:pPr>
              <w:ind w:right="-29"/>
              <w:jc w:val="center"/>
              <w:rPr>
                <w:noProof/>
                <w:sz w:val="18"/>
                <w:szCs w:val="18"/>
              </w:rPr>
            </w:pPr>
            <w:r w:rsidRPr="00D549BE">
              <w:rPr>
                <w:sz w:val="18"/>
              </w:rPr>
              <w:t>Sous-total objectif spécifique nº 1</w:t>
            </w:r>
          </w:p>
        </w:tc>
        <w:tc>
          <w:tcPr>
            <w:tcW w:w="427" w:type="dxa"/>
            <w:tcBorders>
              <w:bottom w:val="single" w:sz="12" w:space="0" w:color="auto"/>
            </w:tcBorders>
          </w:tcPr>
          <w:p w14:paraId="68DC6620"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6A46D5B4" w14:textId="77777777" w:rsidR="00656AA8" w:rsidRPr="00D549BE" w:rsidRDefault="00656AA8" w:rsidP="00434248">
            <w:pPr>
              <w:ind w:right="-29"/>
              <w:jc w:val="center"/>
              <w:rPr>
                <w:noProof/>
                <w:sz w:val="18"/>
                <w:szCs w:val="18"/>
              </w:rPr>
            </w:pPr>
          </w:p>
        </w:tc>
        <w:tc>
          <w:tcPr>
            <w:tcW w:w="540" w:type="dxa"/>
            <w:tcBorders>
              <w:bottom w:val="single" w:sz="12" w:space="0" w:color="auto"/>
            </w:tcBorders>
          </w:tcPr>
          <w:p w14:paraId="3A8152CD"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0E525858"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0813E198"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7DC22B7A" w14:textId="77777777" w:rsidR="00656AA8" w:rsidRPr="00D549BE" w:rsidRDefault="00656AA8" w:rsidP="00434248">
            <w:pPr>
              <w:ind w:right="-29"/>
              <w:jc w:val="center"/>
              <w:rPr>
                <w:noProof/>
                <w:sz w:val="18"/>
                <w:szCs w:val="18"/>
              </w:rPr>
            </w:pPr>
          </w:p>
        </w:tc>
        <w:tc>
          <w:tcPr>
            <w:tcW w:w="900" w:type="dxa"/>
            <w:tcBorders>
              <w:bottom w:val="single" w:sz="12" w:space="0" w:color="auto"/>
            </w:tcBorders>
          </w:tcPr>
          <w:p w14:paraId="1D0AEE6B" w14:textId="77777777" w:rsidR="00656AA8" w:rsidRPr="00D549BE" w:rsidRDefault="00656AA8" w:rsidP="00434248">
            <w:pPr>
              <w:ind w:right="-29"/>
              <w:jc w:val="center"/>
              <w:rPr>
                <w:noProof/>
                <w:sz w:val="18"/>
                <w:szCs w:val="18"/>
              </w:rPr>
            </w:pPr>
          </w:p>
        </w:tc>
        <w:tc>
          <w:tcPr>
            <w:tcW w:w="720" w:type="dxa"/>
            <w:gridSpan w:val="2"/>
            <w:tcBorders>
              <w:bottom w:val="single" w:sz="12" w:space="0" w:color="auto"/>
            </w:tcBorders>
          </w:tcPr>
          <w:p w14:paraId="47694587" w14:textId="77777777" w:rsidR="00656AA8" w:rsidRPr="00D549BE" w:rsidRDefault="00656AA8" w:rsidP="00434248">
            <w:pPr>
              <w:ind w:right="-29"/>
              <w:jc w:val="center"/>
              <w:rPr>
                <w:noProof/>
                <w:sz w:val="18"/>
                <w:szCs w:val="18"/>
              </w:rPr>
            </w:pPr>
          </w:p>
        </w:tc>
        <w:tc>
          <w:tcPr>
            <w:tcW w:w="540" w:type="dxa"/>
            <w:tcBorders>
              <w:bottom w:val="single" w:sz="12" w:space="0" w:color="auto"/>
            </w:tcBorders>
          </w:tcPr>
          <w:p w14:paraId="2C9D30E6" w14:textId="77777777" w:rsidR="00656AA8" w:rsidRPr="00D549BE" w:rsidRDefault="00656AA8" w:rsidP="00434248">
            <w:pPr>
              <w:ind w:right="-29"/>
              <w:jc w:val="center"/>
              <w:rPr>
                <w:noProof/>
                <w:sz w:val="18"/>
                <w:szCs w:val="18"/>
              </w:rPr>
            </w:pPr>
          </w:p>
        </w:tc>
        <w:tc>
          <w:tcPr>
            <w:tcW w:w="648" w:type="dxa"/>
            <w:tcBorders>
              <w:bottom w:val="single" w:sz="12" w:space="0" w:color="auto"/>
            </w:tcBorders>
          </w:tcPr>
          <w:p w14:paraId="2569ADC4" w14:textId="77777777" w:rsidR="00656AA8" w:rsidRPr="00D549BE" w:rsidRDefault="00656AA8" w:rsidP="00434248">
            <w:pPr>
              <w:ind w:right="-29"/>
              <w:jc w:val="center"/>
              <w:rPr>
                <w:noProof/>
                <w:sz w:val="18"/>
                <w:szCs w:val="18"/>
              </w:rPr>
            </w:pPr>
          </w:p>
        </w:tc>
        <w:tc>
          <w:tcPr>
            <w:tcW w:w="432" w:type="dxa"/>
            <w:tcBorders>
              <w:bottom w:val="single" w:sz="12" w:space="0" w:color="auto"/>
            </w:tcBorders>
          </w:tcPr>
          <w:p w14:paraId="623BF33F"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30EF96D2" w14:textId="77777777" w:rsidR="00656AA8" w:rsidRPr="00D549BE" w:rsidRDefault="00656AA8" w:rsidP="00434248">
            <w:pPr>
              <w:ind w:right="-29"/>
              <w:jc w:val="center"/>
              <w:rPr>
                <w:noProof/>
                <w:sz w:val="18"/>
                <w:szCs w:val="18"/>
              </w:rPr>
            </w:pPr>
          </w:p>
        </w:tc>
        <w:tc>
          <w:tcPr>
            <w:tcW w:w="540" w:type="dxa"/>
            <w:tcBorders>
              <w:bottom w:val="single" w:sz="12" w:space="0" w:color="auto"/>
            </w:tcBorders>
          </w:tcPr>
          <w:p w14:paraId="7279D572"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46FE6A7A"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2947B219" w14:textId="77777777" w:rsidR="00656AA8" w:rsidRPr="00D549BE" w:rsidRDefault="00656AA8" w:rsidP="00434248">
            <w:pPr>
              <w:ind w:right="-29"/>
              <w:jc w:val="center"/>
              <w:rPr>
                <w:noProof/>
                <w:sz w:val="18"/>
                <w:szCs w:val="18"/>
              </w:rPr>
            </w:pPr>
          </w:p>
        </w:tc>
        <w:tc>
          <w:tcPr>
            <w:tcW w:w="900" w:type="dxa"/>
            <w:tcBorders>
              <w:bottom w:val="single" w:sz="12" w:space="0" w:color="auto"/>
            </w:tcBorders>
          </w:tcPr>
          <w:p w14:paraId="3E883283" w14:textId="77777777" w:rsidR="00656AA8" w:rsidRPr="00D549BE" w:rsidRDefault="00656AA8" w:rsidP="00434248">
            <w:pPr>
              <w:ind w:right="-29"/>
              <w:jc w:val="center"/>
              <w:rPr>
                <w:noProof/>
                <w:sz w:val="18"/>
                <w:szCs w:val="18"/>
              </w:rPr>
            </w:pPr>
          </w:p>
        </w:tc>
      </w:tr>
      <w:tr w:rsidR="00656AA8" w:rsidRPr="00D549BE" w14:paraId="5571703E" w14:textId="77777777" w:rsidTr="00D549BE">
        <w:trPr>
          <w:jc w:val="center"/>
        </w:trPr>
        <w:tc>
          <w:tcPr>
            <w:tcW w:w="2921" w:type="dxa"/>
            <w:gridSpan w:val="3"/>
            <w:vAlign w:val="center"/>
          </w:tcPr>
          <w:p w14:paraId="3C10BE1E" w14:textId="77777777" w:rsidR="00656AA8" w:rsidRPr="00D549BE" w:rsidRDefault="00656AA8" w:rsidP="00434248">
            <w:pPr>
              <w:spacing w:before="60" w:after="60"/>
              <w:ind w:right="-29"/>
              <w:jc w:val="center"/>
              <w:rPr>
                <w:noProof/>
                <w:sz w:val="18"/>
                <w:szCs w:val="18"/>
              </w:rPr>
            </w:pPr>
            <w:r w:rsidRPr="00D549BE">
              <w:rPr>
                <w:sz w:val="18"/>
              </w:rPr>
              <w:t>OBJECTIF SPÉCIFIQUE nº 2…</w:t>
            </w:r>
          </w:p>
        </w:tc>
        <w:tc>
          <w:tcPr>
            <w:tcW w:w="427" w:type="dxa"/>
            <w:tcBorders>
              <w:top w:val="nil"/>
              <w:left w:val="nil"/>
              <w:bottom w:val="nil"/>
              <w:right w:val="nil"/>
            </w:tcBorders>
          </w:tcPr>
          <w:p w14:paraId="695A4DCD"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4867A78F" w14:textId="77777777" w:rsidR="00656AA8" w:rsidRPr="00D549BE" w:rsidRDefault="00656AA8" w:rsidP="00434248">
            <w:pPr>
              <w:spacing w:before="60" w:after="60"/>
              <w:ind w:right="-29"/>
              <w:jc w:val="center"/>
              <w:rPr>
                <w:noProof/>
                <w:sz w:val="18"/>
                <w:szCs w:val="18"/>
              </w:rPr>
            </w:pPr>
          </w:p>
        </w:tc>
        <w:tc>
          <w:tcPr>
            <w:tcW w:w="540" w:type="dxa"/>
            <w:tcBorders>
              <w:top w:val="nil"/>
              <w:left w:val="nil"/>
              <w:bottom w:val="nil"/>
              <w:right w:val="nil"/>
            </w:tcBorders>
          </w:tcPr>
          <w:p w14:paraId="4B93FCFA"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075CEF78"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135B909C"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3AC7651F" w14:textId="77777777" w:rsidR="00656AA8" w:rsidRPr="00D549BE" w:rsidRDefault="00656AA8" w:rsidP="00434248">
            <w:pPr>
              <w:spacing w:before="60" w:after="60"/>
              <w:ind w:right="-29"/>
              <w:jc w:val="center"/>
              <w:rPr>
                <w:noProof/>
                <w:sz w:val="18"/>
                <w:szCs w:val="18"/>
              </w:rPr>
            </w:pPr>
          </w:p>
        </w:tc>
        <w:tc>
          <w:tcPr>
            <w:tcW w:w="900" w:type="dxa"/>
            <w:tcBorders>
              <w:top w:val="nil"/>
              <w:left w:val="nil"/>
              <w:bottom w:val="nil"/>
              <w:right w:val="nil"/>
            </w:tcBorders>
          </w:tcPr>
          <w:p w14:paraId="0E7F35CC" w14:textId="77777777" w:rsidR="00656AA8" w:rsidRPr="00D549BE" w:rsidRDefault="00656AA8" w:rsidP="00434248">
            <w:pPr>
              <w:spacing w:before="60" w:after="60"/>
              <w:ind w:right="-29"/>
              <w:jc w:val="center"/>
              <w:rPr>
                <w:noProof/>
                <w:sz w:val="18"/>
                <w:szCs w:val="18"/>
              </w:rPr>
            </w:pPr>
          </w:p>
        </w:tc>
        <w:tc>
          <w:tcPr>
            <w:tcW w:w="720" w:type="dxa"/>
            <w:gridSpan w:val="2"/>
            <w:tcBorders>
              <w:top w:val="nil"/>
              <w:left w:val="nil"/>
              <w:bottom w:val="nil"/>
              <w:right w:val="nil"/>
            </w:tcBorders>
          </w:tcPr>
          <w:p w14:paraId="413F9D4A" w14:textId="77777777" w:rsidR="00656AA8" w:rsidRPr="00D549BE" w:rsidRDefault="00656AA8" w:rsidP="00434248">
            <w:pPr>
              <w:spacing w:before="60" w:after="60"/>
              <w:ind w:right="-29"/>
              <w:jc w:val="center"/>
              <w:rPr>
                <w:noProof/>
                <w:sz w:val="18"/>
                <w:szCs w:val="18"/>
              </w:rPr>
            </w:pPr>
          </w:p>
        </w:tc>
        <w:tc>
          <w:tcPr>
            <w:tcW w:w="540" w:type="dxa"/>
            <w:tcBorders>
              <w:top w:val="nil"/>
              <w:left w:val="nil"/>
              <w:bottom w:val="nil"/>
              <w:right w:val="nil"/>
            </w:tcBorders>
          </w:tcPr>
          <w:p w14:paraId="4081F2FB" w14:textId="77777777" w:rsidR="00656AA8" w:rsidRPr="00D549BE" w:rsidRDefault="00656AA8" w:rsidP="00434248">
            <w:pPr>
              <w:spacing w:before="60" w:after="60"/>
              <w:ind w:right="-29"/>
              <w:jc w:val="center"/>
              <w:rPr>
                <w:noProof/>
                <w:sz w:val="18"/>
                <w:szCs w:val="18"/>
              </w:rPr>
            </w:pPr>
          </w:p>
        </w:tc>
        <w:tc>
          <w:tcPr>
            <w:tcW w:w="648" w:type="dxa"/>
            <w:tcBorders>
              <w:top w:val="nil"/>
              <w:left w:val="nil"/>
              <w:bottom w:val="nil"/>
              <w:right w:val="nil"/>
            </w:tcBorders>
          </w:tcPr>
          <w:p w14:paraId="54534B84" w14:textId="77777777" w:rsidR="00656AA8" w:rsidRPr="00D549BE" w:rsidRDefault="00656AA8" w:rsidP="00434248">
            <w:pPr>
              <w:spacing w:before="60" w:after="60"/>
              <w:ind w:right="-29"/>
              <w:jc w:val="center"/>
              <w:rPr>
                <w:noProof/>
                <w:sz w:val="18"/>
                <w:szCs w:val="18"/>
              </w:rPr>
            </w:pPr>
          </w:p>
        </w:tc>
        <w:tc>
          <w:tcPr>
            <w:tcW w:w="432" w:type="dxa"/>
            <w:tcBorders>
              <w:top w:val="nil"/>
              <w:left w:val="nil"/>
              <w:bottom w:val="nil"/>
              <w:right w:val="nil"/>
            </w:tcBorders>
          </w:tcPr>
          <w:p w14:paraId="1A84F9F8"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7A7671F6" w14:textId="77777777" w:rsidR="00656AA8" w:rsidRPr="00D549BE" w:rsidRDefault="00656AA8" w:rsidP="00434248">
            <w:pPr>
              <w:spacing w:before="60" w:after="60"/>
              <w:ind w:right="-29"/>
              <w:jc w:val="center"/>
              <w:rPr>
                <w:noProof/>
                <w:sz w:val="18"/>
                <w:szCs w:val="18"/>
              </w:rPr>
            </w:pPr>
          </w:p>
        </w:tc>
        <w:tc>
          <w:tcPr>
            <w:tcW w:w="540" w:type="dxa"/>
            <w:tcBorders>
              <w:top w:val="nil"/>
              <w:left w:val="nil"/>
              <w:bottom w:val="nil"/>
              <w:right w:val="nil"/>
            </w:tcBorders>
          </w:tcPr>
          <w:p w14:paraId="2CFEE686"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49DE7BC5" w14:textId="77777777" w:rsidR="00656AA8" w:rsidRPr="00D549BE" w:rsidRDefault="00656AA8" w:rsidP="00434248">
            <w:pPr>
              <w:spacing w:before="60" w:after="60"/>
              <w:ind w:right="-29"/>
              <w:jc w:val="center"/>
              <w:rPr>
                <w:noProof/>
                <w:sz w:val="18"/>
                <w:szCs w:val="18"/>
              </w:rPr>
            </w:pPr>
          </w:p>
        </w:tc>
        <w:tc>
          <w:tcPr>
            <w:tcW w:w="720" w:type="dxa"/>
            <w:tcBorders>
              <w:top w:val="nil"/>
              <w:left w:val="nil"/>
              <w:bottom w:val="nil"/>
              <w:right w:val="nil"/>
            </w:tcBorders>
          </w:tcPr>
          <w:p w14:paraId="773F0D47" w14:textId="77777777" w:rsidR="00656AA8" w:rsidRPr="00D549BE" w:rsidRDefault="00656AA8" w:rsidP="00434248">
            <w:pPr>
              <w:spacing w:before="60" w:after="60"/>
              <w:ind w:right="-29"/>
              <w:jc w:val="center"/>
              <w:rPr>
                <w:noProof/>
                <w:sz w:val="18"/>
                <w:szCs w:val="18"/>
              </w:rPr>
            </w:pPr>
          </w:p>
        </w:tc>
        <w:tc>
          <w:tcPr>
            <w:tcW w:w="900" w:type="dxa"/>
            <w:tcBorders>
              <w:top w:val="nil"/>
              <w:left w:val="nil"/>
              <w:bottom w:val="nil"/>
              <w:right w:val="nil"/>
            </w:tcBorders>
          </w:tcPr>
          <w:p w14:paraId="48ED5F65" w14:textId="77777777" w:rsidR="00656AA8" w:rsidRPr="00D549BE" w:rsidRDefault="00656AA8" w:rsidP="00434248">
            <w:pPr>
              <w:spacing w:before="60" w:after="60"/>
              <w:ind w:right="-29"/>
              <w:jc w:val="center"/>
              <w:rPr>
                <w:noProof/>
                <w:sz w:val="18"/>
                <w:szCs w:val="18"/>
              </w:rPr>
            </w:pPr>
          </w:p>
        </w:tc>
      </w:tr>
      <w:tr w:rsidR="00656AA8" w:rsidRPr="00D549BE" w14:paraId="7550A47F" w14:textId="77777777" w:rsidTr="00D549BE">
        <w:trPr>
          <w:trHeight w:hRule="exact" w:val="369"/>
          <w:jc w:val="center"/>
        </w:trPr>
        <w:tc>
          <w:tcPr>
            <w:tcW w:w="1423" w:type="dxa"/>
          </w:tcPr>
          <w:p w14:paraId="7BEBF075" w14:textId="77777777" w:rsidR="00656AA8" w:rsidRPr="00D549BE" w:rsidRDefault="00656AA8" w:rsidP="00434248">
            <w:pPr>
              <w:ind w:right="-29"/>
              <w:jc w:val="center"/>
              <w:rPr>
                <w:noProof/>
                <w:sz w:val="18"/>
                <w:szCs w:val="18"/>
              </w:rPr>
            </w:pPr>
            <w:r w:rsidRPr="00D549BE">
              <w:rPr>
                <w:sz w:val="18"/>
              </w:rPr>
              <w:t>- Réalisation</w:t>
            </w:r>
          </w:p>
        </w:tc>
        <w:tc>
          <w:tcPr>
            <w:tcW w:w="720" w:type="dxa"/>
          </w:tcPr>
          <w:p w14:paraId="2574B4F6" w14:textId="77777777" w:rsidR="00656AA8" w:rsidRPr="00D549BE" w:rsidRDefault="00656AA8" w:rsidP="00434248">
            <w:pPr>
              <w:ind w:right="-29"/>
              <w:jc w:val="center"/>
              <w:rPr>
                <w:noProof/>
                <w:sz w:val="18"/>
                <w:szCs w:val="18"/>
              </w:rPr>
            </w:pPr>
          </w:p>
        </w:tc>
        <w:tc>
          <w:tcPr>
            <w:tcW w:w="778" w:type="dxa"/>
          </w:tcPr>
          <w:p w14:paraId="094F0FF8" w14:textId="77777777" w:rsidR="00656AA8" w:rsidRPr="00D549BE" w:rsidRDefault="00656AA8" w:rsidP="00434248">
            <w:pPr>
              <w:ind w:right="-29"/>
              <w:jc w:val="center"/>
              <w:rPr>
                <w:noProof/>
                <w:sz w:val="18"/>
                <w:szCs w:val="18"/>
              </w:rPr>
            </w:pPr>
          </w:p>
        </w:tc>
        <w:tc>
          <w:tcPr>
            <w:tcW w:w="427" w:type="dxa"/>
          </w:tcPr>
          <w:p w14:paraId="39246553" w14:textId="77777777" w:rsidR="00656AA8" w:rsidRPr="00D549BE" w:rsidRDefault="00656AA8" w:rsidP="00434248">
            <w:pPr>
              <w:ind w:right="-29"/>
              <w:jc w:val="center"/>
              <w:rPr>
                <w:noProof/>
                <w:sz w:val="18"/>
                <w:szCs w:val="18"/>
              </w:rPr>
            </w:pPr>
          </w:p>
        </w:tc>
        <w:tc>
          <w:tcPr>
            <w:tcW w:w="720" w:type="dxa"/>
          </w:tcPr>
          <w:p w14:paraId="444FFEE3" w14:textId="77777777" w:rsidR="00656AA8" w:rsidRPr="00D549BE" w:rsidRDefault="00656AA8" w:rsidP="00434248">
            <w:pPr>
              <w:ind w:right="-29"/>
              <w:jc w:val="center"/>
              <w:rPr>
                <w:noProof/>
                <w:sz w:val="18"/>
                <w:szCs w:val="18"/>
              </w:rPr>
            </w:pPr>
          </w:p>
        </w:tc>
        <w:tc>
          <w:tcPr>
            <w:tcW w:w="540" w:type="dxa"/>
          </w:tcPr>
          <w:p w14:paraId="4BF22D38" w14:textId="77777777" w:rsidR="00656AA8" w:rsidRPr="00D549BE" w:rsidRDefault="00656AA8" w:rsidP="00434248">
            <w:pPr>
              <w:ind w:right="-29"/>
              <w:jc w:val="center"/>
              <w:rPr>
                <w:noProof/>
                <w:sz w:val="18"/>
                <w:szCs w:val="18"/>
              </w:rPr>
            </w:pPr>
          </w:p>
        </w:tc>
        <w:tc>
          <w:tcPr>
            <w:tcW w:w="720" w:type="dxa"/>
          </w:tcPr>
          <w:p w14:paraId="24BDA69F" w14:textId="77777777" w:rsidR="00656AA8" w:rsidRPr="00D549BE" w:rsidRDefault="00656AA8" w:rsidP="00434248">
            <w:pPr>
              <w:ind w:right="-29"/>
              <w:jc w:val="center"/>
              <w:rPr>
                <w:noProof/>
                <w:sz w:val="18"/>
                <w:szCs w:val="18"/>
              </w:rPr>
            </w:pPr>
          </w:p>
        </w:tc>
        <w:tc>
          <w:tcPr>
            <w:tcW w:w="720" w:type="dxa"/>
          </w:tcPr>
          <w:p w14:paraId="1AADDD1C" w14:textId="77777777" w:rsidR="00656AA8" w:rsidRPr="00D549BE" w:rsidRDefault="00656AA8" w:rsidP="00434248">
            <w:pPr>
              <w:ind w:right="-29"/>
              <w:jc w:val="center"/>
              <w:rPr>
                <w:noProof/>
                <w:sz w:val="18"/>
                <w:szCs w:val="18"/>
              </w:rPr>
            </w:pPr>
          </w:p>
        </w:tc>
        <w:tc>
          <w:tcPr>
            <w:tcW w:w="720" w:type="dxa"/>
          </w:tcPr>
          <w:p w14:paraId="1B082941" w14:textId="77777777" w:rsidR="00656AA8" w:rsidRPr="00D549BE" w:rsidRDefault="00656AA8" w:rsidP="00434248">
            <w:pPr>
              <w:ind w:right="-29"/>
              <w:jc w:val="center"/>
              <w:rPr>
                <w:noProof/>
                <w:sz w:val="18"/>
                <w:szCs w:val="18"/>
              </w:rPr>
            </w:pPr>
          </w:p>
        </w:tc>
        <w:tc>
          <w:tcPr>
            <w:tcW w:w="900" w:type="dxa"/>
          </w:tcPr>
          <w:p w14:paraId="2323714A" w14:textId="77777777" w:rsidR="00656AA8" w:rsidRPr="00D549BE" w:rsidRDefault="00656AA8" w:rsidP="00434248">
            <w:pPr>
              <w:ind w:right="-29"/>
              <w:jc w:val="center"/>
              <w:rPr>
                <w:noProof/>
                <w:sz w:val="18"/>
                <w:szCs w:val="18"/>
              </w:rPr>
            </w:pPr>
          </w:p>
        </w:tc>
        <w:tc>
          <w:tcPr>
            <w:tcW w:w="720" w:type="dxa"/>
            <w:gridSpan w:val="2"/>
          </w:tcPr>
          <w:p w14:paraId="21BDF316" w14:textId="77777777" w:rsidR="00656AA8" w:rsidRPr="00D549BE" w:rsidRDefault="00656AA8" w:rsidP="00434248">
            <w:pPr>
              <w:ind w:right="-29"/>
              <w:jc w:val="center"/>
              <w:rPr>
                <w:noProof/>
                <w:sz w:val="18"/>
                <w:szCs w:val="18"/>
              </w:rPr>
            </w:pPr>
          </w:p>
        </w:tc>
        <w:tc>
          <w:tcPr>
            <w:tcW w:w="540" w:type="dxa"/>
          </w:tcPr>
          <w:p w14:paraId="0F23463F" w14:textId="77777777" w:rsidR="00656AA8" w:rsidRPr="00D549BE" w:rsidRDefault="00656AA8" w:rsidP="00434248">
            <w:pPr>
              <w:ind w:right="-29"/>
              <w:jc w:val="center"/>
              <w:rPr>
                <w:noProof/>
                <w:sz w:val="18"/>
                <w:szCs w:val="18"/>
              </w:rPr>
            </w:pPr>
          </w:p>
        </w:tc>
        <w:tc>
          <w:tcPr>
            <w:tcW w:w="648" w:type="dxa"/>
          </w:tcPr>
          <w:p w14:paraId="574A9BA7" w14:textId="77777777" w:rsidR="00656AA8" w:rsidRPr="00D549BE" w:rsidRDefault="00656AA8" w:rsidP="00434248">
            <w:pPr>
              <w:ind w:right="-29"/>
              <w:jc w:val="center"/>
              <w:rPr>
                <w:noProof/>
                <w:sz w:val="18"/>
                <w:szCs w:val="18"/>
              </w:rPr>
            </w:pPr>
          </w:p>
        </w:tc>
        <w:tc>
          <w:tcPr>
            <w:tcW w:w="432" w:type="dxa"/>
          </w:tcPr>
          <w:p w14:paraId="64423B6B" w14:textId="77777777" w:rsidR="00656AA8" w:rsidRPr="00D549BE" w:rsidRDefault="00656AA8" w:rsidP="00434248">
            <w:pPr>
              <w:ind w:right="-29"/>
              <w:jc w:val="center"/>
              <w:rPr>
                <w:noProof/>
                <w:sz w:val="18"/>
                <w:szCs w:val="18"/>
              </w:rPr>
            </w:pPr>
          </w:p>
        </w:tc>
        <w:tc>
          <w:tcPr>
            <w:tcW w:w="720" w:type="dxa"/>
          </w:tcPr>
          <w:p w14:paraId="5BEE6B56" w14:textId="77777777" w:rsidR="00656AA8" w:rsidRPr="00D549BE" w:rsidRDefault="00656AA8" w:rsidP="00434248">
            <w:pPr>
              <w:ind w:right="-29"/>
              <w:jc w:val="center"/>
              <w:rPr>
                <w:noProof/>
                <w:sz w:val="18"/>
                <w:szCs w:val="18"/>
              </w:rPr>
            </w:pPr>
          </w:p>
        </w:tc>
        <w:tc>
          <w:tcPr>
            <w:tcW w:w="540" w:type="dxa"/>
          </w:tcPr>
          <w:p w14:paraId="6498988F" w14:textId="77777777" w:rsidR="00656AA8" w:rsidRPr="00D549BE" w:rsidRDefault="00656AA8" w:rsidP="00434248">
            <w:pPr>
              <w:ind w:right="-29"/>
              <w:jc w:val="center"/>
              <w:rPr>
                <w:noProof/>
                <w:sz w:val="18"/>
                <w:szCs w:val="18"/>
              </w:rPr>
            </w:pPr>
          </w:p>
        </w:tc>
        <w:tc>
          <w:tcPr>
            <w:tcW w:w="720" w:type="dxa"/>
          </w:tcPr>
          <w:p w14:paraId="4D218961" w14:textId="77777777" w:rsidR="00656AA8" w:rsidRPr="00D549BE" w:rsidRDefault="00656AA8" w:rsidP="00434248">
            <w:pPr>
              <w:ind w:right="-29"/>
              <w:jc w:val="center"/>
              <w:rPr>
                <w:noProof/>
                <w:sz w:val="18"/>
                <w:szCs w:val="18"/>
              </w:rPr>
            </w:pPr>
          </w:p>
        </w:tc>
        <w:tc>
          <w:tcPr>
            <w:tcW w:w="720" w:type="dxa"/>
          </w:tcPr>
          <w:p w14:paraId="1AA02981" w14:textId="77777777" w:rsidR="00656AA8" w:rsidRPr="00D549BE" w:rsidRDefault="00656AA8" w:rsidP="00434248">
            <w:pPr>
              <w:ind w:right="-29"/>
              <w:jc w:val="center"/>
              <w:rPr>
                <w:noProof/>
                <w:sz w:val="18"/>
                <w:szCs w:val="18"/>
              </w:rPr>
            </w:pPr>
          </w:p>
        </w:tc>
        <w:tc>
          <w:tcPr>
            <w:tcW w:w="900" w:type="dxa"/>
          </w:tcPr>
          <w:p w14:paraId="0D64F67C" w14:textId="77777777" w:rsidR="00656AA8" w:rsidRPr="00D549BE" w:rsidRDefault="00656AA8" w:rsidP="00434248">
            <w:pPr>
              <w:ind w:right="-29"/>
              <w:jc w:val="center"/>
              <w:rPr>
                <w:noProof/>
                <w:sz w:val="18"/>
                <w:szCs w:val="18"/>
              </w:rPr>
            </w:pPr>
          </w:p>
        </w:tc>
      </w:tr>
      <w:tr w:rsidR="00656AA8" w:rsidRPr="00D549BE" w14:paraId="19492DF1" w14:textId="77777777" w:rsidTr="00D549BE">
        <w:trPr>
          <w:jc w:val="center"/>
        </w:trPr>
        <w:tc>
          <w:tcPr>
            <w:tcW w:w="2921" w:type="dxa"/>
            <w:gridSpan w:val="3"/>
            <w:tcBorders>
              <w:bottom w:val="single" w:sz="12" w:space="0" w:color="auto"/>
            </w:tcBorders>
            <w:vAlign w:val="center"/>
          </w:tcPr>
          <w:p w14:paraId="31C397D8" w14:textId="77777777" w:rsidR="00656AA8" w:rsidRPr="00D549BE" w:rsidRDefault="00656AA8" w:rsidP="00434248">
            <w:pPr>
              <w:jc w:val="center"/>
              <w:rPr>
                <w:noProof/>
                <w:sz w:val="18"/>
                <w:szCs w:val="18"/>
              </w:rPr>
            </w:pPr>
            <w:r w:rsidRPr="00D549BE">
              <w:rPr>
                <w:sz w:val="18"/>
              </w:rPr>
              <w:t>Sous-total objectif spécifique nº 2</w:t>
            </w:r>
          </w:p>
        </w:tc>
        <w:tc>
          <w:tcPr>
            <w:tcW w:w="427" w:type="dxa"/>
            <w:tcBorders>
              <w:bottom w:val="single" w:sz="12" w:space="0" w:color="auto"/>
            </w:tcBorders>
          </w:tcPr>
          <w:p w14:paraId="37A50F1D"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5241969D" w14:textId="77777777" w:rsidR="00656AA8" w:rsidRPr="00D549BE" w:rsidRDefault="00656AA8" w:rsidP="00434248">
            <w:pPr>
              <w:ind w:right="-29"/>
              <w:jc w:val="center"/>
              <w:rPr>
                <w:noProof/>
                <w:sz w:val="18"/>
                <w:szCs w:val="18"/>
              </w:rPr>
            </w:pPr>
          </w:p>
        </w:tc>
        <w:tc>
          <w:tcPr>
            <w:tcW w:w="540" w:type="dxa"/>
            <w:tcBorders>
              <w:bottom w:val="single" w:sz="12" w:space="0" w:color="auto"/>
            </w:tcBorders>
          </w:tcPr>
          <w:p w14:paraId="393BDF06"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48E7C8CA"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7F0EBE87"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73B03661" w14:textId="77777777" w:rsidR="00656AA8" w:rsidRPr="00D549BE" w:rsidRDefault="00656AA8" w:rsidP="00434248">
            <w:pPr>
              <w:ind w:right="-29"/>
              <w:jc w:val="center"/>
              <w:rPr>
                <w:noProof/>
                <w:sz w:val="18"/>
                <w:szCs w:val="18"/>
              </w:rPr>
            </w:pPr>
          </w:p>
        </w:tc>
        <w:tc>
          <w:tcPr>
            <w:tcW w:w="951" w:type="dxa"/>
            <w:gridSpan w:val="2"/>
            <w:tcBorders>
              <w:bottom w:val="single" w:sz="12" w:space="0" w:color="auto"/>
            </w:tcBorders>
          </w:tcPr>
          <w:p w14:paraId="4A231276" w14:textId="77777777" w:rsidR="00656AA8" w:rsidRPr="00D549BE" w:rsidRDefault="00656AA8" w:rsidP="00434248">
            <w:pPr>
              <w:ind w:right="-29"/>
              <w:jc w:val="center"/>
              <w:rPr>
                <w:noProof/>
                <w:sz w:val="18"/>
                <w:szCs w:val="18"/>
              </w:rPr>
            </w:pPr>
          </w:p>
        </w:tc>
        <w:tc>
          <w:tcPr>
            <w:tcW w:w="669" w:type="dxa"/>
            <w:tcBorders>
              <w:bottom w:val="single" w:sz="12" w:space="0" w:color="auto"/>
            </w:tcBorders>
          </w:tcPr>
          <w:p w14:paraId="3E881002" w14:textId="77777777" w:rsidR="00656AA8" w:rsidRPr="00D549BE" w:rsidRDefault="00656AA8" w:rsidP="00434248">
            <w:pPr>
              <w:ind w:right="-29"/>
              <w:jc w:val="center"/>
              <w:rPr>
                <w:noProof/>
                <w:sz w:val="18"/>
                <w:szCs w:val="18"/>
              </w:rPr>
            </w:pPr>
          </w:p>
        </w:tc>
        <w:tc>
          <w:tcPr>
            <w:tcW w:w="540" w:type="dxa"/>
            <w:tcBorders>
              <w:bottom w:val="single" w:sz="12" w:space="0" w:color="auto"/>
            </w:tcBorders>
          </w:tcPr>
          <w:p w14:paraId="04DB0016" w14:textId="77777777" w:rsidR="00656AA8" w:rsidRPr="00D549BE" w:rsidRDefault="00656AA8" w:rsidP="00434248">
            <w:pPr>
              <w:ind w:right="-29"/>
              <w:jc w:val="center"/>
              <w:rPr>
                <w:noProof/>
                <w:sz w:val="18"/>
                <w:szCs w:val="18"/>
              </w:rPr>
            </w:pPr>
          </w:p>
        </w:tc>
        <w:tc>
          <w:tcPr>
            <w:tcW w:w="648" w:type="dxa"/>
            <w:tcBorders>
              <w:bottom w:val="single" w:sz="12" w:space="0" w:color="auto"/>
            </w:tcBorders>
          </w:tcPr>
          <w:p w14:paraId="609EF9EC" w14:textId="77777777" w:rsidR="00656AA8" w:rsidRPr="00D549BE" w:rsidRDefault="00656AA8" w:rsidP="00434248">
            <w:pPr>
              <w:ind w:right="-29"/>
              <w:jc w:val="center"/>
              <w:rPr>
                <w:noProof/>
                <w:sz w:val="18"/>
                <w:szCs w:val="18"/>
              </w:rPr>
            </w:pPr>
          </w:p>
        </w:tc>
        <w:tc>
          <w:tcPr>
            <w:tcW w:w="432" w:type="dxa"/>
            <w:tcBorders>
              <w:bottom w:val="single" w:sz="12" w:space="0" w:color="auto"/>
            </w:tcBorders>
          </w:tcPr>
          <w:p w14:paraId="4DE6B9D6"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27741E2F" w14:textId="77777777" w:rsidR="00656AA8" w:rsidRPr="00D549BE" w:rsidRDefault="00656AA8" w:rsidP="00434248">
            <w:pPr>
              <w:ind w:right="-29"/>
              <w:jc w:val="center"/>
              <w:rPr>
                <w:noProof/>
                <w:sz w:val="18"/>
                <w:szCs w:val="18"/>
              </w:rPr>
            </w:pPr>
          </w:p>
        </w:tc>
        <w:tc>
          <w:tcPr>
            <w:tcW w:w="540" w:type="dxa"/>
            <w:tcBorders>
              <w:bottom w:val="single" w:sz="12" w:space="0" w:color="auto"/>
            </w:tcBorders>
          </w:tcPr>
          <w:p w14:paraId="2CB6C9F1"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7B6DE65C" w14:textId="77777777" w:rsidR="00656AA8" w:rsidRPr="00D549BE" w:rsidRDefault="00656AA8" w:rsidP="00434248">
            <w:pPr>
              <w:ind w:right="-29"/>
              <w:jc w:val="center"/>
              <w:rPr>
                <w:noProof/>
                <w:sz w:val="18"/>
                <w:szCs w:val="18"/>
              </w:rPr>
            </w:pPr>
          </w:p>
        </w:tc>
        <w:tc>
          <w:tcPr>
            <w:tcW w:w="720" w:type="dxa"/>
            <w:tcBorders>
              <w:bottom w:val="single" w:sz="12" w:space="0" w:color="auto"/>
            </w:tcBorders>
          </w:tcPr>
          <w:p w14:paraId="422B4006" w14:textId="77777777" w:rsidR="00656AA8" w:rsidRPr="00D549BE" w:rsidRDefault="00656AA8" w:rsidP="00434248">
            <w:pPr>
              <w:ind w:right="-29"/>
              <w:jc w:val="center"/>
              <w:rPr>
                <w:noProof/>
                <w:sz w:val="18"/>
                <w:szCs w:val="18"/>
              </w:rPr>
            </w:pPr>
          </w:p>
        </w:tc>
        <w:tc>
          <w:tcPr>
            <w:tcW w:w="900" w:type="dxa"/>
            <w:tcBorders>
              <w:bottom w:val="single" w:sz="12" w:space="0" w:color="auto"/>
            </w:tcBorders>
          </w:tcPr>
          <w:p w14:paraId="1043EF8A" w14:textId="77777777" w:rsidR="00656AA8" w:rsidRPr="00D549BE" w:rsidRDefault="00656AA8" w:rsidP="00434248">
            <w:pPr>
              <w:ind w:right="-29"/>
              <w:jc w:val="center"/>
              <w:rPr>
                <w:noProof/>
                <w:sz w:val="18"/>
                <w:szCs w:val="18"/>
              </w:rPr>
            </w:pPr>
          </w:p>
        </w:tc>
      </w:tr>
      <w:tr w:rsidR="00656AA8" w:rsidRPr="00D549BE" w14:paraId="267C6F45" w14:textId="77777777" w:rsidTr="00D549BE">
        <w:trPr>
          <w:jc w:val="center"/>
        </w:trPr>
        <w:tc>
          <w:tcPr>
            <w:tcW w:w="2921" w:type="dxa"/>
            <w:gridSpan w:val="3"/>
            <w:tcBorders>
              <w:top w:val="single" w:sz="12" w:space="0" w:color="auto"/>
              <w:left w:val="single" w:sz="12" w:space="0" w:color="auto"/>
              <w:bottom w:val="single" w:sz="12" w:space="0" w:color="auto"/>
            </w:tcBorders>
            <w:vAlign w:val="center"/>
          </w:tcPr>
          <w:p w14:paraId="277441DB" w14:textId="77777777" w:rsidR="00656AA8" w:rsidRPr="00D549BE" w:rsidRDefault="00656AA8" w:rsidP="00434248">
            <w:pPr>
              <w:ind w:right="-29"/>
              <w:jc w:val="center"/>
              <w:rPr>
                <w:noProof/>
                <w:sz w:val="18"/>
                <w:szCs w:val="18"/>
              </w:rPr>
            </w:pPr>
            <w:r w:rsidRPr="00D549BE">
              <w:rPr>
                <w:b/>
                <w:sz w:val="18"/>
              </w:rPr>
              <w:t>TOTAUX</w:t>
            </w:r>
          </w:p>
        </w:tc>
        <w:tc>
          <w:tcPr>
            <w:tcW w:w="427" w:type="dxa"/>
            <w:tcBorders>
              <w:top w:val="single" w:sz="12" w:space="0" w:color="auto"/>
              <w:bottom w:val="single" w:sz="12" w:space="0" w:color="auto"/>
            </w:tcBorders>
          </w:tcPr>
          <w:p w14:paraId="320F3717" w14:textId="77777777" w:rsidR="00656AA8" w:rsidRPr="00D549BE" w:rsidRDefault="00656AA8" w:rsidP="00434248">
            <w:pPr>
              <w:spacing w:before="180" w:after="180"/>
              <w:ind w:right="-29"/>
              <w:jc w:val="center"/>
              <w:rPr>
                <w:noProof/>
                <w:sz w:val="18"/>
                <w:szCs w:val="18"/>
              </w:rPr>
            </w:pPr>
          </w:p>
        </w:tc>
        <w:tc>
          <w:tcPr>
            <w:tcW w:w="720" w:type="dxa"/>
            <w:tcBorders>
              <w:top w:val="single" w:sz="12" w:space="0" w:color="auto"/>
              <w:bottom w:val="single" w:sz="12" w:space="0" w:color="auto"/>
            </w:tcBorders>
          </w:tcPr>
          <w:p w14:paraId="0CC1409B" w14:textId="77777777" w:rsidR="00656AA8" w:rsidRPr="00D549BE" w:rsidRDefault="00656AA8" w:rsidP="00434248">
            <w:pPr>
              <w:spacing w:before="180" w:after="180"/>
              <w:ind w:right="-29"/>
              <w:jc w:val="center"/>
              <w:rPr>
                <w:noProof/>
                <w:sz w:val="18"/>
                <w:szCs w:val="18"/>
              </w:rPr>
            </w:pPr>
          </w:p>
        </w:tc>
        <w:tc>
          <w:tcPr>
            <w:tcW w:w="540" w:type="dxa"/>
            <w:tcBorders>
              <w:top w:val="single" w:sz="12" w:space="0" w:color="auto"/>
              <w:bottom w:val="single" w:sz="12" w:space="0" w:color="auto"/>
            </w:tcBorders>
          </w:tcPr>
          <w:p w14:paraId="6CD82637" w14:textId="77777777" w:rsidR="00656AA8" w:rsidRPr="00D549BE" w:rsidRDefault="00656AA8" w:rsidP="00434248">
            <w:pPr>
              <w:spacing w:before="180" w:after="180"/>
              <w:ind w:right="-29"/>
              <w:jc w:val="center"/>
              <w:rPr>
                <w:noProof/>
                <w:sz w:val="18"/>
                <w:szCs w:val="18"/>
              </w:rPr>
            </w:pPr>
          </w:p>
        </w:tc>
        <w:tc>
          <w:tcPr>
            <w:tcW w:w="720" w:type="dxa"/>
            <w:tcBorders>
              <w:top w:val="single" w:sz="12" w:space="0" w:color="auto"/>
              <w:bottom w:val="single" w:sz="12" w:space="0" w:color="auto"/>
            </w:tcBorders>
          </w:tcPr>
          <w:p w14:paraId="3B3EF6C1" w14:textId="77777777" w:rsidR="00656AA8" w:rsidRPr="00D549BE" w:rsidRDefault="00656AA8" w:rsidP="00434248">
            <w:pPr>
              <w:spacing w:before="180" w:after="180"/>
              <w:ind w:right="-29"/>
              <w:jc w:val="center"/>
              <w:rPr>
                <w:noProof/>
                <w:sz w:val="18"/>
                <w:szCs w:val="18"/>
              </w:rPr>
            </w:pPr>
          </w:p>
        </w:tc>
        <w:tc>
          <w:tcPr>
            <w:tcW w:w="720" w:type="dxa"/>
            <w:tcBorders>
              <w:top w:val="single" w:sz="12" w:space="0" w:color="auto"/>
              <w:bottom w:val="single" w:sz="12" w:space="0" w:color="auto"/>
            </w:tcBorders>
          </w:tcPr>
          <w:p w14:paraId="798D1DCE" w14:textId="77777777" w:rsidR="00656AA8" w:rsidRPr="00D549BE" w:rsidRDefault="00656AA8" w:rsidP="00434248">
            <w:pPr>
              <w:spacing w:before="180" w:after="180"/>
              <w:ind w:right="-29"/>
              <w:jc w:val="center"/>
              <w:rPr>
                <w:noProof/>
                <w:sz w:val="18"/>
                <w:szCs w:val="18"/>
              </w:rPr>
            </w:pPr>
          </w:p>
        </w:tc>
        <w:tc>
          <w:tcPr>
            <w:tcW w:w="720" w:type="dxa"/>
            <w:tcBorders>
              <w:top w:val="single" w:sz="12" w:space="0" w:color="auto"/>
              <w:bottom w:val="single" w:sz="12" w:space="0" w:color="auto"/>
            </w:tcBorders>
          </w:tcPr>
          <w:p w14:paraId="35BD63EB" w14:textId="77777777" w:rsidR="00656AA8" w:rsidRPr="00D549BE" w:rsidRDefault="00656AA8" w:rsidP="00434248">
            <w:pPr>
              <w:spacing w:before="180" w:after="180"/>
              <w:ind w:right="-29"/>
              <w:jc w:val="center"/>
              <w:rPr>
                <w:noProof/>
                <w:sz w:val="18"/>
                <w:szCs w:val="18"/>
              </w:rPr>
            </w:pPr>
          </w:p>
        </w:tc>
        <w:tc>
          <w:tcPr>
            <w:tcW w:w="900" w:type="dxa"/>
            <w:tcBorders>
              <w:top w:val="single" w:sz="12" w:space="0" w:color="auto"/>
              <w:bottom w:val="single" w:sz="12" w:space="0" w:color="auto"/>
            </w:tcBorders>
          </w:tcPr>
          <w:p w14:paraId="3DAF006B" w14:textId="77777777" w:rsidR="00656AA8" w:rsidRPr="00D549BE" w:rsidRDefault="00656AA8" w:rsidP="00434248">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7DAFDEBC" w14:textId="77777777" w:rsidR="00656AA8" w:rsidRPr="00D549BE" w:rsidRDefault="00656AA8" w:rsidP="00434248">
            <w:pPr>
              <w:spacing w:before="180" w:after="180"/>
              <w:ind w:right="-29"/>
              <w:jc w:val="center"/>
              <w:rPr>
                <w:noProof/>
                <w:sz w:val="18"/>
                <w:szCs w:val="18"/>
              </w:rPr>
            </w:pPr>
          </w:p>
        </w:tc>
        <w:tc>
          <w:tcPr>
            <w:tcW w:w="540" w:type="dxa"/>
            <w:tcBorders>
              <w:top w:val="single" w:sz="12" w:space="0" w:color="auto"/>
              <w:bottom w:val="single" w:sz="12" w:space="0" w:color="auto"/>
            </w:tcBorders>
          </w:tcPr>
          <w:p w14:paraId="5F00D8A4" w14:textId="77777777" w:rsidR="00656AA8" w:rsidRPr="00D549BE" w:rsidRDefault="00656AA8" w:rsidP="00434248">
            <w:pPr>
              <w:spacing w:before="180" w:after="180"/>
              <w:ind w:right="-29"/>
              <w:jc w:val="center"/>
              <w:rPr>
                <w:noProof/>
                <w:sz w:val="18"/>
                <w:szCs w:val="18"/>
              </w:rPr>
            </w:pPr>
          </w:p>
        </w:tc>
        <w:tc>
          <w:tcPr>
            <w:tcW w:w="648" w:type="dxa"/>
            <w:tcBorders>
              <w:top w:val="single" w:sz="12" w:space="0" w:color="auto"/>
              <w:bottom w:val="single" w:sz="12" w:space="0" w:color="auto"/>
            </w:tcBorders>
          </w:tcPr>
          <w:p w14:paraId="3E83FFA4" w14:textId="77777777" w:rsidR="00656AA8" w:rsidRPr="00D549BE" w:rsidRDefault="00656AA8" w:rsidP="00434248">
            <w:pPr>
              <w:spacing w:before="180" w:after="180"/>
              <w:ind w:right="-29"/>
              <w:jc w:val="center"/>
              <w:rPr>
                <w:noProof/>
                <w:sz w:val="18"/>
                <w:szCs w:val="18"/>
              </w:rPr>
            </w:pPr>
          </w:p>
        </w:tc>
        <w:tc>
          <w:tcPr>
            <w:tcW w:w="432" w:type="dxa"/>
            <w:tcBorders>
              <w:top w:val="single" w:sz="12" w:space="0" w:color="auto"/>
              <w:bottom w:val="single" w:sz="12" w:space="0" w:color="auto"/>
            </w:tcBorders>
          </w:tcPr>
          <w:p w14:paraId="68F31E47" w14:textId="77777777" w:rsidR="00656AA8" w:rsidRPr="00D549BE" w:rsidRDefault="00656AA8" w:rsidP="00434248">
            <w:pPr>
              <w:spacing w:before="180" w:after="180"/>
              <w:ind w:right="-29"/>
              <w:jc w:val="center"/>
              <w:rPr>
                <w:noProof/>
                <w:sz w:val="18"/>
                <w:szCs w:val="18"/>
              </w:rPr>
            </w:pPr>
          </w:p>
        </w:tc>
        <w:tc>
          <w:tcPr>
            <w:tcW w:w="720" w:type="dxa"/>
            <w:tcBorders>
              <w:top w:val="single" w:sz="12" w:space="0" w:color="auto"/>
              <w:bottom w:val="single" w:sz="12" w:space="0" w:color="auto"/>
            </w:tcBorders>
          </w:tcPr>
          <w:p w14:paraId="51DD729E" w14:textId="77777777" w:rsidR="00656AA8" w:rsidRPr="00D549BE" w:rsidRDefault="00656AA8" w:rsidP="00434248">
            <w:pPr>
              <w:spacing w:before="180" w:after="180"/>
              <w:ind w:right="-29"/>
              <w:jc w:val="center"/>
              <w:rPr>
                <w:noProof/>
                <w:sz w:val="18"/>
                <w:szCs w:val="18"/>
              </w:rPr>
            </w:pPr>
          </w:p>
        </w:tc>
        <w:tc>
          <w:tcPr>
            <w:tcW w:w="540" w:type="dxa"/>
            <w:tcBorders>
              <w:top w:val="single" w:sz="12" w:space="0" w:color="auto"/>
              <w:bottom w:val="single" w:sz="12" w:space="0" w:color="auto"/>
            </w:tcBorders>
          </w:tcPr>
          <w:p w14:paraId="3782F5A9" w14:textId="77777777" w:rsidR="00656AA8" w:rsidRPr="00D549BE" w:rsidRDefault="00656AA8" w:rsidP="00434248">
            <w:pPr>
              <w:spacing w:before="180" w:after="180"/>
              <w:ind w:right="-29"/>
              <w:jc w:val="center"/>
              <w:rPr>
                <w:noProof/>
                <w:sz w:val="18"/>
                <w:szCs w:val="18"/>
              </w:rPr>
            </w:pPr>
          </w:p>
        </w:tc>
        <w:tc>
          <w:tcPr>
            <w:tcW w:w="720" w:type="dxa"/>
            <w:tcBorders>
              <w:top w:val="single" w:sz="12" w:space="0" w:color="auto"/>
              <w:bottom w:val="single" w:sz="12" w:space="0" w:color="auto"/>
            </w:tcBorders>
          </w:tcPr>
          <w:p w14:paraId="36171B34" w14:textId="77777777" w:rsidR="00656AA8" w:rsidRPr="00D549BE" w:rsidRDefault="00656AA8" w:rsidP="00434248">
            <w:pPr>
              <w:spacing w:before="180" w:after="180"/>
              <w:ind w:right="-29"/>
              <w:jc w:val="center"/>
              <w:rPr>
                <w:noProof/>
                <w:sz w:val="18"/>
                <w:szCs w:val="18"/>
              </w:rPr>
            </w:pPr>
          </w:p>
        </w:tc>
        <w:tc>
          <w:tcPr>
            <w:tcW w:w="720" w:type="dxa"/>
            <w:tcBorders>
              <w:top w:val="single" w:sz="12" w:space="0" w:color="auto"/>
              <w:bottom w:val="single" w:sz="12" w:space="0" w:color="auto"/>
            </w:tcBorders>
          </w:tcPr>
          <w:p w14:paraId="2F7B6652" w14:textId="77777777" w:rsidR="00656AA8" w:rsidRPr="00D549BE" w:rsidRDefault="00656AA8" w:rsidP="00434248">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2C1115C2" w14:textId="77777777" w:rsidR="00656AA8" w:rsidRPr="00D549BE" w:rsidRDefault="00656AA8" w:rsidP="00434248">
            <w:pPr>
              <w:spacing w:before="180" w:after="180"/>
              <w:ind w:right="-29"/>
              <w:jc w:val="center"/>
              <w:rPr>
                <w:noProof/>
                <w:sz w:val="18"/>
                <w:szCs w:val="18"/>
              </w:rPr>
            </w:pPr>
          </w:p>
        </w:tc>
      </w:tr>
    </w:tbl>
    <w:p w14:paraId="0EC581F6" w14:textId="77777777" w:rsidR="00656AA8" w:rsidRPr="00D549BE" w:rsidRDefault="00656AA8" w:rsidP="00656AA8">
      <w:pPr>
        <w:rPr>
          <w:noProof/>
        </w:rPr>
        <w:sectPr w:rsidR="00656AA8" w:rsidRPr="00D549BE" w:rsidSect="00D549BE">
          <w:headerReference w:type="default" r:id="rId20"/>
          <w:footerReference w:type="default" r:id="rId21"/>
          <w:pgSz w:w="16840" w:h="11907" w:orient="landscape" w:code="9"/>
          <w:pgMar w:top="1134" w:right="1418" w:bottom="567" w:left="1418" w:header="709" w:footer="709" w:gutter="0"/>
          <w:cols w:space="708"/>
          <w:docGrid w:linePitch="360"/>
        </w:sectPr>
      </w:pPr>
    </w:p>
    <w:p w14:paraId="4A177051" w14:textId="77777777" w:rsidR="00656AA8" w:rsidRPr="00D549BE" w:rsidRDefault="00656AA8" w:rsidP="00656AA8">
      <w:pPr>
        <w:pStyle w:val="ManualHeading3"/>
        <w:rPr>
          <w:bCs/>
          <w:noProof/>
          <w:szCs w:val="24"/>
        </w:rPr>
      </w:pPr>
      <w:bookmarkStart w:id="174" w:name="_Toc514938055"/>
      <w:bookmarkStart w:id="175" w:name="_Toc520485054"/>
      <w:bookmarkStart w:id="176" w:name="_Toc160804598"/>
      <w:bookmarkStart w:id="177" w:name="_Toc167220290"/>
      <w:bookmarkStart w:id="178" w:name="_Toc177549023"/>
      <w:r w:rsidRPr="00D549BE">
        <w:t>3.2.3.</w:t>
      </w:r>
      <w:r w:rsidRPr="00D549BE">
        <w:tab/>
        <w:t>Synthèse de l’incidence estimée sur les crédits administratifs</w:t>
      </w:r>
      <w:bookmarkEnd w:id="174"/>
      <w:bookmarkEnd w:id="175"/>
      <w:bookmarkEnd w:id="176"/>
      <w:bookmarkEnd w:id="177"/>
      <w:bookmarkEnd w:id="178"/>
      <w:r w:rsidRPr="00D549BE">
        <w:t xml:space="preserve"> </w:t>
      </w:r>
    </w:p>
    <w:p w14:paraId="003CA4E1" w14:textId="77777777" w:rsidR="00656AA8" w:rsidRPr="00D549BE" w:rsidRDefault="00656AA8" w:rsidP="00656AA8">
      <w:pPr>
        <w:pStyle w:val="ListDash1"/>
        <w:rPr>
          <w:noProof/>
        </w:rPr>
      </w:pPr>
      <w:r w:rsidRPr="00D549BE">
        <w:rPr>
          <w:rFonts w:ascii="Wingdings" w:hAnsi="Wingdings"/>
        </w:rPr>
        <w:t></w:t>
      </w:r>
      <w:r w:rsidRPr="00D549BE">
        <w:tab/>
        <w:t xml:space="preserve">La proposition/l’initiative n’engendre pas l’utilisation de crédits de nature administrative. </w:t>
      </w:r>
    </w:p>
    <w:p w14:paraId="318DE9DC" w14:textId="77777777" w:rsidR="00656AA8" w:rsidRPr="00D549BE" w:rsidRDefault="005B7A05" w:rsidP="00656AA8">
      <w:pPr>
        <w:pStyle w:val="ListDash1"/>
        <w:rPr>
          <w:noProof/>
        </w:rPr>
      </w:pPr>
      <w:r w:rsidRPr="00D549BE">
        <w:rPr>
          <w:rFonts w:ascii="Wingdings" w:hAnsi="Wingdings"/>
        </w:rPr>
        <w:t></w:t>
      </w:r>
      <w:r w:rsidRPr="00D549BE">
        <w:tab/>
        <w:t>La proposition/l’initiative engendre l’utilisation de crédits de nature administrative, comme expliqué ci-après:</w:t>
      </w:r>
    </w:p>
    <w:p w14:paraId="2C517783" w14:textId="77777777" w:rsidR="00656AA8" w:rsidRPr="00D549BE" w:rsidRDefault="00656AA8" w:rsidP="00656AA8">
      <w:pPr>
        <w:pStyle w:val="ManualHeading3"/>
        <w:rPr>
          <w:noProof/>
        </w:rPr>
      </w:pPr>
      <w:bookmarkStart w:id="179" w:name="_Toc167220291"/>
      <w:bookmarkStart w:id="180" w:name="_Toc177549024"/>
      <w:r w:rsidRPr="00D549BE">
        <w:t>3.2.3.1. Crédits issus du budget voté</w:t>
      </w:r>
      <w:bookmarkEnd w:id="179"/>
      <w:bookmarkEnd w:id="180"/>
    </w:p>
    <w:tbl>
      <w:tblPr>
        <w:tblW w:w="5000" w:type="pct"/>
        <w:tblLook w:val="04A0" w:firstRow="1" w:lastRow="0" w:firstColumn="1" w:lastColumn="0" w:noHBand="0" w:noVBand="1"/>
      </w:tblPr>
      <w:tblGrid>
        <w:gridCol w:w="3995"/>
        <w:gridCol w:w="995"/>
        <w:gridCol w:w="995"/>
        <w:gridCol w:w="995"/>
        <w:gridCol w:w="995"/>
        <w:gridCol w:w="1312"/>
      </w:tblGrid>
      <w:tr w:rsidR="00656AA8" w:rsidRPr="00D549BE" w14:paraId="3962F3B9" w14:textId="77777777" w:rsidTr="00434248">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4C62B59B" w14:textId="77777777" w:rsidR="00656AA8" w:rsidRPr="00D549BE" w:rsidRDefault="00656AA8" w:rsidP="00434248">
            <w:pPr>
              <w:spacing w:before="0" w:after="0"/>
              <w:jc w:val="center"/>
              <w:rPr>
                <w:b/>
                <w:bCs/>
                <w:noProof/>
                <w:color w:val="000000"/>
                <w:sz w:val="18"/>
                <w:szCs w:val="18"/>
              </w:rPr>
            </w:pPr>
            <w:r w:rsidRPr="00D549BE">
              <w:rPr>
                <w:b/>
                <w:color w:val="000000"/>
                <w:sz w:val="18"/>
              </w:rPr>
              <w:t>CRÉDITS VOTÉS</w:t>
            </w:r>
          </w:p>
        </w:tc>
        <w:tc>
          <w:tcPr>
            <w:tcW w:w="553" w:type="pct"/>
            <w:tcBorders>
              <w:top w:val="single" w:sz="8" w:space="0" w:color="auto"/>
              <w:left w:val="nil"/>
              <w:bottom w:val="single" w:sz="8" w:space="0" w:color="auto"/>
              <w:right w:val="single" w:sz="8" w:space="0" w:color="auto"/>
            </w:tcBorders>
            <w:vAlign w:val="center"/>
            <w:hideMark/>
          </w:tcPr>
          <w:p w14:paraId="01DDCD0F"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35107272"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14:paraId="53034985"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553" w:type="pct"/>
            <w:tcBorders>
              <w:top w:val="single" w:sz="8" w:space="0" w:color="auto"/>
              <w:left w:val="nil"/>
              <w:bottom w:val="single" w:sz="8" w:space="0" w:color="auto"/>
              <w:right w:val="single" w:sz="8" w:space="0" w:color="auto"/>
            </w:tcBorders>
            <w:vAlign w:val="center"/>
            <w:hideMark/>
          </w:tcPr>
          <w:p w14:paraId="40285672"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620" w:type="pct"/>
            <w:vMerge w:val="restart"/>
            <w:tcBorders>
              <w:top w:val="single" w:sz="8" w:space="0" w:color="auto"/>
              <w:left w:val="single" w:sz="8" w:space="0" w:color="auto"/>
              <w:bottom w:val="single" w:sz="8" w:space="0" w:color="auto"/>
              <w:right w:val="single" w:sz="8" w:space="0" w:color="auto"/>
            </w:tcBorders>
            <w:vAlign w:val="center"/>
            <w:hideMark/>
          </w:tcPr>
          <w:p w14:paraId="6689392A"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TOTAL 2021-2027</w:t>
            </w:r>
          </w:p>
        </w:tc>
      </w:tr>
      <w:tr w:rsidR="00656AA8" w:rsidRPr="00D549BE" w14:paraId="64CACC28" w14:textId="77777777" w:rsidTr="00434248">
        <w:trPr>
          <w:trHeight w:val="300"/>
        </w:trPr>
        <w:tc>
          <w:tcPr>
            <w:tcW w:w="2168" w:type="pct"/>
            <w:vMerge/>
            <w:vAlign w:val="center"/>
            <w:hideMark/>
          </w:tcPr>
          <w:p w14:paraId="242CD687" w14:textId="77777777" w:rsidR="00656AA8" w:rsidRPr="00D549BE" w:rsidRDefault="00656AA8" w:rsidP="00434248">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672EB61C" w14:textId="77777777" w:rsidR="00656AA8" w:rsidRPr="00D549BE" w:rsidRDefault="00656AA8" w:rsidP="00434248">
            <w:pPr>
              <w:spacing w:before="0" w:after="0"/>
              <w:jc w:val="center"/>
              <w:rPr>
                <w:b/>
                <w:bCs/>
                <w:noProof/>
                <w:color w:val="000000"/>
                <w:sz w:val="18"/>
                <w:szCs w:val="18"/>
              </w:rPr>
            </w:pPr>
            <w:r w:rsidRPr="00D549BE">
              <w:rPr>
                <w:b/>
                <w:color w:val="000000"/>
                <w:sz w:val="18"/>
              </w:rPr>
              <w:t>2024</w:t>
            </w:r>
          </w:p>
        </w:tc>
        <w:tc>
          <w:tcPr>
            <w:tcW w:w="553" w:type="pct"/>
            <w:tcBorders>
              <w:top w:val="nil"/>
              <w:left w:val="nil"/>
              <w:bottom w:val="single" w:sz="8" w:space="0" w:color="auto"/>
              <w:right w:val="single" w:sz="8" w:space="0" w:color="auto"/>
            </w:tcBorders>
            <w:vAlign w:val="center"/>
            <w:hideMark/>
          </w:tcPr>
          <w:p w14:paraId="060D2B70" w14:textId="77777777" w:rsidR="00656AA8" w:rsidRPr="00D549BE" w:rsidRDefault="00656AA8" w:rsidP="00434248">
            <w:pPr>
              <w:spacing w:before="0" w:after="0"/>
              <w:jc w:val="center"/>
              <w:rPr>
                <w:b/>
                <w:bCs/>
                <w:noProof/>
                <w:color w:val="000000"/>
                <w:sz w:val="18"/>
                <w:szCs w:val="18"/>
              </w:rPr>
            </w:pPr>
            <w:r w:rsidRPr="00D549BE">
              <w:rPr>
                <w:b/>
                <w:color w:val="000000"/>
                <w:sz w:val="18"/>
              </w:rPr>
              <w:t>2025</w:t>
            </w:r>
          </w:p>
        </w:tc>
        <w:tc>
          <w:tcPr>
            <w:tcW w:w="553" w:type="pct"/>
            <w:tcBorders>
              <w:top w:val="nil"/>
              <w:left w:val="nil"/>
              <w:bottom w:val="single" w:sz="8" w:space="0" w:color="auto"/>
              <w:right w:val="single" w:sz="8" w:space="0" w:color="auto"/>
            </w:tcBorders>
            <w:vAlign w:val="center"/>
            <w:hideMark/>
          </w:tcPr>
          <w:p w14:paraId="4248244E"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2026</w:t>
            </w:r>
          </w:p>
        </w:tc>
        <w:tc>
          <w:tcPr>
            <w:tcW w:w="553" w:type="pct"/>
            <w:tcBorders>
              <w:top w:val="nil"/>
              <w:left w:val="nil"/>
              <w:bottom w:val="single" w:sz="8" w:space="0" w:color="auto"/>
              <w:right w:val="single" w:sz="8" w:space="0" w:color="auto"/>
            </w:tcBorders>
            <w:vAlign w:val="center"/>
            <w:hideMark/>
          </w:tcPr>
          <w:p w14:paraId="64A59C26"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2027</w:t>
            </w:r>
          </w:p>
        </w:tc>
        <w:tc>
          <w:tcPr>
            <w:tcW w:w="620" w:type="pct"/>
            <w:vMerge/>
            <w:vAlign w:val="center"/>
            <w:hideMark/>
          </w:tcPr>
          <w:p w14:paraId="40645983" w14:textId="77777777" w:rsidR="00656AA8" w:rsidRPr="00D549BE" w:rsidRDefault="00656AA8" w:rsidP="00434248">
            <w:pPr>
              <w:spacing w:before="0" w:after="0"/>
              <w:jc w:val="left"/>
              <w:rPr>
                <w:b/>
                <w:bCs/>
                <w:noProof/>
                <w:color w:val="000000" w:themeColor="text1"/>
                <w:sz w:val="18"/>
                <w:szCs w:val="18"/>
                <w:lang w:eastAsia="en-IE"/>
              </w:rPr>
            </w:pPr>
          </w:p>
        </w:tc>
      </w:tr>
      <w:tr w:rsidR="00656AA8" w:rsidRPr="00D549BE" w14:paraId="4F57D579"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3070501" w14:textId="77777777" w:rsidR="00656AA8" w:rsidRPr="00D549BE" w:rsidRDefault="00656AA8" w:rsidP="00434248">
            <w:pPr>
              <w:spacing w:before="0" w:after="0"/>
              <w:jc w:val="left"/>
              <w:rPr>
                <w:b/>
                <w:bCs/>
                <w:noProof/>
                <w:color w:val="000000" w:themeColor="text1"/>
                <w:sz w:val="16"/>
                <w:szCs w:val="16"/>
              </w:rPr>
            </w:pPr>
            <w:r w:rsidRPr="00D549BE">
              <w:rPr>
                <w:b/>
                <w:color w:val="000000" w:themeColor="text1"/>
                <w:sz w:val="16"/>
              </w:rPr>
              <w:t>RUBRIQUE 7</w:t>
            </w:r>
          </w:p>
        </w:tc>
      </w:tr>
      <w:tr w:rsidR="00656AA8" w:rsidRPr="00D549BE" w14:paraId="27729207"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77A56230" w14:textId="77777777" w:rsidR="00656AA8" w:rsidRPr="00D549BE" w:rsidRDefault="00656AA8" w:rsidP="00434248">
            <w:pPr>
              <w:spacing w:before="0" w:after="0"/>
              <w:jc w:val="left"/>
              <w:rPr>
                <w:noProof/>
                <w:color w:val="000000"/>
                <w:sz w:val="16"/>
                <w:szCs w:val="16"/>
              </w:rPr>
            </w:pPr>
            <w:r w:rsidRPr="00D549BE">
              <w:rPr>
                <w:color w:val="000000"/>
                <w:sz w:val="16"/>
              </w:rPr>
              <w:t xml:space="preserve">Ressources humaines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EB4C679"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82ECD53"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687B9ED"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20"/>
              </w:rPr>
              <w:t>11,366</w:t>
            </w:r>
          </w:p>
        </w:tc>
        <w:tc>
          <w:tcPr>
            <w:tcW w:w="553" w:type="pct"/>
            <w:tcBorders>
              <w:top w:val="nil"/>
              <w:left w:val="nil"/>
              <w:bottom w:val="single" w:sz="8" w:space="0" w:color="auto"/>
              <w:right w:val="single" w:sz="8" w:space="0" w:color="auto"/>
            </w:tcBorders>
            <w:shd w:val="clear" w:color="000000" w:fill="D9D9D9"/>
            <w:vAlign w:val="center"/>
            <w:hideMark/>
          </w:tcPr>
          <w:p w14:paraId="2FF48B98"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20"/>
              </w:rPr>
              <w:t>11,366</w:t>
            </w:r>
          </w:p>
        </w:tc>
        <w:tc>
          <w:tcPr>
            <w:tcW w:w="620" w:type="pct"/>
            <w:tcBorders>
              <w:top w:val="nil"/>
              <w:left w:val="nil"/>
              <w:bottom w:val="single" w:sz="8" w:space="0" w:color="auto"/>
              <w:right w:val="single" w:sz="8" w:space="0" w:color="auto"/>
            </w:tcBorders>
            <w:shd w:val="clear" w:color="000000" w:fill="D9D9D9"/>
            <w:vAlign w:val="center"/>
            <w:hideMark/>
          </w:tcPr>
          <w:p w14:paraId="539C1F88" w14:textId="77777777" w:rsidR="00656AA8" w:rsidRPr="00D549BE" w:rsidRDefault="000B1FF4" w:rsidP="00434248">
            <w:pPr>
              <w:spacing w:before="0" w:after="0"/>
              <w:jc w:val="right"/>
              <w:rPr>
                <w:b/>
                <w:bCs/>
                <w:noProof/>
                <w:color w:val="000000" w:themeColor="text1"/>
                <w:sz w:val="16"/>
                <w:szCs w:val="16"/>
              </w:rPr>
            </w:pPr>
            <w:r w:rsidRPr="00D549BE">
              <w:rPr>
                <w:b/>
                <w:color w:val="000000" w:themeColor="text1"/>
                <w:sz w:val="20"/>
              </w:rPr>
              <w:t>22,732</w:t>
            </w:r>
          </w:p>
        </w:tc>
      </w:tr>
      <w:tr w:rsidR="00656AA8" w:rsidRPr="00D549BE" w14:paraId="0227DEBD"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7158E66A" w14:textId="77777777" w:rsidR="00656AA8" w:rsidRPr="00D549BE" w:rsidRDefault="00656AA8" w:rsidP="00434248">
            <w:pPr>
              <w:spacing w:before="0" w:after="0"/>
              <w:jc w:val="left"/>
              <w:rPr>
                <w:noProof/>
                <w:color w:val="000000"/>
                <w:sz w:val="16"/>
                <w:szCs w:val="16"/>
              </w:rPr>
            </w:pPr>
            <w:r w:rsidRPr="00D549BE">
              <w:rPr>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A8C6278"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6AAA06F"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AD9B27F" w14:textId="501C41CD" w:rsidR="00656AA8" w:rsidRPr="00D549BE" w:rsidRDefault="00656AA8" w:rsidP="00434248">
            <w:pPr>
              <w:spacing w:before="0" w:after="0"/>
              <w:jc w:val="right"/>
              <w:rPr>
                <w:noProof/>
                <w:color w:val="000000" w:themeColor="text1"/>
                <w:sz w:val="16"/>
                <w:szCs w:val="16"/>
              </w:rPr>
            </w:pPr>
            <w:r w:rsidRPr="00D549BE">
              <w:rPr>
                <w:color w:val="000000" w:themeColor="text1"/>
                <w:sz w:val="20"/>
              </w:rPr>
              <w:t>0,336</w:t>
            </w:r>
          </w:p>
        </w:tc>
        <w:tc>
          <w:tcPr>
            <w:tcW w:w="553" w:type="pct"/>
            <w:tcBorders>
              <w:top w:val="nil"/>
              <w:left w:val="nil"/>
              <w:bottom w:val="single" w:sz="8" w:space="0" w:color="auto"/>
              <w:right w:val="single" w:sz="8" w:space="0" w:color="auto"/>
            </w:tcBorders>
            <w:shd w:val="clear" w:color="000000" w:fill="D9D9D9"/>
            <w:vAlign w:val="center"/>
            <w:hideMark/>
          </w:tcPr>
          <w:p w14:paraId="5CA16277" w14:textId="6715324F" w:rsidR="00656AA8" w:rsidRPr="00D549BE" w:rsidRDefault="00656AA8" w:rsidP="00434248">
            <w:pPr>
              <w:spacing w:before="0" w:after="0"/>
              <w:jc w:val="right"/>
              <w:rPr>
                <w:noProof/>
                <w:color w:val="000000" w:themeColor="text1"/>
                <w:sz w:val="16"/>
                <w:szCs w:val="16"/>
              </w:rPr>
            </w:pPr>
            <w:r w:rsidRPr="00D549BE">
              <w:rPr>
                <w:color w:val="000000" w:themeColor="text1"/>
                <w:sz w:val="20"/>
              </w:rPr>
              <w:t>0,336</w:t>
            </w:r>
          </w:p>
        </w:tc>
        <w:tc>
          <w:tcPr>
            <w:tcW w:w="620" w:type="pct"/>
            <w:tcBorders>
              <w:top w:val="nil"/>
              <w:left w:val="nil"/>
              <w:bottom w:val="single" w:sz="8" w:space="0" w:color="auto"/>
              <w:right w:val="single" w:sz="8" w:space="0" w:color="auto"/>
            </w:tcBorders>
            <w:shd w:val="clear" w:color="000000" w:fill="D9D9D9"/>
            <w:vAlign w:val="center"/>
            <w:hideMark/>
          </w:tcPr>
          <w:p w14:paraId="364B4F24" w14:textId="01154E51"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0,672</w:t>
            </w:r>
          </w:p>
        </w:tc>
      </w:tr>
      <w:tr w:rsidR="00656AA8" w:rsidRPr="00D549BE" w14:paraId="5693E4A6" w14:textId="77777777" w:rsidTr="00434248">
        <w:trPr>
          <w:trHeight w:val="300"/>
        </w:trPr>
        <w:tc>
          <w:tcPr>
            <w:tcW w:w="2168" w:type="pct"/>
            <w:tcBorders>
              <w:top w:val="nil"/>
              <w:left w:val="single" w:sz="8" w:space="0" w:color="auto"/>
              <w:bottom w:val="single" w:sz="8" w:space="0" w:color="auto"/>
              <w:right w:val="single" w:sz="8" w:space="0" w:color="auto"/>
            </w:tcBorders>
            <w:shd w:val="clear" w:color="auto" w:fill="CCCCCC"/>
            <w:vAlign w:val="center"/>
            <w:hideMark/>
          </w:tcPr>
          <w:p w14:paraId="4E98B726" w14:textId="77777777" w:rsidR="00656AA8" w:rsidRPr="00D549BE" w:rsidRDefault="00656AA8" w:rsidP="00434248">
            <w:pPr>
              <w:spacing w:before="0" w:after="0"/>
              <w:jc w:val="center"/>
              <w:rPr>
                <w:b/>
                <w:bCs/>
                <w:noProof/>
                <w:color w:val="000000"/>
                <w:sz w:val="16"/>
                <w:szCs w:val="16"/>
              </w:rPr>
            </w:pPr>
            <w:r w:rsidRPr="00D549BE">
              <w:rPr>
                <w:b/>
                <w:color w:val="000000"/>
                <w:sz w:val="16"/>
              </w:rPr>
              <w:t>Sous-total RUBRIQUE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3B71961"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2557049"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2C17664" w14:textId="69CAC5C5"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553" w:type="pct"/>
            <w:tcBorders>
              <w:top w:val="nil"/>
              <w:left w:val="nil"/>
              <w:bottom w:val="single" w:sz="8" w:space="0" w:color="auto"/>
              <w:right w:val="single" w:sz="8" w:space="0" w:color="auto"/>
            </w:tcBorders>
            <w:shd w:val="clear" w:color="000000" w:fill="D9D9D9"/>
            <w:vAlign w:val="center"/>
            <w:hideMark/>
          </w:tcPr>
          <w:p w14:paraId="22E793F3" w14:textId="04DCE95A"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620" w:type="pct"/>
            <w:tcBorders>
              <w:top w:val="nil"/>
              <w:left w:val="nil"/>
              <w:bottom w:val="single" w:sz="8" w:space="0" w:color="auto"/>
              <w:right w:val="single" w:sz="8" w:space="0" w:color="auto"/>
            </w:tcBorders>
            <w:shd w:val="clear" w:color="000000" w:fill="D9D9D9"/>
            <w:vAlign w:val="center"/>
            <w:hideMark/>
          </w:tcPr>
          <w:p w14:paraId="29239EE8" w14:textId="16BBCFD5"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23,404</w:t>
            </w:r>
          </w:p>
        </w:tc>
      </w:tr>
      <w:tr w:rsidR="00656AA8" w:rsidRPr="00D549BE" w14:paraId="59B1F222"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2B7A141" w14:textId="77777777" w:rsidR="00656AA8" w:rsidRPr="00D549BE" w:rsidRDefault="00656AA8" w:rsidP="00434248">
            <w:pPr>
              <w:spacing w:before="0" w:after="0"/>
              <w:jc w:val="left"/>
              <w:rPr>
                <w:b/>
                <w:bCs/>
                <w:noProof/>
                <w:color w:val="000000" w:themeColor="text1"/>
                <w:sz w:val="16"/>
                <w:szCs w:val="16"/>
              </w:rPr>
            </w:pPr>
            <w:r w:rsidRPr="00D549BE">
              <w:rPr>
                <w:b/>
                <w:color w:val="000000" w:themeColor="text1"/>
                <w:sz w:val="16"/>
              </w:rPr>
              <w:t>Hors RUBRIQUE 7</w:t>
            </w:r>
          </w:p>
        </w:tc>
      </w:tr>
      <w:tr w:rsidR="00656AA8" w:rsidRPr="00D549BE" w14:paraId="03BED4B3"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1AA2F30C" w14:textId="77777777" w:rsidR="00656AA8" w:rsidRPr="00D549BE" w:rsidRDefault="00656AA8" w:rsidP="00434248">
            <w:pPr>
              <w:spacing w:before="0" w:after="0"/>
              <w:jc w:val="left"/>
              <w:rPr>
                <w:noProof/>
                <w:color w:val="000000"/>
                <w:sz w:val="16"/>
                <w:szCs w:val="16"/>
              </w:rPr>
            </w:pPr>
            <w:r w:rsidRPr="00D549BE">
              <w:rPr>
                <w:color w:val="000000"/>
                <w:sz w:val="16"/>
              </w:rPr>
              <w:t xml:space="preserve">Ressources humaines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852E507"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F293D4C"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C215AEA"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6A96F5D"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5D223101"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r>
      <w:tr w:rsidR="00656AA8" w:rsidRPr="00D549BE" w14:paraId="4A099AFB"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4AF288A1" w14:textId="77777777" w:rsidR="00656AA8" w:rsidRPr="00D549BE" w:rsidRDefault="00656AA8" w:rsidP="00434248">
            <w:pPr>
              <w:spacing w:before="0" w:after="0"/>
              <w:jc w:val="left"/>
              <w:rPr>
                <w:noProof/>
                <w:color w:val="000000"/>
                <w:sz w:val="16"/>
                <w:szCs w:val="16"/>
              </w:rPr>
            </w:pPr>
            <w:r w:rsidRPr="00D549BE">
              <w:rPr>
                <w:color w:val="000000"/>
                <w:sz w:val="16"/>
              </w:rPr>
              <w:t>Autres dépenses de nature administrative</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5706BC4"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4E331E4"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AFDE30D"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8FC40CA"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304E61C5"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r>
      <w:tr w:rsidR="00656AA8" w:rsidRPr="00D549BE" w14:paraId="3B18D302" w14:textId="77777777" w:rsidTr="00434248">
        <w:trPr>
          <w:trHeight w:val="300"/>
        </w:trPr>
        <w:tc>
          <w:tcPr>
            <w:tcW w:w="2168" w:type="pct"/>
            <w:tcBorders>
              <w:top w:val="nil"/>
              <w:left w:val="single" w:sz="8" w:space="0" w:color="auto"/>
              <w:bottom w:val="single" w:sz="8" w:space="0" w:color="auto"/>
              <w:right w:val="single" w:sz="8" w:space="0" w:color="auto"/>
            </w:tcBorders>
            <w:shd w:val="clear" w:color="auto" w:fill="CCCCCC"/>
            <w:vAlign w:val="center"/>
            <w:hideMark/>
          </w:tcPr>
          <w:p w14:paraId="6D8B75E8" w14:textId="77777777" w:rsidR="00656AA8" w:rsidRPr="00D549BE" w:rsidRDefault="00656AA8" w:rsidP="00434248">
            <w:pPr>
              <w:spacing w:before="0" w:after="0"/>
              <w:jc w:val="center"/>
              <w:rPr>
                <w:b/>
                <w:bCs/>
                <w:noProof/>
                <w:color w:val="000000"/>
                <w:sz w:val="16"/>
                <w:szCs w:val="16"/>
              </w:rPr>
            </w:pPr>
            <w:r w:rsidRPr="00D549BE">
              <w:rPr>
                <w:b/>
                <w:color w:val="000000"/>
                <w:sz w:val="16"/>
              </w:rPr>
              <w:t>Sous-total hors RUBRIQUE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A37469C"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59C95ED"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3309B55"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AC3FDD9"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3BEE2BF3"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r>
      <w:tr w:rsidR="00656AA8" w:rsidRPr="00D549BE" w14:paraId="084B16F1"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4263C360"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 xml:space="preserve"> </w:t>
            </w:r>
          </w:p>
        </w:tc>
      </w:tr>
      <w:tr w:rsidR="00656AA8" w:rsidRPr="00D549BE" w14:paraId="7950501C" w14:textId="77777777" w:rsidTr="00434248">
        <w:trPr>
          <w:trHeight w:val="300"/>
        </w:trPr>
        <w:tc>
          <w:tcPr>
            <w:tcW w:w="2168" w:type="pct"/>
            <w:tcBorders>
              <w:top w:val="nil"/>
              <w:left w:val="single" w:sz="8" w:space="0" w:color="auto"/>
              <w:bottom w:val="single" w:sz="8" w:space="0" w:color="auto"/>
              <w:right w:val="single" w:sz="8" w:space="0" w:color="auto"/>
            </w:tcBorders>
            <w:vAlign w:val="center"/>
            <w:hideMark/>
          </w:tcPr>
          <w:p w14:paraId="43BBBF97" w14:textId="77777777" w:rsidR="00656AA8" w:rsidRPr="00D549BE" w:rsidRDefault="00656AA8" w:rsidP="00434248">
            <w:pPr>
              <w:spacing w:before="0" w:after="0"/>
              <w:jc w:val="center"/>
              <w:rPr>
                <w:b/>
                <w:bCs/>
                <w:noProof/>
                <w:color w:val="000000"/>
                <w:sz w:val="16"/>
                <w:szCs w:val="16"/>
              </w:rPr>
            </w:pPr>
            <w:r w:rsidRPr="00D549BE">
              <w:rPr>
                <w:b/>
                <w:color w:val="000000"/>
                <w:sz w:val="16"/>
              </w:rPr>
              <w:t>TOTAL</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4B1EBDC"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8B20EE6"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1F234F8" w14:textId="0DC33D5A"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553"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3E6D667" w14:textId="4DCB2A7B"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62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9BBEBC2" w14:textId="04073918"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23,404</w:t>
            </w:r>
          </w:p>
        </w:tc>
      </w:tr>
    </w:tbl>
    <w:p w14:paraId="191E2BD3" w14:textId="77777777" w:rsidR="00656AA8" w:rsidRPr="00D549BE" w:rsidRDefault="00656AA8" w:rsidP="00656AA8">
      <w:pPr>
        <w:pStyle w:val="ManualHeading3"/>
        <w:rPr>
          <w:noProof/>
        </w:rPr>
      </w:pPr>
      <w:bookmarkStart w:id="181" w:name="_Toc167220292"/>
      <w:bookmarkStart w:id="182" w:name="_Toc177549025"/>
      <w:r w:rsidRPr="00D549BE">
        <w:t>3.2.3.2.</w:t>
      </w:r>
      <w:r w:rsidRPr="00D549BE">
        <w:tab/>
        <w:t>Crédits issus de recettes affectées externes</w:t>
      </w:r>
      <w:bookmarkEnd w:id="181"/>
      <w:bookmarkEnd w:id="182"/>
    </w:p>
    <w:tbl>
      <w:tblPr>
        <w:tblW w:w="5000" w:type="pct"/>
        <w:tblLook w:val="04A0" w:firstRow="1" w:lastRow="0" w:firstColumn="1" w:lastColumn="0" w:noHBand="0" w:noVBand="1"/>
      </w:tblPr>
      <w:tblGrid>
        <w:gridCol w:w="3991"/>
        <w:gridCol w:w="996"/>
        <w:gridCol w:w="996"/>
        <w:gridCol w:w="996"/>
        <w:gridCol w:w="996"/>
        <w:gridCol w:w="1312"/>
      </w:tblGrid>
      <w:tr w:rsidR="00656AA8" w:rsidRPr="00D549BE" w14:paraId="04A26DBD" w14:textId="77777777" w:rsidTr="00434248">
        <w:trPr>
          <w:trHeight w:val="300"/>
        </w:trPr>
        <w:tc>
          <w:tcPr>
            <w:tcW w:w="216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3583F5A0" w14:textId="77777777" w:rsidR="00656AA8" w:rsidRPr="00D549BE" w:rsidRDefault="00656AA8" w:rsidP="00434248">
            <w:pPr>
              <w:spacing w:before="0" w:after="0"/>
              <w:jc w:val="center"/>
              <w:rPr>
                <w:b/>
                <w:bCs/>
                <w:noProof/>
                <w:color w:val="000000"/>
                <w:sz w:val="18"/>
                <w:szCs w:val="18"/>
              </w:rPr>
            </w:pPr>
            <w:r w:rsidRPr="00D549BE">
              <w:rPr>
                <w:b/>
                <w:color w:val="000000"/>
                <w:sz w:val="18"/>
              </w:rPr>
              <w:t>RECETTES AFFECTÉES EXTERNES</w:t>
            </w:r>
          </w:p>
        </w:tc>
        <w:tc>
          <w:tcPr>
            <w:tcW w:w="553" w:type="pct"/>
            <w:tcBorders>
              <w:top w:val="single" w:sz="8" w:space="0" w:color="auto"/>
              <w:left w:val="nil"/>
              <w:bottom w:val="nil"/>
              <w:right w:val="single" w:sz="8" w:space="0" w:color="auto"/>
            </w:tcBorders>
            <w:vAlign w:val="center"/>
            <w:hideMark/>
          </w:tcPr>
          <w:p w14:paraId="2272C8E7"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553" w:type="pct"/>
            <w:tcBorders>
              <w:top w:val="single" w:sz="8" w:space="0" w:color="auto"/>
              <w:left w:val="nil"/>
              <w:bottom w:val="nil"/>
              <w:right w:val="single" w:sz="8" w:space="0" w:color="auto"/>
            </w:tcBorders>
            <w:vAlign w:val="center"/>
            <w:hideMark/>
          </w:tcPr>
          <w:p w14:paraId="28920E3A"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553" w:type="pct"/>
            <w:tcBorders>
              <w:top w:val="single" w:sz="8" w:space="0" w:color="auto"/>
              <w:left w:val="nil"/>
              <w:bottom w:val="nil"/>
              <w:right w:val="single" w:sz="8" w:space="0" w:color="auto"/>
            </w:tcBorders>
            <w:vAlign w:val="center"/>
            <w:hideMark/>
          </w:tcPr>
          <w:p w14:paraId="0638856A"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553" w:type="pct"/>
            <w:tcBorders>
              <w:top w:val="single" w:sz="8" w:space="0" w:color="auto"/>
              <w:left w:val="nil"/>
              <w:bottom w:val="nil"/>
              <w:right w:val="single" w:sz="8" w:space="0" w:color="auto"/>
            </w:tcBorders>
            <w:vAlign w:val="center"/>
            <w:hideMark/>
          </w:tcPr>
          <w:p w14:paraId="4162EBC7"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622"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0AFC1AF2" w14:textId="77777777" w:rsidR="00656AA8" w:rsidRPr="00D549BE" w:rsidRDefault="00656AA8" w:rsidP="00434248">
            <w:pPr>
              <w:spacing w:before="0" w:after="0"/>
              <w:jc w:val="center"/>
              <w:rPr>
                <w:b/>
                <w:bCs/>
                <w:noProof/>
                <w:color w:val="000000"/>
                <w:sz w:val="18"/>
                <w:szCs w:val="18"/>
              </w:rPr>
            </w:pPr>
            <w:r w:rsidRPr="00D549BE">
              <w:rPr>
                <w:b/>
                <w:color w:val="000000"/>
                <w:sz w:val="18"/>
              </w:rPr>
              <w:t>TOTAL 2021-2027</w:t>
            </w:r>
          </w:p>
        </w:tc>
      </w:tr>
      <w:tr w:rsidR="00656AA8" w:rsidRPr="00D549BE" w14:paraId="17EE8AF2" w14:textId="77777777" w:rsidTr="00434248">
        <w:trPr>
          <w:trHeight w:val="300"/>
        </w:trPr>
        <w:tc>
          <w:tcPr>
            <w:tcW w:w="2166" w:type="pct"/>
            <w:vMerge/>
            <w:vAlign w:val="center"/>
            <w:hideMark/>
          </w:tcPr>
          <w:p w14:paraId="6658AB7F" w14:textId="77777777" w:rsidR="00656AA8" w:rsidRPr="00D549BE" w:rsidRDefault="00656AA8" w:rsidP="00434248">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72B81E0C" w14:textId="77777777" w:rsidR="00656AA8" w:rsidRPr="00D549BE" w:rsidRDefault="00656AA8" w:rsidP="00434248">
            <w:pPr>
              <w:spacing w:before="0" w:after="0"/>
              <w:jc w:val="center"/>
              <w:rPr>
                <w:b/>
                <w:bCs/>
                <w:noProof/>
                <w:color w:val="000000"/>
                <w:sz w:val="18"/>
                <w:szCs w:val="18"/>
              </w:rPr>
            </w:pPr>
            <w:r w:rsidRPr="00D549BE">
              <w:rPr>
                <w:b/>
                <w:color w:val="000000"/>
                <w:sz w:val="18"/>
              </w:rPr>
              <w:t>2024</w:t>
            </w:r>
          </w:p>
        </w:tc>
        <w:tc>
          <w:tcPr>
            <w:tcW w:w="553" w:type="pct"/>
            <w:tcBorders>
              <w:top w:val="nil"/>
              <w:left w:val="nil"/>
              <w:bottom w:val="single" w:sz="8" w:space="0" w:color="auto"/>
              <w:right w:val="single" w:sz="8" w:space="0" w:color="auto"/>
            </w:tcBorders>
            <w:vAlign w:val="center"/>
            <w:hideMark/>
          </w:tcPr>
          <w:p w14:paraId="1C659651" w14:textId="77777777" w:rsidR="00656AA8" w:rsidRPr="00D549BE" w:rsidRDefault="00656AA8" w:rsidP="00434248">
            <w:pPr>
              <w:spacing w:before="0" w:after="0"/>
              <w:jc w:val="center"/>
              <w:rPr>
                <w:b/>
                <w:bCs/>
                <w:noProof/>
                <w:color w:val="000000"/>
                <w:sz w:val="18"/>
                <w:szCs w:val="18"/>
              </w:rPr>
            </w:pPr>
            <w:r w:rsidRPr="00D549BE">
              <w:rPr>
                <w:b/>
                <w:color w:val="000000"/>
                <w:sz w:val="18"/>
              </w:rPr>
              <w:t>2025</w:t>
            </w:r>
          </w:p>
        </w:tc>
        <w:tc>
          <w:tcPr>
            <w:tcW w:w="553" w:type="pct"/>
            <w:tcBorders>
              <w:top w:val="nil"/>
              <w:left w:val="nil"/>
              <w:bottom w:val="single" w:sz="8" w:space="0" w:color="auto"/>
              <w:right w:val="single" w:sz="8" w:space="0" w:color="auto"/>
            </w:tcBorders>
            <w:vAlign w:val="center"/>
            <w:hideMark/>
          </w:tcPr>
          <w:p w14:paraId="004460E5" w14:textId="77777777" w:rsidR="00656AA8" w:rsidRPr="00D549BE" w:rsidRDefault="00656AA8" w:rsidP="00434248">
            <w:pPr>
              <w:spacing w:before="0" w:after="0"/>
              <w:jc w:val="center"/>
              <w:rPr>
                <w:b/>
                <w:bCs/>
                <w:noProof/>
                <w:color w:val="000000"/>
                <w:sz w:val="18"/>
                <w:szCs w:val="18"/>
              </w:rPr>
            </w:pPr>
            <w:r w:rsidRPr="00D549BE">
              <w:rPr>
                <w:b/>
                <w:color w:val="000000"/>
                <w:sz w:val="18"/>
              </w:rPr>
              <w:t>2026</w:t>
            </w:r>
          </w:p>
        </w:tc>
        <w:tc>
          <w:tcPr>
            <w:tcW w:w="553" w:type="pct"/>
            <w:tcBorders>
              <w:top w:val="nil"/>
              <w:left w:val="nil"/>
              <w:bottom w:val="single" w:sz="8" w:space="0" w:color="auto"/>
              <w:right w:val="single" w:sz="8" w:space="0" w:color="auto"/>
            </w:tcBorders>
            <w:vAlign w:val="center"/>
            <w:hideMark/>
          </w:tcPr>
          <w:p w14:paraId="5A45DEE5" w14:textId="77777777" w:rsidR="00656AA8" w:rsidRPr="00D549BE" w:rsidRDefault="00656AA8" w:rsidP="00434248">
            <w:pPr>
              <w:spacing w:before="0" w:after="0"/>
              <w:jc w:val="center"/>
              <w:rPr>
                <w:b/>
                <w:bCs/>
                <w:noProof/>
                <w:color w:val="000000"/>
                <w:sz w:val="18"/>
                <w:szCs w:val="18"/>
              </w:rPr>
            </w:pPr>
            <w:r w:rsidRPr="00D549BE">
              <w:rPr>
                <w:b/>
                <w:color w:val="000000"/>
                <w:sz w:val="18"/>
              </w:rPr>
              <w:t>2027</w:t>
            </w:r>
          </w:p>
        </w:tc>
        <w:tc>
          <w:tcPr>
            <w:tcW w:w="622" w:type="pct"/>
            <w:vMerge/>
            <w:vAlign w:val="center"/>
            <w:hideMark/>
          </w:tcPr>
          <w:p w14:paraId="4584EFC1" w14:textId="77777777" w:rsidR="00656AA8" w:rsidRPr="00D549BE" w:rsidRDefault="00656AA8" w:rsidP="00434248">
            <w:pPr>
              <w:spacing w:before="0" w:after="0"/>
              <w:jc w:val="left"/>
              <w:rPr>
                <w:b/>
                <w:bCs/>
                <w:noProof/>
                <w:color w:val="000000"/>
                <w:sz w:val="18"/>
                <w:szCs w:val="18"/>
                <w:lang w:eastAsia="en-IE"/>
              </w:rPr>
            </w:pPr>
          </w:p>
        </w:tc>
      </w:tr>
      <w:tr w:rsidR="00656AA8" w:rsidRPr="00D549BE" w14:paraId="1BB36EE7"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555127F" w14:textId="77777777" w:rsidR="00656AA8" w:rsidRPr="00D549BE" w:rsidRDefault="00656AA8" w:rsidP="00434248">
            <w:pPr>
              <w:spacing w:before="0" w:after="0"/>
              <w:jc w:val="left"/>
              <w:rPr>
                <w:b/>
                <w:bCs/>
                <w:noProof/>
                <w:sz w:val="16"/>
                <w:szCs w:val="16"/>
              </w:rPr>
            </w:pPr>
            <w:r w:rsidRPr="00D549BE">
              <w:rPr>
                <w:b/>
                <w:sz w:val="16"/>
              </w:rPr>
              <w:t>RUBRIQUE 7</w:t>
            </w:r>
          </w:p>
        </w:tc>
      </w:tr>
      <w:tr w:rsidR="00656AA8" w:rsidRPr="00D549BE" w14:paraId="745D86E9"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4DB24273" w14:textId="77777777" w:rsidR="00656AA8" w:rsidRPr="00D549BE" w:rsidRDefault="00656AA8" w:rsidP="00434248">
            <w:pPr>
              <w:spacing w:before="0" w:after="0"/>
              <w:jc w:val="left"/>
              <w:rPr>
                <w:noProof/>
                <w:color w:val="000000"/>
                <w:sz w:val="16"/>
                <w:szCs w:val="16"/>
              </w:rPr>
            </w:pPr>
            <w:r w:rsidRPr="00D549BE">
              <w:rPr>
                <w:color w:val="000000"/>
                <w:sz w:val="16"/>
              </w:rPr>
              <w:t xml:space="preserve">Ressources humaines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AAC07E6"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4B7DF64"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D01DB30" w14:textId="77777777" w:rsidR="00656AA8" w:rsidRPr="00D549BE" w:rsidRDefault="00656AA8" w:rsidP="00434248">
            <w:pPr>
              <w:spacing w:before="0" w:after="0"/>
              <w:jc w:val="right"/>
              <w:rPr>
                <w:noProof/>
                <w:color w:val="000000"/>
                <w:sz w:val="16"/>
                <w:szCs w:val="16"/>
              </w:rPr>
            </w:pPr>
            <w:r w:rsidRPr="00D549BE">
              <w:rPr>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B42B4CD"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391EF9AF"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r w:rsidR="00656AA8" w:rsidRPr="00D549BE" w14:paraId="2BE0B7DC"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430D9EC4" w14:textId="77777777" w:rsidR="00656AA8" w:rsidRPr="00D549BE" w:rsidRDefault="00656AA8" w:rsidP="00434248">
            <w:pPr>
              <w:spacing w:before="0" w:after="0"/>
              <w:jc w:val="left"/>
              <w:rPr>
                <w:noProof/>
                <w:color w:val="000000"/>
                <w:sz w:val="16"/>
                <w:szCs w:val="16"/>
              </w:rPr>
            </w:pPr>
            <w:r w:rsidRPr="00D549BE">
              <w:rPr>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C90A46F"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401315B"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CCF53CA"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8CE3D28"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2B0CFA07"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r w:rsidR="00656AA8" w:rsidRPr="00D549BE" w14:paraId="21D7D0FC" w14:textId="77777777" w:rsidTr="00434248">
        <w:trPr>
          <w:trHeight w:val="300"/>
        </w:trPr>
        <w:tc>
          <w:tcPr>
            <w:tcW w:w="2166" w:type="pct"/>
            <w:tcBorders>
              <w:top w:val="nil"/>
              <w:left w:val="single" w:sz="8" w:space="0" w:color="auto"/>
              <w:bottom w:val="single" w:sz="8" w:space="0" w:color="auto"/>
              <w:right w:val="single" w:sz="8" w:space="0" w:color="auto"/>
            </w:tcBorders>
            <w:shd w:val="clear" w:color="auto" w:fill="CCCCCC"/>
            <w:vAlign w:val="center"/>
            <w:hideMark/>
          </w:tcPr>
          <w:p w14:paraId="66FA3A2D" w14:textId="77777777" w:rsidR="00656AA8" w:rsidRPr="00D549BE" w:rsidRDefault="00656AA8" w:rsidP="00434248">
            <w:pPr>
              <w:spacing w:before="0" w:after="0"/>
              <w:jc w:val="center"/>
              <w:rPr>
                <w:b/>
                <w:bCs/>
                <w:noProof/>
                <w:color w:val="000000"/>
                <w:sz w:val="16"/>
                <w:szCs w:val="16"/>
              </w:rPr>
            </w:pPr>
            <w:r w:rsidRPr="00D549BE">
              <w:rPr>
                <w:b/>
                <w:color w:val="000000"/>
                <w:sz w:val="16"/>
              </w:rPr>
              <w:t>Sous-total RUBRIQUE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896C696"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B4D3418"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BD46120"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D9ECB63"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0FED68BD"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r w:rsidR="00656AA8" w:rsidRPr="00D549BE" w14:paraId="1505F534"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F792178" w14:textId="77777777" w:rsidR="00656AA8" w:rsidRPr="00D549BE" w:rsidRDefault="00656AA8" w:rsidP="00434248">
            <w:pPr>
              <w:spacing w:before="0" w:after="0"/>
              <w:jc w:val="left"/>
              <w:rPr>
                <w:b/>
                <w:bCs/>
                <w:noProof/>
                <w:sz w:val="16"/>
                <w:szCs w:val="16"/>
              </w:rPr>
            </w:pPr>
            <w:r w:rsidRPr="00D549BE">
              <w:rPr>
                <w:b/>
                <w:sz w:val="16"/>
              </w:rPr>
              <w:t>Hors RUBRIQUE 7</w:t>
            </w:r>
          </w:p>
        </w:tc>
      </w:tr>
      <w:tr w:rsidR="00656AA8" w:rsidRPr="00D549BE" w14:paraId="6558DDFC"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209C8211" w14:textId="77777777" w:rsidR="00656AA8" w:rsidRPr="00D549BE" w:rsidRDefault="00656AA8" w:rsidP="00434248">
            <w:pPr>
              <w:spacing w:before="0" w:after="0"/>
              <w:jc w:val="left"/>
              <w:rPr>
                <w:noProof/>
                <w:color w:val="000000"/>
                <w:sz w:val="16"/>
                <w:szCs w:val="16"/>
              </w:rPr>
            </w:pPr>
            <w:r w:rsidRPr="00D549BE">
              <w:rPr>
                <w:color w:val="000000"/>
                <w:sz w:val="16"/>
              </w:rPr>
              <w:t xml:space="preserve">Ressources humaines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F36862A"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9C5D7BE"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5F26FBD"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0B565BA"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1A0C4FAA"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r w:rsidR="00656AA8" w:rsidRPr="00D549BE" w14:paraId="73DD3C86" w14:textId="77777777" w:rsidTr="00434248">
        <w:trPr>
          <w:trHeight w:val="300"/>
        </w:trPr>
        <w:tc>
          <w:tcPr>
            <w:tcW w:w="2166" w:type="pct"/>
            <w:tcBorders>
              <w:top w:val="nil"/>
              <w:left w:val="single" w:sz="8" w:space="0" w:color="auto"/>
              <w:bottom w:val="single" w:sz="8" w:space="0" w:color="auto"/>
              <w:right w:val="single" w:sz="8" w:space="0" w:color="auto"/>
            </w:tcBorders>
            <w:vAlign w:val="center"/>
            <w:hideMark/>
          </w:tcPr>
          <w:p w14:paraId="1D48F35A" w14:textId="77777777" w:rsidR="00656AA8" w:rsidRPr="00D549BE" w:rsidRDefault="00656AA8" w:rsidP="00434248">
            <w:pPr>
              <w:spacing w:before="0" w:after="0"/>
              <w:jc w:val="left"/>
              <w:rPr>
                <w:noProof/>
                <w:color w:val="000000"/>
                <w:sz w:val="16"/>
                <w:szCs w:val="16"/>
              </w:rPr>
            </w:pPr>
            <w:r w:rsidRPr="00D549BE">
              <w:rPr>
                <w:color w:val="000000"/>
                <w:sz w:val="16"/>
              </w:rPr>
              <w:t>Autres dépenses de nature administrative</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2AC7F44"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E9B16AF"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EC2469D"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E1BC570"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2A720958"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r w:rsidR="00656AA8" w:rsidRPr="00D549BE" w14:paraId="44D33289" w14:textId="77777777" w:rsidTr="00434248">
        <w:trPr>
          <w:trHeight w:val="300"/>
        </w:trPr>
        <w:tc>
          <w:tcPr>
            <w:tcW w:w="2166" w:type="pct"/>
            <w:tcBorders>
              <w:top w:val="nil"/>
              <w:left w:val="single" w:sz="8" w:space="0" w:color="auto"/>
              <w:bottom w:val="single" w:sz="8" w:space="0" w:color="auto"/>
              <w:right w:val="single" w:sz="8" w:space="0" w:color="auto"/>
            </w:tcBorders>
            <w:shd w:val="clear" w:color="auto" w:fill="CCCCCC"/>
            <w:vAlign w:val="center"/>
            <w:hideMark/>
          </w:tcPr>
          <w:p w14:paraId="0967CC6E" w14:textId="77777777" w:rsidR="00656AA8" w:rsidRPr="00D549BE" w:rsidRDefault="00656AA8" w:rsidP="00434248">
            <w:pPr>
              <w:spacing w:before="0" w:after="0"/>
              <w:jc w:val="center"/>
              <w:rPr>
                <w:b/>
                <w:bCs/>
                <w:noProof/>
                <w:color w:val="000000"/>
                <w:sz w:val="16"/>
                <w:szCs w:val="16"/>
              </w:rPr>
            </w:pPr>
            <w:r w:rsidRPr="00D549BE">
              <w:rPr>
                <w:b/>
                <w:color w:val="000000"/>
                <w:sz w:val="16"/>
              </w:rPr>
              <w:t>Sous-total hors RUBRIQUE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E1A533A"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2F7CBEA"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7567C96"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BF6899E"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4C0A5E5F"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r w:rsidR="00656AA8" w:rsidRPr="00D549BE" w14:paraId="2E5B31DD"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75468B4E" w14:textId="77777777" w:rsidR="00656AA8" w:rsidRPr="00D549BE" w:rsidRDefault="00656AA8" w:rsidP="00434248">
            <w:pPr>
              <w:spacing w:before="0" w:after="0"/>
              <w:jc w:val="center"/>
              <w:rPr>
                <w:noProof/>
                <w:color w:val="000000"/>
                <w:sz w:val="16"/>
                <w:szCs w:val="16"/>
              </w:rPr>
            </w:pPr>
            <w:r w:rsidRPr="00D549BE">
              <w:rPr>
                <w:color w:val="000000"/>
                <w:sz w:val="16"/>
              </w:rPr>
              <w:t xml:space="preserve"> </w:t>
            </w:r>
          </w:p>
        </w:tc>
      </w:tr>
      <w:tr w:rsidR="00656AA8" w:rsidRPr="00D549BE" w14:paraId="4467C964" w14:textId="77777777" w:rsidTr="00434248">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7B94AEF1" w14:textId="77777777" w:rsidR="00656AA8" w:rsidRPr="00D549BE" w:rsidRDefault="00656AA8" w:rsidP="00434248">
            <w:pPr>
              <w:spacing w:before="0" w:after="0"/>
              <w:jc w:val="center"/>
              <w:rPr>
                <w:b/>
                <w:bCs/>
                <w:noProof/>
                <w:color w:val="000000"/>
                <w:sz w:val="16"/>
                <w:szCs w:val="16"/>
              </w:rPr>
            </w:pPr>
            <w:r w:rsidRPr="00D549BE">
              <w:rPr>
                <w:b/>
                <w:color w:val="000000"/>
                <w:sz w:val="16"/>
              </w:rPr>
              <w:t>TOTAL</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12085495"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4A18383"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233F18F3"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46ACEC62"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622"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72F537BA"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bl>
    <w:p w14:paraId="5CA5CDAE" w14:textId="77777777" w:rsidR="00656AA8" w:rsidRPr="00D549BE" w:rsidRDefault="00656AA8" w:rsidP="00656AA8">
      <w:pPr>
        <w:pStyle w:val="ManualHeading3"/>
        <w:rPr>
          <w:noProof/>
        </w:rPr>
      </w:pPr>
      <w:bookmarkStart w:id="183" w:name="_Toc167220293"/>
      <w:bookmarkStart w:id="184" w:name="_Toc177549026"/>
      <w:r w:rsidRPr="00D549BE">
        <w:t>3.2.3.3.</w:t>
      </w:r>
      <w:r w:rsidRPr="00D549BE">
        <w:tab/>
        <w:t>Total des crédits</w:t>
      </w:r>
      <w:bookmarkEnd w:id="183"/>
      <w:bookmarkEnd w:id="184"/>
    </w:p>
    <w:tbl>
      <w:tblPr>
        <w:tblW w:w="9187" w:type="dxa"/>
        <w:tblLook w:val="04A0" w:firstRow="1" w:lastRow="0" w:firstColumn="1" w:lastColumn="0" w:noHBand="0" w:noVBand="1"/>
      </w:tblPr>
      <w:tblGrid>
        <w:gridCol w:w="3760"/>
        <w:gridCol w:w="960"/>
        <w:gridCol w:w="1022"/>
        <w:gridCol w:w="1065"/>
        <w:gridCol w:w="1068"/>
        <w:gridCol w:w="1312"/>
      </w:tblGrid>
      <w:tr w:rsidR="00656AA8" w:rsidRPr="00D549BE" w14:paraId="53A7D6C6" w14:textId="77777777" w:rsidTr="00434248">
        <w:trPr>
          <w:trHeight w:val="519"/>
        </w:trPr>
        <w:tc>
          <w:tcPr>
            <w:tcW w:w="3760"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5FD06992" w14:textId="77777777" w:rsidR="00656AA8" w:rsidRPr="00D549BE" w:rsidRDefault="00656AA8" w:rsidP="00434248">
            <w:pPr>
              <w:spacing w:before="0" w:after="0"/>
              <w:jc w:val="center"/>
              <w:rPr>
                <w:b/>
                <w:bCs/>
                <w:noProof/>
                <w:color w:val="000000"/>
                <w:sz w:val="18"/>
                <w:szCs w:val="18"/>
              </w:rPr>
            </w:pPr>
            <w:r w:rsidRPr="00D549BE">
              <w:rPr>
                <w:b/>
                <w:color w:val="000000"/>
                <w:sz w:val="18"/>
              </w:rPr>
              <w:t>TOTAL</w:t>
            </w:r>
            <w:r w:rsidRPr="00D549BE">
              <w:t xml:space="preserve"> </w:t>
            </w:r>
            <w:r w:rsidRPr="00D549BE">
              <w:br/>
            </w:r>
            <w:r w:rsidRPr="00D549BE">
              <w:rPr>
                <w:b/>
                <w:color w:val="000000"/>
                <w:sz w:val="18"/>
              </w:rPr>
              <w:t>CRÉDITS VOTÉS                            +                                                               RECETTES AFFECTÉES EXTERNES</w:t>
            </w:r>
          </w:p>
        </w:tc>
        <w:tc>
          <w:tcPr>
            <w:tcW w:w="960" w:type="dxa"/>
            <w:tcBorders>
              <w:top w:val="single" w:sz="8" w:space="0" w:color="auto"/>
              <w:left w:val="nil"/>
              <w:bottom w:val="nil"/>
              <w:right w:val="single" w:sz="8" w:space="0" w:color="auto"/>
            </w:tcBorders>
            <w:vAlign w:val="center"/>
            <w:hideMark/>
          </w:tcPr>
          <w:p w14:paraId="596EEC51"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1065" w:type="dxa"/>
            <w:tcBorders>
              <w:top w:val="single" w:sz="8" w:space="0" w:color="auto"/>
              <w:left w:val="nil"/>
              <w:bottom w:val="nil"/>
              <w:right w:val="single" w:sz="8" w:space="0" w:color="auto"/>
            </w:tcBorders>
            <w:vAlign w:val="center"/>
            <w:hideMark/>
          </w:tcPr>
          <w:p w14:paraId="0F6CB6F2" w14:textId="77777777" w:rsidR="00656AA8" w:rsidRPr="00D549BE" w:rsidRDefault="00656AA8" w:rsidP="00434248">
            <w:pPr>
              <w:spacing w:before="0" w:after="0"/>
              <w:jc w:val="center"/>
              <w:rPr>
                <w:noProof/>
                <w:color w:val="000000"/>
                <w:sz w:val="18"/>
                <w:szCs w:val="18"/>
              </w:rPr>
            </w:pPr>
            <w:r w:rsidRPr="00D549BE">
              <w:rPr>
                <w:color w:val="000000"/>
                <w:sz w:val="18"/>
              </w:rPr>
              <w:t>Année</w:t>
            </w:r>
          </w:p>
        </w:tc>
        <w:tc>
          <w:tcPr>
            <w:tcW w:w="1065" w:type="dxa"/>
            <w:tcBorders>
              <w:top w:val="single" w:sz="8" w:space="0" w:color="auto"/>
              <w:left w:val="nil"/>
              <w:bottom w:val="nil"/>
              <w:right w:val="single" w:sz="8" w:space="0" w:color="auto"/>
            </w:tcBorders>
            <w:vAlign w:val="center"/>
            <w:hideMark/>
          </w:tcPr>
          <w:p w14:paraId="58B31B62"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1095" w:type="dxa"/>
            <w:tcBorders>
              <w:top w:val="single" w:sz="8" w:space="0" w:color="auto"/>
              <w:left w:val="nil"/>
              <w:bottom w:val="nil"/>
              <w:right w:val="single" w:sz="8" w:space="0" w:color="auto"/>
            </w:tcBorders>
            <w:vAlign w:val="center"/>
            <w:hideMark/>
          </w:tcPr>
          <w:p w14:paraId="6A2E64A7"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1242"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10D843A5"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TOTAL 2021-2027</w:t>
            </w:r>
          </w:p>
        </w:tc>
      </w:tr>
      <w:tr w:rsidR="00656AA8" w:rsidRPr="00D549BE" w14:paraId="2AD0CD7F" w14:textId="77777777" w:rsidTr="00434248">
        <w:trPr>
          <w:trHeight w:val="519"/>
        </w:trPr>
        <w:tc>
          <w:tcPr>
            <w:tcW w:w="3760" w:type="dxa"/>
            <w:vMerge/>
            <w:vAlign w:val="center"/>
            <w:hideMark/>
          </w:tcPr>
          <w:p w14:paraId="68E74EDB" w14:textId="77777777" w:rsidR="00656AA8" w:rsidRPr="00D549BE" w:rsidRDefault="00656AA8" w:rsidP="00434248">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0CC91B1A" w14:textId="77777777" w:rsidR="00656AA8" w:rsidRPr="00D549BE" w:rsidRDefault="00656AA8" w:rsidP="00434248">
            <w:pPr>
              <w:spacing w:before="0" w:after="0"/>
              <w:jc w:val="center"/>
              <w:rPr>
                <w:b/>
                <w:bCs/>
                <w:noProof/>
                <w:color w:val="000000"/>
                <w:sz w:val="18"/>
                <w:szCs w:val="18"/>
              </w:rPr>
            </w:pPr>
            <w:r w:rsidRPr="00D549BE">
              <w:rPr>
                <w:b/>
                <w:color w:val="000000"/>
                <w:sz w:val="18"/>
              </w:rPr>
              <w:t>2024</w:t>
            </w:r>
          </w:p>
        </w:tc>
        <w:tc>
          <w:tcPr>
            <w:tcW w:w="1065" w:type="dxa"/>
            <w:tcBorders>
              <w:top w:val="nil"/>
              <w:left w:val="nil"/>
              <w:bottom w:val="single" w:sz="8" w:space="0" w:color="auto"/>
              <w:right w:val="single" w:sz="8" w:space="0" w:color="auto"/>
            </w:tcBorders>
            <w:vAlign w:val="center"/>
            <w:hideMark/>
          </w:tcPr>
          <w:p w14:paraId="1A216B5F" w14:textId="77777777" w:rsidR="00656AA8" w:rsidRPr="00D549BE" w:rsidRDefault="00656AA8" w:rsidP="00434248">
            <w:pPr>
              <w:spacing w:before="0" w:after="0"/>
              <w:jc w:val="center"/>
              <w:rPr>
                <w:b/>
                <w:bCs/>
                <w:noProof/>
                <w:color w:val="000000"/>
                <w:sz w:val="18"/>
                <w:szCs w:val="18"/>
              </w:rPr>
            </w:pPr>
            <w:r w:rsidRPr="00D549BE">
              <w:rPr>
                <w:b/>
                <w:color w:val="000000"/>
                <w:sz w:val="18"/>
              </w:rPr>
              <w:t>2025</w:t>
            </w:r>
          </w:p>
        </w:tc>
        <w:tc>
          <w:tcPr>
            <w:tcW w:w="1065" w:type="dxa"/>
            <w:tcBorders>
              <w:top w:val="nil"/>
              <w:left w:val="nil"/>
              <w:bottom w:val="single" w:sz="8" w:space="0" w:color="auto"/>
              <w:right w:val="single" w:sz="8" w:space="0" w:color="auto"/>
            </w:tcBorders>
            <w:vAlign w:val="center"/>
            <w:hideMark/>
          </w:tcPr>
          <w:p w14:paraId="0F20D476"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2026</w:t>
            </w:r>
          </w:p>
        </w:tc>
        <w:tc>
          <w:tcPr>
            <w:tcW w:w="1095" w:type="dxa"/>
            <w:tcBorders>
              <w:top w:val="nil"/>
              <w:left w:val="nil"/>
              <w:bottom w:val="single" w:sz="8" w:space="0" w:color="auto"/>
              <w:right w:val="single" w:sz="8" w:space="0" w:color="auto"/>
            </w:tcBorders>
            <w:vAlign w:val="center"/>
            <w:hideMark/>
          </w:tcPr>
          <w:p w14:paraId="79836823"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2027</w:t>
            </w:r>
          </w:p>
        </w:tc>
        <w:tc>
          <w:tcPr>
            <w:tcW w:w="1242" w:type="dxa"/>
            <w:vMerge/>
            <w:vAlign w:val="center"/>
            <w:hideMark/>
          </w:tcPr>
          <w:p w14:paraId="413F0C89" w14:textId="77777777" w:rsidR="00656AA8" w:rsidRPr="00D549BE" w:rsidRDefault="00656AA8" w:rsidP="00434248">
            <w:pPr>
              <w:spacing w:before="0" w:after="0"/>
              <w:jc w:val="left"/>
              <w:rPr>
                <w:b/>
                <w:bCs/>
                <w:noProof/>
                <w:color w:val="000000" w:themeColor="text1"/>
                <w:sz w:val="18"/>
                <w:szCs w:val="18"/>
                <w:lang w:eastAsia="en-IE"/>
              </w:rPr>
            </w:pPr>
          </w:p>
        </w:tc>
      </w:tr>
      <w:tr w:rsidR="00656AA8" w:rsidRPr="00D549BE" w14:paraId="6569492D" w14:textId="77777777" w:rsidTr="00434248">
        <w:trPr>
          <w:trHeight w:val="300"/>
        </w:trPr>
        <w:tc>
          <w:tcPr>
            <w:tcW w:w="9187" w:type="dxa"/>
            <w:gridSpan w:val="6"/>
            <w:tcBorders>
              <w:top w:val="single" w:sz="8" w:space="0" w:color="auto"/>
              <w:left w:val="single" w:sz="8" w:space="0" w:color="auto"/>
              <w:bottom w:val="single" w:sz="8" w:space="0" w:color="auto"/>
              <w:right w:val="single" w:sz="4" w:space="0" w:color="auto"/>
            </w:tcBorders>
            <w:vAlign w:val="center"/>
            <w:hideMark/>
          </w:tcPr>
          <w:p w14:paraId="27683FEE" w14:textId="77777777" w:rsidR="00656AA8" w:rsidRPr="00D549BE" w:rsidRDefault="00656AA8" w:rsidP="00434248">
            <w:pPr>
              <w:spacing w:before="0" w:after="0"/>
              <w:jc w:val="left"/>
              <w:rPr>
                <w:b/>
                <w:bCs/>
                <w:noProof/>
                <w:color w:val="000000" w:themeColor="text1"/>
                <w:sz w:val="16"/>
                <w:szCs w:val="16"/>
              </w:rPr>
            </w:pPr>
            <w:r w:rsidRPr="00D549BE">
              <w:rPr>
                <w:b/>
                <w:color w:val="000000" w:themeColor="text1"/>
                <w:sz w:val="16"/>
              </w:rPr>
              <w:t>RUBRIQUE 7</w:t>
            </w:r>
          </w:p>
        </w:tc>
      </w:tr>
      <w:tr w:rsidR="00656AA8" w:rsidRPr="00D549BE" w14:paraId="4F58DEA2"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13293AA3" w14:textId="77777777" w:rsidR="00656AA8" w:rsidRPr="00D549BE" w:rsidRDefault="00656AA8" w:rsidP="00434248">
            <w:pPr>
              <w:spacing w:before="0" w:after="0"/>
              <w:jc w:val="left"/>
              <w:rPr>
                <w:noProof/>
                <w:color w:val="000000"/>
                <w:sz w:val="16"/>
                <w:szCs w:val="16"/>
              </w:rPr>
            </w:pPr>
            <w:r w:rsidRPr="00D549BE">
              <w:rPr>
                <w:color w:val="000000"/>
                <w:sz w:val="16"/>
              </w:rPr>
              <w:t xml:space="preserve">Ressources humaines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FBB3949"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C917698"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37F6D3A"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20"/>
              </w:rPr>
              <w:t>11,366</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3A8E12E7"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20"/>
              </w:rPr>
              <w:t>11,366</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7777F0AC" w14:textId="77777777" w:rsidR="00656AA8" w:rsidRPr="00D549BE" w:rsidRDefault="000B1FF4" w:rsidP="00434248">
            <w:pPr>
              <w:spacing w:before="0" w:after="0"/>
              <w:jc w:val="right"/>
              <w:rPr>
                <w:b/>
                <w:bCs/>
                <w:noProof/>
                <w:color w:val="000000" w:themeColor="text1"/>
                <w:sz w:val="16"/>
                <w:szCs w:val="16"/>
              </w:rPr>
            </w:pPr>
            <w:r w:rsidRPr="00D549BE">
              <w:rPr>
                <w:b/>
                <w:color w:val="000000" w:themeColor="text1"/>
                <w:sz w:val="20"/>
              </w:rPr>
              <w:t>22,732</w:t>
            </w:r>
          </w:p>
        </w:tc>
      </w:tr>
      <w:tr w:rsidR="00656AA8" w:rsidRPr="00D549BE" w14:paraId="2FDE65D6"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1F61D946" w14:textId="77777777" w:rsidR="00656AA8" w:rsidRPr="00D549BE" w:rsidRDefault="00656AA8" w:rsidP="00434248">
            <w:pPr>
              <w:spacing w:before="0" w:after="0"/>
              <w:jc w:val="left"/>
              <w:rPr>
                <w:noProof/>
                <w:color w:val="000000"/>
                <w:sz w:val="16"/>
                <w:szCs w:val="16"/>
              </w:rPr>
            </w:pPr>
            <w:r w:rsidRPr="00D549BE">
              <w:rPr>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7D925E7"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08FCFBB"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18211759" w14:textId="24260D2F" w:rsidR="00656AA8" w:rsidRPr="00D549BE" w:rsidRDefault="00656AA8" w:rsidP="00434248">
            <w:pPr>
              <w:spacing w:before="0" w:after="0"/>
              <w:jc w:val="right"/>
              <w:rPr>
                <w:noProof/>
                <w:color w:val="000000" w:themeColor="text1"/>
                <w:sz w:val="16"/>
                <w:szCs w:val="16"/>
              </w:rPr>
            </w:pPr>
            <w:r w:rsidRPr="00D549BE">
              <w:rPr>
                <w:color w:val="000000" w:themeColor="text1"/>
                <w:sz w:val="20"/>
              </w:rPr>
              <w:t>0,336</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8895FB6" w14:textId="62D49824" w:rsidR="00656AA8" w:rsidRPr="00D549BE" w:rsidRDefault="00656AA8" w:rsidP="00434248">
            <w:pPr>
              <w:spacing w:before="0" w:after="0"/>
              <w:jc w:val="right"/>
              <w:rPr>
                <w:noProof/>
                <w:color w:val="000000" w:themeColor="text1"/>
                <w:sz w:val="16"/>
                <w:szCs w:val="16"/>
              </w:rPr>
            </w:pPr>
            <w:r w:rsidRPr="00D549BE">
              <w:rPr>
                <w:color w:val="000000" w:themeColor="text1"/>
                <w:sz w:val="20"/>
              </w:rPr>
              <w:t>0,336</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5929B3AA" w14:textId="1FC27206"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0,672</w:t>
            </w:r>
          </w:p>
        </w:tc>
      </w:tr>
      <w:tr w:rsidR="00656AA8" w:rsidRPr="00D549BE" w14:paraId="225653AC" w14:textId="77777777" w:rsidTr="00434248">
        <w:trPr>
          <w:trHeight w:val="300"/>
        </w:trPr>
        <w:tc>
          <w:tcPr>
            <w:tcW w:w="3760" w:type="dxa"/>
            <w:tcBorders>
              <w:top w:val="nil"/>
              <w:left w:val="single" w:sz="8" w:space="0" w:color="auto"/>
              <w:bottom w:val="single" w:sz="8" w:space="0" w:color="auto"/>
              <w:right w:val="single" w:sz="8" w:space="0" w:color="auto"/>
            </w:tcBorders>
            <w:shd w:val="clear" w:color="auto" w:fill="CCCCCC"/>
            <w:vAlign w:val="center"/>
            <w:hideMark/>
          </w:tcPr>
          <w:p w14:paraId="01F59DDC" w14:textId="77777777" w:rsidR="00656AA8" w:rsidRPr="00D549BE" w:rsidRDefault="00656AA8" w:rsidP="00434248">
            <w:pPr>
              <w:spacing w:before="0" w:after="0"/>
              <w:jc w:val="center"/>
              <w:rPr>
                <w:b/>
                <w:bCs/>
                <w:noProof/>
                <w:color w:val="000000"/>
                <w:sz w:val="16"/>
                <w:szCs w:val="16"/>
              </w:rPr>
            </w:pPr>
            <w:r w:rsidRPr="00D549BE">
              <w:rPr>
                <w:b/>
                <w:color w:val="000000"/>
                <w:sz w:val="16"/>
              </w:rPr>
              <w:t>Sous-total RUBRIQUE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6B5AF9A"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431E8702"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052E1CF7" w14:textId="7F519952"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5519DCE9" w14:textId="1038D3D2"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5C3CC4CA" w14:textId="280D6315"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23,404</w:t>
            </w:r>
          </w:p>
        </w:tc>
      </w:tr>
      <w:tr w:rsidR="00656AA8" w:rsidRPr="00D549BE" w14:paraId="513A74F9" w14:textId="77777777" w:rsidTr="00434248">
        <w:trPr>
          <w:trHeight w:val="300"/>
        </w:trPr>
        <w:tc>
          <w:tcPr>
            <w:tcW w:w="9187" w:type="dxa"/>
            <w:gridSpan w:val="6"/>
            <w:tcBorders>
              <w:top w:val="single" w:sz="8" w:space="0" w:color="auto"/>
              <w:left w:val="single" w:sz="8" w:space="0" w:color="auto"/>
              <w:bottom w:val="single" w:sz="8" w:space="0" w:color="auto"/>
              <w:right w:val="single" w:sz="4" w:space="0" w:color="auto"/>
            </w:tcBorders>
            <w:vAlign w:val="center"/>
            <w:hideMark/>
          </w:tcPr>
          <w:p w14:paraId="64D4C29A" w14:textId="77777777" w:rsidR="00656AA8" w:rsidRPr="00D549BE" w:rsidRDefault="00656AA8" w:rsidP="00434248">
            <w:pPr>
              <w:spacing w:before="0" w:after="0"/>
              <w:jc w:val="left"/>
              <w:rPr>
                <w:b/>
                <w:bCs/>
                <w:noProof/>
                <w:sz w:val="16"/>
                <w:szCs w:val="16"/>
              </w:rPr>
            </w:pPr>
            <w:r w:rsidRPr="00D549BE">
              <w:rPr>
                <w:b/>
                <w:sz w:val="16"/>
              </w:rPr>
              <w:t>Hors RUBRIQUE 7</w:t>
            </w:r>
          </w:p>
        </w:tc>
      </w:tr>
      <w:tr w:rsidR="00656AA8" w:rsidRPr="00D549BE" w14:paraId="3A089A5C"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4AA644EE" w14:textId="77777777" w:rsidR="00656AA8" w:rsidRPr="00D549BE" w:rsidRDefault="00656AA8" w:rsidP="00434248">
            <w:pPr>
              <w:spacing w:before="0" w:after="0"/>
              <w:jc w:val="left"/>
              <w:rPr>
                <w:noProof/>
                <w:color w:val="000000"/>
                <w:sz w:val="16"/>
                <w:szCs w:val="16"/>
              </w:rPr>
            </w:pPr>
            <w:r w:rsidRPr="00D549BE">
              <w:rPr>
                <w:color w:val="000000"/>
                <w:sz w:val="16"/>
              </w:rPr>
              <w:t xml:space="preserve">Ressources humaines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7AF3B72"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48886E36"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4F8F9BD"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E91A59F"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448B960F"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r>
      <w:tr w:rsidR="00656AA8" w:rsidRPr="00D549BE" w14:paraId="5518CD0F" w14:textId="77777777" w:rsidTr="00434248">
        <w:trPr>
          <w:trHeight w:val="300"/>
        </w:trPr>
        <w:tc>
          <w:tcPr>
            <w:tcW w:w="3760" w:type="dxa"/>
            <w:tcBorders>
              <w:top w:val="nil"/>
              <w:left w:val="single" w:sz="8" w:space="0" w:color="auto"/>
              <w:bottom w:val="single" w:sz="8" w:space="0" w:color="auto"/>
              <w:right w:val="single" w:sz="8" w:space="0" w:color="auto"/>
            </w:tcBorders>
            <w:vAlign w:val="center"/>
            <w:hideMark/>
          </w:tcPr>
          <w:p w14:paraId="77169E40" w14:textId="77777777" w:rsidR="00656AA8" w:rsidRPr="00D549BE" w:rsidRDefault="00656AA8" w:rsidP="00434248">
            <w:pPr>
              <w:spacing w:before="0" w:after="0"/>
              <w:jc w:val="left"/>
              <w:rPr>
                <w:noProof/>
                <w:color w:val="000000"/>
                <w:sz w:val="16"/>
                <w:szCs w:val="16"/>
              </w:rPr>
            </w:pPr>
            <w:r w:rsidRPr="00D549BE">
              <w:rPr>
                <w:color w:val="000000"/>
                <w:sz w:val="16"/>
              </w:rPr>
              <w:t>Autres dépenses de nature administrative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9C1ED7E"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5FC0D882" w14:textId="77777777" w:rsidR="00656AA8" w:rsidRPr="00D549BE" w:rsidRDefault="00656AA8" w:rsidP="00434248">
            <w:pPr>
              <w:spacing w:before="0" w:after="0"/>
              <w:jc w:val="right"/>
              <w:rPr>
                <w:noProof/>
                <w:color w:val="000000"/>
                <w:sz w:val="16"/>
                <w:szCs w:val="16"/>
              </w:rPr>
            </w:pPr>
            <w:r w:rsidRPr="00D549BE">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043ED5FC"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79A3E774"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1FF35536"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r>
      <w:tr w:rsidR="00656AA8" w:rsidRPr="00D549BE" w14:paraId="5902E98A" w14:textId="77777777" w:rsidTr="00434248">
        <w:trPr>
          <w:trHeight w:val="300"/>
        </w:trPr>
        <w:tc>
          <w:tcPr>
            <w:tcW w:w="3760" w:type="dxa"/>
            <w:tcBorders>
              <w:top w:val="nil"/>
              <w:left w:val="single" w:sz="8" w:space="0" w:color="auto"/>
              <w:bottom w:val="single" w:sz="8" w:space="0" w:color="auto"/>
              <w:right w:val="single" w:sz="8" w:space="0" w:color="auto"/>
            </w:tcBorders>
            <w:shd w:val="clear" w:color="auto" w:fill="CCCCCC"/>
            <w:vAlign w:val="center"/>
            <w:hideMark/>
          </w:tcPr>
          <w:p w14:paraId="337FAD7D" w14:textId="77777777" w:rsidR="00656AA8" w:rsidRPr="00D549BE" w:rsidRDefault="00656AA8" w:rsidP="00434248">
            <w:pPr>
              <w:spacing w:before="0" w:after="0"/>
              <w:jc w:val="center"/>
              <w:rPr>
                <w:b/>
                <w:bCs/>
                <w:noProof/>
                <w:color w:val="000000"/>
                <w:sz w:val="16"/>
                <w:szCs w:val="16"/>
              </w:rPr>
            </w:pPr>
            <w:r w:rsidRPr="00D549BE">
              <w:rPr>
                <w:b/>
                <w:color w:val="000000"/>
                <w:sz w:val="16"/>
              </w:rPr>
              <w:t>Sous-total hors RUBRIQUE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2F639C"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690D3149"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A28A0A6"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3A7E60F"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1B319A8E"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r>
      <w:tr w:rsidR="00656AA8" w:rsidRPr="00D549BE" w14:paraId="52280D93" w14:textId="77777777" w:rsidTr="00434248">
        <w:trPr>
          <w:trHeight w:val="300"/>
        </w:trPr>
        <w:tc>
          <w:tcPr>
            <w:tcW w:w="9187" w:type="dxa"/>
            <w:gridSpan w:val="6"/>
            <w:tcBorders>
              <w:top w:val="single" w:sz="8" w:space="0" w:color="auto"/>
              <w:left w:val="single" w:sz="8" w:space="0" w:color="auto"/>
              <w:bottom w:val="single" w:sz="8" w:space="0" w:color="auto"/>
              <w:right w:val="single" w:sz="4" w:space="0" w:color="auto"/>
            </w:tcBorders>
            <w:noWrap/>
            <w:vAlign w:val="center"/>
            <w:hideMark/>
          </w:tcPr>
          <w:p w14:paraId="5FC63690"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 xml:space="preserve"> </w:t>
            </w:r>
          </w:p>
        </w:tc>
      </w:tr>
      <w:tr w:rsidR="00656AA8" w:rsidRPr="00D549BE" w14:paraId="5AEF5B58" w14:textId="77777777" w:rsidTr="00434248">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659DA361" w14:textId="77777777" w:rsidR="00656AA8" w:rsidRPr="00D549BE" w:rsidRDefault="00656AA8" w:rsidP="00434248">
            <w:pPr>
              <w:spacing w:before="0" w:after="0"/>
              <w:jc w:val="center"/>
              <w:rPr>
                <w:b/>
                <w:bCs/>
                <w:noProof/>
                <w:color w:val="000000"/>
                <w:sz w:val="16"/>
                <w:szCs w:val="16"/>
              </w:rPr>
            </w:pPr>
            <w:r w:rsidRPr="00D549BE">
              <w:rPr>
                <w:b/>
                <w:color w:val="000000"/>
                <w:sz w:val="16"/>
              </w:rPr>
              <w:t>TOTAL</w:t>
            </w:r>
          </w:p>
        </w:tc>
        <w:tc>
          <w:tcPr>
            <w:tcW w:w="960"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B91BE6A"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106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5142E437" w14:textId="77777777" w:rsidR="00656AA8" w:rsidRPr="00D549BE" w:rsidRDefault="00656AA8" w:rsidP="00434248">
            <w:pPr>
              <w:spacing w:before="0" w:after="0"/>
              <w:jc w:val="right"/>
              <w:rPr>
                <w:b/>
                <w:bCs/>
                <w:noProof/>
                <w:color w:val="000000"/>
                <w:sz w:val="16"/>
                <w:szCs w:val="16"/>
              </w:rPr>
            </w:pPr>
            <w:r w:rsidRPr="00D549BE">
              <w:rPr>
                <w:b/>
                <w:color w:val="000000"/>
                <w:sz w:val="16"/>
              </w:rPr>
              <w:t>0,000</w:t>
            </w:r>
          </w:p>
        </w:tc>
        <w:tc>
          <w:tcPr>
            <w:tcW w:w="106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0E39E7A0" w14:textId="7CEFDE7A"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109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5E77B034" w14:textId="68B1BBB9"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11,702</w:t>
            </w:r>
          </w:p>
        </w:tc>
        <w:tc>
          <w:tcPr>
            <w:tcW w:w="1242"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30AF94E1" w14:textId="6F2D2D09" w:rsidR="00656AA8" w:rsidRPr="00D549BE" w:rsidRDefault="009905CA" w:rsidP="00434248">
            <w:pPr>
              <w:spacing w:before="0" w:after="0"/>
              <w:jc w:val="right"/>
              <w:rPr>
                <w:b/>
                <w:bCs/>
                <w:noProof/>
                <w:color w:val="000000" w:themeColor="text1"/>
                <w:sz w:val="16"/>
                <w:szCs w:val="16"/>
              </w:rPr>
            </w:pPr>
            <w:r w:rsidRPr="00D549BE">
              <w:rPr>
                <w:b/>
                <w:color w:val="000000" w:themeColor="text1"/>
                <w:sz w:val="20"/>
              </w:rPr>
              <w:t>23,404</w:t>
            </w:r>
          </w:p>
        </w:tc>
      </w:tr>
    </w:tbl>
    <w:p w14:paraId="2B90367B" w14:textId="77777777" w:rsidR="00656AA8" w:rsidRPr="00D549BE" w:rsidRDefault="00656AA8" w:rsidP="00656AA8">
      <w:pPr>
        <w:pStyle w:val="ManualHeading3"/>
        <w:rPr>
          <w:bCs/>
          <w:noProof/>
          <w:szCs w:val="24"/>
        </w:rPr>
      </w:pPr>
      <w:bookmarkStart w:id="185" w:name="_Toc167220294"/>
      <w:bookmarkStart w:id="186" w:name="_Toc177549027"/>
      <w:r w:rsidRPr="00D549BE">
        <w:t>3.2.4.</w:t>
      </w:r>
      <w:r w:rsidRPr="00D549BE">
        <w:tab/>
        <w:t>Besoins estimés en ressources humaines</w:t>
      </w:r>
      <w:bookmarkEnd w:id="185"/>
      <w:bookmarkEnd w:id="186"/>
      <w:r w:rsidRPr="00D549BE">
        <w:t xml:space="preserve"> </w:t>
      </w:r>
    </w:p>
    <w:p w14:paraId="5686DBA8" w14:textId="77777777" w:rsidR="00656AA8" w:rsidRPr="00D549BE" w:rsidRDefault="00656AA8" w:rsidP="00656AA8">
      <w:pPr>
        <w:pStyle w:val="ListDash1"/>
        <w:rPr>
          <w:noProof/>
        </w:rPr>
      </w:pPr>
      <w:r w:rsidRPr="00D549BE">
        <w:rPr>
          <w:rFonts w:ascii="Wingdings" w:hAnsi="Wingdings"/>
        </w:rPr>
        <w:t></w:t>
      </w:r>
      <w:r w:rsidRPr="00D549BE">
        <w:tab/>
        <w:t xml:space="preserve">La proposition/l’initiative n’engendre pas l’utilisation de ressources humaines. </w:t>
      </w:r>
    </w:p>
    <w:p w14:paraId="0EA5A71B" w14:textId="77777777" w:rsidR="00656AA8" w:rsidRPr="00D549BE" w:rsidRDefault="00656AA8" w:rsidP="00656AA8">
      <w:pPr>
        <w:pStyle w:val="ListDash1"/>
        <w:rPr>
          <w:noProof/>
        </w:rPr>
      </w:pPr>
      <w:r w:rsidRPr="00D549BE">
        <w:rPr>
          <w:rFonts w:ascii="Wingdings" w:hAnsi="Wingdings"/>
        </w:rPr>
        <w:t></w:t>
      </w:r>
      <w:r w:rsidRPr="00D549BE">
        <w:tab/>
        <w:t>La proposition/l’initiative engendre l’utilisation de ressources humaines, comme expliqué ci-après:</w:t>
      </w:r>
    </w:p>
    <w:p w14:paraId="04087FF1" w14:textId="77777777" w:rsidR="00656AA8" w:rsidRPr="00D549BE" w:rsidRDefault="00656AA8" w:rsidP="00656AA8">
      <w:pPr>
        <w:pStyle w:val="ManualHeading3"/>
        <w:rPr>
          <w:noProof/>
        </w:rPr>
      </w:pPr>
      <w:bookmarkStart w:id="187" w:name="_Toc167220295"/>
      <w:bookmarkStart w:id="188" w:name="_Toc177549028"/>
      <w:r w:rsidRPr="00D549BE">
        <w:t>3.2.4.1.</w:t>
      </w:r>
      <w:r w:rsidRPr="00D549BE">
        <w:tab/>
        <w:t>Financement sur le budget voté</w:t>
      </w:r>
      <w:bookmarkEnd w:id="187"/>
      <w:bookmarkEnd w:id="188"/>
    </w:p>
    <w:p w14:paraId="5520FED1" w14:textId="77777777" w:rsidR="00656AA8" w:rsidRPr="00D549BE" w:rsidRDefault="00656AA8" w:rsidP="00656AA8">
      <w:pPr>
        <w:spacing w:after="60"/>
        <w:jc w:val="right"/>
        <w:rPr>
          <w:i/>
          <w:noProof/>
          <w:sz w:val="20"/>
        </w:rPr>
      </w:pPr>
      <w:r w:rsidRPr="00D549BE">
        <w:rPr>
          <w:i/>
          <w:sz w:val="20"/>
        </w:rPr>
        <w:t>Estimation à exprimer en équivalents temps plein (ETP)</w:t>
      </w:r>
    </w:p>
    <w:p w14:paraId="6DDC6F97" w14:textId="77777777" w:rsidR="00656AA8" w:rsidRPr="00D549BE" w:rsidRDefault="00656AA8" w:rsidP="00656AA8">
      <w:pPr>
        <w:pStyle w:val="Text1"/>
        <w:spacing w:before="60" w:after="60"/>
        <w:ind w:left="-426" w:right="-427"/>
        <w:rPr>
          <w:b/>
          <w:noProof/>
          <w:sz w:val="18"/>
          <w:szCs w:val="18"/>
        </w:rPr>
      </w:pPr>
      <w:bookmarkStart w:id="189" w:name="_Hlk156979231"/>
    </w:p>
    <w:tbl>
      <w:tblPr>
        <w:tblW w:w="5000" w:type="pct"/>
        <w:tblLook w:val="04A0" w:firstRow="1" w:lastRow="0" w:firstColumn="1" w:lastColumn="0" w:noHBand="0" w:noVBand="1"/>
      </w:tblPr>
      <w:tblGrid>
        <w:gridCol w:w="1513"/>
        <w:gridCol w:w="3896"/>
        <w:gridCol w:w="970"/>
        <w:gridCol w:w="970"/>
        <w:gridCol w:w="970"/>
        <w:gridCol w:w="968"/>
      </w:tblGrid>
      <w:tr w:rsidR="00656AA8" w:rsidRPr="00D549BE" w14:paraId="62E47746" w14:textId="77777777" w:rsidTr="00434248">
        <w:trPr>
          <w:trHeight w:val="300"/>
        </w:trPr>
        <w:tc>
          <w:tcPr>
            <w:tcW w:w="2912"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3CB1E1A0" w14:textId="77777777" w:rsidR="00656AA8" w:rsidRPr="00D549BE" w:rsidRDefault="00656AA8" w:rsidP="00434248">
            <w:pPr>
              <w:spacing w:before="0" w:after="0"/>
              <w:jc w:val="center"/>
              <w:rPr>
                <w:b/>
                <w:bCs/>
                <w:noProof/>
                <w:color w:val="000000"/>
                <w:sz w:val="18"/>
                <w:szCs w:val="18"/>
              </w:rPr>
            </w:pPr>
            <w:r w:rsidRPr="00D549BE">
              <w:rPr>
                <w:b/>
                <w:color w:val="000000"/>
                <w:sz w:val="18"/>
              </w:rPr>
              <w:t>CRÉDITS VOTÉS</w:t>
            </w:r>
          </w:p>
        </w:tc>
        <w:tc>
          <w:tcPr>
            <w:tcW w:w="522" w:type="pct"/>
            <w:tcBorders>
              <w:top w:val="single" w:sz="8" w:space="0" w:color="auto"/>
              <w:left w:val="nil"/>
              <w:bottom w:val="nil"/>
              <w:right w:val="single" w:sz="8" w:space="0" w:color="auto"/>
            </w:tcBorders>
            <w:vAlign w:val="center"/>
            <w:hideMark/>
          </w:tcPr>
          <w:p w14:paraId="0F299503"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2" w:type="pct"/>
            <w:tcBorders>
              <w:top w:val="single" w:sz="8" w:space="0" w:color="auto"/>
              <w:left w:val="nil"/>
              <w:bottom w:val="nil"/>
              <w:right w:val="single" w:sz="8" w:space="0" w:color="auto"/>
            </w:tcBorders>
            <w:vAlign w:val="center"/>
            <w:hideMark/>
          </w:tcPr>
          <w:p w14:paraId="49465E6B"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2" w:type="pct"/>
            <w:tcBorders>
              <w:top w:val="single" w:sz="8" w:space="0" w:color="auto"/>
              <w:left w:val="nil"/>
              <w:bottom w:val="nil"/>
              <w:right w:val="single" w:sz="8" w:space="0" w:color="auto"/>
            </w:tcBorders>
            <w:vAlign w:val="center"/>
            <w:hideMark/>
          </w:tcPr>
          <w:p w14:paraId="2BA10FE8"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1" w:type="pct"/>
            <w:tcBorders>
              <w:top w:val="single" w:sz="8" w:space="0" w:color="auto"/>
              <w:left w:val="nil"/>
              <w:bottom w:val="nil"/>
              <w:right w:val="single" w:sz="8" w:space="0" w:color="auto"/>
            </w:tcBorders>
            <w:vAlign w:val="center"/>
            <w:hideMark/>
          </w:tcPr>
          <w:p w14:paraId="5CEBF35F"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r>
      <w:tr w:rsidR="00656AA8" w:rsidRPr="00D549BE" w14:paraId="75134BC0" w14:textId="77777777" w:rsidTr="00434248">
        <w:trPr>
          <w:trHeight w:val="300"/>
        </w:trPr>
        <w:tc>
          <w:tcPr>
            <w:tcW w:w="2912" w:type="pct"/>
            <w:gridSpan w:val="2"/>
            <w:vMerge/>
            <w:vAlign w:val="center"/>
            <w:hideMark/>
          </w:tcPr>
          <w:p w14:paraId="71C0AA9E" w14:textId="77777777" w:rsidR="00656AA8" w:rsidRPr="00D549BE" w:rsidRDefault="00656AA8" w:rsidP="00434248">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075E68B6"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522" w:type="pct"/>
            <w:tcBorders>
              <w:top w:val="nil"/>
              <w:left w:val="nil"/>
              <w:bottom w:val="single" w:sz="8" w:space="0" w:color="auto"/>
              <w:right w:val="single" w:sz="8" w:space="0" w:color="auto"/>
            </w:tcBorders>
            <w:vAlign w:val="center"/>
            <w:hideMark/>
          </w:tcPr>
          <w:p w14:paraId="4BE3C497"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522" w:type="pct"/>
            <w:tcBorders>
              <w:top w:val="nil"/>
              <w:left w:val="nil"/>
              <w:bottom w:val="single" w:sz="8" w:space="0" w:color="auto"/>
              <w:right w:val="single" w:sz="8" w:space="0" w:color="auto"/>
            </w:tcBorders>
            <w:vAlign w:val="center"/>
            <w:hideMark/>
          </w:tcPr>
          <w:p w14:paraId="7BF9B0B7" w14:textId="77777777" w:rsidR="00656AA8" w:rsidRPr="00D549BE" w:rsidRDefault="00656AA8" w:rsidP="00434248">
            <w:pPr>
              <w:spacing w:before="0" w:after="0"/>
              <w:jc w:val="center"/>
              <w:rPr>
                <w:b/>
                <w:bCs/>
                <w:noProof/>
                <w:color w:val="000000" w:themeColor="text1"/>
                <w:sz w:val="20"/>
                <w:szCs w:val="20"/>
              </w:rPr>
            </w:pPr>
            <w:r w:rsidRPr="00D549BE">
              <w:rPr>
                <w:b/>
                <w:color w:val="000000" w:themeColor="text1"/>
                <w:sz w:val="20"/>
              </w:rPr>
              <w:t>2026</w:t>
            </w:r>
          </w:p>
        </w:tc>
        <w:tc>
          <w:tcPr>
            <w:tcW w:w="521" w:type="pct"/>
            <w:tcBorders>
              <w:top w:val="nil"/>
              <w:left w:val="nil"/>
              <w:bottom w:val="single" w:sz="8" w:space="0" w:color="auto"/>
              <w:right w:val="single" w:sz="8" w:space="0" w:color="auto"/>
            </w:tcBorders>
            <w:vAlign w:val="center"/>
            <w:hideMark/>
          </w:tcPr>
          <w:p w14:paraId="34FD50D8" w14:textId="77777777" w:rsidR="00656AA8" w:rsidRPr="00D549BE" w:rsidRDefault="00656AA8" w:rsidP="00434248">
            <w:pPr>
              <w:spacing w:before="0" w:after="0"/>
              <w:jc w:val="center"/>
              <w:rPr>
                <w:b/>
                <w:bCs/>
                <w:noProof/>
                <w:color w:val="000000" w:themeColor="text1"/>
                <w:sz w:val="20"/>
                <w:szCs w:val="20"/>
              </w:rPr>
            </w:pPr>
            <w:r w:rsidRPr="00D549BE">
              <w:rPr>
                <w:b/>
                <w:color w:val="000000" w:themeColor="text1"/>
                <w:sz w:val="20"/>
              </w:rPr>
              <w:t>2027</w:t>
            </w:r>
          </w:p>
        </w:tc>
      </w:tr>
      <w:tr w:rsidR="00656AA8" w:rsidRPr="00D549BE" w14:paraId="4CF2ACDF"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04E0A6D" w14:textId="77777777" w:rsidR="00656AA8" w:rsidRPr="00D549BE" w:rsidRDefault="00656AA8" w:rsidP="00434248">
            <w:pPr>
              <w:spacing w:before="0" w:after="0"/>
              <w:jc w:val="left"/>
              <w:rPr>
                <w:rFonts w:ascii="Wingdings" w:hAnsi="Wingdings" w:cs="Calibri"/>
                <w:b/>
                <w:bCs/>
                <w:noProof/>
                <w:color w:val="000000" w:themeColor="text1"/>
                <w:sz w:val="16"/>
                <w:szCs w:val="16"/>
              </w:rPr>
            </w:pPr>
            <w:r w:rsidRPr="00D549BE">
              <w:rPr>
                <w:rFonts w:ascii="Wingdings" w:hAnsi="Wingdings"/>
                <w:b/>
                <w:color w:val="000000" w:themeColor="text1"/>
                <w:sz w:val="16"/>
              </w:rPr>
              <w:t></w:t>
            </w:r>
            <w:r w:rsidRPr="00D549BE">
              <w:rPr>
                <w:b/>
                <w:color w:val="000000" w:themeColor="text1"/>
                <w:sz w:val="16"/>
              </w:rPr>
              <w:t xml:space="preserve"> Emplois du tableau des effectifs (fonctionnaires et agents temporaires)</w:t>
            </w:r>
          </w:p>
        </w:tc>
      </w:tr>
      <w:tr w:rsidR="00656AA8" w:rsidRPr="00D549BE" w14:paraId="61F7B7A7"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14DEC67A"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20 01 02 01</w:t>
            </w:r>
            <w:r w:rsidRPr="00D549BE">
              <w:rPr>
                <w:rFonts w:ascii="Arial Narrow" w:hAnsi="Arial Narrow"/>
                <w:color w:val="000000"/>
                <w:sz w:val="20"/>
              </w:rPr>
              <w:t xml:space="preserve"> </w:t>
            </w:r>
            <w:r w:rsidRPr="00D549BE">
              <w:rPr>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170E18E"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289D702"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D0A3A13"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43</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2C62B648"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43</w:t>
            </w:r>
          </w:p>
        </w:tc>
      </w:tr>
      <w:tr w:rsidR="00656AA8" w:rsidRPr="00D549BE" w14:paraId="20824EEE"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774D7727"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01 02 03 (Délégations de l’UE)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1E10C2D"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19D01AC"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560FE7"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10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03AD0AC1"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10</w:t>
            </w:r>
          </w:p>
        </w:tc>
      </w:tr>
      <w:tr w:rsidR="00656AA8" w:rsidRPr="00D549BE" w14:paraId="29B6BB7D"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21AB882"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01 01 01 01</w:t>
            </w:r>
            <w:r w:rsidRPr="00D549BE">
              <w:rPr>
                <w:rFonts w:ascii="Arial Narrow" w:hAnsi="Arial Narrow"/>
                <w:color w:val="000000"/>
                <w:sz w:val="20"/>
              </w:rPr>
              <w:t xml:space="preserve"> </w:t>
            </w:r>
            <w:r w:rsidRPr="00D549BE">
              <w:rPr>
                <w:color w:val="000000"/>
                <w:sz w:val="16"/>
              </w:rPr>
              <w:t xml:space="preserve"> (Recherche indirecte)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62527F9"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A7B3FA5"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5455BA8"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60DA1724"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3B212556"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6243641A"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11 (Recherche 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E643467"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53B3007"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AE69DC"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0201DBA"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0136E1D9"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01A23A00"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797B8BD"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29700FB"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60D65B8"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B03F0BA"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04D38E5D"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182DFE1" w14:textId="77777777" w:rsidR="00656AA8" w:rsidRPr="00D549BE" w:rsidRDefault="00656AA8" w:rsidP="00434248">
            <w:pPr>
              <w:spacing w:before="0" w:after="0"/>
              <w:jc w:val="left"/>
              <w:rPr>
                <w:rFonts w:ascii="Wingdings" w:hAnsi="Wingdings" w:cs="Calibri"/>
                <w:b/>
                <w:bCs/>
                <w:noProof/>
                <w:color w:val="000000" w:themeColor="text1"/>
                <w:sz w:val="16"/>
                <w:szCs w:val="16"/>
              </w:rPr>
            </w:pPr>
            <w:r w:rsidRPr="00D549BE">
              <w:rPr>
                <w:rFonts w:ascii="Calibri" w:hAnsi="Calibri"/>
                <w:b/>
                <w:color w:val="000000" w:themeColor="text1"/>
                <w:sz w:val="16"/>
              </w:rPr>
              <w:t>•</w:t>
            </w:r>
            <w:r w:rsidRPr="00D549BE">
              <w:rPr>
                <w:b/>
                <w:color w:val="000000" w:themeColor="text1"/>
                <w:sz w:val="16"/>
              </w:rPr>
              <w:t xml:space="preserve"> Personnel externe (en ETP)</w:t>
            </w:r>
          </w:p>
        </w:tc>
      </w:tr>
      <w:tr w:rsidR="00656AA8" w:rsidRPr="00D549BE" w14:paraId="6E0973EA"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30939AC"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20 02 01</w:t>
            </w:r>
            <w:r w:rsidRPr="00D549BE">
              <w:rPr>
                <w:rFonts w:ascii="Arial Narrow" w:hAnsi="Arial Narrow"/>
                <w:color w:val="000000"/>
                <w:sz w:val="20"/>
              </w:rPr>
              <w:t xml:space="preserve"> </w:t>
            </w:r>
            <w:r w:rsidRPr="00D549BE">
              <w:rPr>
                <w:color w:val="000000"/>
                <w:sz w:val="16"/>
              </w:rPr>
              <w:t>(AC, END de l’«enveloppe globale»)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3F6604D"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DD93FD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72FB18"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2</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0176EFC"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2</w:t>
            </w:r>
          </w:p>
        </w:tc>
      </w:tr>
      <w:tr w:rsidR="00656AA8" w:rsidRPr="00D549BE" w14:paraId="1775FFE5"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7BB0DBF4"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AF31AE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B5BBBC0"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3E988E"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316F5754"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1844B782" w14:textId="77777777" w:rsidTr="00434248">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24E6A785" w14:textId="77777777" w:rsidR="00656AA8" w:rsidRPr="00D549BE" w:rsidRDefault="00656AA8" w:rsidP="00434248">
            <w:pPr>
              <w:spacing w:before="0" w:after="0"/>
              <w:jc w:val="center"/>
              <w:rPr>
                <w:noProof/>
                <w:color w:val="000000"/>
                <w:sz w:val="16"/>
                <w:szCs w:val="16"/>
              </w:rPr>
            </w:pPr>
            <w:r w:rsidRPr="00D549BE">
              <w:rPr>
                <w:color w:val="000000"/>
                <w:sz w:val="16"/>
              </w:rPr>
              <w:t>Ligne d’appui administratif</w:t>
            </w:r>
            <w:r w:rsidRPr="00D549BE">
              <w:t xml:space="preserve"> </w:t>
            </w:r>
            <w:r w:rsidRPr="00D549BE">
              <w:br/>
            </w:r>
            <w:r w:rsidRPr="00D549BE">
              <w:rPr>
                <w:color w:val="000000"/>
                <w:sz w:val="16"/>
              </w:rPr>
              <w:t>[XX.01.YY.YY]</w:t>
            </w:r>
          </w:p>
        </w:tc>
        <w:tc>
          <w:tcPr>
            <w:tcW w:w="2098" w:type="pct"/>
            <w:tcBorders>
              <w:top w:val="nil"/>
              <w:left w:val="nil"/>
              <w:bottom w:val="single" w:sz="8" w:space="0" w:color="auto"/>
              <w:right w:val="single" w:sz="8" w:space="0" w:color="auto"/>
            </w:tcBorders>
            <w:vAlign w:val="center"/>
            <w:hideMark/>
          </w:tcPr>
          <w:p w14:paraId="3FB55D0D"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au siège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BBF9D5B"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104798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3B74F90"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3A743C93"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416C0FF5" w14:textId="77777777" w:rsidTr="00434248">
        <w:trPr>
          <w:trHeight w:val="300"/>
        </w:trPr>
        <w:tc>
          <w:tcPr>
            <w:tcW w:w="815" w:type="pct"/>
            <w:vMerge/>
            <w:vAlign w:val="center"/>
            <w:hideMark/>
          </w:tcPr>
          <w:p w14:paraId="1F40C37B" w14:textId="77777777" w:rsidR="00656AA8" w:rsidRPr="00D549BE" w:rsidRDefault="00656AA8" w:rsidP="00434248">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12980394"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CCDF99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4ECF1DE"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107AD97"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E9B2877"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5E2DEAD4"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69AD0E38"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01 01 01 02</w:t>
            </w:r>
            <w:r w:rsidRPr="00D549BE">
              <w:rPr>
                <w:rFonts w:ascii="Arial Narrow" w:hAnsi="Arial Narrow"/>
                <w:color w:val="000000"/>
                <w:sz w:val="20"/>
              </w:rPr>
              <w:t xml:space="preserve"> </w:t>
            </w:r>
            <w:r w:rsidRPr="00D549BE">
              <w:rPr>
                <w:color w:val="000000"/>
                <w:sz w:val="16"/>
              </w:rPr>
              <w:t>(AC, END - Recherche indirecte)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F076531"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9C1E364"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E3D3DF5"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7E7EB68B"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03C9F854"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2296BC6E"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BC793A4"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77BF97"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6FDC27F"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01B5649"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79184860"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76485EC4"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1688481"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1B03A15"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0B0FCB6"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30DBBE17"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58F83243"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339D8AC7"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DE1D08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B09BBE3"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79BC12"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5C30D8C0"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2D86487B" w14:textId="77777777" w:rsidTr="00434248">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4AD1F7D" w14:textId="77777777" w:rsidR="00656AA8" w:rsidRPr="00D549BE" w:rsidRDefault="00656AA8" w:rsidP="00434248">
            <w:pPr>
              <w:spacing w:before="0" w:after="0"/>
              <w:ind w:firstLineChars="100" w:firstLine="161"/>
              <w:jc w:val="left"/>
              <w:rPr>
                <w:b/>
                <w:bCs/>
                <w:noProof/>
                <w:color w:val="000000"/>
                <w:sz w:val="16"/>
                <w:szCs w:val="16"/>
              </w:rPr>
            </w:pPr>
            <w:r w:rsidRPr="00D549BE">
              <w:rPr>
                <w:b/>
                <w:color w:val="000000"/>
                <w:sz w:val="16"/>
              </w:rPr>
              <w:t>TOTAL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09DCE82"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10831BD"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268D157"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55</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7A33BA7D"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55</w:t>
            </w:r>
          </w:p>
        </w:tc>
      </w:tr>
    </w:tbl>
    <w:p w14:paraId="13976AAE" w14:textId="77777777" w:rsidR="00656AA8" w:rsidRPr="00D549BE" w:rsidRDefault="00656AA8" w:rsidP="00656AA8">
      <w:pPr>
        <w:pStyle w:val="ManualHeading3"/>
        <w:rPr>
          <w:noProof/>
        </w:rPr>
      </w:pPr>
      <w:bookmarkStart w:id="190" w:name="_Toc167220296"/>
      <w:bookmarkStart w:id="191" w:name="_Toc177549029"/>
      <w:r w:rsidRPr="00D549BE">
        <w:t>3.2.4.2.</w:t>
      </w:r>
      <w:r w:rsidRPr="00D549BE">
        <w:tab/>
        <w:t>Financement par des recettes affectées externes</w:t>
      </w:r>
      <w:bookmarkEnd w:id="190"/>
      <w:bookmarkEnd w:id="191"/>
    </w:p>
    <w:tbl>
      <w:tblPr>
        <w:tblW w:w="5000" w:type="pct"/>
        <w:tblLook w:val="04A0" w:firstRow="1" w:lastRow="0" w:firstColumn="1" w:lastColumn="0" w:noHBand="0" w:noVBand="1"/>
      </w:tblPr>
      <w:tblGrid>
        <w:gridCol w:w="1513"/>
        <w:gridCol w:w="3896"/>
        <w:gridCol w:w="970"/>
        <w:gridCol w:w="970"/>
        <w:gridCol w:w="970"/>
        <w:gridCol w:w="968"/>
      </w:tblGrid>
      <w:tr w:rsidR="00656AA8" w:rsidRPr="00D549BE" w14:paraId="3AE22D37" w14:textId="77777777" w:rsidTr="00434248">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32E46071" w14:textId="77777777" w:rsidR="00656AA8" w:rsidRPr="00D549BE" w:rsidRDefault="00656AA8" w:rsidP="00434248">
            <w:pPr>
              <w:spacing w:before="0" w:after="0"/>
              <w:jc w:val="center"/>
              <w:rPr>
                <w:b/>
                <w:bCs/>
                <w:noProof/>
                <w:color w:val="000000"/>
                <w:sz w:val="18"/>
                <w:szCs w:val="18"/>
              </w:rPr>
            </w:pPr>
            <w:r w:rsidRPr="00D549BE">
              <w:rPr>
                <w:b/>
                <w:color w:val="000000"/>
                <w:sz w:val="18"/>
              </w:rPr>
              <w:t>RECETTES AFFECTÉES EXTERNES</w:t>
            </w:r>
          </w:p>
        </w:tc>
        <w:tc>
          <w:tcPr>
            <w:tcW w:w="522" w:type="pct"/>
            <w:tcBorders>
              <w:top w:val="single" w:sz="8" w:space="0" w:color="auto"/>
              <w:left w:val="nil"/>
              <w:bottom w:val="nil"/>
              <w:right w:val="single" w:sz="8" w:space="0" w:color="auto"/>
            </w:tcBorders>
            <w:vAlign w:val="center"/>
            <w:hideMark/>
          </w:tcPr>
          <w:p w14:paraId="7E54909C"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2" w:type="pct"/>
            <w:tcBorders>
              <w:top w:val="single" w:sz="8" w:space="0" w:color="auto"/>
              <w:left w:val="nil"/>
              <w:bottom w:val="nil"/>
              <w:right w:val="single" w:sz="8" w:space="0" w:color="auto"/>
            </w:tcBorders>
            <w:vAlign w:val="center"/>
            <w:hideMark/>
          </w:tcPr>
          <w:p w14:paraId="0D3CAE68"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2" w:type="pct"/>
            <w:tcBorders>
              <w:top w:val="single" w:sz="8" w:space="0" w:color="auto"/>
              <w:left w:val="nil"/>
              <w:bottom w:val="nil"/>
              <w:right w:val="single" w:sz="8" w:space="0" w:color="auto"/>
            </w:tcBorders>
            <w:vAlign w:val="center"/>
            <w:hideMark/>
          </w:tcPr>
          <w:p w14:paraId="6BFB7776"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522" w:type="pct"/>
            <w:tcBorders>
              <w:top w:val="single" w:sz="8" w:space="0" w:color="auto"/>
              <w:left w:val="nil"/>
              <w:bottom w:val="nil"/>
              <w:right w:val="single" w:sz="8" w:space="0" w:color="auto"/>
            </w:tcBorders>
            <w:vAlign w:val="center"/>
            <w:hideMark/>
          </w:tcPr>
          <w:p w14:paraId="2922E61A"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r>
      <w:tr w:rsidR="00656AA8" w:rsidRPr="00D549BE" w14:paraId="56F3A244" w14:textId="77777777" w:rsidTr="00434248">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11ED728C" w14:textId="77777777" w:rsidR="00656AA8" w:rsidRPr="00D549BE" w:rsidRDefault="00656AA8" w:rsidP="00434248">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5D5016FC"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522" w:type="pct"/>
            <w:tcBorders>
              <w:top w:val="nil"/>
              <w:left w:val="nil"/>
              <w:bottom w:val="single" w:sz="8" w:space="0" w:color="auto"/>
              <w:right w:val="single" w:sz="8" w:space="0" w:color="auto"/>
            </w:tcBorders>
            <w:vAlign w:val="center"/>
            <w:hideMark/>
          </w:tcPr>
          <w:p w14:paraId="648EAF3D"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522" w:type="pct"/>
            <w:tcBorders>
              <w:top w:val="nil"/>
              <w:left w:val="nil"/>
              <w:bottom w:val="single" w:sz="8" w:space="0" w:color="auto"/>
              <w:right w:val="single" w:sz="8" w:space="0" w:color="auto"/>
            </w:tcBorders>
            <w:vAlign w:val="center"/>
            <w:hideMark/>
          </w:tcPr>
          <w:p w14:paraId="50E5B45D"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522" w:type="pct"/>
            <w:tcBorders>
              <w:top w:val="nil"/>
              <w:left w:val="nil"/>
              <w:bottom w:val="single" w:sz="8" w:space="0" w:color="auto"/>
              <w:right w:val="single" w:sz="8" w:space="0" w:color="auto"/>
            </w:tcBorders>
            <w:vAlign w:val="center"/>
            <w:hideMark/>
          </w:tcPr>
          <w:p w14:paraId="174541A2"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r>
      <w:tr w:rsidR="00656AA8" w:rsidRPr="00D549BE" w14:paraId="61A3C5DD"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BA4F04E" w14:textId="77777777" w:rsidR="00656AA8" w:rsidRPr="00D549BE" w:rsidRDefault="00656AA8" w:rsidP="00434248">
            <w:pPr>
              <w:spacing w:before="0" w:after="0"/>
              <w:jc w:val="left"/>
              <w:rPr>
                <w:rFonts w:ascii="Wingdings" w:hAnsi="Wingdings" w:cs="Calibri"/>
                <w:b/>
                <w:bCs/>
                <w:noProof/>
                <w:color w:val="000000"/>
                <w:sz w:val="16"/>
                <w:szCs w:val="16"/>
              </w:rPr>
            </w:pPr>
            <w:r w:rsidRPr="00D549BE">
              <w:rPr>
                <w:rFonts w:ascii="Wingdings" w:hAnsi="Wingdings"/>
                <w:b/>
                <w:color w:val="000000"/>
                <w:sz w:val="16"/>
              </w:rPr>
              <w:t></w:t>
            </w:r>
            <w:r w:rsidRPr="00D549BE">
              <w:rPr>
                <w:b/>
                <w:color w:val="000000"/>
                <w:sz w:val="16"/>
              </w:rPr>
              <w:t xml:space="preserve"> Emplois du tableau des effectifs (fonctionnaires et agents temporaires)</w:t>
            </w:r>
          </w:p>
        </w:tc>
      </w:tr>
      <w:tr w:rsidR="00656AA8" w:rsidRPr="00D549BE" w14:paraId="521ADEBC"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2EA8DD8"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20 01 02 01</w:t>
            </w:r>
            <w:r w:rsidRPr="00D549BE">
              <w:rPr>
                <w:rFonts w:ascii="Arial Narrow" w:hAnsi="Arial Narrow"/>
                <w:color w:val="000000"/>
                <w:sz w:val="20"/>
              </w:rPr>
              <w:t xml:space="preserve"> </w:t>
            </w:r>
            <w:r w:rsidRPr="00D549BE">
              <w:rPr>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14:paraId="5B507A2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96AE61D"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50AA600"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8F2213"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03364764"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BDFB619"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0059DB31"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23A8EE4"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B887B1F"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DE8489B"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6FD1B026"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45D7C27"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2170C02F"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D8997A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8BAD93"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38E9407"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1A84EF15"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A5F9950"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2089877A"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1F1EFF"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FF50802"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64119BB"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35B1140C"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8D4AB6D"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14:paraId="11C17AA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68AE422"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95EBE2C"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B28550"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69D7CF38" w14:textId="77777777" w:rsidTr="0043424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55ADCDC" w14:textId="77777777" w:rsidR="00656AA8" w:rsidRPr="00D549BE" w:rsidRDefault="00656AA8" w:rsidP="00434248">
            <w:pPr>
              <w:spacing w:before="0" w:after="0"/>
              <w:jc w:val="left"/>
              <w:rPr>
                <w:rFonts w:ascii="Wingdings" w:hAnsi="Wingdings" w:cs="Calibri"/>
                <w:b/>
                <w:bCs/>
                <w:noProof/>
                <w:color w:val="000000"/>
                <w:sz w:val="16"/>
                <w:szCs w:val="16"/>
              </w:rPr>
            </w:pPr>
            <w:r w:rsidRPr="00D549BE">
              <w:rPr>
                <w:rFonts w:ascii="Calibri" w:hAnsi="Calibri"/>
                <w:b/>
                <w:color w:val="000000"/>
                <w:sz w:val="16"/>
              </w:rPr>
              <w:t>•</w:t>
            </w:r>
            <w:r w:rsidRPr="00D549BE">
              <w:rPr>
                <w:b/>
                <w:color w:val="000000"/>
                <w:sz w:val="16"/>
              </w:rPr>
              <w:t xml:space="preserve"> Personnel externe (en équivalents temps plein)</w:t>
            </w:r>
          </w:p>
        </w:tc>
      </w:tr>
      <w:tr w:rsidR="00656AA8" w:rsidRPr="00D549BE" w14:paraId="3A8E2E0A"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7357562"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20 02 01</w:t>
            </w:r>
            <w:r w:rsidRPr="00D549BE">
              <w:rPr>
                <w:rFonts w:ascii="Arial Narrow" w:hAnsi="Arial Narrow"/>
                <w:color w:val="000000"/>
                <w:sz w:val="20"/>
              </w:rPr>
              <w:t xml:space="preserve"> </w:t>
            </w:r>
            <w:r w:rsidRPr="00D549BE">
              <w:rPr>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14:paraId="78E4E280"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FD247A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113B4F3"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C119BAE"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21B2B90A"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890893"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531AF287"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BD6FA1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144FE0E"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D30D52"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2820378E" w14:textId="77777777" w:rsidTr="00434248">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60717B97" w14:textId="77777777" w:rsidR="00656AA8" w:rsidRPr="00D549BE" w:rsidRDefault="00656AA8" w:rsidP="00434248">
            <w:pPr>
              <w:spacing w:before="0" w:after="0"/>
              <w:jc w:val="center"/>
              <w:rPr>
                <w:noProof/>
                <w:color w:val="000000"/>
                <w:sz w:val="16"/>
                <w:szCs w:val="16"/>
              </w:rPr>
            </w:pPr>
            <w:r w:rsidRPr="00D549BE">
              <w:rPr>
                <w:color w:val="000000"/>
                <w:sz w:val="16"/>
              </w:rPr>
              <w:t xml:space="preserve">Ligne d’appui administratif </w:t>
            </w:r>
            <w:r w:rsidRPr="00D549BE">
              <w:t xml:space="preserve"> </w:t>
            </w:r>
            <w:r w:rsidRPr="00D549BE">
              <w:br/>
            </w:r>
            <w:r w:rsidRPr="00D549BE">
              <w:rPr>
                <w:color w:val="000000"/>
                <w:sz w:val="16"/>
              </w:rPr>
              <w:t>[XX.01.YY.YY]</w:t>
            </w:r>
          </w:p>
        </w:tc>
        <w:tc>
          <w:tcPr>
            <w:tcW w:w="2098" w:type="pct"/>
            <w:tcBorders>
              <w:top w:val="nil"/>
              <w:left w:val="nil"/>
              <w:bottom w:val="single" w:sz="8" w:space="0" w:color="auto"/>
              <w:right w:val="single" w:sz="8" w:space="0" w:color="auto"/>
            </w:tcBorders>
            <w:vAlign w:val="center"/>
            <w:hideMark/>
          </w:tcPr>
          <w:p w14:paraId="7C9F2A37"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14:paraId="0123826F"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A4F98F1"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AAB2D5E"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3F84FF5"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0E1B761C" w14:textId="77777777" w:rsidTr="00434248">
        <w:trPr>
          <w:trHeight w:val="300"/>
        </w:trPr>
        <w:tc>
          <w:tcPr>
            <w:tcW w:w="815" w:type="pct"/>
            <w:vMerge/>
            <w:tcBorders>
              <w:top w:val="nil"/>
              <w:left w:val="single" w:sz="8" w:space="0" w:color="auto"/>
              <w:bottom w:val="single" w:sz="8" w:space="0" w:color="auto"/>
              <w:right w:val="single" w:sz="8" w:space="0" w:color="auto"/>
            </w:tcBorders>
            <w:vAlign w:val="center"/>
            <w:hideMark/>
          </w:tcPr>
          <w:p w14:paraId="77001C59" w14:textId="77777777" w:rsidR="00656AA8" w:rsidRPr="00D549BE" w:rsidRDefault="00656AA8" w:rsidP="00434248">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5A4C7366"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14:paraId="41F3EDA4"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F0816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A0F135"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525F36"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2BB1FB12"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E8EBB54"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01 01 01 02</w:t>
            </w:r>
            <w:r w:rsidRPr="00D549BE">
              <w:rPr>
                <w:rFonts w:ascii="Arial Narrow" w:hAnsi="Arial Narrow"/>
                <w:color w:val="000000"/>
                <w:sz w:val="20"/>
              </w:rPr>
              <w:t xml:space="preserve"> </w:t>
            </w:r>
            <w:r w:rsidRPr="00D549BE">
              <w:rPr>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54B57755"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0AFCE5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8BF757"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B9C7144"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6FC20A20"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5F9B24F"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373A798F"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9563C43"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C52C3F5"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E34843D"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342D017A"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20B521C"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14:paraId="07599F9E"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4D20A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DEA9699"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BA06AC5"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008545E3"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D9E6D1A"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14:paraId="01CC58BD"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774F96B"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D913E8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818F53F" w14:textId="77777777" w:rsidR="00656AA8" w:rsidRPr="00D549BE" w:rsidRDefault="00656AA8" w:rsidP="00434248">
            <w:pPr>
              <w:spacing w:before="0" w:after="0"/>
              <w:jc w:val="center"/>
              <w:rPr>
                <w:noProof/>
                <w:color w:val="000000"/>
                <w:sz w:val="16"/>
                <w:szCs w:val="16"/>
              </w:rPr>
            </w:pPr>
            <w:r w:rsidRPr="00D549BE">
              <w:rPr>
                <w:color w:val="000000"/>
                <w:sz w:val="16"/>
              </w:rPr>
              <w:t>0</w:t>
            </w:r>
          </w:p>
        </w:tc>
      </w:tr>
      <w:tr w:rsidR="00656AA8" w:rsidRPr="00D549BE" w14:paraId="4FF01886" w14:textId="77777777" w:rsidTr="0043424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3D6BA55" w14:textId="77777777" w:rsidR="00656AA8" w:rsidRPr="00D549BE" w:rsidRDefault="00656AA8" w:rsidP="00434248">
            <w:pPr>
              <w:spacing w:before="0" w:after="0"/>
              <w:ind w:firstLineChars="100" w:firstLine="161"/>
              <w:jc w:val="left"/>
              <w:rPr>
                <w:b/>
                <w:bCs/>
                <w:noProof/>
                <w:color w:val="000000"/>
                <w:sz w:val="16"/>
                <w:szCs w:val="16"/>
              </w:rPr>
            </w:pPr>
            <w:r w:rsidRPr="00D549BE">
              <w:rPr>
                <w:b/>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2FB71072"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CFEA1EC"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F9694EA"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EDBC3B6"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r>
    </w:tbl>
    <w:p w14:paraId="48E9ACD0" w14:textId="77777777" w:rsidR="00656AA8" w:rsidRPr="00D549BE" w:rsidRDefault="00656AA8" w:rsidP="00656AA8">
      <w:pPr>
        <w:pStyle w:val="ManualHeading3"/>
        <w:rPr>
          <w:noProof/>
        </w:rPr>
      </w:pPr>
      <w:bookmarkStart w:id="192" w:name="_Toc167220297"/>
      <w:bookmarkStart w:id="193" w:name="_Toc177549030"/>
      <w:r w:rsidRPr="00D549BE">
        <w:t>3.2.4.3.</w:t>
      </w:r>
      <w:r w:rsidRPr="00D549BE">
        <w:tab/>
        <w:t>Total des besoins en ressources humaines</w:t>
      </w:r>
      <w:bookmarkEnd w:id="192"/>
      <w:bookmarkEnd w:id="193"/>
    </w:p>
    <w:tbl>
      <w:tblPr>
        <w:tblW w:w="9200" w:type="dxa"/>
        <w:tblLook w:val="04A0" w:firstRow="1" w:lastRow="0" w:firstColumn="1" w:lastColumn="0" w:noHBand="0" w:noVBand="1"/>
      </w:tblPr>
      <w:tblGrid>
        <w:gridCol w:w="1500"/>
        <w:gridCol w:w="3860"/>
        <w:gridCol w:w="960"/>
        <w:gridCol w:w="960"/>
        <w:gridCol w:w="960"/>
        <w:gridCol w:w="960"/>
      </w:tblGrid>
      <w:tr w:rsidR="00656AA8" w:rsidRPr="00D549BE" w14:paraId="03D86836" w14:textId="77777777" w:rsidTr="00434248">
        <w:trPr>
          <w:trHeight w:val="492"/>
        </w:trPr>
        <w:tc>
          <w:tcPr>
            <w:tcW w:w="5360" w:type="dxa"/>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7978320" w14:textId="77777777" w:rsidR="00656AA8" w:rsidRPr="00D549BE" w:rsidRDefault="00656AA8" w:rsidP="00434248">
            <w:pPr>
              <w:spacing w:before="0" w:after="0"/>
              <w:jc w:val="center"/>
              <w:rPr>
                <w:b/>
                <w:bCs/>
                <w:noProof/>
                <w:color w:val="000000"/>
                <w:sz w:val="18"/>
                <w:szCs w:val="18"/>
              </w:rPr>
            </w:pPr>
            <w:r w:rsidRPr="00D549BE">
              <w:rPr>
                <w:b/>
                <w:color w:val="000000"/>
                <w:sz w:val="18"/>
              </w:rPr>
              <w:t>TOTAL CRÉDITS VOTÉS + RECETTES AFFECTÉES EXTERNES</w:t>
            </w:r>
          </w:p>
        </w:tc>
        <w:tc>
          <w:tcPr>
            <w:tcW w:w="960" w:type="dxa"/>
            <w:tcBorders>
              <w:top w:val="single" w:sz="8" w:space="0" w:color="auto"/>
              <w:left w:val="nil"/>
              <w:bottom w:val="nil"/>
              <w:right w:val="single" w:sz="8" w:space="0" w:color="auto"/>
            </w:tcBorders>
            <w:vAlign w:val="center"/>
            <w:hideMark/>
          </w:tcPr>
          <w:p w14:paraId="1A8E3B1E"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960" w:type="dxa"/>
            <w:tcBorders>
              <w:top w:val="single" w:sz="8" w:space="0" w:color="auto"/>
              <w:left w:val="nil"/>
              <w:bottom w:val="nil"/>
              <w:right w:val="single" w:sz="8" w:space="0" w:color="auto"/>
            </w:tcBorders>
            <w:vAlign w:val="center"/>
            <w:hideMark/>
          </w:tcPr>
          <w:p w14:paraId="5D7EB53B"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960" w:type="dxa"/>
            <w:tcBorders>
              <w:top w:val="single" w:sz="8" w:space="0" w:color="auto"/>
              <w:left w:val="nil"/>
              <w:bottom w:val="nil"/>
              <w:right w:val="single" w:sz="8" w:space="0" w:color="auto"/>
            </w:tcBorders>
            <w:vAlign w:val="center"/>
            <w:hideMark/>
          </w:tcPr>
          <w:p w14:paraId="60FB6F46"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c>
          <w:tcPr>
            <w:tcW w:w="960" w:type="dxa"/>
            <w:tcBorders>
              <w:top w:val="single" w:sz="8" w:space="0" w:color="auto"/>
              <w:left w:val="nil"/>
              <w:bottom w:val="nil"/>
              <w:right w:val="single" w:sz="8" w:space="0" w:color="auto"/>
            </w:tcBorders>
            <w:vAlign w:val="center"/>
            <w:hideMark/>
          </w:tcPr>
          <w:p w14:paraId="28E8BE47" w14:textId="77777777" w:rsidR="00656AA8" w:rsidRPr="00D549BE" w:rsidRDefault="00656AA8" w:rsidP="00434248">
            <w:pPr>
              <w:spacing w:before="0" w:after="0"/>
              <w:jc w:val="center"/>
              <w:rPr>
                <w:noProof/>
                <w:color w:val="000000"/>
                <w:sz w:val="20"/>
                <w:szCs w:val="20"/>
              </w:rPr>
            </w:pPr>
            <w:r w:rsidRPr="00D549BE">
              <w:rPr>
                <w:color w:val="000000"/>
                <w:sz w:val="20"/>
              </w:rPr>
              <w:t>Année</w:t>
            </w:r>
          </w:p>
        </w:tc>
      </w:tr>
      <w:tr w:rsidR="00656AA8" w:rsidRPr="00D549BE" w14:paraId="56FA7E2F" w14:textId="77777777" w:rsidTr="00434248">
        <w:trPr>
          <w:trHeight w:val="492"/>
        </w:trPr>
        <w:tc>
          <w:tcPr>
            <w:tcW w:w="5360" w:type="dxa"/>
            <w:gridSpan w:val="2"/>
            <w:vMerge/>
            <w:vAlign w:val="center"/>
            <w:hideMark/>
          </w:tcPr>
          <w:p w14:paraId="20229EDC" w14:textId="77777777" w:rsidR="00656AA8" w:rsidRPr="00D549BE" w:rsidRDefault="00656AA8" w:rsidP="00434248">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6B351D16" w14:textId="77777777" w:rsidR="00656AA8" w:rsidRPr="00D549BE" w:rsidRDefault="00656AA8" w:rsidP="00434248">
            <w:pPr>
              <w:spacing w:before="0" w:after="0"/>
              <w:jc w:val="center"/>
              <w:rPr>
                <w:b/>
                <w:bCs/>
                <w:noProof/>
                <w:color w:val="000000"/>
                <w:sz w:val="20"/>
                <w:szCs w:val="20"/>
              </w:rPr>
            </w:pPr>
            <w:r w:rsidRPr="00D549BE">
              <w:rPr>
                <w:b/>
                <w:color w:val="000000"/>
                <w:sz w:val="20"/>
              </w:rPr>
              <w:t>2024</w:t>
            </w:r>
          </w:p>
        </w:tc>
        <w:tc>
          <w:tcPr>
            <w:tcW w:w="960" w:type="dxa"/>
            <w:tcBorders>
              <w:top w:val="nil"/>
              <w:left w:val="nil"/>
              <w:bottom w:val="single" w:sz="8" w:space="0" w:color="auto"/>
              <w:right w:val="single" w:sz="8" w:space="0" w:color="auto"/>
            </w:tcBorders>
            <w:vAlign w:val="center"/>
            <w:hideMark/>
          </w:tcPr>
          <w:p w14:paraId="6FA9B38D" w14:textId="77777777" w:rsidR="00656AA8" w:rsidRPr="00D549BE" w:rsidRDefault="00656AA8" w:rsidP="00434248">
            <w:pPr>
              <w:spacing w:before="0" w:after="0"/>
              <w:jc w:val="center"/>
              <w:rPr>
                <w:b/>
                <w:bCs/>
                <w:noProof/>
                <w:color w:val="000000"/>
                <w:sz w:val="20"/>
                <w:szCs w:val="20"/>
              </w:rPr>
            </w:pPr>
            <w:r w:rsidRPr="00D549BE">
              <w:rPr>
                <w:b/>
                <w:color w:val="000000"/>
                <w:sz w:val="20"/>
              </w:rPr>
              <w:t>2025</w:t>
            </w:r>
          </w:p>
        </w:tc>
        <w:tc>
          <w:tcPr>
            <w:tcW w:w="960" w:type="dxa"/>
            <w:tcBorders>
              <w:top w:val="nil"/>
              <w:left w:val="nil"/>
              <w:bottom w:val="single" w:sz="8" w:space="0" w:color="auto"/>
              <w:right w:val="single" w:sz="8" w:space="0" w:color="auto"/>
            </w:tcBorders>
            <w:vAlign w:val="center"/>
            <w:hideMark/>
          </w:tcPr>
          <w:p w14:paraId="5C5A0B0D" w14:textId="77777777" w:rsidR="00656AA8" w:rsidRPr="00D549BE" w:rsidRDefault="00656AA8" w:rsidP="00434248">
            <w:pPr>
              <w:spacing w:before="0" w:after="0"/>
              <w:jc w:val="center"/>
              <w:rPr>
                <w:b/>
                <w:bCs/>
                <w:noProof/>
                <w:color w:val="000000"/>
                <w:sz w:val="20"/>
                <w:szCs w:val="20"/>
              </w:rPr>
            </w:pPr>
            <w:r w:rsidRPr="00D549BE">
              <w:rPr>
                <w:b/>
                <w:color w:val="000000"/>
                <w:sz w:val="20"/>
              </w:rPr>
              <w:t>2026</w:t>
            </w:r>
          </w:p>
        </w:tc>
        <w:tc>
          <w:tcPr>
            <w:tcW w:w="960" w:type="dxa"/>
            <w:tcBorders>
              <w:top w:val="nil"/>
              <w:left w:val="nil"/>
              <w:bottom w:val="single" w:sz="8" w:space="0" w:color="auto"/>
              <w:right w:val="single" w:sz="8" w:space="0" w:color="auto"/>
            </w:tcBorders>
            <w:vAlign w:val="center"/>
            <w:hideMark/>
          </w:tcPr>
          <w:p w14:paraId="0566E20B" w14:textId="77777777" w:rsidR="00656AA8" w:rsidRPr="00D549BE" w:rsidRDefault="00656AA8" w:rsidP="00434248">
            <w:pPr>
              <w:spacing w:before="0" w:after="0"/>
              <w:jc w:val="center"/>
              <w:rPr>
                <w:b/>
                <w:bCs/>
                <w:noProof/>
                <w:color w:val="000000"/>
                <w:sz w:val="20"/>
                <w:szCs w:val="20"/>
              </w:rPr>
            </w:pPr>
            <w:r w:rsidRPr="00D549BE">
              <w:rPr>
                <w:b/>
                <w:color w:val="000000"/>
                <w:sz w:val="20"/>
              </w:rPr>
              <w:t>2027</w:t>
            </w:r>
          </w:p>
        </w:tc>
      </w:tr>
      <w:tr w:rsidR="00656AA8" w:rsidRPr="00D549BE" w14:paraId="2555B23F" w14:textId="77777777" w:rsidTr="00434248">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62C7C822" w14:textId="77777777" w:rsidR="00656AA8" w:rsidRPr="00D549BE" w:rsidRDefault="00656AA8" w:rsidP="00434248">
            <w:pPr>
              <w:spacing w:before="0" w:after="0"/>
              <w:jc w:val="left"/>
              <w:rPr>
                <w:rFonts w:ascii="Wingdings" w:hAnsi="Wingdings" w:cs="Calibri"/>
                <w:b/>
                <w:bCs/>
                <w:noProof/>
                <w:color w:val="000000"/>
                <w:sz w:val="16"/>
                <w:szCs w:val="16"/>
              </w:rPr>
            </w:pPr>
            <w:r w:rsidRPr="00D549BE">
              <w:rPr>
                <w:rFonts w:ascii="Wingdings" w:hAnsi="Wingdings"/>
                <w:b/>
                <w:color w:val="000000"/>
                <w:sz w:val="16"/>
              </w:rPr>
              <w:t></w:t>
            </w:r>
            <w:r w:rsidRPr="00D549BE">
              <w:rPr>
                <w:b/>
                <w:color w:val="000000"/>
                <w:sz w:val="16"/>
              </w:rPr>
              <w:t xml:space="preserve"> Emplois du tableau des effectifs (fonctionnaires et agents temporaires)</w:t>
            </w:r>
          </w:p>
        </w:tc>
      </w:tr>
      <w:tr w:rsidR="00656AA8" w:rsidRPr="00D549BE" w14:paraId="5AF0D89C"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3A3D1F5"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20 01 02 01</w:t>
            </w:r>
            <w:r w:rsidRPr="00D549BE">
              <w:rPr>
                <w:rFonts w:ascii="Arial Narrow" w:hAnsi="Arial Narrow"/>
                <w:color w:val="000000"/>
                <w:sz w:val="20"/>
              </w:rPr>
              <w:t xml:space="preserve"> </w:t>
            </w:r>
            <w:r w:rsidRPr="00D549BE">
              <w:rPr>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EBA9140"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66317A4"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28EF526"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43</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15F9556"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43</w:t>
            </w:r>
          </w:p>
        </w:tc>
      </w:tr>
      <w:tr w:rsidR="00656AA8" w:rsidRPr="00D549BE" w14:paraId="45C7FD05"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4B2C6BD"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01 02 03 (Délégations de l’UE)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97F3A5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0EE1B35"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996A6E8" w14:textId="77777777" w:rsidR="00656AA8" w:rsidRPr="00D549BE" w:rsidRDefault="00656AA8" w:rsidP="00434248">
            <w:pPr>
              <w:spacing w:before="0" w:after="0"/>
              <w:jc w:val="center"/>
              <w:rPr>
                <w:noProof/>
                <w:color w:val="000000" w:themeColor="text1"/>
                <w:sz w:val="16"/>
                <w:szCs w:val="16"/>
              </w:rPr>
            </w:pPr>
            <w:r w:rsidRPr="00D549BE">
              <w:rPr>
                <w:b/>
                <w:color w:val="000000" w:themeColor="text1"/>
                <w:sz w:val="16"/>
              </w:rPr>
              <w:t>10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38DE647" w14:textId="77777777" w:rsidR="00656AA8" w:rsidRPr="00D549BE" w:rsidRDefault="00656AA8" w:rsidP="00434248">
            <w:pPr>
              <w:spacing w:before="0" w:after="0"/>
              <w:jc w:val="center"/>
              <w:rPr>
                <w:noProof/>
                <w:color w:val="000000" w:themeColor="text1"/>
                <w:sz w:val="16"/>
                <w:szCs w:val="16"/>
              </w:rPr>
            </w:pPr>
            <w:r w:rsidRPr="00D549BE">
              <w:rPr>
                <w:b/>
                <w:color w:val="000000" w:themeColor="text1"/>
                <w:sz w:val="16"/>
              </w:rPr>
              <w:t>10</w:t>
            </w:r>
          </w:p>
        </w:tc>
      </w:tr>
      <w:tr w:rsidR="00656AA8" w:rsidRPr="00D549BE" w14:paraId="682B6D05"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44290BE"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01 01 01 01</w:t>
            </w:r>
            <w:r w:rsidRPr="00D549BE">
              <w:rPr>
                <w:rFonts w:ascii="Arial Narrow" w:hAnsi="Arial Narrow"/>
                <w:color w:val="000000"/>
                <w:sz w:val="20"/>
              </w:rPr>
              <w:t xml:space="preserve"> </w:t>
            </w:r>
            <w:r w:rsidRPr="00D549BE">
              <w:rPr>
                <w:color w:val="000000"/>
                <w:sz w:val="16"/>
              </w:rPr>
              <w:t xml:space="preserve"> (Recherche indirecte)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8B7A064"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790EE3A"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E0FEEFF"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50BB3A"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7B3B256E"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502478F"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11 (Recherche 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38024A0"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609C247"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6EE174"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BCBF9CE"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7DAD7D25"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717E5BF"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AD5A2BB"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D0D1AD"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608A958"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5558A75"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3906B89D" w14:textId="77777777" w:rsidTr="00434248">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03A7020F" w14:textId="77777777" w:rsidR="00656AA8" w:rsidRPr="00D549BE" w:rsidRDefault="00656AA8" w:rsidP="00434248">
            <w:pPr>
              <w:spacing w:before="0" w:after="0"/>
              <w:jc w:val="left"/>
              <w:rPr>
                <w:rFonts w:ascii="Wingdings" w:hAnsi="Wingdings" w:cs="Calibri"/>
                <w:b/>
                <w:bCs/>
                <w:noProof/>
                <w:color w:val="000000" w:themeColor="text1"/>
                <w:sz w:val="16"/>
                <w:szCs w:val="16"/>
              </w:rPr>
            </w:pPr>
            <w:r w:rsidRPr="00D549BE">
              <w:rPr>
                <w:rFonts w:ascii="Calibri" w:hAnsi="Calibri"/>
                <w:b/>
                <w:color w:val="000000" w:themeColor="text1"/>
                <w:sz w:val="16"/>
              </w:rPr>
              <w:t>•</w:t>
            </w:r>
            <w:r w:rsidRPr="00D549BE">
              <w:rPr>
                <w:b/>
                <w:color w:val="000000" w:themeColor="text1"/>
                <w:sz w:val="16"/>
              </w:rPr>
              <w:t xml:space="preserve"> Personnel externe (en équivalents temps plein)</w:t>
            </w:r>
          </w:p>
        </w:tc>
      </w:tr>
      <w:tr w:rsidR="00656AA8" w:rsidRPr="00D549BE" w14:paraId="5DC0937C"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1E53D98"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20 02 01</w:t>
            </w:r>
            <w:r w:rsidRPr="00D549BE">
              <w:rPr>
                <w:rFonts w:ascii="Arial Narrow" w:hAnsi="Arial Narrow"/>
                <w:color w:val="000000"/>
                <w:sz w:val="20"/>
              </w:rPr>
              <w:t xml:space="preserve"> </w:t>
            </w:r>
            <w:r w:rsidRPr="00D549BE">
              <w:rPr>
                <w:color w:val="000000"/>
                <w:sz w:val="16"/>
              </w:rPr>
              <w:t>(AC, END de l’«enveloppe globale»)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278D2E6"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3FA3DC"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47E14C0"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2</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3EEDDD1"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2</w:t>
            </w:r>
          </w:p>
        </w:tc>
      </w:tr>
      <w:tr w:rsidR="00656AA8" w:rsidRPr="00D549BE" w14:paraId="2B8D6EB7"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FE6DFDA"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2685F0"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BED1690"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1876C01"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347261A"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564B8A23" w14:textId="77777777" w:rsidTr="00434248">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6BDD2FF4" w14:textId="77777777" w:rsidR="00656AA8" w:rsidRPr="00D549BE" w:rsidRDefault="00656AA8" w:rsidP="00434248">
            <w:pPr>
              <w:spacing w:before="0" w:after="0"/>
              <w:jc w:val="center"/>
              <w:rPr>
                <w:noProof/>
                <w:color w:val="000000"/>
                <w:sz w:val="16"/>
                <w:szCs w:val="16"/>
              </w:rPr>
            </w:pPr>
            <w:r w:rsidRPr="00D549BE">
              <w:rPr>
                <w:color w:val="000000"/>
                <w:sz w:val="16"/>
              </w:rPr>
              <w:t xml:space="preserve">Ligne d’appui administratif </w:t>
            </w:r>
            <w:r w:rsidRPr="00D549BE">
              <w:t xml:space="preserve"> </w:t>
            </w:r>
            <w:r w:rsidRPr="00D549BE">
              <w:br/>
            </w:r>
            <w:r w:rsidRPr="00D549BE">
              <w:rPr>
                <w:color w:val="000000"/>
                <w:sz w:val="16"/>
              </w:rPr>
              <w:t>[XX.01.YY.YY]</w:t>
            </w:r>
          </w:p>
        </w:tc>
        <w:tc>
          <w:tcPr>
            <w:tcW w:w="3860" w:type="dxa"/>
            <w:tcBorders>
              <w:top w:val="nil"/>
              <w:left w:val="nil"/>
              <w:bottom w:val="single" w:sz="8" w:space="0" w:color="auto"/>
              <w:right w:val="single" w:sz="8" w:space="0" w:color="auto"/>
            </w:tcBorders>
            <w:vAlign w:val="center"/>
            <w:hideMark/>
          </w:tcPr>
          <w:p w14:paraId="1F859CCD"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au siège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3DD335F"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808A79E"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1325A6"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C98358F"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31B94E7C" w14:textId="77777777" w:rsidTr="00434248">
        <w:trPr>
          <w:trHeight w:val="300"/>
        </w:trPr>
        <w:tc>
          <w:tcPr>
            <w:tcW w:w="1500" w:type="dxa"/>
            <w:vMerge/>
            <w:vAlign w:val="center"/>
            <w:hideMark/>
          </w:tcPr>
          <w:p w14:paraId="2AFF3CBA" w14:textId="77777777" w:rsidR="00656AA8" w:rsidRPr="00D549BE" w:rsidRDefault="00656AA8" w:rsidP="00434248">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14:paraId="1CC98783"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A605B31"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D976641"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43AA468"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8C1E6A0"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5EC6215B"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D04B407"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01 01 01 02</w:t>
            </w:r>
            <w:r w:rsidRPr="00D549BE">
              <w:rPr>
                <w:rFonts w:ascii="Arial Narrow" w:hAnsi="Arial Narrow"/>
                <w:color w:val="000000"/>
                <w:sz w:val="20"/>
              </w:rPr>
              <w:t xml:space="preserve"> </w:t>
            </w:r>
            <w:r w:rsidRPr="00D549BE">
              <w:rPr>
                <w:color w:val="000000"/>
                <w:sz w:val="16"/>
              </w:rPr>
              <w:t>(AC, END - Recherche indirecte)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87B473D"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C68A8B5"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61CEE69"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EF316FF"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42090949"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1FA8F66"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45C391C"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107C72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2701728"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1353A44"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0E4F99F2"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FB61367"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713471C"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99BDE33"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BA85358"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3924AE2"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44E4C0A7"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ED1843A" w14:textId="77777777" w:rsidR="00656AA8" w:rsidRPr="00D549BE" w:rsidRDefault="00656AA8" w:rsidP="00434248">
            <w:pPr>
              <w:spacing w:before="0" w:after="0"/>
              <w:ind w:firstLineChars="100" w:firstLine="160"/>
              <w:jc w:val="left"/>
              <w:rPr>
                <w:noProof/>
                <w:color w:val="000000"/>
                <w:sz w:val="16"/>
                <w:szCs w:val="16"/>
              </w:rPr>
            </w:pPr>
            <w:r w:rsidRPr="00D549BE">
              <w:rPr>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6CA5818"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BA2854E" w14:textId="77777777" w:rsidR="00656AA8" w:rsidRPr="00D549BE" w:rsidRDefault="00656AA8" w:rsidP="00434248">
            <w:pPr>
              <w:spacing w:before="0" w:after="0"/>
              <w:jc w:val="center"/>
              <w:rPr>
                <w:noProof/>
                <w:color w:val="000000"/>
                <w:sz w:val="16"/>
                <w:szCs w:val="16"/>
              </w:rPr>
            </w:pPr>
            <w:r w:rsidRPr="00D549BE">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4E0F374"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E87531"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0</w:t>
            </w:r>
          </w:p>
        </w:tc>
      </w:tr>
      <w:tr w:rsidR="00656AA8" w:rsidRPr="00D549BE" w14:paraId="1EAA1726" w14:textId="77777777" w:rsidTr="0043424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6BF9712" w14:textId="77777777" w:rsidR="00656AA8" w:rsidRPr="00D549BE" w:rsidRDefault="00656AA8" w:rsidP="00434248">
            <w:pPr>
              <w:spacing w:before="0" w:after="0"/>
              <w:ind w:firstLineChars="100" w:firstLine="161"/>
              <w:jc w:val="left"/>
              <w:rPr>
                <w:b/>
                <w:bCs/>
                <w:noProof/>
                <w:color w:val="000000"/>
                <w:sz w:val="16"/>
                <w:szCs w:val="16"/>
              </w:rPr>
            </w:pPr>
            <w:r w:rsidRPr="00D549BE">
              <w:rPr>
                <w:b/>
                <w:color w:val="000000"/>
                <w:sz w:val="16"/>
              </w:rPr>
              <w:t>TOTAL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F133D31"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1F6EB9" w14:textId="77777777" w:rsidR="00656AA8" w:rsidRPr="00D549BE" w:rsidRDefault="00656AA8" w:rsidP="00434248">
            <w:pPr>
              <w:spacing w:before="0" w:after="0"/>
              <w:jc w:val="center"/>
              <w:rPr>
                <w:b/>
                <w:bCs/>
                <w:noProof/>
                <w:color w:val="000000"/>
                <w:sz w:val="16"/>
                <w:szCs w:val="16"/>
              </w:rPr>
            </w:pPr>
            <w:r w:rsidRPr="00D549BE">
              <w:rPr>
                <w:b/>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0E77497"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55</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A70A657"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55</w:t>
            </w:r>
          </w:p>
        </w:tc>
      </w:tr>
    </w:tbl>
    <w:p w14:paraId="7E46C17A" w14:textId="77777777" w:rsidR="00656AA8" w:rsidRPr="00D549BE" w:rsidRDefault="00656AA8" w:rsidP="00656AA8">
      <w:pPr>
        <w:pStyle w:val="Text1"/>
        <w:ind w:left="-426" w:right="-427"/>
        <w:rPr>
          <w:noProof/>
        </w:rPr>
      </w:pPr>
      <w:bookmarkStart w:id="194" w:name="_Hlk167692843"/>
      <w:bookmarkEnd w:id="189"/>
      <w:r w:rsidRPr="00D549BE">
        <w:t xml:space="preserve">12 postes et 2 ETP proviendront de redéploiements à partir de la réserve de redéploiement limitée de la Commission. </w:t>
      </w:r>
    </w:p>
    <w:p w14:paraId="7B7959C1" w14:textId="77777777" w:rsidR="00656AA8" w:rsidRPr="00D549BE" w:rsidRDefault="00656AA8" w:rsidP="00656AA8">
      <w:pPr>
        <w:pStyle w:val="Text1"/>
        <w:ind w:left="-426" w:right="-427"/>
        <w:rPr>
          <w:noProof/>
        </w:rPr>
      </w:pPr>
      <w:r w:rsidRPr="00D549BE">
        <w:t>La mise en œuvre de la présente proposition nécessite 41 postes supplémentaires en plus du tableau des effectifs, tous devant être financés par la rubrique 7, en dehors des effectifs stables. Une déclaration à cet effet sera proposée dans le cadre de la procédure législative.</w:t>
      </w:r>
    </w:p>
    <w:p w14:paraId="79754BCD" w14:textId="77777777" w:rsidR="00656AA8" w:rsidRPr="00D549BE" w:rsidRDefault="00656AA8" w:rsidP="00656AA8">
      <w:pPr>
        <w:pStyle w:val="Text1"/>
        <w:ind w:left="-426" w:right="-427"/>
        <w:rPr>
          <w:noProof/>
        </w:rPr>
      </w:pPr>
      <w:r w:rsidRPr="00D549BE">
        <w:t xml:space="preserve">Tout le personnel sera financé par la rubrique 7. </w:t>
      </w:r>
    </w:p>
    <w:p w14:paraId="23EA0012" w14:textId="77777777" w:rsidR="00656AA8" w:rsidRPr="00D549BE" w:rsidRDefault="00656AA8" w:rsidP="00656AA8">
      <w:pPr>
        <w:pStyle w:val="Text1"/>
        <w:ind w:left="-426"/>
        <w:rPr>
          <w:noProof/>
          <w:color w:val="000000" w:themeColor="text1"/>
        </w:rPr>
      </w:pPr>
      <w:r w:rsidRPr="00D549BE">
        <w:rPr>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656AA8" w:rsidRPr="00D549BE" w14:paraId="02C8A778" w14:textId="77777777" w:rsidTr="00434248">
        <w:trPr>
          <w:trHeight w:val="300"/>
        </w:trPr>
        <w:tc>
          <w:tcPr>
            <w:tcW w:w="1845" w:type="dxa"/>
          </w:tcPr>
          <w:p w14:paraId="63116B1C" w14:textId="77777777" w:rsidR="00656AA8" w:rsidRPr="00D549BE" w:rsidRDefault="00656AA8" w:rsidP="00434248">
            <w:pPr>
              <w:pStyle w:val="Text1"/>
              <w:ind w:left="0"/>
              <w:jc w:val="center"/>
              <w:rPr>
                <w:b/>
                <w:bCs/>
                <w:noProof/>
                <w:sz w:val="22"/>
                <w:szCs w:val="28"/>
              </w:rPr>
            </w:pPr>
          </w:p>
        </w:tc>
        <w:tc>
          <w:tcPr>
            <w:tcW w:w="2031" w:type="dxa"/>
          </w:tcPr>
          <w:p w14:paraId="2E46F055" w14:textId="77777777" w:rsidR="00656AA8" w:rsidRPr="00D549BE" w:rsidRDefault="00656AA8" w:rsidP="00434248">
            <w:pPr>
              <w:pStyle w:val="Text1"/>
              <w:ind w:left="0"/>
              <w:jc w:val="center"/>
              <w:rPr>
                <w:b/>
                <w:bCs/>
                <w:noProof/>
                <w:sz w:val="22"/>
              </w:rPr>
            </w:pPr>
            <w:r w:rsidRPr="00D549BE">
              <w:rPr>
                <w:b/>
                <w:sz w:val="22"/>
              </w:rPr>
              <w:t xml:space="preserve">À couvrir par le personnel actuellement disponible dans les services de la Commission </w:t>
            </w:r>
          </w:p>
        </w:tc>
        <w:tc>
          <w:tcPr>
            <w:tcW w:w="5611" w:type="dxa"/>
            <w:gridSpan w:val="3"/>
          </w:tcPr>
          <w:p w14:paraId="727EBA94" w14:textId="77777777" w:rsidR="00656AA8" w:rsidRPr="00D549BE" w:rsidRDefault="00656AA8" w:rsidP="00434248">
            <w:pPr>
              <w:pStyle w:val="Text1"/>
              <w:ind w:left="0"/>
              <w:jc w:val="center"/>
              <w:rPr>
                <w:b/>
                <w:bCs/>
                <w:noProof/>
                <w:sz w:val="22"/>
              </w:rPr>
            </w:pPr>
            <w:r w:rsidRPr="00D549BE">
              <w:rPr>
                <w:b/>
                <w:sz w:val="22"/>
              </w:rPr>
              <w:t>Personnel supplémentaire exceptionnel*</w:t>
            </w:r>
          </w:p>
        </w:tc>
      </w:tr>
      <w:tr w:rsidR="00656AA8" w:rsidRPr="00D549BE" w14:paraId="2642035C" w14:textId="77777777" w:rsidTr="00434248">
        <w:trPr>
          <w:trHeight w:val="300"/>
        </w:trPr>
        <w:tc>
          <w:tcPr>
            <w:tcW w:w="1845" w:type="dxa"/>
          </w:tcPr>
          <w:p w14:paraId="66CD690E" w14:textId="77777777" w:rsidR="00656AA8" w:rsidRPr="00D549BE" w:rsidRDefault="00656AA8" w:rsidP="00434248">
            <w:pPr>
              <w:pStyle w:val="Text1"/>
              <w:ind w:left="0"/>
              <w:jc w:val="center"/>
              <w:rPr>
                <w:b/>
                <w:bCs/>
                <w:noProof/>
                <w:sz w:val="22"/>
                <w:szCs w:val="28"/>
              </w:rPr>
            </w:pPr>
          </w:p>
        </w:tc>
        <w:tc>
          <w:tcPr>
            <w:tcW w:w="2031" w:type="dxa"/>
          </w:tcPr>
          <w:p w14:paraId="71441C58" w14:textId="77777777" w:rsidR="00656AA8" w:rsidRPr="00D549BE" w:rsidRDefault="00656AA8" w:rsidP="00434248">
            <w:pPr>
              <w:pStyle w:val="Text1"/>
              <w:ind w:left="0"/>
              <w:jc w:val="center"/>
              <w:rPr>
                <w:b/>
                <w:bCs/>
                <w:noProof/>
                <w:sz w:val="22"/>
                <w:szCs w:val="28"/>
              </w:rPr>
            </w:pPr>
          </w:p>
        </w:tc>
        <w:tc>
          <w:tcPr>
            <w:tcW w:w="1925" w:type="dxa"/>
          </w:tcPr>
          <w:p w14:paraId="5D006024" w14:textId="77777777" w:rsidR="00656AA8" w:rsidRPr="00D549BE" w:rsidRDefault="00656AA8" w:rsidP="00434248">
            <w:pPr>
              <w:pStyle w:val="Text1"/>
              <w:ind w:left="0"/>
              <w:jc w:val="center"/>
              <w:rPr>
                <w:b/>
                <w:bCs/>
                <w:noProof/>
                <w:sz w:val="22"/>
              </w:rPr>
            </w:pPr>
            <w:r w:rsidRPr="00D549BE">
              <w:rPr>
                <w:b/>
                <w:sz w:val="22"/>
              </w:rPr>
              <w:t>À financer sur la rubrique 7 ou la recherche</w:t>
            </w:r>
          </w:p>
        </w:tc>
        <w:tc>
          <w:tcPr>
            <w:tcW w:w="1938" w:type="dxa"/>
          </w:tcPr>
          <w:p w14:paraId="72752ECD" w14:textId="77777777" w:rsidR="00656AA8" w:rsidRPr="00D549BE" w:rsidRDefault="00656AA8" w:rsidP="00434248">
            <w:pPr>
              <w:pStyle w:val="Text1"/>
              <w:ind w:left="0"/>
              <w:jc w:val="center"/>
              <w:rPr>
                <w:b/>
                <w:bCs/>
                <w:noProof/>
                <w:sz w:val="22"/>
                <w:szCs w:val="28"/>
              </w:rPr>
            </w:pPr>
            <w:r w:rsidRPr="00D549BE">
              <w:rPr>
                <w:b/>
                <w:sz w:val="22"/>
              </w:rPr>
              <w:t>À financer sur la ligne BA</w:t>
            </w:r>
          </w:p>
        </w:tc>
        <w:tc>
          <w:tcPr>
            <w:tcW w:w="1748" w:type="dxa"/>
          </w:tcPr>
          <w:p w14:paraId="149153A1" w14:textId="77777777" w:rsidR="00656AA8" w:rsidRPr="00D549BE" w:rsidRDefault="00656AA8" w:rsidP="00434248">
            <w:pPr>
              <w:pStyle w:val="Text1"/>
              <w:ind w:left="0"/>
              <w:jc w:val="center"/>
              <w:rPr>
                <w:b/>
                <w:bCs/>
                <w:noProof/>
                <w:sz w:val="22"/>
                <w:szCs w:val="28"/>
              </w:rPr>
            </w:pPr>
            <w:r w:rsidRPr="00D549BE">
              <w:rPr>
                <w:b/>
                <w:sz w:val="22"/>
              </w:rPr>
              <w:t>À financer sur les redevances</w:t>
            </w:r>
          </w:p>
        </w:tc>
      </w:tr>
      <w:tr w:rsidR="00656AA8" w:rsidRPr="00D549BE" w14:paraId="13945722" w14:textId="77777777" w:rsidTr="00434248">
        <w:trPr>
          <w:trHeight w:val="300"/>
        </w:trPr>
        <w:tc>
          <w:tcPr>
            <w:tcW w:w="1845" w:type="dxa"/>
          </w:tcPr>
          <w:p w14:paraId="4D8798EB" w14:textId="77777777" w:rsidR="00656AA8" w:rsidRPr="00D549BE" w:rsidRDefault="00656AA8" w:rsidP="00434248">
            <w:pPr>
              <w:pStyle w:val="Text1"/>
              <w:ind w:left="0"/>
              <w:rPr>
                <w:noProof/>
                <w:color w:val="000000" w:themeColor="text1"/>
                <w:sz w:val="22"/>
                <w:szCs w:val="28"/>
              </w:rPr>
            </w:pPr>
            <w:r w:rsidRPr="00D549BE">
              <w:rPr>
                <w:color w:val="000000" w:themeColor="text1"/>
                <w:sz w:val="22"/>
              </w:rPr>
              <w:t>Emplois du tableau des effectifs</w:t>
            </w:r>
          </w:p>
        </w:tc>
        <w:tc>
          <w:tcPr>
            <w:tcW w:w="2031" w:type="dxa"/>
          </w:tcPr>
          <w:p w14:paraId="6602478F" w14:textId="77777777" w:rsidR="00656AA8" w:rsidRPr="00D549BE" w:rsidRDefault="00656AA8" w:rsidP="00434248">
            <w:pPr>
              <w:pStyle w:val="Text1"/>
              <w:ind w:left="0"/>
              <w:rPr>
                <w:noProof/>
                <w:color w:val="000000" w:themeColor="text1"/>
                <w:sz w:val="22"/>
                <w:szCs w:val="28"/>
              </w:rPr>
            </w:pPr>
            <w:r w:rsidRPr="00D549BE">
              <w:rPr>
                <w:color w:val="000000" w:themeColor="text1"/>
                <w:sz w:val="22"/>
              </w:rPr>
              <w:t>12 postes</w:t>
            </w:r>
          </w:p>
        </w:tc>
        <w:tc>
          <w:tcPr>
            <w:tcW w:w="1925" w:type="dxa"/>
          </w:tcPr>
          <w:p w14:paraId="00803123" w14:textId="77777777" w:rsidR="00656AA8" w:rsidRPr="00D549BE" w:rsidRDefault="00656AA8" w:rsidP="00434248">
            <w:pPr>
              <w:pStyle w:val="Text1"/>
              <w:ind w:left="0"/>
              <w:rPr>
                <w:noProof/>
                <w:color w:val="000000" w:themeColor="text1"/>
                <w:sz w:val="22"/>
                <w:szCs w:val="22"/>
              </w:rPr>
            </w:pPr>
            <w:r w:rsidRPr="00D549BE">
              <w:rPr>
                <w:color w:val="000000" w:themeColor="text1"/>
                <w:sz w:val="22"/>
              </w:rPr>
              <w:t>41 postes</w:t>
            </w:r>
          </w:p>
        </w:tc>
        <w:tc>
          <w:tcPr>
            <w:tcW w:w="1938" w:type="dxa"/>
          </w:tcPr>
          <w:p w14:paraId="50E9CCAD" w14:textId="77777777" w:rsidR="00656AA8" w:rsidRPr="00D549BE" w:rsidRDefault="00656AA8" w:rsidP="00434248">
            <w:pPr>
              <w:pStyle w:val="Text1"/>
              <w:ind w:left="0"/>
              <w:rPr>
                <w:noProof/>
                <w:sz w:val="22"/>
                <w:szCs w:val="28"/>
              </w:rPr>
            </w:pPr>
            <w:r w:rsidRPr="00D549BE">
              <w:rPr>
                <w:sz w:val="22"/>
              </w:rPr>
              <w:t>s.o.</w:t>
            </w:r>
          </w:p>
        </w:tc>
        <w:tc>
          <w:tcPr>
            <w:tcW w:w="1748" w:type="dxa"/>
          </w:tcPr>
          <w:p w14:paraId="345DF532" w14:textId="77777777" w:rsidR="00656AA8" w:rsidRPr="00D549BE" w:rsidRDefault="00656AA8" w:rsidP="00434248">
            <w:pPr>
              <w:pStyle w:val="Text1"/>
              <w:ind w:left="0"/>
              <w:rPr>
                <w:noProof/>
                <w:sz w:val="22"/>
                <w:szCs w:val="28"/>
              </w:rPr>
            </w:pPr>
          </w:p>
        </w:tc>
      </w:tr>
      <w:tr w:rsidR="00656AA8" w:rsidRPr="00D549BE" w14:paraId="221EC57C" w14:textId="77777777" w:rsidTr="00434248">
        <w:trPr>
          <w:trHeight w:val="300"/>
        </w:trPr>
        <w:tc>
          <w:tcPr>
            <w:tcW w:w="1845" w:type="dxa"/>
          </w:tcPr>
          <w:p w14:paraId="3CDF7045" w14:textId="77777777" w:rsidR="00656AA8" w:rsidRPr="00D549BE" w:rsidRDefault="00656AA8" w:rsidP="00434248">
            <w:pPr>
              <w:pStyle w:val="Text1"/>
              <w:ind w:left="0"/>
              <w:rPr>
                <w:noProof/>
                <w:color w:val="000000" w:themeColor="text1"/>
                <w:sz w:val="22"/>
                <w:szCs w:val="28"/>
              </w:rPr>
            </w:pPr>
            <w:r w:rsidRPr="00D549BE">
              <w:rPr>
                <w:color w:val="000000" w:themeColor="text1"/>
                <w:sz w:val="22"/>
              </w:rPr>
              <w:t>Personnel externe (AC, END, INT)</w:t>
            </w:r>
          </w:p>
        </w:tc>
        <w:tc>
          <w:tcPr>
            <w:tcW w:w="2031" w:type="dxa"/>
          </w:tcPr>
          <w:p w14:paraId="62E2D464" w14:textId="77777777" w:rsidR="00656AA8" w:rsidRPr="00D549BE" w:rsidRDefault="00656AA8" w:rsidP="00434248">
            <w:pPr>
              <w:pStyle w:val="Text1"/>
              <w:ind w:left="0"/>
              <w:rPr>
                <w:noProof/>
                <w:color w:val="000000" w:themeColor="text1"/>
                <w:sz w:val="22"/>
                <w:szCs w:val="28"/>
              </w:rPr>
            </w:pPr>
            <w:r w:rsidRPr="00D549BE">
              <w:rPr>
                <w:color w:val="000000" w:themeColor="text1"/>
                <w:sz w:val="22"/>
              </w:rPr>
              <w:t>2 AC</w:t>
            </w:r>
          </w:p>
        </w:tc>
        <w:tc>
          <w:tcPr>
            <w:tcW w:w="1925" w:type="dxa"/>
          </w:tcPr>
          <w:p w14:paraId="32FAEB8D" w14:textId="77777777" w:rsidR="00656AA8" w:rsidRPr="00D549BE" w:rsidRDefault="00656AA8" w:rsidP="00434248">
            <w:pPr>
              <w:pStyle w:val="Text1"/>
              <w:ind w:left="0"/>
              <w:rPr>
                <w:noProof/>
                <w:color w:val="000000" w:themeColor="text1"/>
                <w:sz w:val="22"/>
                <w:szCs w:val="28"/>
              </w:rPr>
            </w:pPr>
          </w:p>
        </w:tc>
        <w:tc>
          <w:tcPr>
            <w:tcW w:w="1938" w:type="dxa"/>
          </w:tcPr>
          <w:p w14:paraId="5F2B574A" w14:textId="77777777" w:rsidR="00656AA8" w:rsidRPr="00D549BE" w:rsidRDefault="00656AA8" w:rsidP="00434248">
            <w:pPr>
              <w:pStyle w:val="Text1"/>
              <w:ind w:left="0"/>
              <w:rPr>
                <w:noProof/>
                <w:sz w:val="22"/>
                <w:szCs w:val="28"/>
              </w:rPr>
            </w:pPr>
          </w:p>
        </w:tc>
        <w:tc>
          <w:tcPr>
            <w:tcW w:w="1748" w:type="dxa"/>
          </w:tcPr>
          <w:p w14:paraId="1CC08E46" w14:textId="77777777" w:rsidR="00656AA8" w:rsidRPr="00D549BE" w:rsidRDefault="00656AA8" w:rsidP="00434248">
            <w:pPr>
              <w:pStyle w:val="Text1"/>
              <w:ind w:left="0"/>
              <w:rPr>
                <w:noProof/>
                <w:sz w:val="22"/>
                <w:szCs w:val="28"/>
              </w:rPr>
            </w:pPr>
          </w:p>
        </w:tc>
      </w:tr>
    </w:tbl>
    <w:p w14:paraId="118AE66A" w14:textId="77777777" w:rsidR="00656AA8" w:rsidRPr="00D549BE" w:rsidRDefault="00656AA8" w:rsidP="00656AA8">
      <w:pPr>
        <w:pStyle w:val="Text1"/>
        <w:ind w:left="-426" w:right="-427"/>
        <w:rPr>
          <w:noProof/>
        </w:rPr>
      </w:pPr>
      <w:r w:rsidRPr="00D549BE">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56AA8" w:rsidRPr="00D549BE" w14:paraId="360BF4CC" w14:textId="77777777" w:rsidTr="00434248">
        <w:tc>
          <w:tcPr>
            <w:tcW w:w="3240" w:type="dxa"/>
          </w:tcPr>
          <w:p w14:paraId="18B6251C" w14:textId="77777777" w:rsidR="00656AA8" w:rsidRPr="00D549BE" w:rsidRDefault="00656AA8" w:rsidP="00434248">
            <w:pPr>
              <w:rPr>
                <w:noProof/>
                <w:sz w:val="20"/>
              </w:rPr>
            </w:pPr>
            <w:r w:rsidRPr="00D549BE">
              <w:rPr>
                <w:sz w:val="20"/>
              </w:rPr>
              <w:t>les fonctionnaires et agents temporaires</w:t>
            </w:r>
          </w:p>
        </w:tc>
        <w:tc>
          <w:tcPr>
            <w:tcW w:w="7200" w:type="dxa"/>
          </w:tcPr>
          <w:p w14:paraId="1EBA6A48" w14:textId="3325AD01" w:rsidR="00656AA8" w:rsidRPr="00D549BE" w:rsidRDefault="009905CA" w:rsidP="00434248">
            <w:pPr>
              <w:rPr>
                <w:noProof/>
                <w:color w:val="000000" w:themeColor="text1"/>
                <w:sz w:val="20"/>
                <w:szCs w:val="20"/>
              </w:rPr>
            </w:pPr>
            <w:r w:rsidRPr="00D549BE">
              <w:rPr>
                <w:b/>
                <w:color w:val="000000" w:themeColor="text1"/>
                <w:sz w:val="20"/>
              </w:rPr>
              <w:t>53 fonctionnaires et agents temporaires</w:t>
            </w:r>
            <w:r w:rsidRPr="00D549BE">
              <w:rPr>
                <w:color w:val="000000" w:themeColor="text1"/>
                <w:sz w:val="20"/>
              </w:rPr>
              <w:t xml:space="preserve"> pour travailler dans les domaines suivants:</w:t>
            </w:r>
          </w:p>
          <w:p w14:paraId="708C0E17"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Programmation/groupes d’experts/commissions</w:t>
            </w:r>
          </w:p>
          <w:p w14:paraId="48058290"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Mise en œuvre: tâches horizontales, expertise thématique/technique pour les bureaux de l’UE et de l’Ukraine</w:t>
            </w:r>
          </w:p>
          <w:p w14:paraId="166EB20B"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Stratégie de financement de l’Ukraine</w:t>
            </w:r>
          </w:p>
          <w:p w14:paraId="2FB120C5"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AMF</w:t>
            </w:r>
          </w:p>
          <w:p w14:paraId="3942F810" w14:textId="77777777" w:rsidR="00A033ED" w:rsidRPr="00D549BE" w:rsidRDefault="00A033ED" w:rsidP="00717586">
            <w:pPr>
              <w:pStyle w:val="ListParagraph"/>
              <w:numPr>
                <w:ilvl w:val="0"/>
                <w:numId w:val="35"/>
              </w:numPr>
              <w:rPr>
                <w:noProof/>
                <w:color w:val="000000" w:themeColor="text1"/>
                <w:sz w:val="20"/>
              </w:rPr>
            </w:pPr>
            <w:r w:rsidRPr="00D549BE">
              <w:rPr>
                <w:color w:val="000000" w:themeColor="text1"/>
                <w:sz w:val="20"/>
              </w:rPr>
              <w:t>Soutien en matière de défense</w:t>
            </w:r>
          </w:p>
          <w:p w14:paraId="59335720"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Audit et contrôle</w:t>
            </w:r>
          </w:p>
          <w:p w14:paraId="21A2543F"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 xml:space="preserve">Travail juridique </w:t>
            </w:r>
          </w:p>
          <w:p w14:paraId="6B86C4C2"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Conception de circuits financiers</w:t>
            </w:r>
          </w:p>
          <w:p w14:paraId="2C373872"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 xml:space="preserve">Tâches comptables </w:t>
            </w:r>
          </w:p>
          <w:p w14:paraId="5D7D2B87"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 xml:space="preserve">Durabilité de la marge de manœuvre </w:t>
            </w:r>
          </w:p>
          <w:p w14:paraId="25FBCA23" w14:textId="77777777" w:rsidR="00656AA8" w:rsidRPr="00D549BE" w:rsidRDefault="00A033ED" w:rsidP="00717586">
            <w:pPr>
              <w:pStyle w:val="ListParagraph"/>
              <w:numPr>
                <w:ilvl w:val="0"/>
                <w:numId w:val="35"/>
              </w:numPr>
              <w:rPr>
                <w:noProof/>
                <w:color w:val="000000" w:themeColor="text1"/>
                <w:sz w:val="20"/>
              </w:rPr>
            </w:pPr>
            <w:r w:rsidRPr="00D549BE">
              <w:rPr>
                <w:color w:val="000000" w:themeColor="text1"/>
                <w:sz w:val="20"/>
              </w:rPr>
              <w:t xml:space="preserve">Gestion des emprunts et des prêts </w:t>
            </w:r>
          </w:p>
          <w:p w14:paraId="4786705D"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 xml:space="preserve">Appels de liquidités, compensations, règlements, etc. </w:t>
            </w:r>
          </w:p>
          <w:p w14:paraId="0B917CDA" w14:textId="77777777" w:rsidR="00656AA8" w:rsidRPr="00D549BE" w:rsidRDefault="00656AA8" w:rsidP="00717586">
            <w:pPr>
              <w:pStyle w:val="ListParagraph"/>
              <w:numPr>
                <w:ilvl w:val="0"/>
                <w:numId w:val="35"/>
              </w:numPr>
              <w:rPr>
                <w:noProof/>
                <w:color w:val="000000" w:themeColor="text1"/>
                <w:sz w:val="20"/>
              </w:rPr>
            </w:pPr>
            <w:r w:rsidRPr="00D549BE">
              <w:rPr>
                <w:color w:val="000000" w:themeColor="text1"/>
                <w:sz w:val="20"/>
              </w:rPr>
              <w:t>Gestion de contrats</w:t>
            </w:r>
          </w:p>
          <w:p w14:paraId="676F5B3C" w14:textId="77777777" w:rsidR="00656AA8" w:rsidRPr="00D549BE" w:rsidRDefault="00656AA8" w:rsidP="00434248">
            <w:pPr>
              <w:rPr>
                <w:noProof/>
                <w:color w:val="000000" w:themeColor="text1"/>
                <w:sz w:val="20"/>
              </w:rPr>
            </w:pPr>
          </w:p>
        </w:tc>
      </w:tr>
      <w:tr w:rsidR="00656AA8" w:rsidRPr="00D549BE" w14:paraId="5C762F83" w14:textId="77777777" w:rsidTr="00434248">
        <w:tc>
          <w:tcPr>
            <w:tcW w:w="3240" w:type="dxa"/>
          </w:tcPr>
          <w:p w14:paraId="03BB1473" w14:textId="77777777" w:rsidR="00656AA8" w:rsidRPr="00D549BE" w:rsidRDefault="00656AA8" w:rsidP="00434248">
            <w:pPr>
              <w:spacing w:before="60" w:after="60"/>
              <w:ind w:left="720"/>
              <w:rPr>
                <w:noProof/>
                <w:sz w:val="20"/>
              </w:rPr>
            </w:pPr>
            <w:r w:rsidRPr="00D549BE">
              <w:rPr>
                <w:sz w:val="20"/>
              </w:rPr>
              <w:t>le personnel externe</w:t>
            </w:r>
          </w:p>
        </w:tc>
        <w:tc>
          <w:tcPr>
            <w:tcW w:w="7200" w:type="dxa"/>
          </w:tcPr>
          <w:p w14:paraId="3B0C2731" w14:textId="77777777" w:rsidR="00656AA8" w:rsidRPr="00D549BE" w:rsidRDefault="00656AA8" w:rsidP="00434248">
            <w:pPr>
              <w:rPr>
                <w:noProof/>
                <w:color w:val="000000" w:themeColor="text1"/>
                <w:sz w:val="20"/>
              </w:rPr>
            </w:pPr>
            <w:r w:rsidRPr="00D549BE">
              <w:rPr>
                <w:b/>
                <w:color w:val="000000" w:themeColor="text1"/>
                <w:sz w:val="20"/>
              </w:rPr>
              <w:t>2 ETP</w:t>
            </w:r>
            <w:r w:rsidRPr="00D549BE">
              <w:rPr>
                <w:color w:val="000000" w:themeColor="text1"/>
                <w:sz w:val="20"/>
              </w:rPr>
              <w:t xml:space="preserve"> pour soutenir les travaux sur la programmation/les groupes d’experts/les commissions</w:t>
            </w:r>
          </w:p>
          <w:p w14:paraId="5C484B1B" w14:textId="77777777" w:rsidR="00656AA8" w:rsidRPr="00D549BE" w:rsidRDefault="00656AA8" w:rsidP="00434248">
            <w:pPr>
              <w:rPr>
                <w:noProof/>
                <w:color w:val="000000" w:themeColor="text1"/>
                <w:sz w:val="20"/>
              </w:rPr>
            </w:pPr>
          </w:p>
        </w:tc>
      </w:tr>
    </w:tbl>
    <w:p w14:paraId="3D09933A" w14:textId="77777777" w:rsidR="00656AA8" w:rsidRPr="00D549BE" w:rsidRDefault="00656AA8" w:rsidP="00656AA8">
      <w:pPr>
        <w:pStyle w:val="ManualHeading3"/>
        <w:rPr>
          <w:noProof/>
        </w:rPr>
      </w:pPr>
      <w:bookmarkStart w:id="195" w:name="_Toc177549031"/>
      <w:r w:rsidRPr="00D549BE">
        <w:t>3.2.5.</w:t>
      </w:r>
      <w:r w:rsidRPr="00D549BE">
        <w:tab/>
        <w:t>Vue d’ensemble de l’incidence estimée sur les investissements liés aux technologies numériques</w:t>
      </w:r>
      <w:bookmarkEnd w:id="195"/>
    </w:p>
    <w:p w14:paraId="3361DB5B" w14:textId="77777777" w:rsidR="00656AA8" w:rsidRPr="00D549BE" w:rsidRDefault="00656AA8" w:rsidP="00656AA8">
      <w:pPr>
        <w:pStyle w:val="Text1"/>
        <w:spacing w:line="259" w:lineRule="auto"/>
        <w:rPr>
          <w:noProof/>
        </w:rPr>
      </w:pPr>
      <w:r w:rsidRPr="00D549BE">
        <w:t xml:space="preserve">Obligatoire: il convient d’indiquer dans le tableau figurant ci-dessous la meilleure estimation des investissements liés aux technologies numériques découlant de la proposition/de l’initiative. </w:t>
      </w:r>
    </w:p>
    <w:p w14:paraId="4C29103E" w14:textId="77777777" w:rsidR="00656AA8" w:rsidRPr="00D549BE" w:rsidRDefault="00656AA8" w:rsidP="00656AA8">
      <w:pPr>
        <w:pStyle w:val="Text1"/>
        <w:spacing w:line="259" w:lineRule="auto"/>
        <w:rPr>
          <w:noProof/>
        </w:rPr>
      </w:pPr>
      <w:r w:rsidRPr="00D549BE">
        <w:t xml:space="preserve">À titre exceptionnel, lorsque la mise en œuvre de la proposition/de l’initiative l’exige, les crédits de la rubrique 7 doivent être présentés sur la ligne spécifique. </w:t>
      </w:r>
    </w:p>
    <w:p w14:paraId="5E6100B9" w14:textId="77777777" w:rsidR="00656AA8" w:rsidRPr="00D549BE" w:rsidRDefault="00656AA8" w:rsidP="00656AA8">
      <w:pPr>
        <w:pStyle w:val="Text1"/>
        <w:spacing w:line="259" w:lineRule="auto"/>
        <w:rPr>
          <w:noProof/>
        </w:rPr>
      </w:pPr>
      <w:r w:rsidRPr="00D549BE">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tblLayout w:type="fixed"/>
        <w:tblLook w:val="04A0" w:firstRow="1" w:lastRow="0" w:firstColumn="1" w:lastColumn="0" w:noHBand="0" w:noVBand="1"/>
      </w:tblPr>
      <w:tblGrid>
        <w:gridCol w:w="3214"/>
        <w:gridCol w:w="835"/>
        <w:gridCol w:w="835"/>
        <w:gridCol w:w="835"/>
        <w:gridCol w:w="835"/>
        <w:gridCol w:w="981"/>
      </w:tblGrid>
      <w:tr w:rsidR="00656AA8" w:rsidRPr="00D549BE" w14:paraId="77E76058" w14:textId="77777777" w:rsidTr="00434248">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4A65B01E"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3A2252DA"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1D15ADF"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7980981"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4EB19AAA" w14:textId="77777777" w:rsidR="00656AA8" w:rsidRPr="00D549BE" w:rsidRDefault="00656AA8" w:rsidP="00434248">
            <w:pPr>
              <w:spacing w:before="0" w:after="0"/>
              <w:jc w:val="center"/>
              <w:rPr>
                <w:noProof/>
                <w:color w:val="000000" w:themeColor="text1"/>
                <w:sz w:val="18"/>
                <w:szCs w:val="18"/>
              </w:rPr>
            </w:pPr>
            <w:r w:rsidRPr="00D549BE">
              <w:rPr>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E874ED1"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TOTAL CFP 2021-2027</w:t>
            </w:r>
          </w:p>
        </w:tc>
      </w:tr>
      <w:tr w:rsidR="00656AA8" w:rsidRPr="00D549BE" w14:paraId="07C0F320" w14:textId="77777777" w:rsidTr="00434248">
        <w:trPr>
          <w:trHeight w:val="525"/>
        </w:trPr>
        <w:tc>
          <w:tcPr>
            <w:tcW w:w="3214" w:type="dxa"/>
            <w:vMerge/>
            <w:tcBorders>
              <w:top w:val="single" w:sz="8" w:space="0" w:color="auto"/>
              <w:left w:val="single" w:sz="4" w:space="0" w:color="auto"/>
              <w:right w:val="single" w:sz="4" w:space="0" w:color="auto"/>
            </w:tcBorders>
            <w:vAlign w:val="center"/>
          </w:tcPr>
          <w:p w14:paraId="0268078F" w14:textId="77777777" w:rsidR="00656AA8" w:rsidRPr="00D549BE" w:rsidRDefault="00656AA8" w:rsidP="00434248">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6BF6A887"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70AC29FF"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17D3FC39"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3A7FCF6E" w14:textId="77777777" w:rsidR="00656AA8" w:rsidRPr="00D549BE" w:rsidRDefault="00656AA8" w:rsidP="00434248">
            <w:pPr>
              <w:spacing w:before="0" w:after="0"/>
              <w:jc w:val="center"/>
              <w:rPr>
                <w:b/>
                <w:bCs/>
                <w:noProof/>
                <w:color w:val="000000" w:themeColor="text1"/>
                <w:sz w:val="18"/>
                <w:szCs w:val="18"/>
              </w:rPr>
            </w:pPr>
            <w:r w:rsidRPr="00D549BE">
              <w:rPr>
                <w:b/>
                <w:color w:val="000000" w:themeColor="text1"/>
                <w:sz w:val="18"/>
              </w:rPr>
              <w:t>2027</w:t>
            </w:r>
          </w:p>
        </w:tc>
        <w:tc>
          <w:tcPr>
            <w:tcW w:w="981" w:type="dxa"/>
            <w:vMerge/>
            <w:tcBorders>
              <w:bottom w:val="single" w:sz="4" w:space="0" w:color="auto"/>
              <w:right w:val="single" w:sz="4" w:space="0" w:color="auto"/>
            </w:tcBorders>
            <w:vAlign w:val="center"/>
          </w:tcPr>
          <w:p w14:paraId="544575B1" w14:textId="77777777" w:rsidR="00656AA8" w:rsidRPr="00D549BE" w:rsidRDefault="00656AA8" w:rsidP="00434248">
            <w:pPr>
              <w:rPr>
                <w:noProof/>
              </w:rPr>
            </w:pPr>
          </w:p>
        </w:tc>
      </w:tr>
      <w:tr w:rsidR="00656AA8" w:rsidRPr="00D549BE" w14:paraId="625C2BE6" w14:textId="77777777" w:rsidTr="00434248">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103BD4B7" w14:textId="77777777" w:rsidR="00656AA8" w:rsidRPr="00D549BE" w:rsidRDefault="00656AA8" w:rsidP="00434248">
            <w:pPr>
              <w:spacing w:before="0" w:after="0"/>
              <w:jc w:val="left"/>
              <w:rPr>
                <w:b/>
                <w:bCs/>
                <w:noProof/>
                <w:color w:val="000000" w:themeColor="text1"/>
                <w:sz w:val="16"/>
                <w:szCs w:val="16"/>
              </w:rPr>
            </w:pPr>
            <w:r w:rsidRPr="00D549BE">
              <w:rPr>
                <w:b/>
                <w:color w:val="000000" w:themeColor="text1"/>
                <w:sz w:val="16"/>
              </w:rPr>
              <w:t>RUBRIQUE 7</w:t>
            </w:r>
          </w:p>
        </w:tc>
      </w:tr>
      <w:tr w:rsidR="00656AA8" w:rsidRPr="00D549BE" w14:paraId="2695555B"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CF1F9" w14:textId="77777777" w:rsidR="00656AA8" w:rsidRPr="00D549BE" w:rsidRDefault="00656AA8" w:rsidP="00434248">
            <w:pPr>
              <w:spacing w:before="0" w:after="0"/>
              <w:jc w:val="left"/>
              <w:rPr>
                <w:noProof/>
                <w:color w:val="000000" w:themeColor="text1"/>
                <w:sz w:val="16"/>
                <w:szCs w:val="16"/>
              </w:rPr>
            </w:pPr>
            <w:r w:rsidRPr="00D549BE">
              <w:rPr>
                <w:rFonts w:ascii="Arial Narrow" w:hAnsi="Arial Narrow"/>
                <w:color w:val="000000" w:themeColor="text1"/>
                <w:sz w:val="20"/>
              </w:rPr>
              <w:t>Dépenses informatiques (institutionnelles)</w:t>
            </w:r>
            <w:r w:rsidRPr="00D549BE">
              <w:rPr>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AB81A5"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998CE1"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BE69D5" w14:textId="476AC738" w:rsidR="00656AA8" w:rsidRPr="00D549BE" w:rsidRDefault="00656AA8" w:rsidP="00434248">
            <w:pPr>
              <w:spacing w:before="0" w:after="0"/>
              <w:jc w:val="right"/>
              <w:rPr>
                <w:noProof/>
                <w:color w:val="000000" w:themeColor="text1"/>
                <w:sz w:val="16"/>
                <w:szCs w:val="16"/>
              </w:rPr>
            </w:pPr>
            <w:r w:rsidRPr="00D549BE">
              <w:rPr>
                <w:color w:val="000000" w:themeColor="text1"/>
                <w:sz w:val="16"/>
              </w:rPr>
              <w:t>0,336</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6EEDEE8" w14:textId="66699099" w:rsidR="00656AA8" w:rsidRPr="00D549BE" w:rsidRDefault="00656AA8" w:rsidP="00434248">
            <w:pPr>
              <w:spacing w:before="0" w:after="0"/>
              <w:jc w:val="right"/>
              <w:rPr>
                <w:noProof/>
                <w:color w:val="000000" w:themeColor="text1"/>
                <w:sz w:val="16"/>
                <w:szCs w:val="16"/>
              </w:rPr>
            </w:pPr>
            <w:r w:rsidRPr="00D549BE">
              <w:rPr>
                <w:color w:val="000000" w:themeColor="text1"/>
                <w:sz w:val="16"/>
              </w:rPr>
              <w:t>0,336</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EA2B8C" w14:textId="7ADD34F1"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0,672</w:t>
            </w:r>
          </w:p>
        </w:tc>
      </w:tr>
      <w:tr w:rsidR="00656AA8" w:rsidRPr="00D549BE" w14:paraId="679A563B"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9F84013"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BF05B3"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4A73F9"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501064" w14:textId="1344E8F4"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0,336</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91AC9C" w14:textId="55A9A59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0,336</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97C62B" w14:textId="68428099"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0,672</w:t>
            </w:r>
          </w:p>
        </w:tc>
      </w:tr>
      <w:tr w:rsidR="00656AA8" w:rsidRPr="00D549BE" w14:paraId="21009E8A" w14:textId="77777777" w:rsidTr="00434248">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B03E1" w14:textId="77777777" w:rsidR="00656AA8" w:rsidRPr="00D549BE" w:rsidRDefault="00656AA8" w:rsidP="00434248">
            <w:pPr>
              <w:spacing w:before="0" w:after="0"/>
              <w:jc w:val="left"/>
              <w:rPr>
                <w:b/>
                <w:bCs/>
                <w:noProof/>
                <w:color w:val="000000" w:themeColor="text1"/>
                <w:sz w:val="16"/>
                <w:szCs w:val="16"/>
              </w:rPr>
            </w:pPr>
            <w:r w:rsidRPr="00D549BE">
              <w:rPr>
                <w:b/>
                <w:color w:val="000000" w:themeColor="text1"/>
                <w:sz w:val="16"/>
              </w:rPr>
              <w:t>Hors RUBRIQUE 7</w:t>
            </w:r>
          </w:p>
        </w:tc>
      </w:tr>
      <w:tr w:rsidR="00656AA8" w:rsidRPr="00D549BE" w14:paraId="76CF29D9"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ED8C5" w14:textId="77777777" w:rsidR="00656AA8" w:rsidRPr="00D549BE" w:rsidRDefault="00656AA8" w:rsidP="00434248">
            <w:pPr>
              <w:spacing w:before="0" w:after="0"/>
              <w:jc w:val="left"/>
              <w:rPr>
                <w:rFonts w:ascii="Arial Narrow" w:eastAsia="Arial Narrow" w:hAnsi="Arial Narrow" w:cs="Arial Narrow"/>
                <w:noProof/>
                <w:color w:val="000000" w:themeColor="text1"/>
                <w:sz w:val="20"/>
                <w:szCs w:val="20"/>
              </w:rPr>
            </w:pPr>
            <w:r w:rsidRPr="00D549BE">
              <w:rPr>
                <w:rFonts w:ascii="Arial Narrow" w:hAnsi="Arial Narrow"/>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5EBFBB"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EE2B52"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00C015"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D5B08F" w14:textId="77777777" w:rsidR="00656AA8" w:rsidRPr="00D549BE" w:rsidRDefault="00656AA8" w:rsidP="00434248">
            <w:pPr>
              <w:spacing w:before="0" w:after="0"/>
              <w:jc w:val="right"/>
              <w:rPr>
                <w:noProof/>
                <w:color w:val="000000" w:themeColor="text1"/>
                <w:sz w:val="16"/>
                <w:szCs w:val="16"/>
              </w:rPr>
            </w:pPr>
            <w:r w:rsidRPr="00D549BE">
              <w:rPr>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E32A01"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r>
      <w:tr w:rsidR="00656AA8" w:rsidRPr="00D549BE" w14:paraId="79DE6291" w14:textId="77777777" w:rsidTr="00434248">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04856099"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D77D51"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EF3496"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7C1461E"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ABCEC1"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27A47E"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r>
      <w:tr w:rsidR="00656AA8" w:rsidRPr="00D549BE" w14:paraId="18E19E8F" w14:textId="77777777" w:rsidTr="00434248">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84AFC" w14:textId="77777777" w:rsidR="00656AA8" w:rsidRPr="00D549BE" w:rsidRDefault="00656AA8" w:rsidP="00434248">
            <w:pPr>
              <w:spacing w:before="0" w:after="0"/>
              <w:jc w:val="center"/>
              <w:rPr>
                <w:noProof/>
                <w:color w:val="000000" w:themeColor="text1"/>
                <w:sz w:val="16"/>
                <w:szCs w:val="16"/>
              </w:rPr>
            </w:pPr>
            <w:r w:rsidRPr="00D549BE">
              <w:rPr>
                <w:color w:val="000000" w:themeColor="text1"/>
                <w:sz w:val="16"/>
              </w:rPr>
              <w:t xml:space="preserve"> </w:t>
            </w:r>
          </w:p>
        </w:tc>
      </w:tr>
      <w:tr w:rsidR="00656AA8" w:rsidRPr="00D549BE" w14:paraId="6EFE976D" w14:textId="77777777" w:rsidTr="00434248">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228C94D7" w14:textId="77777777" w:rsidR="00656AA8" w:rsidRPr="00D549BE" w:rsidRDefault="00656AA8" w:rsidP="00434248">
            <w:pPr>
              <w:spacing w:before="0" w:after="0"/>
              <w:jc w:val="center"/>
              <w:rPr>
                <w:b/>
                <w:bCs/>
                <w:noProof/>
                <w:color w:val="000000" w:themeColor="text1"/>
                <w:sz w:val="16"/>
                <w:szCs w:val="16"/>
              </w:rPr>
            </w:pPr>
            <w:r w:rsidRPr="00D549BE">
              <w:rPr>
                <w:b/>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636BB20"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CB564E2" w14:textId="77777777"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5EC1D06" w14:textId="5A4C5941"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0,336</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E2250CF" w14:textId="3E08ED21"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0,336</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5830909" w14:textId="777DCEA5" w:rsidR="00656AA8" w:rsidRPr="00D549BE" w:rsidRDefault="00656AA8" w:rsidP="00434248">
            <w:pPr>
              <w:spacing w:before="0" w:after="0"/>
              <w:jc w:val="right"/>
              <w:rPr>
                <w:b/>
                <w:bCs/>
                <w:noProof/>
                <w:color w:val="000000" w:themeColor="text1"/>
                <w:sz w:val="16"/>
                <w:szCs w:val="16"/>
              </w:rPr>
            </w:pPr>
            <w:r w:rsidRPr="00D549BE">
              <w:rPr>
                <w:b/>
                <w:color w:val="000000" w:themeColor="text1"/>
                <w:sz w:val="16"/>
              </w:rPr>
              <w:t>0,672</w:t>
            </w:r>
          </w:p>
        </w:tc>
      </w:tr>
    </w:tbl>
    <w:p w14:paraId="380425C9" w14:textId="77777777" w:rsidR="00656AA8" w:rsidRPr="00D549BE" w:rsidRDefault="00656AA8" w:rsidP="00656AA8">
      <w:pPr>
        <w:pStyle w:val="ManualHeading3"/>
        <w:rPr>
          <w:noProof/>
        </w:rPr>
      </w:pPr>
      <w:bookmarkStart w:id="196" w:name="_Toc514938056"/>
      <w:bookmarkStart w:id="197" w:name="_Toc520485055"/>
      <w:bookmarkStart w:id="198" w:name="_Toc160804599"/>
      <w:bookmarkStart w:id="199" w:name="_Toc167220298"/>
      <w:bookmarkStart w:id="200" w:name="_Toc177549032"/>
      <w:bookmarkEnd w:id="194"/>
      <w:r w:rsidRPr="00D549BE">
        <w:t>3.2.6.</w:t>
      </w:r>
      <w:r w:rsidRPr="00D549BE">
        <w:tab/>
        <w:t>Compatibilité avec le cadre financier pluriannuel actuel</w:t>
      </w:r>
      <w:bookmarkEnd w:id="196"/>
      <w:bookmarkEnd w:id="197"/>
      <w:bookmarkEnd w:id="198"/>
      <w:bookmarkEnd w:id="199"/>
      <w:bookmarkEnd w:id="200"/>
      <w:r w:rsidRPr="00D549BE">
        <w:t xml:space="preserve"> </w:t>
      </w:r>
    </w:p>
    <w:p w14:paraId="122A6D29" w14:textId="77777777" w:rsidR="00656AA8" w:rsidRPr="00D549BE" w:rsidRDefault="00656AA8" w:rsidP="00656AA8">
      <w:pPr>
        <w:pStyle w:val="Text1"/>
        <w:rPr>
          <w:noProof/>
        </w:rPr>
      </w:pPr>
      <w:r w:rsidRPr="00D549BE">
        <w:t>La proposition/l’initiative:</w:t>
      </w:r>
    </w:p>
    <w:p w14:paraId="00AA68E8" w14:textId="77777777" w:rsidR="00656AA8" w:rsidRPr="00D549BE" w:rsidRDefault="00656AA8" w:rsidP="00656AA8">
      <w:pPr>
        <w:pStyle w:val="ListDash1"/>
        <w:rPr>
          <w:noProof/>
        </w:rPr>
      </w:pPr>
      <w:r w:rsidRPr="00D549BE">
        <w:rPr>
          <w:rFonts w:ascii="Wingdings" w:hAnsi="Wingdings"/>
        </w:rPr>
        <w:t></w:t>
      </w:r>
      <w:r w:rsidRPr="00D549BE">
        <w:tab/>
        <w:t>peut être intégralement financée par voie de redéploiement au sein de la rubrique concernée du cadre financier pluriannuel (CFP).</w:t>
      </w:r>
    </w:p>
    <w:p w14:paraId="248749CD" w14:textId="77777777" w:rsidR="00656AA8" w:rsidRPr="00D549BE" w:rsidRDefault="00656AA8" w:rsidP="00656AA8">
      <w:pPr>
        <w:pStyle w:val="ListDash1"/>
        <w:rPr>
          <w:noProof/>
        </w:rPr>
      </w:pPr>
      <w:r w:rsidRPr="00D549BE">
        <w:rPr>
          <w:rFonts w:ascii="Wingdings" w:hAnsi="Wingdings"/>
        </w:rPr>
        <w:t></w:t>
      </w:r>
      <w:r w:rsidRPr="00D549BE">
        <w:tab/>
        <w:t>nécessite l’utilisation de la marge non allouée sous la rubrique correspondante du CFP et/ou le recours aux instruments spéciaux comme le prévoit le règlement CFP.</w:t>
      </w:r>
    </w:p>
    <w:p w14:paraId="7526F5D1" w14:textId="77777777" w:rsidR="00656AA8" w:rsidRPr="00D549BE" w:rsidRDefault="005B7A05" w:rsidP="00656AA8">
      <w:pPr>
        <w:pStyle w:val="ListDash1"/>
        <w:rPr>
          <w:noProof/>
        </w:rPr>
      </w:pPr>
      <w:r w:rsidRPr="00D549BE">
        <w:rPr>
          <w:rFonts w:ascii="Wingdings" w:hAnsi="Wingdings"/>
        </w:rPr>
        <w:t></w:t>
      </w:r>
      <w:r w:rsidRPr="00D549BE">
        <w:tab/>
        <w:t>nécessite une révision du CFP.</w:t>
      </w:r>
    </w:p>
    <w:p w14:paraId="72B14F0B" w14:textId="77777777" w:rsidR="00656AA8" w:rsidRPr="00D549BE" w:rsidRDefault="00656AA8" w:rsidP="00656AA8">
      <w:pPr>
        <w:pStyle w:val="ManualHeading3"/>
        <w:rPr>
          <w:noProof/>
        </w:rPr>
      </w:pPr>
      <w:bookmarkStart w:id="201" w:name="_Toc514938058"/>
      <w:bookmarkStart w:id="202" w:name="_Toc520485056"/>
      <w:bookmarkStart w:id="203" w:name="_Toc160804600"/>
      <w:bookmarkStart w:id="204" w:name="_Toc167220299"/>
      <w:bookmarkStart w:id="205" w:name="_Toc177549033"/>
      <w:r w:rsidRPr="00D549BE">
        <w:t>3.2.7.</w:t>
      </w:r>
      <w:r w:rsidRPr="00D549BE">
        <w:tab/>
        <w:t>Participation de tiers au financement</w:t>
      </w:r>
      <w:bookmarkEnd w:id="201"/>
      <w:bookmarkEnd w:id="202"/>
      <w:bookmarkEnd w:id="203"/>
      <w:bookmarkEnd w:id="204"/>
      <w:bookmarkEnd w:id="205"/>
      <w:r w:rsidRPr="00D549BE">
        <w:t xml:space="preserve"> </w:t>
      </w:r>
    </w:p>
    <w:p w14:paraId="173241D3" w14:textId="77777777" w:rsidR="00656AA8" w:rsidRPr="00D549BE" w:rsidRDefault="00656AA8" w:rsidP="00656AA8">
      <w:pPr>
        <w:pStyle w:val="Text1"/>
        <w:rPr>
          <w:noProof/>
        </w:rPr>
      </w:pPr>
      <w:r w:rsidRPr="00D549BE">
        <w:t>La proposition/l’initiative:</w:t>
      </w:r>
    </w:p>
    <w:p w14:paraId="7E13F39F" w14:textId="77777777" w:rsidR="00656AA8" w:rsidRPr="00D549BE" w:rsidRDefault="00D13020" w:rsidP="003C3705">
      <w:pPr>
        <w:pStyle w:val="ListDash1"/>
        <w:rPr>
          <w:noProof/>
        </w:rPr>
      </w:pPr>
      <w:r w:rsidRPr="00D549BE">
        <w:rPr>
          <w:rFonts w:ascii="Segoe UI Symbol" w:hAnsi="Segoe UI Symbol"/>
        </w:rPr>
        <w:t>☒</w:t>
      </w:r>
      <w:r w:rsidRPr="00D549BE">
        <w:t>ne prévoit pas de cofinancement par des tierces parties</w:t>
      </w:r>
    </w:p>
    <w:p w14:paraId="5E760EE6" w14:textId="77777777" w:rsidR="00437938" w:rsidRPr="00D549BE" w:rsidRDefault="00D13020" w:rsidP="00A8443F">
      <w:pPr>
        <w:pStyle w:val="ListDash1"/>
        <w:rPr>
          <w:noProof/>
        </w:rPr>
      </w:pPr>
      <w:r w:rsidRPr="00D549BE">
        <w:rPr>
          <w:rFonts w:ascii="Wingdings" w:hAnsi="Wingdings"/>
        </w:rPr>
        <w:t></w:t>
      </w:r>
      <w:r w:rsidRPr="00D549BE">
        <w:t>prévoit le cofinancement par des tierces parties estimé ci‑après:</w:t>
      </w:r>
    </w:p>
    <w:p w14:paraId="72267C5F" w14:textId="77777777" w:rsidR="00656AA8" w:rsidRPr="00D549BE" w:rsidRDefault="00656AA8" w:rsidP="00656AA8">
      <w:pPr>
        <w:rPr>
          <w:noProof/>
          <w:sz w:val="20"/>
        </w:rPr>
      </w:pPr>
      <w:r w:rsidRPr="00D549BE">
        <w:rPr>
          <w:sz w:val="20"/>
        </w:rPr>
        <w:t>Crédits en Mio EUR (à la 3</w:t>
      </w:r>
      <w:r w:rsidRPr="00D549BE">
        <w:rPr>
          <w:sz w:val="20"/>
          <w:vertAlign w:val="superscript"/>
        </w:rPr>
        <w:t>e</w:t>
      </w:r>
      <w:r w:rsidRPr="00D549BE">
        <w:rPr>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656AA8" w:rsidRPr="00D549BE" w14:paraId="1A707BFA" w14:textId="77777777" w:rsidTr="00434248">
        <w:trPr>
          <w:cantSplit/>
          <w:trHeight w:val="300"/>
        </w:trPr>
        <w:tc>
          <w:tcPr>
            <w:tcW w:w="1591" w:type="pct"/>
          </w:tcPr>
          <w:p w14:paraId="497E3B27" w14:textId="77777777" w:rsidR="00656AA8" w:rsidRPr="00D549BE" w:rsidRDefault="00656AA8" w:rsidP="00434248">
            <w:pPr>
              <w:spacing w:before="60" w:after="60"/>
              <w:rPr>
                <w:noProof/>
                <w:sz w:val="20"/>
              </w:rPr>
            </w:pPr>
          </w:p>
        </w:tc>
        <w:tc>
          <w:tcPr>
            <w:tcW w:w="655" w:type="pct"/>
            <w:vAlign w:val="center"/>
          </w:tcPr>
          <w:p w14:paraId="0AB01DB7" w14:textId="77777777" w:rsidR="00656AA8" w:rsidRPr="00D549BE" w:rsidRDefault="00656AA8" w:rsidP="00434248">
            <w:pPr>
              <w:jc w:val="center"/>
              <w:rPr>
                <w:noProof/>
                <w:sz w:val="20"/>
              </w:rPr>
            </w:pPr>
            <w:r w:rsidRPr="00D549BE">
              <w:rPr>
                <w:sz w:val="20"/>
              </w:rPr>
              <w:t xml:space="preserve">Année </w:t>
            </w:r>
            <w:r w:rsidRPr="00D549BE">
              <w:br/>
            </w:r>
            <w:r w:rsidRPr="00D549BE">
              <w:rPr>
                <w:b/>
                <w:sz w:val="20"/>
              </w:rPr>
              <w:t>2024</w:t>
            </w:r>
          </w:p>
        </w:tc>
        <w:tc>
          <w:tcPr>
            <w:tcW w:w="655" w:type="pct"/>
            <w:vAlign w:val="center"/>
          </w:tcPr>
          <w:p w14:paraId="2170A117" w14:textId="77777777" w:rsidR="00656AA8" w:rsidRPr="00D549BE" w:rsidRDefault="00656AA8" w:rsidP="00434248">
            <w:pPr>
              <w:jc w:val="center"/>
              <w:rPr>
                <w:noProof/>
                <w:sz w:val="20"/>
              </w:rPr>
            </w:pPr>
            <w:r w:rsidRPr="00D549BE">
              <w:rPr>
                <w:sz w:val="20"/>
              </w:rPr>
              <w:t xml:space="preserve">Année </w:t>
            </w:r>
            <w:r w:rsidRPr="00D549BE">
              <w:br/>
            </w:r>
            <w:r w:rsidRPr="00D549BE">
              <w:rPr>
                <w:b/>
                <w:sz w:val="20"/>
              </w:rPr>
              <w:t>2025</w:t>
            </w:r>
          </w:p>
        </w:tc>
        <w:tc>
          <w:tcPr>
            <w:tcW w:w="655" w:type="pct"/>
            <w:vAlign w:val="center"/>
          </w:tcPr>
          <w:p w14:paraId="78E0BE40" w14:textId="77777777" w:rsidR="00656AA8" w:rsidRPr="00D549BE" w:rsidRDefault="00656AA8" w:rsidP="00434248">
            <w:pPr>
              <w:jc w:val="center"/>
              <w:rPr>
                <w:noProof/>
                <w:sz w:val="20"/>
              </w:rPr>
            </w:pPr>
            <w:r w:rsidRPr="00D549BE">
              <w:rPr>
                <w:sz w:val="20"/>
              </w:rPr>
              <w:t xml:space="preserve">Année </w:t>
            </w:r>
            <w:r w:rsidRPr="00D549BE">
              <w:br/>
            </w:r>
            <w:r w:rsidRPr="00D549BE">
              <w:rPr>
                <w:b/>
                <w:sz w:val="20"/>
              </w:rPr>
              <w:t>2026</w:t>
            </w:r>
          </w:p>
        </w:tc>
        <w:tc>
          <w:tcPr>
            <w:tcW w:w="655" w:type="pct"/>
            <w:vAlign w:val="center"/>
          </w:tcPr>
          <w:p w14:paraId="60EFA7B7" w14:textId="77777777" w:rsidR="00656AA8" w:rsidRPr="00D549BE" w:rsidRDefault="00656AA8" w:rsidP="00434248">
            <w:pPr>
              <w:jc w:val="center"/>
              <w:rPr>
                <w:noProof/>
                <w:sz w:val="20"/>
              </w:rPr>
            </w:pPr>
            <w:r w:rsidRPr="00D549BE">
              <w:rPr>
                <w:sz w:val="20"/>
              </w:rPr>
              <w:t xml:space="preserve">Année </w:t>
            </w:r>
            <w:r w:rsidRPr="00D549BE">
              <w:br/>
            </w:r>
            <w:r w:rsidRPr="00D549BE">
              <w:rPr>
                <w:b/>
                <w:sz w:val="20"/>
              </w:rPr>
              <w:t>2027</w:t>
            </w:r>
          </w:p>
        </w:tc>
        <w:tc>
          <w:tcPr>
            <w:tcW w:w="787" w:type="pct"/>
            <w:vAlign w:val="center"/>
          </w:tcPr>
          <w:p w14:paraId="65020B18" w14:textId="77777777" w:rsidR="00656AA8" w:rsidRPr="00D549BE" w:rsidRDefault="00656AA8" w:rsidP="00434248">
            <w:pPr>
              <w:spacing w:before="60" w:after="60"/>
              <w:jc w:val="center"/>
              <w:rPr>
                <w:noProof/>
                <w:sz w:val="20"/>
              </w:rPr>
            </w:pPr>
            <w:r w:rsidRPr="00D549BE">
              <w:rPr>
                <w:sz w:val="20"/>
              </w:rPr>
              <w:t>Total</w:t>
            </w:r>
          </w:p>
        </w:tc>
      </w:tr>
      <w:tr w:rsidR="00656AA8" w:rsidRPr="00D549BE" w14:paraId="10528C77" w14:textId="77777777" w:rsidTr="00434248">
        <w:trPr>
          <w:cantSplit/>
          <w:trHeight w:val="300"/>
        </w:trPr>
        <w:tc>
          <w:tcPr>
            <w:tcW w:w="1591" w:type="pct"/>
          </w:tcPr>
          <w:p w14:paraId="6850DAA5" w14:textId="77777777" w:rsidR="00656AA8" w:rsidRPr="00D549BE" w:rsidRDefault="00656AA8" w:rsidP="00434248">
            <w:pPr>
              <w:rPr>
                <w:noProof/>
              </w:rPr>
            </w:pPr>
            <w:r w:rsidRPr="00D549BE">
              <w:rPr>
                <w:sz w:val="20"/>
              </w:rPr>
              <w:t>Préciser l'organisme de cofinancement</w:t>
            </w:r>
            <w:r w:rsidRPr="00D549BE">
              <w:rPr>
                <w:i/>
                <w:sz w:val="20"/>
              </w:rPr>
              <w:t xml:space="preserve"> </w:t>
            </w:r>
          </w:p>
        </w:tc>
        <w:tc>
          <w:tcPr>
            <w:tcW w:w="655" w:type="pct"/>
            <w:vAlign w:val="center"/>
          </w:tcPr>
          <w:p w14:paraId="00E0C7F5" w14:textId="77777777" w:rsidR="00656AA8" w:rsidRPr="00D549BE" w:rsidRDefault="00656AA8" w:rsidP="00434248">
            <w:pPr>
              <w:spacing w:before="60" w:after="60"/>
              <w:jc w:val="center"/>
              <w:rPr>
                <w:noProof/>
                <w:sz w:val="20"/>
              </w:rPr>
            </w:pPr>
          </w:p>
        </w:tc>
        <w:tc>
          <w:tcPr>
            <w:tcW w:w="655" w:type="pct"/>
            <w:vAlign w:val="center"/>
          </w:tcPr>
          <w:p w14:paraId="4A63B794" w14:textId="77777777" w:rsidR="00656AA8" w:rsidRPr="00D549BE" w:rsidRDefault="00656AA8" w:rsidP="00434248">
            <w:pPr>
              <w:spacing w:before="60" w:after="60"/>
              <w:jc w:val="center"/>
              <w:rPr>
                <w:noProof/>
                <w:sz w:val="20"/>
              </w:rPr>
            </w:pPr>
          </w:p>
        </w:tc>
        <w:tc>
          <w:tcPr>
            <w:tcW w:w="655" w:type="pct"/>
            <w:vAlign w:val="center"/>
          </w:tcPr>
          <w:p w14:paraId="6E867DBC" w14:textId="77777777" w:rsidR="00656AA8" w:rsidRPr="00D549BE" w:rsidRDefault="00656AA8" w:rsidP="00434248">
            <w:pPr>
              <w:spacing w:before="60" w:after="60"/>
              <w:jc w:val="center"/>
              <w:rPr>
                <w:noProof/>
                <w:sz w:val="20"/>
              </w:rPr>
            </w:pPr>
          </w:p>
        </w:tc>
        <w:tc>
          <w:tcPr>
            <w:tcW w:w="655" w:type="pct"/>
            <w:vAlign w:val="center"/>
          </w:tcPr>
          <w:p w14:paraId="389279DA" w14:textId="77777777" w:rsidR="00656AA8" w:rsidRPr="00D549BE" w:rsidRDefault="00656AA8" w:rsidP="00434248">
            <w:pPr>
              <w:spacing w:before="60" w:after="60"/>
              <w:jc w:val="center"/>
              <w:rPr>
                <w:noProof/>
                <w:sz w:val="20"/>
              </w:rPr>
            </w:pPr>
          </w:p>
        </w:tc>
        <w:tc>
          <w:tcPr>
            <w:tcW w:w="787" w:type="pct"/>
            <w:vAlign w:val="center"/>
          </w:tcPr>
          <w:p w14:paraId="6659710A" w14:textId="77777777" w:rsidR="00656AA8" w:rsidRPr="00D549BE" w:rsidRDefault="00656AA8" w:rsidP="00434248">
            <w:pPr>
              <w:spacing w:before="60" w:after="60"/>
              <w:jc w:val="center"/>
              <w:rPr>
                <w:noProof/>
                <w:sz w:val="20"/>
              </w:rPr>
            </w:pPr>
          </w:p>
        </w:tc>
      </w:tr>
      <w:tr w:rsidR="00656AA8" w:rsidRPr="00D549BE" w14:paraId="63DD6458" w14:textId="77777777" w:rsidTr="00434248">
        <w:trPr>
          <w:cantSplit/>
          <w:trHeight w:val="300"/>
        </w:trPr>
        <w:tc>
          <w:tcPr>
            <w:tcW w:w="1591" w:type="pct"/>
          </w:tcPr>
          <w:p w14:paraId="49E3600F" w14:textId="77777777" w:rsidR="00656AA8" w:rsidRPr="00D549BE" w:rsidRDefault="00656AA8" w:rsidP="00434248">
            <w:pPr>
              <w:spacing w:before="60" w:after="60"/>
              <w:jc w:val="left"/>
              <w:rPr>
                <w:noProof/>
                <w:sz w:val="20"/>
              </w:rPr>
            </w:pPr>
            <w:r w:rsidRPr="00D549BE">
              <w:rPr>
                <w:sz w:val="20"/>
              </w:rPr>
              <w:t xml:space="preserve">TOTAL crédits cofinancés </w:t>
            </w:r>
          </w:p>
        </w:tc>
        <w:tc>
          <w:tcPr>
            <w:tcW w:w="655" w:type="pct"/>
            <w:vAlign w:val="center"/>
          </w:tcPr>
          <w:p w14:paraId="32E90D72" w14:textId="77777777" w:rsidR="00656AA8" w:rsidRPr="00D549BE" w:rsidRDefault="00656AA8" w:rsidP="00434248">
            <w:pPr>
              <w:spacing w:before="60" w:after="60"/>
              <w:jc w:val="center"/>
              <w:rPr>
                <w:noProof/>
                <w:sz w:val="20"/>
              </w:rPr>
            </w:pPr>
          </w:p>
        </w:tc>
        <w:tc>
          <w:tcPr>
            <w:tcW w:w="655" w:type="pct"/>
            <w:vAlign w:val="center"/>
          </w:tcPr>
          <w:p w14:paraId="31B59AC4" w14:textId="77777777" w:rsidR="00656AA8" w:rsidRPr="00D549BE" w:rsidRDefault="00656AA8" w:rsidP="00434248">
            <w:pPr>
              <w:spacing w:before="60" w:after="60"/>
              <w:jc w:val="center"/>
              <w:rPr>
                <w:noProof/>
                <w:sz w:val="20"/>
              </w:rPr>
            </w:pPr>
          </w:p>
        </w:tc>
        <w:tc>
          <w:tcPr>
            <w:tcW w:w="655" w:type="pct"/>
            <w:vAlign w:val="center"/>
          </w:tcPr>
          <w:p w14:paraId="1EFF2E91" w14:textId="77777777" w:rsidR="00656AA8" w:rsidRPr="00D549BE" w:rsidRDefault="00656AA8" w:rsidP="00434248">
            <w:pPr>
              <w:spacing w:before="60" w:after="60"/>
              <w:jc w:val="center"/>
              <w:rPr>
                <w:noProof/>
                <w:sz w:val="20"/>
              </w:rPr>
            </w:pPr>
          </w:p>
        </w:tc>
        <w:tc>
          <w:tcPr>
            <w:tcW w:w="655" w:type="pct"/>
            <w:vAlign w:val="center"/>
          </w:tcPr>
          <w:p w14:paraId="3EAA3097" w14:textId="77777777" w:rsidR="00656AA8" w:rsidRPr="00D549BE" w:rsidRDefault="00656AA8" w:rsidP="00434248">
            <w:pPr>
              <w:spacing w:before="60" w:after="60"/>
              <w:jc w:val="center"/>
              <w:rPr>
                <w:noProof/>
                <w:sz w:val="20"/>
              </w:rPr>
            </w:pPr>
          </w:p>
        </w:tc>
        <w:tc>
          <w:tcPr>
            <w:tcW w:w="787" w:type="pct"/>
            <w:vAlign w:val="center"/>
          </w:tcPr>
          <w:p w14:paraId="2216E860" w14:textId="77777777" w:rsidR="00656AA8" w:rsidRPr="00D549BE" w:rsidRDefault="00656AA8" w:rsidP="00434248">
            <w:pPr>
              <w:spacing w:before="60" w:after="60"/>
              <w:jc w:val="center"/>
              <w:rPr>
                <w:noProof/>
                <w:sz w:val="20"/>
              </w:rPr>
            </w:pPr>
          </w:p>
        </w:tc>
      </w:tr>
    </w:tbl>
    <w:p w14:paraId="3F5F6A05" w14:textId="77777777" w:rsidR="00656AA8" w:rsidRPr="00D549BE" w:rsidRDefault="00656AA8" w:rsidP="00656AA8">
      <w:pPr>
        <w:outlineLvl w:val="1"/>
        <w:rPr>
          <w:noProof/>
          <w:szCs w:val="24"/>
        </w:rPr>
      </w:pPr>
      <w:r w:rsidRPr="00D549BE">
        <w:t xml:space="preserve"> </w:t>
      </w:r>
      <w:r w:rsidRPr="00D549BE">
        <w:br/>
      </w:r>
      <w:bookmarkStart w:id="206" w:name="_Toc514938059"/>
      <w:bookmarkStart w:id="207" w:name="_Toc520485057"/>
      <w:bookmarkStart w:id="208" w:name="_Toc160804602"/>
      <w:bookmarkStart w:id="209" w:name="_Toc167220300"/>
      <w:bookmarkStart w:id="210" w:name="_Toc177549034"/>
      <w:bookmarkStart w:id="211" w:name="_Hlk166860179"/>
      <w:r w:rsidRPr="00D549BE">
        <w:t>3.3.</w:t>
      </w:r>
      <w:r w:rsidRPr="00D549BE">
        <w:tab/>
        <w:t>Incidence estimée sur les recettes</w:t>
      </w:r>
      <w:bookmarkEnd w:id="206"/>
      <w:bookmarkEnd w:id="207"/>
      <w:bookmarkEnd w:id="208"/>
      <w:bookmarkEnd w:id="209"/>
      <w:bookmarkEnd w:id="210"/>
      <w:r w:rsidRPr="00D549BE">
        <w:t xml:space="preserve"> </w:t>
      </w:r>
    </w:p>
    <w:bookmarkEnd w:id="211"/>
    <w:p w14:paraId="4A732ACA" w14:textId="77777777" w:rsidR="00656AA8" w:rsidRPr="00D549BE" w:rsidRDefault="005B7A05" w:rsidP="00656AA8">
      <w:pPr>
        <w:pStyle w:val="ListDash1"/>
        <w:rPr>
          <w:noProof/>
        </w:rPr>
      </w:pPr>
      <w:r w:rsidRPr="00D549BE">
        <w:rPr>
          <w:rFonts w:ascii="Wingdings" w:hAnsi="Wingdings"/>
        </w:rPr>
        <w:t></w:t>
      </w:r>
      <w:r w:rsidRPr="00D549BE">
        <w:tab/>
        <w:t>La proposition/l’initiative est sans incidence financière sur les recettes.</w:t>
      </w:r>
    </w:p>
    <w:p w14:paraId="3F3D7394" w14:textId="77777777" w:rsidR="00656AA8" w:rsidRPr="00D549BE" w:rsidRDefault="005B7A05" w:rsidP="00656AA8">
      <w:pPr>
        <w:pStyle w:val="ListDash1"/>
        <w:rPr>
          <w:noProof/>
        </w:rPr>
      </w:pPr>
      <w:r w:rsidRPr="00D549BE">
        <w:rPr>
          <w:rFonts w:ascii="Wingdings" w:hAnsi="Wingdings"/>
        </w:rPr>
        <w:t></w:t>
      </w:r>
      <w:r w:rsidRPr="00D549BE">
        <w:tab/>
        <w:t>La proposition/l’initiative a une incidence financière décrite ci‑après:</w:t>
      </w:r>
    </w:p>
    <w:p w14:paraId="3387D9B2" w14:textId="77777777" w:rsidR="00656AA8" w:rsidRPr="00D549BE" w:rsidRDefault="00656AA8" w:rsidP="00656AA8">
      <w:pPr>
        <w:pStyle w:val="ListNumberLevel3"/>
        <w:rPr>
          <w:noProof/>
        </w:rPr>
      </w:pPr>
      <w:r w:rsidRPr="00D549BE">
        <w:rPr>
          <w:rFonts w:ascii="Wingdings" w:hAnsi="Wingdings"/>
        </w:rPr>
        <w:t></w:t>
      </w:r>
      <w:r w:rsidRPr="00D549BE">
        <w:tab/>
        <w:t xml:space="preserve">sur les ressources propres </w:t>
      </w:r>
    </w:p>
    <w:p w14:paraId="7DB74ED6" w14:textId="77777777" w:rsidR="00656AA8" w:rsidRPr="00D549BE" w:rsidRDefault="00656AA8" w:rsidP="00656AA8">
      <w:pPr>
        <w:pStyle w:val="ListNumberLevel3"/>
        <w:rPr>
          <w:noProof/>
        </w:rPr>
      </w:pPr>
      <w:r w:rsidRPr="00D549BE">
        <w:rPr>
          <w:rFonts w:ascii="Wingdings" w:hAnsi="Wingdings"/>
        </w:rPr>
        <w:t></w:t>
      </w:r>
      <w:r w:rsidRPr="00D549BE">
        <w:tab/>
        <w:t>sur les autres recettes</w:t>
      </w:r>
    </w:p>
    <w:p w14:paraId="7C586B63" w14:textId="77777777" w:rsidR="00656AA8" w:rsidRPr="00D549BE" w:rsidRDefault="00656AA8" w:rsidP="00656AA8">
      <w:pPr>
        <w:pStyle w:val="ListNumberLevel3"/>
        <w:rPr>
          <w:noProof/>
        </w:rPr>
      </w:pPr>
      <w:r w:rsidRPr="00D549BE">
        <w:rPr>
          <w:rFonts w:ascii="Wingdings" w:hAnsi="Wingdings"/>
        </w:rPr>
        <w:t></w:t>
      </w:r>
      <w:r w:rsidRPr="00D549BE">
        <w:tab/>
        <w:t>veuillez indiquer si les recettes sont affectées à des lignes de dépenses</w:t>
      </w:r>
    </w:p>
    <w:p w14:paraId="671CBAB6" w14:textId="77777777" w:rsidR="00656AA8" w:rsidRPr="00D549BE" w:rsidRDefault="00656AA8" w:rsidP="00656AA8">
      <w:pPr>
        <w:jc w:val="right"/>
        <w:rPr>
          <w:noProof/>
          <w:sz w:val="20"/>
        </w:rPr>
      </w:pPr>
      <w:r w:rsidRPr="00D549BE">
        <w:rPr>
          <w:sz w:val="20"/>
        </w:rPr>
        <w:t xml:space="preserve">     En Mio EUR (à la 3</w:t>
      </w:r>
      <w:r w:rsidRPr="00D549BE">
        <w:rPr>
          <w:sz w:val="20"/>
          <w:vertAlign w:val="superscript"/>
        </w:rPr>
        <w:t>e</w:t>
      </w:r>
      <w:r w:rsidRPr="00D549BE">
        <w:rPr>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656AA8" w:rsidRPr="00D549BE" w14:paraId="0C531551" w14:textId="77777777" w:rsidTr="00434248">
        <w:trPr>
          <w:trHeight w:val="388"/>
        </w:trPr>
        <w:tc>
          <w:tcPr>
            <w:tcW w:w="1423" w:type="pct"/>
            <w:vMerge w:val="restart"/>
            <w:vAlign w:val="center"/>
          </w:tcPr>
          <w:p w14:paraId="5433BACC" w14:textId="77777777" w:rsidR="00656AA8" w:rsidRPr="00D549BE" w:rsidRDefault="00656AA8" w:rsidP="00434248">
            <w:pPr>
              <w:spacing w:before="40" w:after="40"/>
              <w:rPr>
                <w:noProof/>
                <w:sz w:val="18"/>
              </w:rPr>
            </w:pPr>
            <w:r w:rsidRPr="00D549BE">
              <w:rPr>
                <w:sz w:val="18"/>
              </w:rPr>
              <w:t>Ligne budgétaire de recettes:</w:t>
            </w:r>
          </w:p>
        </w:tc>
        <w:tc>
          <w:tcPr>
            <w:tcW w:w="869" w:type="pct"/>
            <w:vMerge w:val="restart"/>
            <w:vAlign w:val="center"/>
          </w:tcPr>
          <w:p w14:paraId="5F92066A" w14:textId="77777777" w:rsidR="00656AA8" w:rsidRPr="00D549BE" w:rsidRDefault="00656AA8" w:rsidP="00434248">
            <w:pPr>
              <w:jc w:val="center"/>
              <w:rPr>
                <w:noProof/>
                <w:sz w:val="18"/>
              </w:rPr>
            </w:pPr>
            <w:r w:rsidRPr="00D549BE">
              <w:rPr>
                <w:sz w:val="18"/>
              </w:rPr>
              <w:t>Montants inscrits pour l'exercice en cours</w:t>
            </w:r>
          </w:p>
        </w:tc>
        <w:tc>
          <w:tcPr>
            <w:tcW w:w="2709" w:type="pct"/>
            <w:gridSpan w:val="4"/>
            <w:vAlign w:val="center"/>
          </w:tcPr>
          <w:p w14:paraId="000CF657" w14:textId="77777777" w:rsidR="00656AA8" w:rsidRPr="00D549BE" w:rsidRDefault="00656AA8" w:rsidP="00434248">
            <w:pPr>
              <w:jc w:val="center"/>
              <w:rPr>
                <w:noProof/>
                <w:sz w:val="18"/>
              </w:rPr>
            </w:pPr>
            <w:r w:rsidRPr="00D549BE">
              <w:rPr>
                <w:sz w:val="18"/>
              </w:rPr>
              <w:t>Incidence de la proposition/de l’initiative</w:t>
            </w:r>
            <w:r w:rsidRPr="00D549BE">
              <w:rPr>
                <w:rStyle w:val="FootnoteReference"/>
                <w:noProof/>
                <w:sz w:val="18"/>
                <w:szCs w:val="18"/>
              </w:rPr>
              <w:footnoteReference w:id="41"/>
            </w:r>
          </w:p>
        </w:tc>
      </w:tr>
      <w:tr w:rsidR="00656AA8" w:rsidRPr="00D549BE" w14:paraId="5F0AC9E8" w14:textId="77777777" w:rsidTr="00434248">
        <w:trPr>
          <w:trHeight w:val="388"/>
        </w:trPr>
        <w:tc>
          <w:tcPr>
            <w:tcW w:w="1423" w:type="pct"/>
            <w:vMerge/>
          </w:tcPr>
          <w:p w14:paraId="6A657042" w14:textId="77777777" w:rsidR="00656AA8" w:rsidRPr="00D549BE" w:rsidRDefault="00656AA8" w:rsidP="00434248">
            <w:pPr>
              <w:spacing w:before="40" w:after="40"/>
              <w:rPr>
                <w:noProof/>
                <w:sz w:val="18"/>
              </w:rPr>
            </w:pPr>
          </w:p>
        </w:tc>
        <w:tc>
          <w:tcPr>
            <w:tcW w:w="869" w:type="pct"/>
            <w:vMerge/>
          </w:tcPr>
          <w:p w14:paraId="50908570" w14:textId="77777777" w:rsidR="00656AA8" w:rsidRPr="00D549BE" w:rsidRDefault="00656AA8" w:rsidP="00434248">
            <w:pPr>
              <w:spacing w:beforeLines="40" w:before="96" w:afterLines="40" w:after="96"/>
              <w:rPr>
                <w:i/>
                <w:noProof/>
                <w:sz w:val="18"/>
              </w:rPr>
            </w:pPr>
          </w:p>
        </w:tc>
        <w:tc>
          <w:tcPr>
            <w:tcW w:w="911" w:type="pct"/>
            <w:vAlign w:val="center"/>
          </w:tcPr>
          <w:p w14:paraId="535BEBCF" w14:textId="77777777" w:rsidR="00656AA8" w:rsidRPr="00D549BE" w:rsidRDefault="00656AA8" w:rsidP="00434248">
            <w:pPr>
              <w:jc w:val="center"/>
              <w:rPr>
                <w:noProof/>
                <w:sz w:val="18"/>
              </w:rPr>
            </w:pPr>
            <w:r w:rsidRPr="00D549BE">
              <w:rPr>
                <w:sz w:val="18"/>
              </w:rPr>
              <w:t xml:space="preserve">Année </w:t>
            </w:r>
            <w:r w:rsidRPr="00D549BE">
              <w:rPr>
                <w:b/>
                <w:sz w:val="18"/>
              </w:rPr>
              <w:t>2024</w:t>
            </w:r>
          </w:p>
        </w:tc>
        <w:tc>
          <w:tcPr>
            <w:tcW w:w="562" w:type="pct"/>
            <w:vAlign w:val="center"/>
          </w:tcPr>
          <w:p w14:paraId="0872410A" w14:textId="77777777" w:rsidR="00656AA8" w:rsidRPr="00D549BE" w:rsidRDefault="00656AA8" w:rsidP="00434248">
            <w:pPr>
              <w:jc w:val="center"/>
              <w:rPr>
                <w:noProof/>
                <w:sz w:val="18"/>
              </w:rPr>
            </w:pPr>
            <w:r w:rsidRPr="00D549BE">
              <w:rPr>
                <w:sz w:val="18"/>
              </w:rPr>
              <w:t xml:space="preserve">Année </w:t>
            </w:r>
            <w:r w:rsidRPr="00D549BE">
              <w:rPr>
                <w:b/>
                <w:sz w:val="18"/>
              </w:rPr>
              <w:t>2025</w:t>
            </w:r>
          </w:p>
        </w:tc>
        <w:tc>
          <w:tcPr>
            <w:tcW w:w="557" w:type="pct"/>
            <w:vAlign w:val="center"/>
          </w:tcPr>
          <w:p w14:paraId="2235D222" w14:textId="77777777" w:rsidR="00656AA8" w:rsidRPr="00D549BE" w:rsidRDefault="00656AA8" w:rsidP="00434248">
            <w:pPr>
              <w:jc w:val="center"/>
              <w:rPr>
                <w:noProof/>
                <w:sz w:val="18"/>
              </w:rPr>
            </w:pPr>
            <w:r w:rsidRPr="00D549BE">
              <w:rPr>
                <w:sz w:val="18"/>
              </w:rPr>
              <w:t xml:space="preserve">Année </w:t>
            </w:r>
            <w:r w:rsidRPr="00D549BE">
              <w:rPr>
                <w:b/>
                <w:sz w:val="18"/>
              </w:rPr>
              <w:t>2026</w:t>
            </w:r>
          </w:p>
        </w:tc>
        <w:tc>
          <w:tcPr>
            <w:tcW w:w="679" w:type="pct"/>
            <w:vAlign w:val="center"/>
          </w:tcPr>
          <w:p w14:paraId="05CB305B" w14:textId="77777777" w:rsidR="00656AA8" w:rsidRPr="00D549BE" w:rsidRDefault="00656AA8" w:rsidP="00434248">
            <w:pPr>
              <w:jc w:val="center"/>
              <w:rPr>
                <w:noProof/>
                <w:sz w:val="18"/>
              </w:rPr>
            </w:pPr>
            <w:r w:rsidRPr="00D549BE">
              <w:rPr>
                <w:sz w:val="18"/>
              </w:rPr>
              <w:t xml:space="preserve">Année </w:t>
            </w:r>
            <w:r w:rsidRPr="00D549BE">
              <w:rPr>
                <w:b/>
                <w:sz w:val="18"/>
              </w:rPr>
              <w:t>2027</w:t>
            </w:r>
          </w:p>
        </w:tc>
      </w:tr>
      <w:tr w:rsidR="00656AA8" w:rsidRPr="00D549BE" w14:paraId="6058232F" w14:textId="77777777" w:rsidTr="00434248">
        <w:trPr>
          <w:trHeight w:val="388"/>
        </w:trPr>
        <w:tc>
          <w:tcPr>
            <w:tcW w:w="1423" w:type="pct"/>
            <w:vAlign w:val="center"/>
          </w:tcPr>
          <w:p w14:paraId="3BF0A19F" w14:textId="77777777" w:rsidR="00656AA8" w:rsidRPr="00D549BE" w:rsidRDefault="005B7A05" w:rsidP="00434248">
            <w:pPr>
              <w:spacing w:before="40" w:after="40"/>
              <w:rPr>
                <w:noProof/>
                <w:sz w:val="18"/>
                <w:szCs w:val="18"/>
              </w:rPr>
            </w:pPr>
            <w:r w:rsidRPr="00D549BE">
              <w:rPr>
                <w:sz w:val="18"/>
              </w:rPr>
              <w:t>Ligne budgétaire</w:t>
            </w:r>
          </w:p>
        </w:tc>
        <w:tc>
          <w:tcPr>
            <w:tcW w:w="869" w:type="pct"/>
          </w:tcPr>
          <w:p w14:paraId="19753086" w14:textId="77777777" w:rsidR="00656AA8" w:rsidRPr="00D549BE" w:rsidRDefault="00656AA8" w:rsidP="00434248">
            <w:pPr>
              <w:spacing w:beforeLines="40" w:before="96" w:afterLines="40" w:after="96"/>
              <w:jc w:val="center"/>
              <w:rPr>
                <w:i/>
                <w:noProof/>
                <w:sz w:val="18"/>
              </w:rPr>
            </w:pPr>
          </w:p>
        </w:tc>
        <w:tc>
          <w:tcPr>
            <w:tcW w:w="911" w:type="pct"/>
          </w:tcPr>
          <w:p w14:paraId="3FD33D67" w14:textId="77777777" w:rsidR="00656AA8" w:rsidRPr="00D549BE" w:rsidRDefault="00656AA8" w:rsidP="00434248">
            <w:pPr>
              <w:spacing w:beforeLines="40" w:before="96" w:afterLines="40" w:after="96"/>
              <w:jc w:val="center"/>
              <w:rPr>
                <w:noProof/>
                <w:sz w:val="18"/>
              </w:rPr>
            </w:pPr>
          </w:p>
        </w:tc>
        <w:tc>
          <w:tcPr>
            <w:tcW w:w="562" w:type="pct"/>
          </w:tcPr>
          <w:p w14:paraId="25E75F27" w14:textId="77777777" w:rsidR="00656AA8" w:rsidRPr="00D549BE" w:rsidRDefault="00656AA8" w:rsidP="00434248">
            <w:pPr>
              <w:spacing w:beforeLines="40" w:before="96" w:afterLines="40" w:after="96"/>
              <w:jc w:val="center"/>
              <w:rPr>
                <w:noProof/>
                <w:sz w:val="18"/>
              </w:rPr>
            </w:pPr>
          </w:p>
        </w:tc>
        <w:tc>
          <w:tcPr>
            <w:tcW w:w="557" w:type="pct"/>
          </w:tcPr>
          <w:p w14:paraId="383A20A1" w14:textId="77777777" w:rsidR="00656AA8" w:rsidRPr="00D549BE" w:rsidRDefault="00656AA8" w:rsidP="00434248">
            <w:pPr>
              <w:spacing w:beforeLines="40" w:before="96" w:afterLines="40" w:after="96"/>
              <w:jc w:val="center"/>
              <w:rPr>
                <w:noProof/>
                <w:sz w:val="18"/>
              </w:rPr>
            </w:pPr>
          </w:p>
        </w:tc>
        <w:tc>
          <w:tcPr>
            <w:tcW w:w="679" w:type="pct"/>
          </w:tcPr>
          <w:p w14:paraId="29028294" w14:textId="77777777" w:rsidR="00656AA8" w:rsidRPr="00D549BE" w:rsidRDefault="00656AA8" w:rsidP="00434248">
            <w:pPr>
              <w:spacing w:beforeLines="40" w:before="96" w:afterLines="40" w:after="96"/>
              <w:jc w:val="center"/>
              <w:rPr>
                <w:noProof/>
                <w:sz w:val="18"/>
              </w:rPr>
            </w:pPr>
          </w:p>
        </w:tc>
      </w:tr>
    </w:tbl>
    <w:p w14:paraId="304A9D7D" w14:textId="77777777" w:rsidR="00656AA8" w:rsidRPr="00D549BE" w:rsidRDefault="00656AA8" w:rsidP="00656AA8">
      <w:pPr>
        <w:pStyle w:val="Text1"/>
        <w:rPr>
          <w:noProof/>
          <w:szCs w:val="24"/>
        </w:rPr>
      </w:pPr>
      <w:r w:rsidRPr="00D549BE">
        <w:t>Pour les recettes affectées, préciser la(les) ligne(s) budgétaire(s) de dépenses concernée(s).</w:t>
      </w:r>
    </w:p>
    <w:p w14:paraId="39888EF7" w14:textId="77777777" w:rsidR="00656AA8" w:rsidRPr="00D549BE" w:rsidRDefault="00656AA8" w:rsidP="00656AA8">
      <w:pPr>
        <w:pStyle w:val="Text1"/>
        <w:pBdr>
          <w:top w:val="single" w:sz="4" w:space="1" w:color="auto"/>
          <w:left w:val="single" w:sz="4" w:space="4" w:color="auto"/>
          <w:bottom w:val="single" w:sz="4" w:space="1" w:color="auto"/>
          <w:right w:val="single" w:sz="4" w:space="4" w:color="auto"/>
        </w:pBdr>
        <w:rPr>
          <w:noProof/>
        </w:rPr>
      </w:pPr>
    </w:p>
    <w:p w14:paraId="46E1694E" w14:textId="77777777" w:rsidR="00656AA8" w:rsidRPr="00D549BE" w:rsidRDefault="00656AA8" w:rsidP="00656AA8">
      <w:pPr>
        <w:pStyle w:val="Text1"/>
        <w:rPr>
          <w:noProof/>
          <w:szCs w:val="24"/>
        </w:rPr>
      </w:pPr>
      <w:r w:rsidRPr="00D549BE">
        <w:t>Autres remarques (relatives par exemple à la méthode/formule utilisée pour le calcul de l’incidence sur les recettes ou toute autre information).</w:t>
      </w:r>
    </w:p>
    <w:p w14:paraId="5091AB6E" w14:textId="77777777" w:rsidR="00656AA8" w:rsidRPr="00D549BE" w:rsidRDefault="00656AA8" w:rsidP="00656AA8">
      <w:pPr>
        <w:pStyle w:val="Text1"/>
        <w:pBdr>
          <w:top w:val="single" w:sz="4" w:space="1" w:color="auto"/>
          <w:left w:val="single" w:sz="4" w:space="4" w:color="auto"/>
          <w:bottom w:val="single" w:sz="4" w:space="1" w:color="auto"/>
          <w:right w:val="single" w:sz="4" w:space="4" w:color="auto"/>
        </w:pBdr>
        <w:rPr>
          <w:noProof/>
        </w:rPr>
      </w:pPr>
    </w:p>
    <w:p w14:paraId="7F6A697B" w14:textId="77777777" w:rsidR="00760DBB" w:rsidRPr="00D549BE" w:rsidRDefault="00760DBB" w:rsidP="00656AA8">
      <w:pPr>
        <w:pStyle w:val="ManualHeading1"/>
        <w:rPr>
          <w:caps/>
          <w:noProof/>
        </w:rPr>
      </w:pPr>
      <w:r w:rsidRPr="00D549BE">
        <w:t>4.</w:t>
      </w:r>
      <w:r w:rsidRPr="00D549BE">
        <w:tab/>
      </w:r>
      <w:bookmarkStart w:id="212" w:name="_Hlk167692977"/>
      <w:r w:rsidRPr="00D549BE">
        <w:rPr>
          <w:caps/>
        </w:rPr>
        <w:t>Dimensions numériques</w:t>
      </w:r>
      <w:bookmarkEnd w:id="146"/>
      <w:bookmarkEnd w:id="147"/>
    </w:p>
    <w:p w14:paraId="305DA1AD" w14:textId="77777777" w:rsidR="00760DBB" w:rsidRPr="00D549BE" w:rsidRDefault="00760DBB" w:rsidP="00760DBB">
      <w:pPr>
        <w:pStyle w:val="ManualHeading2"/>
        <w:rPr>
          <w:noProof/>
        </w:rPr>
      </w:pPr>
      <w:bookmarkStart w:id="213" w:name="_Toc167220302"/>
      <w:bookmarkStart w:id="214" w:name="_Toc177549037"/>
      <w:r w:rsidRPr="00D549BE">
        <w:t>4.1.</w:t>
      </w:r>
      <w:r w:rsidRPr="00D549BE">
        <w:tab/>
        <w:t>Exigences pertinentes en matière numérique</w:t>
      </w:r>
      <w:bookmarkEnd w:id="213"/>
      <w:bookmarkEnd w:id="214"/>
    </w:p>
    <w:tbl>
      <w:tblPr>
        <w:tblStyle w:val="TableGrid"/>
        <w:tblW w:w="9072" w:type="dxa"/>
        <w:tblInd w:w="-5" w:type="dxa"/>
        <w:tblLayout w:type="fixed"/>
        <w:tblLook w:val="06A0" w:firstRow="1" w:lastRow="0" w:firstColumn="1" w:lastColumn="0" w:noHBand="1" w:noVBand="1"/>
      </w:tblPr>
      <w:tblGrid>
        <w:gridCol w:w="9072"/>
      </w:tblGrid>
      <w:tr w:rsidR="00760DBB" w:rsidRPr="00D549BE" w14:paraId="6A0B0790" w14:textId="77777777" w:rsidTr="00EF7FD0">
        <w:trPr>
          <w:trHeight w:val="300"/>
        </w:trPr>
        <w:tc>
          <w:tcPr>
            <w:tcW w:w="9072" w:type="dxa"/>
          </w:tcPr>
          <w:p w14:paraId="1310256B" w14:textId="77777777" w:rsidR="00760DBB" w:rsidRPr="00D549BE" w:rsidRDefault="00760DBB" w:rsidP="00EF7FD0">
            <w:pPr>
              <w:rPr>
                <w:noProof/>
              </w:rPr>
            </w:pPr>
            <w:r w:rsidRPr="00D549BE">
              <w:t xml:space="preserve">L’initiative apporte un soutien à un pays tiers et n’établit pas de nouveaux services publics numériques à l’échelle de l’UE pour des personnes physiques ou morales au sein de l’Union. Toutefois, le prêt de soutien à l’Ukraine est soutenu par des éléments numériques. En effet, la gestion de l’assistance financière, le soutien aux capacités industrielles dans le domaine de la défense et les initiatives de prêt nécessitent l’échange, la vérification et le stockage d’informations et leur fourniture au Conseil et au Parlement européen, s’il y a lieu. </w:t>
            </w:r>
          </w:p>
          <w:p w14:paraId="6D783CDB" w14:textId="77777777" w:rsidR="00760DBB" w:rsidRPr="00D549BE" w:rsidRDefault="00760DBB" w:rsidP="00EF7FD0">
            <w:pPr>
              <w:rPr>
                <w:noProof/>
              </w:rPr>
            </w:pPr>
            <w:r w:rsidRPr="00D549BE">
              <w:rPr>
                <w:b/>
              </w:rPr>
              <w:t>Exigence 1</w:t>
            </w:r>
            <w:r w:rsidRPr="00D549BE">
              <w:t xml:space="preserve"> – Processus numériques pour le financement et la mise en œuvre (chapitre V et, en particulier, article 26)</w:t>
            </w:r>
          </w:p>
          <w:p w14:paraId="38C3863C" w14:textId="77777777" w:rsidR="00760DBB" w:rsidRPr="00D549BE" w:rsidRDefault="00760DBB" w:rsidP="00EF7FD0">
            <w:pPr>
              <w:rPr>
                <w:noProof/>
              </w:rPr>
            </w:pPr>
            <w:r w:rsidRPr="00D549BE">
              <w:rPr>
                <w:b/>
              </w:rPr>
              <w:t>Description</w:t>
            </w:r>
            <w:r w:rsidRPr="00D549BE">
              <w:t>: transmission, de manière électronique, de rapports, de déclarations ou de pièces justificatives au moyen de canaux sécurisés et de systèmes de la Commission pour les procédures telles que les demandes, les vérifications, les décisions d’exécution ou les décaissements.</w:t>
            </w:r>
          </w:p>
          <w:p w14:paraId="40017C32" w14:textId="77777777" w:rsidR="00760DBB" w:rsidRPr="00D549BE" w:rsidRDefault="00760DBB" w:rsidP="00EF7FD0">
            <w:pPr>
              <w:rPr>
                <w:noProof/>
              </w:rPr>
            </w:pPr>
            <w:r w:rsidRPr="00D549BE">
              <w:rPr>
                <w:b/>
              </w:rPr>
              <w:t>Parties prenantes</w:t>
            </w:r>
            <w:r w:rsidRPr="00D549BE">
              <w:t>: Services de la Commission et Conseil; autorités bénéficiaires et SEAE pour le suivi des conditions préalables définies à l’article 5.</w:t>
            </w:r>
          </w:p>
          <w:p w14:paraId="1406602F" w14:textId="77777777" w:rsidR="00760DBB" w:rsidRPr="00D549BE" w:rsidRDefault="00760DBB" w:rsidP="00EF7FD0">
            <w:pPr>
              <w:rPr>
                <w:noProof/>
              </w:rPr>
            </w:pPr>
            <w:r w:rsidRPr="00D549BE">
              <w:rPr>
                <w:b/>
              </w:rPr>
              <w:t>Processus</w:t>
            </w:r>
            <w:r w:rsidRPr="00D549BE">
              <w:t>: rapports, suivi, gestion financière, échange d'informations.</w:t>
            </w:r>
          </w:p>
          <w:p w14:paraId="53A4B2A1" w14:textId="77777777" w:rsidR="00760DBB" w:rsidRPr="00D549BE" w:rsidRDefault="00760DBB" w:rsidP="00EF7FD0">
            <w:pPr>
              <w:rPr>
                <w:noProof/>
              </w:rPr>
            </w:pPr>
          </w:p>
          <w:p w14:paraId="7065B63C" w14:textId="77777777" w:rsidR="00760DBB" w:rsidRPr="00D549BE" w:rsidRDefault="00760DBB" w:rsidP="00EF7FD0">
            <w:pPr>
              <w:rPr>
                <w:noProof/>
              </w:rPr>
            </w:pPr>
            <w:r w:rsidRPr="00D549BE">
              <w:rPr>
                <w:b/>
              </w:rPr>
              <w:t>Exigence 2</w:t>
            </w:r>
            <w:r w:rsidRPr="00D549BE">
              <w:t xml:space="preserve"> – Administration de l’assistance visant à soutenir les capacités industrielles dans le domaine de la défense (chapitre IV, en particulier article 16)</w:t>
            </w:r>
          </w:p>
          <w:p w14:paraId="090CFD48" w14:textId="77777777" w:rsidR="00760DBB" w:rsidRPr="00D549BE" w:rsidRDefault="00760DBB" w:rsidP="00EF7FD0">
            <w:pPr>
              <w:rPr>
                <w:noProof/>
              </w:rPr>
            </w:pPr>
            <w:r w:rsidRPr="00D549BE">
              <w:rPr>
                <w:b/>
              </w:rPr>
              <w:t>Description</w:t>
            </w:r>
            <w:r w:rsidRPr="00D549BE">
              <w:t>: les autorités bénéficiaires doivent transmettre des documents numériques démontrant les progrès accomplis en ce qui concerne les capacités industrielles soutenues dans le domaine de la défense, suivant les modèles-types de la Commission permettant une vérification automatisée.</w:t>
            </w:r>
          </w:p>
          <w:p w14:paraId="525D72C5" w14:textId="77777777" w:rsidR="00760DBB" w:rsidRPr="00D549BE" w:rsidRDefault="00760DBB" w:rsidP="00EF7FD0">
            <w:pPr>
              <w:rPr>
                <w:noProof/>
              </w:rPr>
            </w:pPr>
            <w:r w:rsidRPr="00D549BE">
              <w:rPr>
                <w:b/>
              </w:rPr>
              <w:t>Parties prenantes</w:t>
            </w:r>
            <w:r w:rsidRPr="00D549BE">
              <w:t>: autorités bénéficiaires; services de la Commission.</w:t>
            </w:r>
          </w:p>
          <w:p w14:paraId="6608D192" w14:textId="77777777" w:rsidR="00760DBB" w:rsidRPr="00D549BE" w:rsidRDefault="00760DBB" w:rsidP="00EF7FD0">
            <w:pPr>
              <w:rPr>
                <w:noProof/>
              </w:rPr>
            </w:pPr>
            <w:r w:rsidRPr="00D549BE">
              <w:rPr>
                <w:b/>
              </w:rPr>
              <w:t>Processus</w:t>
            </w:r>
            <w:r w:rsidRPr="00D549BE">
              <w:t>: suivi de la mise en œuvre et validation des marchés publics conformément au règlement.</w:t>
            </w:r>
          </w:p>
          <w:p w14:paraId="7B5CBE5A" w14:textId="77777777" w:rsidR="00760DBB" w:rsidRPr="00D549BE" w:rsidRDefault="00760DBB" w:rsidP="00EF7FD0">
            <w:pPr>
              <w:rPr>
                <w:noProof/>
              </w:rPr>
            </w:pPr>
          </w:p>
          <w:p w14:paraId="2FFF8D9D" w14:textId="77777777" w:rsidR="00760DBB" w:rsidRPr="00D549BE" w:rsidRDefault="00760DBB" w:rsidP="00EF7FD0">
            <w:pPr>
              <w:rPr>
                <w:noProof/>
              </w:rPr>
            </w:pPr>
            <w:r w:rsidRPr="00D549BE">
              <w:rPr>
                <w:b/>
              </w:rPr>
              <w:t>R3</w:t>
            </w:r>
            <w:r w:rsidRPr="00D549BE">
              <w:t xml:space="preserve"> – Échanges avec le Parlement européen et le Conseil, y compris d’informations pertinentes pour l’audit (en particulier chapitre VI, articles 28 et 29) </w:t>
            </w:r>
          </w:p>
          <w:p w14:paraId="79E890E1" w14:textId="77777777" w:rsidR="00760DBB" w:rsidRPr="00D549BE" w:rsidRDefault="00760DBB" w:rsidP="00EF7FD0">
            <w:pPr>
              <w:rPr>
                <w:noProof/>
              </w:rPr>
            </w:pPr>
            <w:r w:rsidRPr="00D549BE">
              <w:rPr>
                <w:b/>
              </w:rPr>
              <w:t>Description</w:t>
            </w:r>
            <w:r w:rsidRPr="00D549BE">
              <w:t xml:space="preserve">: la Commission doit, au besoin, fournir au Parlement européen et au Conseil les rapports et les informations sensibles via des systèmes sécurisés. </w:t>
            </w:r>
            <w:r w:rsidRPr="00D549BE">
              <w:br/>
            </w:r>
            <w:r w:rsidRPr="00D549BE">
              <w:rPr>
                <w:b/>
              </w:rPr>
              <w:t>Parties prenantes</w:t>
            </w:r>
            <w:r w:rsidRPr="00D549BE">
              <w:t xml:space="preserve">: services de la Commission; Parlement européen; Conseil; autorités bénéficiaires (en amont). </w:t>
            </w:r>
            <w:r w:rsidRPr="00D549BE">
              <w:br/>
            </w:r>
            <w:r w:rsidRPr="00D549BE">
              <w:rPr>
                <w:b/>
              </w:rPr>
              <w:t>Processus</w:t>
            </w:r>
            <w:r w:rsidRPr="00D549BE">
              <w:t>: établissement de rapports; échange d’informations d’audit; transmission de documents classifiés/sensibles.</w:t>
            </w:r>
          </w:p>
        </w:tc>
      </w:tr>
    </w:tbl>
    <w:p w14:paraId="442E1B05" w14:textId="77777777" w:rsidR="00760DBB" w:rsidRPr="00D549BE" w:rsidRDefault="00760DBB" w:rsidP="00760DBB">
      <w:pPr>
        <w:pStyle w:val="ManualHeading2"/>
        <w:rPr>
          <w:noProof/>
        </w:rPr>
      </w:pPr>
      <w:bookmarkStart w:id="215" w:name="_Toc167220303"/>
      <w:bookmarkStart w:id="216" w:name="_Toc177549038"/>
      <w:r w:rsidRPr="00D549BE">
        <w:t>4.2.</w:t>
      </w:r>
      <w:r w:rsidRPr="00D549BE">
        <w:tab/>
        <w:t>Données</w:t>
      </w:r>
      <w:bookmarkEnd w:id="215"/>
      <w:bookmarkEnd w:id="216"/>
    </w:p>
    <w:tbl>
      <w:tblPr>
        <w:tblStyle w:val="TableGrid"/>
        <w:tblW w:w="0" w:type="auto"/>
        <w:tblLook w:val="04A0" w:firstRow="1" w:lastRow="0" w:firstColumn="1" w:lastColumn="0" w:noHBand="0" w:noVBand="1"/>
      </w:tblPr>
      <w:tblGrid>
        <w:gridCol w:w="9063"/>
      </w:tblGrid>
      <w:tr w:rsidR="00760DBB" w:rsidRPr="00D549BE" w14:paraId="74C21A91" w14:textId="77777777" w:rsidTr="00EF7FD0">
        <w:tc>
          <w:tcPr>
            <w:tcW w:w="9063" w:type="dxa"/>
          </w:tcPr>
          <w:p w14:paraId="37CF6463" w14:textId="77777777" w:rsidR="00760DBB" w:rsidRPr="00D549BE" w:rsidRDefault="00760DBB" w:rsidP="00EF7FD0">
            <w:pPr>
              <w:rPr>
                <w:noProof/>
              </w:rPr>
            </w:pPr>
            <w:r w:rsidRPr="00D549BE">
              <w:t>Pour les exigences 1 à 3, les données comprennent des chiffres financiers, des documents relatifs aux décaissements, des données sur les capacités industrielles dans le domaine de la défense et d’autres informations (y compris des documents potentiellement sensibles/classifiés).</w:t>
            </w:r>
          </w:p>
          <w:p w14:paraId="2A4AEE14" w14:textId="77777777" w:rsidR="00760DBB" w:rsidRPr="00D549BE" w:rsidRDefault="00760DBB" w:rsidP="00EF7FD0">
            <w:pPr>
              <w:rPr>
                <w:noProof/>
              </w:rPr>
            </w:pPr>
            <w:r w:rsidRPr="00D549BE">
              <w:t>Les échanges de données sont liés à une finalité bien précise, minimaux, interopérables et réalisés au moyen des systèmes sécurisés existants de l’UE, évitent la duplication de la collecte de données et sont alignés sur la stratégie européenne pour les données.</w:t>
            </w:r>
          </w:p>
          <w:p w14:paraId="179C2D04" w14:textId="77777777" w:rsidR="00760DBB" w:rsidRPr="00D549BE" w:rsidRDefault="00760DBB" w:rsidP="00EF7FD0">
            <w:pPr>
              <w:rPr>
                <w:noProof/>
              </w:rPr>
            </w:pPr>
            <w:r w:rsidRPr="00D549BE">
              <w:t>Les ensembles de données et les canaux d’information existants de la Commission seront réutilisés et l’objectif est que les données déjà soumises à des fins de décaissement ou de suivi ne soient pas à nouveau demandées, conformément au principe «une fois pour toutes».</w:t>
            </w:r>
          </w:p>
          <w:p w14:paraId="5D77AB52" w14:textId="77777777" w:rsidR="00760DBB" w:rsidRPr="00D549BE" w:rsidRDefault="00760DBB" w:rsidP="00EF7FD0">
            <w:pPr>
              <w:rPr>
                <w:noProof/>
              </w:rPr>
            </w:pPr>
            <w:r w:rsidRPr="00D549BE">
              <w:rPr>
                <w:b/>
              </w:rPr>
              <w:t>Fournisseurs:</w:t>
            </w:r>
            <w:r w:rsidRPr="00D549BE">
              <w:t xml:space="preserve"> autorités bénéficiaires (exigences 1 et 2).</w:t>
            </w:r>
          </w:p>
          <w:p w14:paraId="52F463D2" w14:textId="77777777" w:rsidR="00760DBB" w:rsidRPr="00D549BE" w:rsidRDefault="00760DBB" w:rsidP="00EF7FD0">
            <w:pPr>
              <w:rPr>
                <w:noProof/>
              </w:rPr>
            </w:pPr>
            <w:r w:rsidRPr="00D549BE">
              <w:rPr>
                <w:b/>
              </w:rPr>
              <w:t>Destinataires:</w:t>
            </w:r>
            <w:r w:rsidRPr="00D549BE">
              <w:t xml:space="preserve"> services de la Commission; Parlement européen et Conseil pour les rapports (exigence 3).</w:t>
            </w:r>
          </w:p>
          <w:p w14:paraId="04A652DF" w14:textId="77777777" w:rsidR="00760DBB" w:rsidRPr="00D549BE" w:rsidRDefault="00760DBB" w:rsidP="00EF7FD0">
            <w:pPr>
              <w:rPr>
                <w:noProof/>
              </w:rPr>
            </w:pPr>
            <w:r w:rsidRPr="00D549BE">
              <w:rPr>
                <w:b/>
              </w:rPr>
              <w:t>Éléments déclencheurs:</w:t>
            </w:r>
            <w:r w:rsidRPr="00D549BE">
              <w:t xml:space="preserve"> cycles de rapports, demandes de décaissement, notifications de garanties, exigences en matière d’audit.</w:t>
            </w:r>
          </w:p>
          <w:p w14:paraId="7BC5F7D8" w14:textId="77777777" w:rsidR="00760DBB" w:rsidRPr="00D549BE" w:rsidRDefault="00760DBB" w:rsidP="00EF7FD0">
            <w:pPr>
              <w:rPr>
                <w:noProof/>
              </w:rPr>
            </w:pPr>
            <w:r w:rsidRPr="00D549BE">
              <w:rPr>
                <w:b/>
              </w:rPr>
              <w:t>Fréquence:</w:t>
            </w:r>
            <w:r w:rsidRPr="00D549BE">
              <w:t xml:space="preserve"> périodiques (par exemple, mensuelle, ou de toute autre manière définie dans le règlement) et ad hoc pour les besoins financiers ou d’audit. </w:t>
            </w:r>
          </w:p>
        </w:tc>
      </w:tr>
    </w:tbl>
    <w:p w14:paraId="55822BAE" w14:textId="77777777" w:rsidR="00760DBB" w:rsidRPr="00D549BE" w:rsidRDefault="00760DBB" w:rsidP="00760DBB">
      <w:pPr>
        <w:pStyle w:val="ManualHeading2"/>
        <w:rPr>
          <w:noProof/>
        </w:rPr>
      </w:pPr>
      <w:bookmarkStart w:id="217" w:name="_Toc167220305"/>
      <w:bookmarkStart w:id="218" w:name="_Toc177549039"/>
      <w:r w:rsidRPr="00D549BE">
        <w:t>4.3.</w:t>
      </w:r>
      <w:r w:rsidRPr="00D549BE">
        <w:tab/>
        <w:t>Solutions numériques</w:t>
      </w:r>
      <w:bookmarkEnd w:id="217"/>
      <w:bookmarkEnd w:id="218"/>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760DBB" w:rsidRPr="00D549BE" w14:paraId="049DDACE" w14:textId="77777777" w:rsidTr="00EF7FD0">
        <w:tc>
          <w:tcPr>
            <w:tcW w:w="9067" w:type="dxa"/>
          </w:tcPr>
          <w:p w14:paraId="7DD2878D" w14:textId="77777777" w:rsidR="00760DBB" w:rsidRPr="00D549BE" w:rsidRDefault="00760DBB" w:rsidP="00EF7FD0">
            <w:pPr>
              <w:rPr>
                <w:noProof/>
              </w:rPr>
            </w:pPr>
            <w:r w:rsidRPr="00D549BE">
              <w:t xml:space="preserve">En ce qui concerne l’ensemble des exigences pertinentes en matière numérique (exigences 1 à 3), la Commission utilise un système d’échange sécurisé et des modèles de données </w:t>
            </w:r>
            <w:r w:rsidRPr="00D549BE">
              <w:rPr>
                <w:color w:val="000000" w:themeColor="text1"/>
              </w:rPr>
              <w:t xml:space="preserve">afin de faciliter l’échange d’informations classifiées et d’informations sensibles entre la Commission et l’Ukraine ainsi que, s’il y a lieu, avec les États membres participants. </w:t>
            </w:r>
          </w:p>
          <w:p w14:paraId="10A72828" w14:textId="77777777" w:rsidR="00760DBB" w:rsidRPr="00D549BE" w:rsidRDefault="00760DBB" w:rsidP="00EF7FD0">
            <w:pPr>
              <w:rPr>
                <w:noProof/>
              </w:rPr>
            </w:pPr>
            <w:r w:rsidRPr="00D549BE">
              <w:t>Responsabilité: services de la Commission et autorités bénéficiaires ou États membres ou pays tiers participants, selon le cas.</w:t>
            </w:r>
          </w:p>
          <w:p w14:paraId="77BC4ACA" w14:textId="77777777" w:rsidR="00760DBB" w:rsidRPr="00D549BE" w:rsidRDefault="00760DBB" w:rsidP="00EF7FD0">
            <w:pPr>
              <w:rPr>
                <w:noProof/>
              </w:rPr>
            </w:pPr>
            <w:r w:rsidRPr="00D549BE">
              <w:t>IA: aucune fonctionnalité d’IA n’est obligatoire.</w:t>
            </w:r>
          </w:p>
          <w:p w14:paraId="0D8E136F" w14:textId="77777777" w:rsidR="00760DBB" w:rsidRPr="00D549BE" w:rsidRDefault="00760DBB" w:rsidP="00EF7FD0">
            <w:pPr>
              <w:rPr>
                <w:noProof/>
              </w:rPr>
            </w:pPr>
            <w:r w:rsidRPr="00D549BE">
              <w:t>Conformité: tous les systèmes sont conformes au cadre de cybersécurité de l’UE, à eIDAS, aux règles de protection des données et aux règles de la Commission relatives au traitement des informations classifiées.</w:t>
            </w:r>
          </w:p>
          <w:p w14:paraId="1E8C3A1B" w14:textId="77777777" w:rsidR="00760DBB" w:rsidRPr="00D549BE" w:rsidRDefault="00760DBB" w:rsidP="00EF7FD0">
            <w:pPr>
              <w:rPr>
                <w:noProof/>
              </w:rPr>
            </w:pPr>
            <w:r w:rsidRPr="00D549BE">
              <w:t>Réutilisabilité</w:t>
            </w:r>
            <w:r w:rsidRPr="00D549BE">
              <w:rPr>
                <w:color w:val="000000" w:themeColor="text1"/>
              </w:rPr>
              <w:t>: toutes les solutions numériques reposent</w:t>
            </w:r>
            <w:r w:rsidRPr="00D549BE">
              <w:t xml:space="preserve"> sur les infrastructures existantes de la Commission.</w:t>
            </w:r>
          </w:p>
        </w:tc>
      </w:tr>
    </w:tbl>
    <w:p w14:paraId="36DFBEC5" w14:textId="77777777" w:rsidR="00760DBB" w:rsidRPr="00D549BE" w:rsidRDefault="00760DBB" w:rsidP="00760DBB">
      <w:pPr>
        <w:pStyle w:val="ManualHeading2"/>
        <w:rPr>
          <w:rStyle w:val="Emphasis"/>
          <w:b w:val="0"/>
          <w:bCs/>
          <w:i w:val="0"/>
          <w:iCs w:val="0"/>
          <w:noProof/>
        </w:rPr>
      </w:pPr>
      <w:bookmarkStart w:id="219" w:name="_Toc167220304"/>
      <w:bookmarkStart w:id="220" w:name="_Toc177549040"/>
      <w:r w:rsidRPr="00D549BE">
        <w:rPr>
          <w:rStyle w:val="Emphasis"/>
        </w:rPr>
        <w:t>4.4.</w:t>
      </w:r>
      <w:r w:rsidRPr="00D549BE">
        <w:tab/>
      </w:r>
      <w:r w:rsidRPr="00D549BE">
        <w:rPr>
          <w:rStyle w:val="Emphasis"/>
        </w:rPr>
        <w:t>Évaluation de l’interopérabilité</w:t>
      </w:r>
      <w:bookmarkEnd w:id="219"/>
      <w:bookmarkEnd w:id="220"/>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760DBB" w:rsidRPr="00D549BE" w14:paraId="46CA23C7" w14:textId="77777777" w:rsidTr="00EF7FD0">
        <w:trPr>
          <w:trHeight w:val="300"/>
        </w:trPr>
        <w:tc>
          <w:tcPr>
            <w:tcW w:w="9067" w:type="dxa"/>
          </w:tcPr>
          <w:p w14:paraId="40A64C4E" w14:textId="77777777" w:rsidR="00760DBB" w:rsidRPr="00D549BE" w:rsidRDefault="00760DBB" w:rsidP="00EF7FD0">
            <w:pPr>
              <w:rPr>
                <w:i/>
                <w:iCs/>
                <w:noProof/>
              </w:rPr>
            </w:pPr>
            <w:r w:rsidRPr="00D549BE">
              <w:t>Le règlement requiert l’échange sécurisé des informations classifiées/sensibles et l’accès, par la Commission, à toutes les données nécessaires pour les obligations fixées dans le règlement, y compris la vérification et la protection des données. Toutes les obligations devraient être remplies au moyen des systèmes sécurisés existants de la Commission, sans lacunes en matière d’interopérabilité. Cela contribue au respect des exigences 1 à 3.</w:t>
            </w:r>
          </w:p>
        </w:tc>
      </w:tr>
    </w:tbl>
    <w:p w14:paraId="53CB6228" w14:textId="77777777" w:rsidR="00760DBB" w:rsidRPr="00D549BE" w:rsidRDefault="00760DBB" w:rsidP="00760DBB">
      <w:pPr>
        <w:pStyle w:val="ManualHeading2"/>
        <w:rPr>
          <w:noProof/>
        </w:rPr>
      </w:pPr>
      <w:bookmarkStart w:id="221" w:name="_Toc167220306"/>
      <w:bookmarkStart w:id="222" w:name="_Toc177549041"/>
      <w:r w:rsidRPr="00D549BE">
        <w:t>4.5.</w:t>
      </w:r>
      <w:r w:rsidRPr="00D549BE">
        <w:tab/>
        <w:t>Mesures de soutien de la mise en œuvre numérique</w:t>
      </w:r>
      <w:bookmarkEnd w:id="221"/>
      <w:bookmarkEnd w:id="222"/>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760DBB" w:rsidRPr="00D549BE" w14:paraId="4F801BFD" w14:textId="77777777" w:rsidTr="00EF7FD0">
        <w:tc>
          <w:tcPr>
            <w:tcW w:w="9067" w:type="dxa"/>
          </w:tcPr>
          <w:p w14:paraId="3C8182B5" w14:textId="77777777" w:rsidR="00760DBB" w:rsidRPr="00D549BE" w:rsidRDefault="00760DBB" w:rsidP="00EF7FD0">
            <w:pPr>
              <w:rPr>
                <w:noProof/>
              </w:rPr>
            </w:pPr>
            <w:r w:rsidRPr="00D549BE">
              <w:t>Comme la Commission fournit déjà une assistance au pays bénéficiaire sur la base de cadres de soutien financier et opérationnel existants, aucune mesure supplémentaire en matière de mise en œuvre numérique n’est nécessaire pour les exigences 1 et 3.</w:t>
            </w:r>
            <w:r w:rsidRPr="00D549BE">
              <w:rPr>
                <w:b/>
              </w:rPr>
              <w:t xml:space="preserve"> </w:t>
            </w:r>
            <w:r w:rsidRPr="00D549BE">
              <w:t>En ce qui concerne les rapports sur les capacités industrielles dans le domaine de la défense (exigence 2), la Commission peut, au niveau des services, fournir des orientations et des précisions sur les modèles numériques et les procédures d’échanges sécurisés afin de garantir leur disponibilité et leur utilisation systématique par les parties concernées.</w:t>
            </w:r>
          </w:p>
        </w:tc>
      </w:tr>
      <w:bookmarkEnd w:id="212"/>
    </w:tbl>
    <w:p w14:paraId="00BEA8A2" w14:textId="77777777" w:rsidR="001204F4" w:rsidRPr="00D549BE" w:rsidRDefault="001204F4" w:rsidP="00EE02F2">
      <w:pPr>
        <w:rPr>
          <w:noProof/>
        </w:rPr>
      </w:pPr>
    </w:p>
    <w:sectPr w:rsidR="001204F4" w:rsidRPr="00D549BE" w:rsidSect="00D549BE">
      <w:headerReference w:type="default" r:id="rId22"/>
      <w:footerReference w:type="default" r:id="rId23"/>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CAD78" w14:textId="77777777" w:rsidR="00866BEF" w:rsidRDefault="00866BEF" w:rsidP="00A30D6B">
      <w:pPr>
        <w:spacing w:before="0" w:after="0"/>
      </w:pPr>
      <w:r>
        <w:separator/>
      </w:r>
    </w:p>
  </w:endnote>
  <w:endnote w:type="continuationSeparator" w:id="0">
    <w:p w14:paraId="585E8BC4" w14:textId="77777777" w:rsidR="00866BEF" w:rsidRDefault="00866BEF" w:rsidP="00A30D6B">
      <w:pPr>
        <w:spacing w:before="0" w:after="0"/>
      </w:pPr>
      <w:r>
        <w:continuationSeparator/>
      </w:r>
    </w:p>
  </w:endnote>
  <w:endnote w:type="continuationNotice" w:id="1">
    <w:p w14:paraId="22DA827B" w14:textId="77777777" w:rsidR="00866BEF" w:rsidRDefault="00866BE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1B13" w14:textId="352C6C73" w:rsidR="00D549BE" w:rsidRPr="00D549BE" w:rsidRDefault="00D549BE" w:rsidP="00D549BE">
    <w:pPr>
      <w:pStyle w:val="Footer"/>
      <w:rPr>
        <w:rFonts w:ascii="Arial" w:hAnsi="Arial" w:cs="Arial"/>
        <w:b/>
        <w:sz w:val="48"/>
      </w:rPr>
    </w:pPr>
    <w:r w:rsidRPr="00D549BE">
      <w:rPr>
        <w:rFonts w:ascii="Arial" w:hAnsi="Arial" w:cs="Arial"/>
        <w:b/>
        <w:sz w:val="48"/>
      </w:rPr>
      <w:t>FR</w:t>
    </w:r>
    <w:r w:rsidRPr="00D549BE">
      <w:rPr>
        <w:rFonts w:ascii="Arial" w:hAnsi="Arial" w:cs="Arial"/>
        <w:b/>
        <w:sz w:val="48"/>
      </w:rPr>
      <w:tab/>
    </w:r>
    <w:r w:rsidRPr="00D549BE">
      <w:rPr>
        <w:rFonts w:ascii="Arial" w:hAnsi="Arial" w:cs="Arial"/>
        <w:b/>
        <w:sz w:val="48"/>
      </w:rPr>
      <w:tab/>
    </w:r>
    <w:r w:rsidRPr="00D549BE">
      <w:tab/>
    </w:r>
    <w:r w:rsidRPr="00D549B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63B4" w14:textId="01C2A000" w:rsidR="00D549BE" w:rsidRPr="00D549BE" w:rsidRDefault="00D549BE" w:rsidP="00D549BE">
    <w:pPr>
      <w:pStyle w:val="Footer"/>
      <w:rPr>
        <w:rFonts w:ascii="Arial" w:hAnsi="Arial" w:cs="Arial"/>
        <w:b/>
        <w:sz w:val="48"/>
      </w:rPr>
    </w:pPr>
    <w:r w:rsidRPr="00D549BE">
      <w:rPr>
        <w:rFonts w:ascii="Arial" w:hAnsi="Arial" w:cs="Arial"/>
        <w:b/>
        <w:sz w:val="48"/>
      </w:rPr>
      <w:t>FR</w:t>
    </w:r>
    <w:r w:rsidRPr="00D549BE">
      <w:rPr>
        <w:rFonts w:ascii="Arial" w:hAnsi="Arial" w:cs="Arial"/>
        <w:b/>
        <w:sz w:val="48"/>
      </w:rPr>
      <w:tab/>
    </w:r>
    <w:r w:rsidRPr="00D549BE">
      <w:rPr>
        <w:rFonts w:ascii="Arial" w:hAnsi="Arial" w:cs="Arial"/>
        <w:b/>
        <w:sz w:val="48"/>
      </w:rPr>
      <w:tab/>
    </w:r>
    <w:r w:rsidRPr="00D549BE">
      <w:tab/>
    </w:r>
    <w:r w:rsidRPr="00D549B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5551" w14:textId="77777777" w:rsidR="00D549BE" w:rsidRPr="00D549BE" w:rsidRDefault="00D549BE" w:rsidP="00D549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859D" w14:textId="77777777" w:rsidR="00F96390" w:rsidRDefault="00F963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C6D7" w14:textId="404EB5FC" w:rsidR="00D549BE" w:rsidRPr="00D549BE" w:rsidRDefault="00D549BE" w:rsidP="00D549BE">
    <w:pPr>
      <w:pStyle w:val="Footer"/>
      <w:rPr>
        <w:rFonts w:ascii="Arial" w:hAnsi="Arial" w:cs="Arial"/>
        <w:b/>
        <w:sz w:val="48"/>
      </w:rPr>
    </w:pPr>
    <w:r w:rsidRPr="00D549BE">
      <w:rPr>
        <w:rFonts w:ascii="Arial" w:hAnsi="Arial" w:cs="Arial"/>
        <w:b/>
        <w:sz w:val="48"/>
      </w:rPr>
      <w:t>FR</w:t>
    </w:r>
    <w:r w:rsidRPr="00D549BE">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549BE">
      <w:tab/>
    </w:r>
    <w:r w:rsidRPr="00D549BE">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B2EA" w14:textId="77777777" w:rsidR="00F96390" w:rsidRDefault="00F96390" w:rsidP="00D549B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9F6A" w14:textId="33E7CE21" w:rsidR="00D549BE" w:rsidRPr="00D549BE" w:rsidRDefault="00D549BE" w:rsidP="00D549BE">
    <w:pPr>
      <w:pStyle w:val="FooterLandscape"/>
      <w:rPr>
        <w:rFonts w:ascii="Arial" w:hAnsi="Arial" w:cs="Arial"/>
        <w:b/>
        <w:sz w:val="48"/>
      </w:rPr>
    </w:pPr>
    <w:r w:rsidRPr="00D549BE">
      <w:rPr>
        <w:rFonts w:ascii="Arial" w:hAnsi="Arial" w:cs="Arial"/>
        <w:b/>
        <w:sz w:val="48"/>
      </w:rPr>
      <w:t>FR</w:t>
    </w:r>
    <w:r w:rsidRPr="00D549BE">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549BE">
      <w:tab/>
    </w:r>
    <w:r w:rsidRPr="00D549BE">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884B" w14:textId="4BBE60A9" w:rsidR="00D549BE" w:rsidRPr="00D549BE" w:rsidRDefault="00D549BE" w:rsidP="00D549BE">
    <w:pPr>
      <w:pStyle w:val="Footer"/>
      <w:rPr>
        <w:rFonts w:ascii="Arial" w:hAnsi="Arial" w:cs="Arial"/>
        <w:b/>
        <w:sz w:val="48"/>
      </w:rPr>
    </w:pPr>
    <w:r w:rsidRPr="00D549BE">
      <w:rPr>
        <w:rFonts w:ascii="Arial" w:hAnsi="Arial" w:cs="Arial"/>
        <w:b/>
        <w:sz w:val="48"/>
      </w:rPr>
      <w:t>FR</w:t>
    </w:r>
    <w:r w:rsidRPr="00D549BE">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549BE">
      <w:tab/>
    </w:r>
    <w:r w:rsidRPr="00D549BE">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02A03" w14:textId="77777777" w:rsidR="00866BEF" w:rsidRDefault="00866BEF" w:rsidP="00A30D6B">
      <w:pPr>
        <w:spacing w:before="0" w:after="0"/>
      </w:pPr>
      <w:r>
        <w:separator/>
      </w:r>
    </w:p>
  </w:footnote>
  <w:footnote w:type="continuationSeparator" w:id="0">
    <w:p w14:paraId="2FD0B833" w14:textId="77777777" w:rsidR="00866BEF" w:rsidRDefault="00866BEF" w:rsidP="00A30D6B">
      <w:pPr>
        <w:spacing w:before="0" w:after="0"/>
      </w:pPr>
      <w:r>
        <w:continuationSeparator/>
      </w:r>
    </w:p>
  </w:footnote>
  <w:footnote w:type="continuationNotice" w:id="1">
    <w:p w14:paraId="638C6D43" w14:textId="77777777" w:rsidR="00866BEF" w:rsidRDefault="00866BEF">
      <w:pPr>
        <w:spacing w:before="0" w:after="0"/>
      </w:pPr>
    </w:p>
  </w:footnote>
  <w:footnote w:id="2">
    <w:p w14:paraId="2350AEB8" w14:textId="77777777" w:rsidR="00BC62F5" w:rsidRPr="00A26B4C" w:rsidRDefault="00BC62F5" w:rsidP="00BC62F5">
      <w:pPr>
        <w:pStyle w:val="FootnoteText"/>
      </w:pPr>
      <w:r>
        <w:rPr>
          <w:rStyle w:val="FootnoteReference"/>
        </w:rPr>
        <w:footnoteRef/>
      </w:r>
      <w:r>
        <w:tab/>
        <w:t>Conclusions du Conseil européen du 27 juin 2024, doc. EUCO 15/24.</w:t>
      </w:r>
    </w:p>
  </w:footnote>
  <w:footnote w:id="3">
    <w:p w14:paraId="694B8CBA" w14:textId="1325A251" w:rsidR="006A31D7" w:rsidRPr="00A8443F" w:rsidRDefault="006A31D7">
      <w:pPr>
        <w:pStyle w:val="FootnoteText"/>
      </w:pPr>
      <w:r>
        <w:rPr>
          <w:rStyle w:val="FootnoteReference"/>
        </w:rPr>
        <w:footnoteRef/>
      </w:r>
      <w:r>
        <w:tab/>
        <w:t xml:space="preserve">Règlement (UE) 2025/2600 du Conseil du 12 décembre 2025 relatif à des mesures d’urgence pour faire face aux graves difficultés économiques causées par les actions de la Russie dans le contexte de la guerre d’agression menée contre l’Ukraine (JO L, 2025/2600, 13.12.2025, ELI: </w:t>
      </w:r>
      <w:hyperlink r:id="rId1" w:history="1">
        <w:r>
          <w:rPr>
            <w:rStyle w:val="Hyperlink"/>
          </w:rPr>
          <w:t>http://data.europa.eu/eli/reg/2025/2600/oj</w:t>
        </w:r>
      </w:hyperlink>
      <w:r>
        <w:t>).</w:t>
      </w:r>
    </w:p>
  </w:footnote>
  <w:footnote w:id="4">
    <w:p w14:paraId="1262AB24" w14:textId="77777777" w:rsidR="0035687B" w:rsidRDefault="0035687B" w:rsidP="0035687B">
      <w:pPr>
        <w:pStyle w:val="FootnoteText"/>
      </w:pPr>
      <w:r>
        <w:rPr>
          <w:rStyle w:val="FootnoteReference"/>
        </w:rPr>
        <w:footnoteRef/>
      </w:r>
      <w:r>
        <w:tab/>
        <w:t>Articles sur la responsabilité de l’État pour fait internationalement illicite, 2001, Commission du droit international.</w:t>
      </w:r>
    </w:p>
  </w:footnote>
  <w:footnote w:id="5">
    <w:p w14:paraId="6E4C494F" w14:textId="77777777" w:rsidR="00BC62F5" w:rsidRPr="00417BE5" w:rsidRDefault="00BC62F5" w:rsidP="00BC62F5">
      <w:pPr>
        <w:pStyle w:val="FootnoteText"/>
        <w:rPr>
          <w:rFonts w:eastAsia="Times New Roman"/>
          <w:color w:val="333333"/>
          <w:sz w:val="19"/>
          <w:szCs w:val="19"/>
        </w:rPr>
      </w:pPr>
      <w:r>
        <w:rPr>
          <w:rStyle w:val="FootnoteReference"/>
        </w:rPr>
        <w:footnoteRef/>
      </w:r>
      <w:r>
        <w:tab/>
        <w:t xml:space="preserve">Règlement (UE) 2024/792 du Parlement européen et du Conseil du 29 février 2024 établissant la facilité pour l’Ukraine (JO L, 2024/792, 29.2.2024, ELI: </w:t>
      </w:r>
      <w:hyperlink r:id="rId2" w:history="1">
        <w:r>
          <w:rPr>
            <w:rStyle w:val="Hyperlink"/>
          </w:rPr>
          <w:t>http://data.europa.eu/eli/reg/2024/792/oj</w:t>
        </w:r>
      </w:hyperlink>
      <w:r>
        <w:t xml:space="preserve">).  </w:t>
      </w:r>
    </w:p>
  </w:footnote>
  <w:footnote w:id="6">
    <w:p w14:paraId="7FA5559B" w14:textId="77777777" w:rsidR="00BC62F5" w:rsidRPr="00B769EB" w:rsidRDefault="00BC62F5" w:rsidP="00BC62F5">
      <w:pPr>
        <w:pStyle w:val="FootnoteText"/>
        <w:rPr>
          <w:rFonts w:eastAsia="Times New Roman"/>
          <w:color w:val="333333"/>
          <w:sz w:val="21"/>
          <w:szCs w:val="21"/>
        </w:rPr>
      </w:pPr>
      <w:r>
        <w:rPr>
          <w:rStyle w:val="FootnoteReference"/>
        </w:rPr>
        <w:footnoteRef/>
      </w:r>
      <w:r>
        <w:tab/>
        <w:t>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(Texte présentant de l’intérêt pour l’EEE) (JO L 209 du 14.6.2021, p. 1, ELI:</w:t>
      </w:r>
      <w:r>
        <w:rPr>
          <w:color w:val="333333"/>
        </w:rPr>
        <w:t xml:space="preserve"> </w:t>
      </w:r>
      <w:hyperlink r:id="rId3" w:history="1">
        <w:r>
          <w:rPr>
            <w:rStyle w:val="Hyperlink"/>
          </w:rPr>
          <w:t>http://data.europa.eu/eli/reg/2021/947/2021-06-14</w:t>
        </w:r>
      </w:hyperlink>
      <w:r>
        <w:t>).</w:t>
      </w:r>
    </w:p>
  </w:footnote>
  <w:footnote w:id="7">
    <w:p w14:paraId="04D20988" w14:textId="77777777" w:rsidR="00BC62F5" w:rsidRDefault="00BC62F5" w:rsidP="00BC62F5">
      <w:pPr>
        <w:pStyle w:val="FootnoteText"/>
      </w:pPr>
      <w:r>
        <w:rPr>
          <w:rStyle w:val="FootnoteReference"/>
        </w:rPr>
        <w:footnoteRef/>
      </w:r>
      <w:r>
        <w:tab/>
        <w:t xml:space="preserve">Règlement (CE) nº 1257/96 du Conseil du 20 juin 1996 concernant l’aide humanitaire (JO L 163 du 2.7.1996, p. 1, ELI: </w:t>
      </w:r>
      <w:hyperlink r:id="rId4" w:history="1">
        <w:r>
          <w:rPr>
            <w:rStyle w:val="Hyperlink"/>
          </w:rPr>
          <w:t>http://data.europa.eu/eli/reg/1996/1257/2019-07-26</w:t>
        </w:r>
      </w:hyperlink>
      <w:r>
        <w:t>).</w:t>
      </w:r>
    </w:p>
  </w:footnote>
  <w:footnote w:id="8">
    <w:p w14:paraId="08C46161" w14:textId="77777777" w:rsidR="00BC62F5" w:rsidRPr="00F03FDB" w:rsidRDefault="00BC62F5" w:rsidP="00BC62F5">
      <w:pPr>
        <w:pStyle w:val="FootnoteText"/>
      </w:pPr>
      <w:r>
        <w:rPr>
          <w:rStyle w:val="FootnoteReference"/>
        </w:rPr>
        <w:footnoteRef/>
      </w:r>
      <w:r>
        <w:tab/>
        <w:t xml:space="preserve">Règlement (UE) 2024/2773 du Parlement européen et du Conseil du 24 octobre 2024 établissant le mécanisme de coopération pour les prêts à l’Ukraine et accordant une assistance macrofinancière exceptionnelle à l’Ukraine (JO L, 2024/2773, 28.10.2024, ELI: </w:t>
      </w:r>
      <w:hyperlink r:id="rId5" w:history="1">
        <w:r>
          <w:rPr>
            <w:rStyle w:val="Hyperlink"/>
          </w:rPr>
          <w:t>http://data.europa.eu/eli/reg/2024/2773/oj</w:t>
        </w:r>
      </w:hyperlink>
      <w:r>
        <w:t>).</w:t>
      </w:r>
    </w:p>
  </w:footnote>
  <w:footnote w:id="9">
    <w:p w14:paraId="70D877D7" w14:textId="77777777" w:rsidR="00BC62F5" w:rsidRPr="00A75E51" w:rsidRDefault="00BC62F5" w:rsidP="00BC62F5">
      <w:pPr>
        <w:pStyle w:val="FootnoteText"/>
      </w:pPr>
      <w:r>
        <w:rPr>
          <w:rStyle w:val="FootnoteReference"/>
        </w:rPr>
        <w:footnoteRef/>
      </w:r>
      <w:r>
        <w:tab/>
        <w:t xml:space="preserve">Règlement (UE) 2025/1106 du Conseil du 27 mai 2025 établissant l’instrument «Agir pour la sécurité de l’Europe par le renforcement de l’industrie européenne de la défense» («instrument SAFE») (JO L, 2025/1106, 28.5.2025, ELI: </w:t>
      </w:r>
      <w:hyperlink r:id="rId6" w:history="1">
        <w:r>
          <w:rPr>
            <w:rStyle w:val="Hyperlink"/>
          </w:rPr>
          <w:t>http://data.europa.eu/eli/reg/2025/1106/oj</w:t>
        </w:r>
      </w:hyperlink>
      <w:r>
        <w:t>).</w:t>
      </w:r>
    </w:p>
  </w:footnote>
  <w:footnote w:id="10">
    <w:p w14:paraId="3B7A5663" w14:textId="77777777" w:rsidR="00D2167E" w:rsidRPr="00362F8C" w:rsidRDefault="00D2167E" w:rsidP="00D2167E">
      <w:pPr>
        <w:pStyle w:val="FootnoteText"/>
      </w:pPr>
      <w:r>
        <w:rPr>
          <w:rStyle w:val="FootnoteReference"/>
        </w:rPr>
        <w:footnoteRef/>
      </w:r>
      <w:r>
        <w:tab/>
        <w:t xml:space="preserve">Décision (UE) 2022/313 du Parlement européen et du Conseil du 24 février 2022 accordant une assistance macrofinancière à l’Ukraine (JO L 55 du 28.2.2022, p. 4, ELI: </w:t>
      </w:r>
      <w:hyperlink r:id="rId7" w:history="1">
        <w:r>
          <w:rPr>
            <w:rStyle w:val="Hyperlink"/>
          </w:rPr>
          <w:t>http://data.europa.eu/eli/dec/2022/313/oj</w:t>
        </w:r>
      </w:hyperlink>
      <w:r>
        <w:t>).</w:t>
      </w:r>
    </w:p>
  </w:footnote>
  <w:footnote w:id="11">
    <w:p w14:paraId="5F50E15D" w14:textId="77777777" w:rsidR="00D2167E" w:rsidRPr="00362F8C" w:rsidRDefault="00D2167E" w:rsidP="00D2167E">
      <w:pPr>
        <w:pStyle w:val="FootnoteText"/>
      </w:pPr>
      <w:r>
        <w:rPr>
          <w:rStyle w:val="FootnoteReference"/>
        </w:rPr>
        <w:footnoteRef/>
      </w:r>
      <w:r>
        <w:tab/>
        <w:t xml:space="preserve">Décision (UE) 2022/1201 du Parlement européen et du Conseil du 12 juillet 2022 accordant une assistance macrofinancière exceptionnelle à l’Ukraine (JO L 186 du 13.7.2022, p. 1, ELI: </w:t>
      </w:r>
      <w:hyperlink r:id="rId8" w:history="1">
        <w:r>
          <w:rPr>
            <w:rStyle w:val="Hyperlink"/>
          </w:rPr>
          <w:t>http://data.europa.eu/eli/dec/2022/1201/oj</w:t>
        </w:r>
      </w:hyperlink>
      <w:r>
        <w:t>).</w:t>
      </w:r>
    </w:p>
  </w:footnote>
  <w:footnote w:id="12">
    <w:p w14:paraId="3CE29EFA" w14:textId="77777777" w:rsidR="00D2167E" w:rsidRPr="00362F8C" w:rsidRDefault="00D2167E" w:rsidP="00D2167E">
      <w:pPr>
        <w:pStyle w:val="FootnoteText"/>
      </w:pPr>
      <w:r>
        <w:rPr>
          <w:rStyle w:val="FootnoteReference"/>
        </w:rPr>
        <w:footnoteRef/>
      </w:r>
      <w:r>
        <w:tab/>
        <w:t xml:space="preserve">Décision (UE) 2022/1628 du Parlement européen et du Conseil du 20 septembre 2022 accordant une assistance macrofinancière exceptionnelle à l’Ukraine, renforçant le fonds commun de provisionnement par des garanties des États membres et par un provisionnement spécifique pour certaines responsabilités financières liées à l’Ukraine garanties en vertu de la décision nº 466/2014/UE, et modifiant la décision (UE) 2022/1201 (JO L 245 du 22.9.2022, p. 1, ELI: </w:t>
      </w:r>
      <w:hyperlink r:id="rId9" w:history="1">
        <w:r>
          <w:rPr>
            <w:rStyle w:val="Hyperlink"/>
          </w:rPr>
          <w:t>http://data.europa.eu/eli/dec/2022/1628/oj</w:t>
        </w:r>
      </w:hyperlink>
      <w:r>
        <w:t>).</w:t>
      </w:r>
    </w:p>
  </w:footnote>
  <w:footnote w:id="13">
    <w:p w14:paraId="5CF9AFC4" w14:textId="77777777" w:rsidR="00D2167E" w:rsidRPr="00362F8C" w:rsidRDefault="00D2167E" w:rsidP="00D2167E">
      <w:pPr>
        <w:pStyle w:val="FootnoteText"/>
      </w:pPr>
      <w:r>
        <w:rPr>
          <w:rStyle w:val="FootnoteReference"/>
        </w:rPr>
        <w:footnoteRef/>
      </w:r>
      <w:r>
        <w:tab/>
        <w:t xml:space="preserve">Règlement (UE) 2022/2463 du Parlement européen et du Conseil du 14 décembre 2022 établissant un instrument de soutien à l’Ukraine pour 2023 (assistance macrofinancière +) (JO L 322 du 16.12.2022, p. 1, ELI: </w:t>
      </w:r>
      <w:hyperlink r:id="rId10" w:history="1">
        <w:r>
          <w:rPr>
            <w:rStyle w:val="Hyperlink"/>
          </w:rPr>
          <w:t>http://data.europa.eu/eli/reg/2022/2463/oj</w:t>
        </w:r>
      </w:hyperlink>
      <w:r>
        <w:t>).</w:t>
      </w:r>
    </w:p>
  </w:footnote>
  <w:footnote w:id="14">
    <w:p w14:paraId="71D8CEF6" w14:textId="77777777" w:rsidR="00D2167E" w:rsidRPr="00057DD4" w:rsidRDefault="00D2167E" w:rsidP="00D2167E">
      <w:pPr>
        <w:pStyle w:val="FootnoteText"/>
      </w:pPr>
      <w:r>
        <w:rPr>
          <w:rStyle w:val="FootnoteReference"/>
        </w:rPr>
        <w:footnoteRef/>
      </w:r>
      <w:r>
        <w:tab/>
        <w:t xml:space="preserve">Règlement (UE) 2024/792 du Parlement européen et du Conseil du 29 février 2024 établissant la facilité pour l’Ukraine (JO L, 2024/792, 29.2.2024, ELI: </w:t>
      </w:r>
      <w:hyperlink r:id="rId11" w:history="1">
        <w:r>
          <w:rPr>
            <w:rStyle w:val="Hyperlink"/>
          </w:rPr>
          <w:t>http://data.europa.eu/eli/reg/2024/792/oj</w:t>
        </w:r>
      </w:hyperlink>
      <w:r>
        <w:t>).</w:t>
      </w:r>
    </w:p>
  </w:footnote>
  <w:footnote w:id="15">
    <w:p w14:paraId="2588AEA0" w14:textId="77777777" w:rsidR="00D2167E" w:rsidRPr="00564F9B" w:rsidRDefault="00D2167E" w:rsidP="00D2167E">
      <w:pPr>
        <w:pStyle w:val="FootnoteText"/>
      </w:pPr>
      <w:r>
        <w:rPr>
          <w:rStyle w:val="FootnoteReference"/>
        </w:rPr>
        <w:footnoteRef/>
      </w:r>
      <w:r>
        <w:tab/>
        <w:t xml:space="preserve">Règlement (UE) 2024/2773 du Parlement européen et du Conseil du 24 octobre 2024 établissant le mécanisme de coopération pour les prêts à l’Ukraine et accordant une assistance macrofinancière exceptionnelle à l’Ukraine (JO L, 2024/2773, 28.10.2024, ELI: </w:t>
      </w:r>
      <w:hyperlink r:id="rId12" w:history="1">
        <w:r>
          <w:rPr>
            <w:rStyle w:val="Hyperlink"/>
          </w:rPr>
          <w:t>http://data.europa.eu/eli/reg/2024/2773/oj</w:t>
        </w:r>
      </w:hyperlink>
      <w:r>
        <w:t>).</w:t>
      </w:r>
    </w:p>
  </w:footnote>
  <w:footnote w:id="16">
    <w:p w14:paraId="07A00253" w14:textId="124AFDFF" w:rsidR="000E2D19" w:rsidRPr="000E2D19" w:rsidRDefault="000E2D19">
      <w:pPr>
        <w:pStyle w:val="FootnoteText"/>
      </w:pPr>
      <w:r>
        <w:rPr>
          <w:rStyle w:val="FootnoteReference"/>
        </w:rPr>
        <w:footnoteRef/>
      </w:r>
      <w:r>
        <w:tab/>
        <w:t>Décision (PESC) 2022/335 du Conseil du 28 février 2022 modifiant la décision 2014/512/PESC concernant des mesures restrictives eu égard aux actions de la Russie déstabilisant la situation en Ukraine (JO L 57 du 28.2.2022, p. 4, ELI: </w:t>
      </w:r>
      <w:hyperlink r:id="rId13" w:tooltip="Permet d’accéder à ce document par l’intermédiaire de son URI ELI." w:history="1">
        <w:r>
          <w:rPr>
            <w:rStyle w:val="Hyperlink"/>
          </w:rPr>
          <w:t>http://data.europa.eu/eli/dec/2022/335/oj</w:t>
        </w:r>
      </w:hyperlink>
      <w:r>
        <w:t>).</w:t>
      </w:r>
    </w:p>
  </w:footnote>
  <w:footnote w:id="17">
    <w:p w14:paraId="2085E799" w14:textId="02E6BE40" w:rsidR="000E2D19" w:rsidRPr="000E2D19" w:rsidRDefault="000E2D19">
      <w:pPr>
        <w:pStyle w:val="FootnoteText"/>
      </w:pPr>
      <w:r>
        <w:rPr>
          <w:rStyle w:val="FootnoteReference"/>
        </w:rPr>
        <w:footnoteRef/>
      </w:r>
      <w:r>
        <w:tab/>
        <w:t xml:space="preserve">Règlement (UE) 2022/334 du Conseil du 28 février 2022 modifiant le règlement (UE) nº 833/2014 du Conseil concernant des mesures restrictives eu égard aux actions de la Russie déstabilisant la situation en Ukraine (JO L 57 du 28.2.2022, p. 1, ELI: </w:t>
      </w:r>
      <w:hyperlink r:id="rId14" w:history="1">
        <w:r>
          <w:rPr>
            <w:rStyle w:val="Hyperlink"/>
          </w:rPr>
          <w:t>http://data.europa.eu/eli/reg/2022/334/oj</w:t>
        </w:r>
      </w:hyperlink>
      <w:r>
        <w:t>).</w:t>
      </w:r>
    </w:p>
  </w:footnote>
  <w:footnote w:id="18">
    <w:p w14:paraId="4C1289F6" w14:textId="64C5EF62" w:rsidR="000A2575" w:rsidRPr="00611E92" w:rsidRDefault="000A2575" w:rsidP="000A2575">
      <w:pPr>
        <w:pStyle w:val="FootnoteText"/>
      </w:pPr>
      <w:r>
        <w:rPr>
          <w:rStyle w:val="FootnoteReference"/>
        </w:rPr>
        <w:footnoteRef/>
      </w:r>
      <w:r>
        <w:tab/>
        <w:t xml:space="preserve">Règlement (UE) 2025/2600 du Conseil du 12 décembre 2025 relatif à des mesures d’urgence pour faire face aux graves difficultés économiques causées par les actions de la Russie dans le contexte de la guerre d’agression menée contre l’Ukraine (JO L, 2025/2600, 13.12.2025, ELI: </w:t>
      </w:r>
      <w:hyperlink r:id="rId15" w:history="1">
        <w:r>
          <w:rPr>
            <w:rStyle w:val="Hyperlink"/>
          </w:rPr>
          <w:t>http://data.europa.eu/eli/reg/2025/2600/oj</w:t>
        </w:r>
      </w:hyperlink>
      <w:r>
        <w:t>).</w:t>
      </w:r>
    </w:p>
  </w:footnote>
  <w:footnote w:id="19">
    <w:p w14:paraId="7E4370BD" w14:textId="77777777" w:rsidR="00D2167E" w:rsidRPr="006A0667" w:rsidRDefault="00D2167E" w:rsidP="00D2167E">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16" w:tooltip="Permet d’accéder à ce document par l’intermédiaire de son URI ELI." w:history="1">
        <w:r>
          <w:rPr>
            <w:rStyle w:val="Hyperlink"/>
          </w:rPr>
          <w:t>http://data.europa.eu/eli/reg/2011/182/oj</w:t>
        </w:r>
      </w:hyperlink>
      <w:r>
        <w:t>).</w:t>
      </w:r>
    </w:p>
  </w:footnote>
  <w:footnote w:id="20">
    <w:p w14:paraId="7C4902B6" w14:textId="77777777" w:rsidR="0028716C" w:rsidRPr="0028716C" w:rsidRDefault="0028716C">
      <w:pPr>
        <w:pStyle w:val="FootnoteText"/>
      </w:pPr>
      <w:r>
        <w:rPr>
          <w:rStyle w:val="FootnoteReference"/>
        </w:rPr>
        <w:footnoteRef/>
      </w:r>
      <w:r>
        <w:tab/>
        <w:t xml:space="preserve">Règlement (UE) 2025/1106 du Conseil du 27 mai 2025 établissant l’instrument «Agir pour la sécurité de l’Europe par le renforcement de l’industrie européenne de la défense» («instrument SAFE») (JO L, 2025/1106, 28.5.2025, ELI: </w:t>
      </w:r>
      <w:hyperlink r:id="rId17" w:history="1">
        <w:r>
          <w:rPr>
            <w:rStyle w:val="Hyperlink"/>
          </w:rPr>
          <w:t>http://data.europa.eu/eli/reg/2025/1106/oj</w:t>
        </w:r>
      </w:hyperlink>
      <w:r>
        <w:t>).</w:t>
      </w:r>
    </w:p>
  </w:footnote>
  <w:footnote w:id="21">
    <w:p w14:paraId="17F9EA4B" w14:textId="77777777" w:rsidR="00C171CF" w:rsidRPr="000C381F" w:rsidRDefault="00C171CF" w:rsidP="00C171CF">
      <w:pPr>
        <w:pStyle w:val="FootnoteText"/>
        <w:ind w:left="567" w:hanging="567"/>
      </w:pPr>
      <w:r>
        <w:rPr>
          <w:rStyle w:val="FootnoteReference"/>
        </w:rPr>
        <w:footnoteRef/>
      </w:r>
      <w:r>
        <w:tab/>
        <w:t xml:space="preserve">Règlement (UE, Euratom) 2024/2509 du Parlement européen et du Conseil du 23 septembre 2024 relatif aux règles financières applicables au budget général de l’Union (JO L, 2024/2509, 26.9.2024, ELI: </w:t>
      </w:r>
      <w:hyperlink r:id="rId18" w:history="1">
        <w:r>
          <w:rPr>
            <w:rStyle w:val="Hyperlink"/>
          </w:rPr>
          <w:t>http://data.europa.eu/eli/reg/2024/2509/oj</w:t>
        </w:r>
      </w:hyperlink>
      <w:r>
        <w:t>).</w:t>
      </w:r>
    </w:p>
  </w:footnote>
  <w:footnote w:id="22">
    <w:p w14:paraId="699E018E" w14:textId="77777777" w:rsidR="002D73C5" w:rsidRPr="002932E7" w:rsidRDefault="002D73C5" w:rsidP="002D73C5">
      <w:pPr>
        <w:pStyle w:val="FootnoteText"/>
        <w:ind w:left="567" w:hanging="567"/>
      </w:pPr>
      <w:r>
        <w:rPr>
          <w:rStyle w:val="FootnoteReference"/>
        </w:rPr>
        <w:footnoteRef/>
      </w:r>
      <w:r>
        <w:tab/>
        <w:t xml:space="preserve">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(JO L 216 du 20.8.2009, p. 76, ELI: </w:t>
      </w:r>
      <w:hyperlink r:id="rId19" w:history="1">
        <w:r>
          <w:rPr>
            <w:rStyle w:val="Hyperlink"/>
          </w:rPr>
          <w:t>http://data.europa.eu/eli/dir/2009/81/oj</w:t>
        </w:r>
      </w:hyperlink>
      <w:r>
        <w:t>).</w:t>
      </w:r>
    </w:p>
  </w:footnote>
  <w:footnote w:id="23">
    <w:p w14:paraId="6DAE9B45" w14:textId="08EB2772" w:rsidR="004566E9" w:rsidRPr="004F73E0" w:rsidRDefault="004566E9" w:rsidP="004566E9">
      <w:pPr>
        <w:pStyle w:val="FootnoteText"/>
        <w:ind w:left="540" w:hanging="540"/>
      </w:pPr>
      <w:r>
        <w:rPr>
          <w:rStyle w:val="FootnoteReference"/>
        </w:rPr>
        <w:footnoteRef/>
      </w:r>
      <w:r>
        <w:tab/>
        <w:t xml:space="preserve">Règlement (CE, Euratom) nº 2988/95 du Conseil du 18 décembre 1995 relatif à la protection des intérêts financiers des Communautés européennes (JO L 312 du 23.12.1995, p. 1, ELI: </w:t>
      </w:r>
      <w:hyperlink r:id="rId20" w:history="1">
        <w:r>
          <w:rPr>
            <w:rStyle w:val="Hyperlink"/>
          </w:rPr>
          <w:t>http://data.europa.eu/eli/reg/1995/2988/oj</w:t>
        </w:r>
      </w:hyperlink>
      <w:r>
        <w:t>).</w:t>
      </w:r>
    </w:p>
  </w:footnote>
  <w:footnote w:id="24">
    <w:p w14:paraId="5E879B7A" w14:textId="5DDDEB65" w:rsidR="004566E9" w:rsidRPr="004D4A98" w:rsidRDefault="004566E9" w:rsidP="004566E9">
      <w:pPr>
        <w:pStyle w:val="FootnoteText"/>
        <w:ind w:left="540" w:hanging="540"/>
      </w:pPr>
      <w:r>
        <w:rPr>
          <w:rStyle w:val="FootnoteReference"/>
        </w:rPr>
        <w:footnoteRef/>
      </w:r>
      <w:r>
        <w:tab/>
        <w:t xml:space="preserve">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w:t>
      </w:r>
      <w:hyperlink r:id="rId21" w:history="1">
        <w:r>
          <w:rPr>
            <w:rStyle w:val="Hyperlink"/>
          </w:rPr>
          <w:t>http://data.europa.eu/eli/reg/2013/883/oj</w:t>
        </w:r>
      </w:hyperlink>
      <w:r>
        <w:t>).</w:t>
      </w:r>
    </w:p>
  </w:footnote>
  <w:footnote w:id="25">
    <w:p w14:paraId="13648970" w14:textId="2187158F" w:rsidR="004566E9" w:rsidRPr="004D4A98" w:rsidRDefault="004566E9" w:rsidP="004566E9">
      <w:pPr>
        <w:pStyle w:val="FootnoteText"/>
        <w:ind w:left="540" w:hanging="540"/>
      </w:pPr>
      <w:r>
        <w:rPr>
          <w:rStyle w:val="FootnoteReference"/>
        </w:rPr>
        <w:footnoteRef/>
      </w:r>
      <w:r>
        <w:tab/>
        <w:t>Directive (UE) 2017/1371 du Parlement européen et du Conseil du 5 juillet 2017 relative à la lutte contre la fraude portant atteinte aux intérêts financiers de l’Union au moyen du droit pénal (JO L 198 du 28.7.2017, p. 29, ELI: </w:t>
      </w:r>
      <w:hyperlink r:id="rId22" w:tooltip="Permet d’accéder à ce document par l’intermédiaire de son URI ELI." w:history="1">
        <w:r>
          <w:rPr>
            <w:rStyle w:val="Hyperlink"/>
          </w:rPr>
          <w:t>http://data.europa.eu/eli/dir/2017/1371/oj</w:t>
        </w:r>
      </w:hyperlink>
      <w:r>
        <w:t>).</w:t>
      </w:r>
    </w:p>
  </w:footnote>
  <w:footnote w:id="26">
    <w:p w14:paraId="12F959AB" w14:textId="123ED9CA" w:rsidR="004566E9" w:rsidRPr="004D4A98" w:rsidRDefault="004566E9" w:rsidP="004566E9">
      <w:pPr>
        <w:pStyle w:val="FootnoteText"/>
        <w:ind w:left="540" w:hanging="540"/>
      </w:pPr>
      <w:r>
        <w:rPr>
          <w:rStyle w:val="FootnoteReference"/>
        </w:rPr>
        <w:footnoteRef/>
      </w:r>
      <w:r>
        <w:tab/>
        <w:t xml:space="preserve">Règlement (UE) 2017/1939 du Conseil du 12 octobre 2017 mettant en œuvre une coopération renforcée concernant la création du Parquet européen (JO L 283 du 31.10.2017, p. 1, ELI: </w:t>
      </w:r>
      <w:hyperlink r:id="rId23" w:history="1">
        <w:r>
          <w:rPr>
            <w:rStyle w:val="Hyperlink"/>
          </w:rPr>
          <w:t>http://data.europa.eu/eli/reg/2017/1939/oj</w:t>
        </w:r>
      </w:hyperlink>
      <w:r>
        <w:t>).</w:t>
      </w:r>
    </w:p>
  </w:footnote>
  <w:footnote w:id="27">
    <w:p w14:paraId="02F1AFA5" w14:textId="77777777" w:rsidR="00AA5E09" w:rsidRPr="00B769EB" w:rsidRDefault="00AA5E09" w:rsidP="00AA5E09">
      <w:pPr>
        <w:pStyle w:val="FootnoteText"/>
        <w:rPr>
          <w:rFonts w:eastAsia="Times New Roman"/>
          <w:color w:val="333333"/>
          <w:sz w:val="21"/>
          <w:szCs w:val="21"/>
        </w:rPr>
      </w:pPr>
      <w:r>
        <w:rPr>
          <w:rStyle w:val="FootnoteReference"/>
        </w:rPr>
        <w:footnoteRef/>
      </w:r>
      <w:r>
        <w:tab/>
        <w:t>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(Texte présentant de l’intérêt pour l’EEE) (JO L 209 du 14.6.2021, p. 1, ELI:</w:t>
      </w:r>
      <w:r>
        <w:rPr>
          <w:color w:val="333333"/>
        </w:rPr>
        <w:t xml:space="preserve"> </w:t>
      </w:r>
      <w:hyperlink r:id="rId24" w:history="1">
        <w:r>
          <w:rPr>
            <w:rStyle w:val="Hyperlink"/>
          </w:rPr>
          <w:t>http://data.europa.eu/eli/reg/2021/947/2021-06-14</w:t>
        </w:r>
      </w:hyperlink>
      <w:r>
        <w:t>).</w:t>
      </w:r>
    </w:p>
  </w:footnote>
  <w:footnote w:id="28">
    <w:p w14:paraId="0CEBFB1A" w14:textId="243C32BE" w:rsidR="002746F0" w:rsidRPr="00A8443F" w:rsidRDefault="002746F0">
      <w:pPr>
        <w:pStyle w:val="FootnoteText"/>
      </w:pPr>
      <w:r>
        <w:rPr>
          <w:rStyle w:val="FootnoteReference"/>
        </w:rPr>
        <w:footnoteRef/>
      </w:r>
      <w:r>
        <w:tab/>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(refonte) (JO L 168 du 7.6.2014, p. 39, ELI: </w:t>
      </w:r>
      <w:hyperlink r:id="rId25" w:tooltip="Permet d’accéder à ce document par l’intermédiaire de son URI ELI." w:history="1">
        <w:r>
          <w:rPr>
            <w:rStyle w:val="Hyperlink"/>
          </w:rPr>
          <w:t>http://data.europa.eu/eli/reg/2014/609/oj</w:t>
        </w:r>
      </w:hyperlink>
      <w:r>
        <w:t>).</w:t>
      </w:r>
    </w:p>
  </w:footnote>
  <w:footnote w:id="29">
    <w:p w14:paraId="540CC3BA" w14:textId="77777777" w:rsidR="00D2167E" w:rsidRPr="00884248" w:rsidRDefault="00D2167E" w:rsidP="00D2167E">
      <w:pPr>
        <w:pStyle w:val="FootnoteText"/>
      </w:pPr>
      <w:r>
        <w:rPr>
          <w:rStyle w:val="FootnoteReference"/>
        </w:rPr>
        <w:footnoteRef/>
      </w:r>
      <w:r>
        <w:tab/>
        <w:t xml:space="preserve">Décision 2010/427/UE du Conseil du 26 juillet 2010 fixant l’organisation et le fonctionnement du service européen pour l’action extérieure (JO L 201 du 3.8.2010, p. 30, ELI: </w:t>
      </w:r>
      <w:hyperlink r:id="rId26" w:history="1">
        <w:r>
          <w:rPr>
            <w:rStyle w:val="Hyperlink"/>
          </w:rPr>
          <w:t>http://data.europa.eu/eli/dec/2010/427/oj</w:t>
        </w:r>
      </w:hyperlink>
      <w:r>
        <w:t>).</w:t>
      </w:r>
    </w:p>
  </w:footnote>
  <w:footnote w:id="30">
    <w:p w14:paraId="08BD98A5" w14:textId="77777777" w:rsidR="00344F69" w:rsidRPr="002932E7" w:rsidRDefault="00344F69" w:rsidP="00344F69">
      <w:pPr>
        <w:pStyle w:val="FootnoteText"/>
      </w:pPr>
      <w:r>
        <w:rPr>
          <w:rStyle w:val="FootnoteReference"/>
        </w:rPr>
        <w:footnoteRef/>
      </w:r>
      <w:r>
        <w:tab/>
        <w:t xml:space="preserve">Règlement (UE) 2018/1092 du Parlement européen et du Conseil du 18 juillet 2018 établissant le programme européen de développement industriel dans le domaine de la défense visant à soutenir la compétitivité et la capacité d’innovation de l’industrie de la défense de l’Union (JO L 200 du 7.8.2018, p. 30, ELI: </w:t>
      </w:r>
      <w:hyperlink r:id="rId27" w:history="1">
        <w:r>
          <w:rPr>
            <w:rStyle w:val="Hyperlink"/>
          </w:rPr>
          <w:t>http://data.europa.eu/eli/reg/2018/1092/oj</w:t>
        </w:r>
      </w:hyperlink>
      <w:r>
        <w:t>).</w:t>
      </w:r>
    </w:p>
  </w:footnote>
  <w:footnote w:id="31">
    <w:p w14:paraId="6C95B394" w14:textId="77777777" w:rsidR="00344F69" w:rsidRPr="002932E7" w:rsidRDefault="00344F69" w:rsidP="00344F69">
      <w:pPr>
        <w:pStyle w:val="FootnoteText"/>
      </w:pPr>
      <w:r>
        <w:rPr>
          <w:rStyle w:val="FootnoteReference"/>
        </w:rPr>
        <w:footnoteRef/>
      </w:r>
      <w:r>
        <w:tab/>
        <w:t xml:space="preserve">Règlement (UE) 2021/697 du Parlement européen et du Conseil du 29 avril 2021 établissant le Fonds européen de la défense et abrogeant le règlement (UE) 2018/1092 (JO L 170 du 12.5.2021, p. 149, ELI: </w:t>
      </w:r>
      <w:hyperlink r:id="rId28" w:history="1">
        <w:r>
          <w:rPr>
            <w:rStyle w:val="Hyperlink"/>
          </w:rPr>
          <w:t>http://data.europa.eu/eli/reg/2021/697/oj</w:t>
        </w:r>
      </w:hyperlink>
      <w:r>
        <w:t>).</w:t>
      </w:r>
    </w:p>
  </w:footnote>
  <w:footnote w:id="32">
    <w:p w14:paraId="4617131A" w14:textId="77777777" w:rsidR="00344F69" w:rsidRPr="002932E7" w:rsidRDefault="00344F69" w:rsidP="00344F69">
      <w:pPr>
        <w:pStyle w:val="FootnoteText"/>
      </w:pPr>
      <w:r>
        <w:rPr>
          <w:rStyle w:val="FootnoteReference"/>
        </w:rPr>
        <w:footnoteRef/>
      </w:r>
      <w:r>
        <w:tab/>
        <w:t xml:space="preserve">Règlement (UE) 2023/1525 du Parlement européen et du Conseil du 20 juillet 2023 relatif au soutien à la production de munitions (ASAP) (JO L 185 du 24.7.2023, p. 7, ELI: </w:t>
      </w:r>
      <w:hyperlink r:id="rId29" w:history="1">
        <w:r>
          <w:rPr>
            <w:rStyle w:val="Hyperlink"/>
          </w:rPr>
          <w:t>http://data.europa.eu/eli/reg/2023/1525/oj</w:t>
        </w:r>
      </w:hyperlink>
      <w:r>
        <w:t>).</w:t>
      </w:r>
    </w:p>
  </w:footnote>
  <w:footnote w:id="33">
    <w:p w14:paraId="7E449A4B" w14:textId="77777777" w:rsidR="00344F69" w:rsidRPr="002932E7" w:rsidRDefault="00344F69" w:rsidP="00344F69">
      <w:pPr>
        <w:pStyle w:val="FootnoteText"/>
      </w:pPr>
      <w:r>
        <w:rPr>
          <w:rStyle w:val="FootnoteReference"/>
        </w:rPr>
        <w:footnoteRef/>
      </w:r>
      <w:r>
        <w:tab/>
        <w:t xml:space="preserve">Règlement (UE) 2023/2418 du Parlement européen et du Conseil du 18 octobre 2023 relatif à la mise en place d’un instrument visant à renforcer l’industrie européenne de la défense au moyen d’acquisitions conjointes (EDIRPA) (JO L, 2023/2418, 26.10.2023, ELI: </w:t>
      </w:r>
      <w:hyperlink r:id="rId30" w:history="1">
        <w:r>
          <w:rPr>
            <w:rStyle w:val="Hyperlink"/>
          </w:rPr>
          <w:t>http://data.europa.eu/eli/reg/2023/2418/oj</w:t>
        </w:r>
      </w:hyperlink>
      <w:r>
        <w:t>).</w:t>
      </w:r>
    </w:p>
  </w:footnote>
  <w:footnote w:id="34">
    <w:p w14:paraId="28E024E3" w14:textId="4B054C5D" w:rsidR="00C36CB8" w:rsidRPr="00C36CB8" w:rsidRDefault="00C36CB8">
      <w:pPr>
        <w:pStyle w:val="FootnoteText"/>
      </w:pPr>
      <w:r>
        <w:rPr>
          <w:rStyle w:val="FootnoteReference"/>
        </w:rPr>
        <w:footnoteRef/>
      </w:r>
      <w:r>
        <w:tab/>
        <w:t xml:space="preserve">Décision (UE, Euratom) 2015/444 de la Commission du 13 mars 2015 concernant les règles de sécurité aux fins de la protection des informations classifiées de l’Union européenne (JO L 72 du 17.3.2015, p. 53, ELI: </w:t>
      </w:r>
      <w:hyperlink r:id="rId31" w:history="1">
        <w:r>
          <w:rPr>
            <w:rStyle w:val="Hyperlink"/>
          </w:rPr>
          <w:t>http://data.europa.eu/eli/dec/2015/444/oj</w:t>
        </w:r>
      </w:hyperlink>
      <w:r>
        <w:t>).</w:t>
      </w:r>
    </w:p>
  </w:footnote>
  <w:footnote w:id="35">
    <w:p w14:paraId="39F3D2D6" w14:textId="77777777" w:rsidR="00760DBB" w:rsidRDefault="00760DBB" w:rsidP="00760DBB">
      <w:pPr>
        <w:pStyle w:val="FootnoteText"/>
      </w:pPr>
      <w:r>
        <w:rPr>
          <w:rStyle w:val="FootnoteReference"/>
        </w:rPr>
        <w:footnoteRef/>
      </w:r>
      <w:r>
        <w:tab/>
        <w:t>Tel(le) que visé(e) à l'article 58, paragraphe 2, point a) ou b), du règlement financier.</w:t>
      </w:r>
    </w:p>
  </w:footnote>
  <w:footnote w:id="36">
    <w:p w14:paraId="59EC2253" w14:textId="77777777" w:rsidR="00656AA8" w:rsidRDefault="00656AA8" w:rsidP="00656AA8">
      <w:pPr>
        <w:pStyle w:val="FootnoteText"/>
        <w:rPr>
          <w:szCs w:val="24"/>
        </w:rPr>
      </w:pPr>
      <w:r>
        <w:rPr>
          <w:rStyle w:val="FootnoteReference"/>
        </w:rPr>
        <w:footnoteRef/>
      </w:r>
      <w:r>
        <w:tab/>
        <w:t>CD = crédits dissociés / CND = crédits non dissociés.</w:t>
      </w:r>
    </w:p>
  </w:footnote>
  <w:footnote w:id="37">
    <w:p w14:paraId="52EDA809" w14:textId="77777777" w:rsidR="00656AA8" w:rsidRDefault="00656AA8" w:rsidP="00656AA8">
      <w:pPr>
        <w:pStyle w:val="FootnoteText"/>
        <w:rPr>
          <w:szCs w:val="24"/>
        </w:rPr>
      </w:pPr>
      <w:r>
        <w:rPr>
          <w:rStyle w:val="FootnoteReference"/>
        </w:rPr>
        <w:footnoteRef/>
      </w:r>
      <w:r>
        <w:tab/>
        <w:t xml:space="preserve">AELE: Association européenne de libre-échange. </w:t>
      </w:r>
    </w:p>
  </w:footnote>
  <w:footnote w:id="38">
    <w:p w14:paraId="025451F7" w14:textId="77777777" w:rsidR="00656AA8" w:rsidRDefault="00656AA8" w:rsidP="00656AA8">
      <w:pPr>
        <w:pStyle w:val="FootnoteText"/>
        <w:rPr>
          <w:szCs w:val="24"/>
        </w:rPr>
      </w:pPr>
      <w:r>
        <w:rPr>
          <w:rStyle w:val="FootnoteReference"/>
        </w:rPr>
        <w:footnoteRef/>
      </w:r>
      <w:r>
        <w:tab/>
        <w:t>Pays candidats et, le cas échéant, pays candidats potentiels des Balkans occidentaux.</w:t>
      </w:r>
    </w:p>
  </w:footnote>
  <w:footnote w:id="39">
    <w:p w14:paraId="77D92B65" w14:textId="77777777" w:rsidR="00656AA8" w:rsidRDefault="00656AA8" w:rsidP="00656AA8">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40">
    <w:p w14:paraId="6162CA83" w14:textId="77777777" w:rsidR="00656AA8" w:rsidRDefault="00656AA8" w:rsidP="00656AA8">
      <w:pPr>
        <w:pStyle w:val="FootnoteText"/>
        <w:rPr>
          <w:szCs w:val="24"/>
        </w:rPr>
      </w:pPr>
      <w:r>
        <w:rPr>
          <w:rStyle w:val="FootnoteReference"/>
        </w:rPr>
        <w:footnoteRef/>
      </w:r>
      <w:r>
        <w:tab/>
        <w:t xml:space="preserve">Tel que décrit dans la section 1.3.2. «Objectif(s) spécifique(s)». </w:t>
      </w:r>
    </w:p>
  </w:footnote>
  <w:footnote w:id="41">
    <w:p w14:paraId="25FFE812" w14:textId="77777777" w:rsidR="00656AA8" w:rsidRDefault="00656AA8" w:rsidP="00656AA8">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8AD8" w14:textId="77777777" w:rsidR="00D549BE" w:rsidRPr="00D549BE" w:rsidRDefault="00D549BE" w:rsidP="00D54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7A64" w14:textId="77777777" w:rsidR="00D549BE" w:rsidRPr="00D549BE" w:rsidRDefault="00D549BE" w:rsidP="00D54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D63B" w14:textId="77777777" w:rsidR="00D549BE" w:rsidRPr="00D549BE" w:rsidRDefault="00D549BE" w:rsidP="00D549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2D84" w14:textId="77777777" w:rsidR="00F96390" w:rsidRDefault="00F96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EDC3" w14:textId="77777777" w:rsidR="00F96390" w:rsidRDefault="00F96390" w:rsidP="00D549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F1AE" w14:textId="77777777" w:rsidR="00D549BE" w:rsidRPr="00D549BE" w:rsidRDefault="00D549BE" w:rsidP="00D549BE">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9BBA" w14:textId="77777777" w:rsidR="00D549BE" w:rsidRPr="00D549BE" w:rsidRDefault="00D549BE" w:rsidP="00D54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414"/>
        </w:tabs>
        <w:ind w:left="41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6D388132"/>
    <w:name w:val="106019786"/>
    <w:lvl w:ilvl="0">
      <w:start w:val="1"/>
      <w:numFmt w:val="decimal"/>
      <w:pStyle w:val="LegalNumPar"/>
      <w:lvlText w:val="%1."/>
      <w:lvlJc w:val="left"/>
      <w:pPr>
        <w:ind w:left="476" w:hanging="476"/>
      </w:pPr>
      <w:rPr>
        <w:rFonts w:hint="default"/>
        <w:b w:val="0"/>
        <w:bCs/>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59A229A"/>
    <w:multiLevelType w:val="hybridMultilevel"/>
    <w:tmpl w:val="4FBC3994"/>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C386568"/>
    <w:multiLevelType w:val="hybridMultilevel"/>
    <w:tmpl w:val="5F2A35C2"/>
    <w:lvl w:ilvl="0" w:tplc="8A50B834">
      <w:start w:val="52"/>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5FFC1AEF"/>
    <w:multiLevelType w:val="hybridMultilevel"/>
    <w:tmpl w:val="4BB006CC"/>
    <w:lvl w:ilvl="0" w:tplc="F0FE02D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356346832">
    <w:abstractNumId w:val="0"/>
  </w:num>
  <w:num w:numId="2" w16cid:durableId="773675325">
    <w:abstractNumId w:val="22"/>
  </w:num>
  <w:num w:numId="3" w16cid:durableId="1481538480">
    <w:abstractNumId w:val="8"/>
  </w:num>
  <w:num w:numId="4" w16cid:durableId="707796772">
    <w:abstractNumId w:val="19"/>
  </w:num>
  <w:num w:numId="5" w16cid:durableId="388115524">
    <w:abstractNumId w:val="18"/>
  </w:num>
  <w:num w:numId="6" w16cid:durableId="536896165">
    <w:abstractNumId w:val="30"/>
  </w:num>
  <w:num w:numId="7" w16cid:durableId="916865735">
    <w:abstractNumId w:val="26"/>
  </w:num>
  <w:num w:numId="8" w16cid:durableId="2129857282">
    <w:abstractNumId w:val="31"/>
  </w:num>
  <w:num w:numId="9" w16cid:durableId="288053214">
    <w:abstractNumId w:val="32"/>
  </w:num>
  <w:num w:numId="10" w16cid:durableId="1855606187">
    <w:abstractNumId w:val="1"/>
  </w:num>
  <w:num w:numId="11" w16cid:durableId="2117825646">
    <w:abstractNumId w:val="10"/>
  </w:num>
  <w:num w:numId="12" w16cid:durableId="443774309">
    <w:abstractNumId w:val="2"/>
  </w:num>
  <w:num w:numId="13" w16cid:durableId="1044908608">
    <w:abstractNumId w:val="12"/>
  </w:num>
  <w:num w:numId="14" w16cid:durableId="1283415766">
    <w:abstractNumId w:val="9"/>
  </w:num>
  <w:num w:numId="15" w16cid:durableId="1905480188">
    <w:abstractNumId w:val="20"/>
  </w:num>
  <w:num w:numId="16" w16cid:durableId="2017464772">
    <w:abstractNumId w:val="7"/>
  </w:num>
  <w:num w:numId="17" w16cid:durableId="20020812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0430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99075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677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3151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10749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60271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43101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89898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72024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54016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27694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6781934">
    <w:abstractNumId w:val="7"/>
  </w:num>
  <w:num w:numId="30" w16cid:durableId="1150513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8476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447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39528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1242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5135203">
    <w:abstractNumId w:val="13"/>
  </w:num>
  <w:num w:numId="36" w16cid:durableId="202415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6344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96629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6081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80217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64951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17276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797890">
    <w:abstractNumId w:val="27"/>
  </w:num>
  <w:num w:numId="44" w16cid:durableId="1493793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823139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191698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86573882">
    <w:abstractNumId w:val="25"/>
  </w:num>
  <w:num w:numId="48" w16cid:durableId="1657490973">
    <w:abstractNumId w:val="14"/>
  </w:num>
  <w:num w:numId="49" w16cid:durableId="1041438221">
    <w:abstractNumId w:val="29"/>
  </w:num>
  <w:num w:numId="50" w16cid:durableId="1593196476">
    <w:abstractNumId w:val="6"/>
  </w:num>
  <w:num w:numId="51" w16cid:durableId="1025716138">
    <w:abstractNumId w:val="15"/>
  </w:num>
  <w:num w:numId="52" w16cid:durableId="1798646437">
    <w:abstractNumId w:val="16"/>
  </w:num>
  <w:num w:numId="53" w16cid:durableId="697849768">
    <w:abstractNumId w:val="4"/>
  </w:num>
  <w:num w:numId="54" w16cid:durableId="1012300684">
    <w:abstractNumId w:val="28"/>
  </w:num>
  <w:num w:numId="55" w16cid:durableId="1290863542">
    <w:abstractNumId w:val="3"/>
  </w:num>
  <w:num w:numId="56" w16cid:durableId="1594508893">
    <w:abstractNumId w:val="17"/>
  </w:num>
  <w:num w:numId="57" w16cid:durableId="2013294938">
    <w:abstractNumId w:val="23"/>
  </w:num>
  <w:num w:numId="58" w16cid:durableId="185867573">
    <w:abstractNumId w:val="24"/>
  </w:num>
  <w:num w:numId="59" w16cid:durableId="1331054897">
    <w:abstractNumId w:val="5"/>
  </w:num>
  <w:num w:numId="60" w16cid:durableId="262735279">
    <w:abstractNumId w:val="21"/>
  </w:num>
  <w:num w:numId="61" w16cid:durableId="977877245">
    <w:abstractNumId w:val="33"/>
  </w:num>
  <w:num w:numId="62" w16cid:durableId="449470687">
    <w:abstractNumId w:val="28"/>
  </w:num>
  <w:num w:numId="63" w16cid:durableId="684988691">
    <w:abstractNumId w:val="28"/>
  </w:num>
  <w:num w:numId="64" w16cid:durableId="73356565">
    <w:abstractNumId w:val="28"/>
  </w:num>
  <w:num w:numId="65" w16cid:durableId="1466117546">
    <w:abstractNumId w:val="16"/>
  </w:num>
  <w:num w:numId="66" w16cid:durableId="1177382873">
    <w:abstractNumId w:val="4"/>
  </w:num>
  <w:num w:numId="67" w16cid:durableId="1863938840">
    <w:abstractNumId w:val="4"/>
  </w:num>
  <w:num w:numId="68" w16cid:durableId="566301998">
    <w:abstractNumId w:val="4"/>
  </w:num>
  <w:num w:numId="69" w16cid:durableId="1183205071">
    <w:abstractNumId w:val="1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1-12 16:33: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272B1D4F-C342-43D3-B4F3-A78022FF3A5A"/>
    <w:docVar w:name="LW_COVERPAGE_TYPE" w:val="1"/>
    <w:docVar w:name="LW_CreatedUtc" w:val="2025-10-14T13:52:20.4536867Z"/>
    <w:docVar w:name="LW_CROSSREFERENCE" w:val="&lt;UNUSED&gt;"/>
    <w:docVar w:name="LW_DocType" w:val="COM"/>
    <w:docVar w:name="LW_EMISSION" w:val="14.1.2026"/>
    <w:docVar w:name="LW_EMISSION_ISODATE" w:val="2026-01-1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08"/>
    <w:docVar w:name="LW_REF.II.NEW.CP_YEAR" w:val="2026"/>
    <w:docVar w:name="LW_REF.INST.NEW" w:val="COM"/>
    <w:docVar w:name="LW_REF.INST.NEW_ADOPTED" w:val="final"/>
    <w:docVar w:name="LW_REF.INST.NEW_TEXT" w:val="(2026) 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ettant en \u339?uvre une coopération renforcée concernant l\u8217?établissement du prêt de soutien à l\u8217?Ukraine pour 2026 et 2027"/>
    <w:docVar w:name="LW_TYPE.DOC.CP" w:val="RÈGLEMENT DU PARLEMENT EUROPÉEN ET DU CONSEIL"/>
    <w:docVar w:name="LwApiVersions" w:val="LW4CoDe 1.24.5.0; LW 9.2, Build 20251112"/>
  </w:docVars>
  <w:rsids>
    <w:rsidRoot w:val="00A30D6B"/>
    <w:rsid w:val="000003FC"/>
    <w:rsid w:val="00000BC1"/>
    <w:rsid w:val="00001BD3"/>
    <w:rsid w:val="00001BFC"/>
    <w:rsid w:val="00001C5A"/>
    <w:rsid w:val="00001F8D"/>
    <w:rsid w:val="00002730"/>
    <w:rsid w:val="0000276E"/>
    <w:rsid w:val="00002DC3"/>
    <w:rsid w:val="00005772"/>
    <w:rsid w:val="00005C0F"/>
    <w:rsid w:val="000069A4"/>
    <w:rsid w:val="000071D1"/>
    <w:rsid w:val="0000736B"/>
    <w:rsid w:val="00007C60"/>
    <w:rsid w:val="00007CC1"/>
    <w:rsid w:val="00007EF1"/>
    <w:rsid w:val="000100B6"/>
    <w:rsid w:val="00011651"/>
    <w:rsid w:val="0001301C"/>
    <w:rsid w:val="00013451"/>
    <w:rsid w:val="0001587B"/>
    <w:rsid w:val="00015AE4"/>
    <w:rsid w:val="00015BD6"/>
    <w:rsid w:val="0001606F"/>
    <w:rsid w:val="00016197"/>
    <w:rsid w:val="00016D26"/>
    <w:rsid w:val="00017316"/>
    <w:rsid w:val="00017D0C"/>
    <w:rsid w:val="00020718"/>
    <w:rsid w:val="000209CB"/>
    <w:rsid w:val="000211B4"/>
    <w:rsid w:val="000216C4"/>
    <w:rsid w:val="000216E8"/>
    <w:rsid w:val="00021E08"/>
    <w:rsid w:val="000224E0"/>
    <w:rsid w:val="0002397E"/>
    <w:rsid w:val="0002420A"/>
    <w:rsid w:val="00024765"/>
    <w:rsid w:val="00024EDD"/>
    <w:rsid w:val="00024FB2"/>
    <w:rsid w:val="00025474"/>
    <w:rsid w:val="00025E40"/>
    <w:rsid w:val="000260A6"/>
    <w:rsid w:val="000261F0"/>
    <w:rsid w:val="00026B4A"/>
    <w:rsid w:val="00027589"/>
    <w:rsid w:val="00027BA1"/>
    <w:rsid w:val="000315AB"/>
    <w:rsid w:val="00031775"/>
    <w:rsid w:val="00031930"/>
    <w:rsid w:val="00031A7D"/>
    <w:rsid w:val="000325BE"/>
    <w:rsid w:val="00033144"/>
    <w:rsid w:val="0003377B"/>
    <w:rsid w:val="00033A8F"/>
    <w:rsid w:val="000343DB"/>
    <w:rsid w:val="000349B8"/>
    <w:rsid w:val="000351AC"/>
    <w:rsid w:val="000351FD"/>
    <w:rsid w:val="000353C1"/>
    <w:rsid w:val="0003590C"/>
    <w:rsid w:val="00035BA8"/>
    <w:rsid w:val="00036241"/>
    <w:rsid w:val="00036C47"/>
    <w:rsid w:val="00041F6A"/>
    <w:rsid w:val="00042024"/>
    <w:rsid w:val="00042268"/>
    <w:rsid w:val="000430ED"/>
    <w:rsid w:val="0004320E"/>
    <w:rsid w:val="0004363D"/>
    <w:rsid w:val="00043884"/>
    <w:rsid w:val="000442DC"/>
    <w:rsid w:val="00044C88"/>
    <w:rsid w:val="00045D66"/>
    <w:rsid w:val="000461A0"/>
    <w:rsid w:val="00046BCD"/>
    <w:rsid w:val="00046E72"/>
    <w:rsid w:val="00047051"/>
    <w:rsid w:val="000508BA"/>
    <w:rsid w:val="000510AF"/>
    <w:rsid w:val="00051CA3"/>
    <w:rsid w:val="00051F01"/>
    <w:rsid w:val="00052F2B"/>
    <w:rsid w:val="0005351C"/>
    <w:rsid w:val="00054B64"/>
    <w:rsid w:val="00054D4D"/>
    <w:rsid w:val="0005529A"/>
    <w:rsid w:val="00055718"/>
    <w:rsid w:val="000571A8"/>
    <w:rsid w:val="00057336"/>
    <w:rsid w:val="00057E7C"/>
    <w:rsid w:val="00060E8D"/>
    <w:rsid w:val="00061611"/>
    <w:rsid w:val="000617C3"/>
    <w:rsid w:val="00061E54"/>
    <w:rsid w:val="00062A95"/>
    <w:rsid w:val="00065239"/>
    <w:rsid w:val="000664A9"/>
    <w:rsid w:val="0006659C"/>
    <w:rsid w:val="00067305"/>
    <w:rsid w:val="00067866"/>
    <w:rsid w:val="00070689"/>
    <w:rsid w:val="00071680"/>
    <w:rsid w:val="00071796"/>
    <w:rsid w:val="0007196C"/>
    <w:rsid w:val="00071D61"/>
    <w:rsid w:val="00074310"/>
    <w:rsid w:val="000744C6"/>
    <w:rsid w:val="000746AE"/>
    <w:rsid w:val="00074D2F"/>
    <w:rsid w:val="00075445"/>
    <w:rsid w:val="00075DEB"/>
    <w:rsid w:val="000772A2"/>
    <w:rsid w:val="000806FD"/>
    <w:rsid w:val="0008133D"/>
    <w:rsid w:val="0008157E"/>
    <w:rsid w:val="00082E5D"/>
    <w:rsid w:val="00082FBD"/>
    <w:rsid w:val="0008395C"/>
    <w:rsid w:val="00084115"/>
    <w:rsid w:val="00084684"/>
    <w:rsid w:val="00084F3F"/>
    <w:rsid w:val="000854FA"/>
    <w:rsid w:val="00085523"/>
    <w:rsid w:val="00085868"/>
    <w:rsid w:val="000861A1"/>
    <w:rsid w:val="00086751"/>
    <w:rsid w:val="000875AF"/>
    <w:rsid w:val="000877E6"/>
    <w:rsid w:val="00087D33"/>
    <w:rsid w:val="00087FED"/>
    <w:rsid w:val="0009040F"/>
    <w:rsid w:val="00090B92"/>
    <w:rsid w:val="00090BFD"/>
    <w:rsid w:val="000920B2"/>
    <w:rsid w:val="00092277"/>
    <w:rsid w:val="000922FC"/>
    <w:rsid w:val="000937AF"/>
    <w:rsid w:val="00093836"/>
    <w:rsid w:val="00094017"/>
    <w:rsid w:val="00095A60"/>
    <w:rsid w:val="00095C80"/>
    <w:rsid w:val="00096145"/>
    <w:rsid w:val="00096C49"/>
    <w:rsid w:val="00096C4C"/>
    <w:rsid w:val="00097B9C"/>
    <w:rsid w:val="00097E6D"/>
    <w:rsid w:val="00097FD1"/>
    <w:rsid w:val="000A014C"/>
    <w:rsid w:val="000A064F"/>
    <w:rsid w:val="000A0D96"/>
    <w:rsid w:val="000A1117"/>
    <w:rsid w:val="000A114A"/>
    <w:rsid w:val="000A152B"/>
    <w:rsid w:val="000A2575"/>
    <w:rsid w:val="000A28A1"/>
    <w:rsid w:val="000A31E2"/>
    <w:rsid w:val="000A3F72"/>
    <w:rsid w:val="000A47B7"/>
    <w:rsid w:val="000A4F73"/>
    <w:rsid w:val="000A505E"/>
    <w:rsid w:val="000A586D"/>
    <w:rsid w:val="000A6C0F"/>
    <w:rsid w:val="000A6EDE"/>
    <w:rsid w:val="000A7288"/>
    <w:rsid w:val="000A7CB6"/>
    <w:rsid w:val="000A7DF8"/>
    <w:rsid w:val="000B022C"/>
    <w:rsid w:val="000B038B"/>
    <w:rsid w:val="000B0F5F"/>
    <w:rsid w:val="000B168A"/>
    <w:rsid w:val="000B18AC"/>
    <w:rsid w:val="000B1FF4"/>
    <w:rsid w:val="000B2267"/>
    <w:rsid w:val="000B2E0D"/>
    <w:rsid w:val="000B3183"/>
    <w:rsid w:val="000B34AD"/>
    <w:rsid w:val="000B4381"/>
    <w:rsid w:val="000B471B"/>
    <w:rsid w:val="000B5040"/>
    <w:rsid w:val="000B56F0"/>
    <w:rsid w:val="000B594B"/>
    <w:rsid w:val="000B60C4"/>
    <w:rsid w:val="000B6E8C"/>
    <w:rsid w:val="000B719F"/>
    <w:rsid w:val="000B769D"/>
    <w:rsid w:val="000B7D5F"/>
    <w:rsid w:val="000B7FC0"/>
    <w:rsid w:val="000C09E6"/>
    <w:rsid w:val="000C1652"/>
    <w:rsid w:val="000C171E"/>
    <w:rsid w:val="000C2D1D"/>
    <w:rsid w:val="000C2EC6"/>
    <w:rsid w:val="000C3491"/>
    <w:rsid w:val="000C34D1"/>
    <w:rsid w:val="000C381F"/>
    <w:rsid w:val="000C41E9"/>
    <w:rsid w:val="000C4790"/>
    <w:rsid w:val="000C4AAD"/>
    <w:rsid w:val="000C563E"/>
    <w:rsid w:val="000C60C1"/>
    <w:rsid w:val="000C7DD1"/>
    <w:rsid w:val="000D0C84"/>
    <w:rsid w:val="000D1339"/>
    <w:rsid w:val="000D1367"/>
    <w:rsid w:val="000D16C5"/>
    <w:rsid w:val="000D20A1"/>
    <w:rsid w:val="000D20BC"/>
    <w:rsid w:val="000D3D22"/>
    <w:rsid w:val="000D40B8"/>
    <w:rsid w:val="000D413B"/>
    <w:rsid w:val="000D43DD"/>
    <w:rsid w:val="000D55EA"/>
    <w:rsid w:val="000D6E3C"/>
    <w:rsid w:val="000D726E"/>
    <w:rsid w:val="000D7371"/>
    <w:rsid w:val="000D7520"/>
    <w:rsid w:val="000E079C"/>
    <w:rsid w:val="000E1350"/>
    <w:rsid w:val="000E267C"/>
    <w:rsid w:val="000E2D19"/>
    <w:rsid w:val="000E2EBB"/>
    <w:rsid w:val="000E41B1"/>
    <w:rsid w:val="000E5181"/>
    <w:rsid w:val="000E5A7F"/>
    <w:rsid w:val="000E5AB0"/>
    <w:rsid w:val="000E5DE3"/>
    <w:rsid w:val="000E5FD4"/>
    <w:rsid w:val="000E6672"/>
    <w:rsid w:val="000E7744"/>
    <w:rsid w:val="000E7814"/>
    <w:rsid w:val="000E7AD7"/>
    <w:rsid w:val="000F16E9"/>
    <w:rsid w:val="000F17E7"/>
    <w:rsid w:val="000F2E7E"/>
    <w:rsid w:val="000F2E97"/>
    <w:rsid w:val="000F3952"/>
    <w:rsid w:val="000F3EC6"/>
    <w:rsid w:val="000F4EF9"/>
    <w:rsid w:val="000F54C1"/>
    <w:rsid w:val="000F5551"/>
    <w:rsid w:val="000F6874"/>
    <w:rsid w:val="000F7A11"/>
    <w:rsid w:val="001027A7"/>
    <w:rsid w:val="00102A48"/>
    <w:rsid w:val="00103AC2"/>
    <w:rsid w:val="001065F5"/>
    <w:rsid w:val="00106671"/>
    <w:rsid w:val="0010715A"/>
    <w:rsid w:val="00107D8B"/>
    <w:rsid w:val="00107E58"/>
    <w:rsid w:val="001100FA"/>
    <w:rsid w:val="0011049C"/>
    <w:rsid w:val="00110626"/>
    <w:rsid w:val="001107E6"/>
    <w:rsid w:val="00110935"/>
    <w:rsid w:val="00111026"/>
    <w:rsid w:val="00111CAE"/>
    <w:rsid w:val="00111D5C"/>
    <w:rsid w:val="001122BA"/>
    <w:rsid w:val="001130E8"/>
    <w:rsid w:val="00113335"/>
    <w:rsid w:val="00114132"/>
    <w:rsid w:val="001143E9"/>
    <w:rsid w:val="00114503"/>
    <w:rsid w:val="00114B8A"/>
    <w:rsid w:val="00114D72"/>
    <w:rsid w:val="00114DCD"/>
    <w:rsid w:val="001158A5"/>
    <w:rsid w:val="0011598B"/>
    <w:rsid w:val="001160E7"/>
    <w:rsid w:val="00116336"/>
    <w:rsid w:val="00116589"/>
    <w:rsid w:val="00116B8C"/>
    <w:rsid w:val="00116DC1"/>
    <w:rsid w:val="00117842"/>
    <w:rsid w:val="00117898"/>
    <w:rsid w:val="001201EE"/>
    <w:rsid w:val="0012038E"/>
    <w:rsid w:val="001204F4"/>
    <w:rsid w:val="00120784"/>
    <w:rsid w:val="00120AAB"/>
    <w:rsid w:val="00121323"/>
    <w:rsid w:val="0012156F"/>
    <w:rsid w:val="00122807"/>
    <w:rsid w:val="00122889"/>
    <w:rsid w:val="00122951"/>
    <w:rsid w:val="00122CF6"/>
    <w:rsid w:val="00122FA6"/>
    <w:rsid w:val="001238EF"/>
    <w:rsid w:val="00124E80"/>
    <w:rsid w:val="00125523"/>
    <w:rsid w:val="001257FD"/>
    <w:rsid w:val="00126C48"/>
    <w:rsid w:val="001273B9"/>
    <w:rsid w:val="00127E58"/>
    <w:rsid w:val="0013035B"/>
    <w:rsid w:val="00131261"/>
    <w:rsid w:val="001325C0"/>
    <w:rsid w:val="001329D0"/>
    <w:rsid w:val="00132DE5"/>
    <w:rsid w:val="001330E8"/>
    <w:rsid w:val="00133807"/>
    <w:rsid w:val="00133888"/>
    <w:rsid w:val="00133988"/>
    <w:rsid w:val="001343DA"/>
    <w:rsid w:val="0013476B"/>
    <w:rsid w:val="001347F1"/>
    <w:rsid w:val="0013533D"/>
    <w:rsid w:val="001353FF"/>
    <w:rsid w:val="00136390"/>
    <w:rsid w:val="00137810"/>
    <w:rsid w:val="001379F8"/>
    <w:rsid w:val="00137A0D"/>
    <w:rsid w:val="00140053"/>
    <w:rsid w:val="00140153"/>
    <w:rsid w:val="0014024C"/>
    <w:rsid w:val="0014092D"/>
    <w:rsid w:val="00140FC5"/>
    <w:rsid w:val="00141452"/>
    <w:rsid w:val="00141A0A"/>
    <w:rsid w:val="00141CAD"/>
    <w:rsid w:val="0014431D"/>
    <w:rsid w:val="0014478A"/>
    <w:rsid w:val="001451E0"/>
    <w:rsid w:val="001453D3"/>
    <w:rsid w:val="00145A7B"/>
    <w:rsid w:val="00145B15"/>
    <w:rsid w:val="00145D8E"/>
    <w:rsid w:val="0014730C"/>
    <w:rsid w:val="00147F8C"/>
    <w:rsid w:val="001506B7"/>
    <w:rsid w:val="00150962"/>
    <w:rsid w:val="00151505"/>
    <w:rsid w:val="001516FF"/>
    <w:rsid w:val="00152A47"/>
    <w:rsid w:val="00152C88"/>
    <w:rsid w:val="00152F72"/>
    <w:rsid w:val="00152FAC"/>
    <w:rsid w:val="00153041"/>
    <w:rsid w:val="00153D09"/>
    <w:rsid w:val="00153D13"/>
    <w:rsid w:val="00155231"/>
    <w:rsid w:val="00155362"/>
    <w:rsid w:val="001558C6"/>
    <w:rsid w:val="001559BF"/>
    <w:rsid w:val="001567B4"/>
    <w:rsid w:val="00156F07"/>
    <w:rsid w:val="0016049C"/>
    <w:rsid w:val="00160B7E"/>
    <w:rsid w:val="001611A8"/>
    <w:rsid w:val="001611D9"/>
    <w:rsid w:val="00161333"/>
    <w:rsid w:val="0016143A"/>
    <w:rsid w:val="00161AB1"/>
    <w:rsid w:val="00163683"/>
    <w:rsid w:val="001637BE"/>
    <w:rsid w:val="00163E98"/>
    <w:rsid w:val="00164498"/>
    <w:rsid w:val="001646D5"/>
    <w:rsid w:val="001647E5"/>
    <w:rsid w:val="00164B7A"/>
    <w:rsid w:val="00165126"/>
    <w:rsid w:val="0016538C"/>
    <w:rsid w:val="00170BC2"/>
    <w:rsid w:val="001716B0"/>
    <w:rsid w:val="00171FBD"/>
    <w:rsid w:val="001723CC"/>
    <w:rsid w:val="00172EA2"/>
    <w:rsid w:val="001735C2"/>
    <w:rsid w:val="001737A5"/>
    <w:rsid w:val="0017483D"/>
    <w:rsid w:val="00174E99"/>
    <w:rsid w:val="0017564B"/>
    <w:rsid w:val="00175AA4"/>
    <w:rsid w:val="00175EBB"/>
    <w:rsid w:val="00176710"/>
    <w:rsid w:val="001775F2"/>
    <w:rsid w:val="00177705"/>
    <w:rsid w:val="0017795B"/>
    <w:rsid w:val="00177EFF"/>
    <w:rsid w:val="00177FDE"/>
    <w:rsid w:val="0018040B"/>
    <w:rsid w:val="00180731"/>
    <w:rsid w:val="001809EA"/>
    <w:rsid w:val="00180D78"/>
    <w:rsid w:val="0018210C"/>
    <w:rsid w:val="0018353C"/>
    <w:rsid w:val="00183643"/>
    <w:rsid w:val="00183839"/>
    <w:rsid w:val="00183A75"/>
    <w:rsid w:val="00183F65"/>
    <w:rsid w:val="001841A1"/>
    <w:rsid w:val="00184535"/>
    <w:rsid w:val="00184F6C"/>
    <w:rsid w:val="00186055"/>
    <w:rsid w:val="00186657"/>
    <w:rsid w:val="00186914"/>
    <w:rsid w:val="00186BCC"/>
    <w:rsid w:val="00187471"/>
    <w:rsid w:val="0018774D"/>
    <w:rsid w:val="00190057"/>
    <w:rsid w:val="00191880"/>
    <w:rsid w:val="0019332D"/>
    <w:rsid w:val="0019344B"/>
    <w:rsid w:val="00194606"/>
    <w:rsid w:val="00196400"/>
    <w:rsid w:val="00196750"/>
    <w:rsid w:val="00197613"/>
    <w:rsid w:val="001A0589"/>
    <w:rsid w:val="001A0684"/>
    <w:rsid w:val="001A06DD"/>
    <w:rsid w:val="001A114E"/>
    <w:rsid w:val="001A1A29"/>
    <w:rsid w:val="001A2713"/>
    <w:rsid w:val="001A31EE"/>
    <w:rsid w:val="001A324A"/>
    <w:rsid w:val="001A3283"/>
    <w:rsid w:val="001A3528"/>
    <w:rsid w:val="001A396E"/>
    <w:rsid w:val="001A3A45"/>
    <w:rsid w:val="001A3AEE"/>
    <w:rsid w:val="001A41A4"/>
    <w:rsid w:val="001A485E"/>
    <w:rsid w:val="001A59D6"/>
    <w:rsid w:val="001A5F9A"/>
    <w:rsid w:val="001A6171"/>
    <w:rsid w:val="001A6659"/>
    <w:rsid w:val="001A7445"/>
    <w:rsid w:val="001A76A9"/>
    <w:rsid w:val="001B0273"/>
    <w:rsid w:val="001B03B5"/>
    <w:rsid w:val="001B1235"/>
    <w:rsid w:val="001B13D0"/>
    <w:rsid w:val="001B262E"/>
    <w:rsid w:val="001B27F4"/>
    <w:rsid w:val="001B2939"/>
    <w:rsid w:val="001B2EB7"/>
    <w:rsid w:val="001B3A36"/>
    <w:rsid w:val="001B3C60"/>
    <w:rsid w:val="001B3CE0"/>
    <w:rsid w:val="001B3DCD"/>
    <w:rsid w:val="001B3E93"/>
    <w:rsid w:val="001B4163"/>
    <w:rsid w:val="001B4557"/>
    <w:rsid w:val="001B522E"/>
    <w:rsid w:val="001B540F"/>
    <w:rsid w:val="001B5C46"/>
    <w:rsid w:val="001B65F0"/>
    <w:rsid w:val="001B75EA"/>
    <w:rsid w:val="001B7909"/>
    <w:rsid w:val="001B7F9A"/>
    <w:rsid w:val="001C11B2"/>
    <w:rsid w:val="001C19D2"/>
    <w:rsid w:val="001C1B00"/>
    <w:rsid w:val="001C20B0"/>
    <w:rsid w:val="001C2564"/>
    <w:rsid w:val="001C2B3A"/>
    <w:rsid w:val="001C3D48"/>
    <w:rsid w:val="001C3E71"/>
    <w:rsid w:val="001C41D1"/>
    <w:rsid w:val="001C4954"/>
    <w:rsid w:val="001C4A51"/>
    <w:rsid w:val="001C6B66"/>
    <w:rsid w:val="001C6F53"/>
    <w:rsid w:val="001C7187"/>
    <w:rsid w:val="001C767E"/>
    <w:rsid w:val="001D001E"/>
    <w:rsid w:val="001D0998"/>
    <w:rsid w:val="001D0FB8"/>
    <w:rsid w:val="001D148A"/>
    <w:rsid w:val="001D1EBE"/>
    <w:rsid w:val="001D2B67"/>
    <w:rsid w:val="001D2B9B"/>
    <w:rsid w:val="001D3296"/>
    <w:rsid w:val="001D430A"/>
    <w:rsid w:val="001D4590"/>
    <w:rsid w:val="001D506A"/>
    <w:rsid w:val="001D537C"/>
    <w:rsid w:val="001D6278"/>
    <w:rsid w:val="001D6282"/>
    <w:rsid w:val="001D6F13"/>
    <w:rsid w:val="001D7C96"/>
    <w:rsid w:val="001D7EB6"/>
    <w:rsid w:val="001E1173"/>
    <w:rsid w:val="001E1B9D"/>
    <w:rsid w:val="001E1BD9"/>
    <w:rsid w:val="001E1FFC"/>
    <w:rsid w:val="001E22F8"/>
    <w:rsid w:val="001E2B93"/>
    <w:rsid w:val="001E2D9A"/>
    <w:rsid w:val="001E33B7"/>
    <w:rsid w:val="001E3919"/>
    <w:rsid w:val="001E4029"/>
    <w:rsid w:val="001E5421"/>
    <w:rsid w:val="001E6A91"/>
    <w:rsid w:val="001E6D19"/>
    <w:rsid w:val="001E6FB9"/>
    <w:rsid w:val="001E74E2"/>
    <w:rsid w:val="001E799C"/>
    <w:rsid w:val="001F00F1"/>
    <w:rsid w:val="001F017F"/>
    <w:rsid w:val="001F0273"/>
    <w:rsid w:val="001F0602"/>
    <w:rsid w:val="001F085C"/>
    <w:rsid w:val="001F0CBB"/>
    <w:rsid w:val="001F100F"/>
    <w:rsid w:val="001F1110"/>
    <w:rsid w:val="001F14A2"/>
    <w:rsid w:val="001F14A7"/>
    <w:rsid w:val="001F1822"/>
    <w:rsid w:val="001F1D6C"/>
    <w:rsid w:val="001F1E16"/>
    <w:rsid w:val="001F3244"/>
    <w:rsid w:val="001F37BE"/>
    <w:rsid w:val="001F39CE"/>
    <w:rsid w:val="001F3CE6"/>
    <w:rsid w:val="001F4B8B"/>
    <w:rsid w:val="001F4FFB"/>
    <w:rsid w:val="001F6B74"/>
    <w:rsid w:val="001F6ECD"/>
    <w:rsid w:val="001F7A81"/>
    <w:rsid w:val="002002F0"/>
    <w:rsid w:val="0020037E"/>
    <w:rsid w:val="002005F2"/>
    <w:rsid w:val="00200849"/>
    <w:rsid w:val="00200E75"/>
    <w:rsid w:val="0020124D"/>
    <w:rsid w:val="00201499"/>
    <w:rsid w:val="00201593"/>
    <w:rsid w:val="00201BB8"/>
    <w:rsid w:val="00201F71"/>
    <w:rsid w:val="002033A7"/>
    <w:rsid w:val="0020357A"/>
    <w:rsid w:val="00205019"/>
    <w:rsid w:val="00205802"/>
    <w:rsid w:val="002059A2"/>
    <w:rsid w:val="00205A39"/>
    <w:rsid w:val="00205C66"/>
    <w:rsid w:val="00205C90"/>
    <w:rsid w:val="00205EDD"/>
    <w:rsid w:val="002066D8"/>
    <w:rsid w:val="00207BD2"/>
    <w:rsid w:val="00210226"/>
    <w:rsid w:val="002109F3"/>
    <w:rsid w:val="00210C3C"/>
    <w:rsid w:val="00210EB2"/>
    <w:rsid w:val="002110EA"/>
    <w:rsid w:val="00211B49"/>
    <w:rsid w:val="00211F2F"/>
    <w:rsid w:val="002122CB"/>
    <w:rsid w:val="00212CB5"/>
    <w:rsid w:val="00212F1D"/>
    <w:rsid w:val="0021300C"/>
    <w:rsid w:val="002137F6"/>
    <w:rsid w:val="00213950"/>
    <w:rsid w:val="002142EB"/>
    <w:rsid w:val="002148AB"/>
    <w:rsid w:val="00215D1B"/>
    <w:rsid w:val="00215E71"/>
    <w:rsid w:val="0021611B"/>
    <w:rsid w:val="002165D6"/>
    <w:rsid w:val="00216816"/>
    <w:rsid w:val="00217876"/>
    <w:rsid w:val="00221729"/>
    <w:rsid w:val="002217BE"/>
    <w:rsid w:val="00221B8E"/>
    <w:rsid w:val="00222328"/>
    <w:rsid w:val="00222977"/>
    <w:rsid w:val="00222D1F"/>
    <w:rsid w:val="00222D68"/>
    <w:rsid w:val="00222F58"/>
    <w:rsid w:val="0022323F"/>
    <w:rsid w:val="00223388"/>
    <w:rsid w:val="0022360F"/>
    <w:rsid w:val="00223901"/>
    <w:rsid w:val="00224212"/>
    <w:rsid w:val="00224347"/>
    <w:rsid w:val="0022558C"/>
    <w:rsid w:val="00225ACC"/>
    <w:rsid w:val="002269E4"/>
    <w:rsid w:val="00227534"/>
    <w:rsid w:val="002275D8"/>
    <w:rsid w:val="00227A86"/>
    <w:rsid w:val="002307DC"/>
    <w:rsid w:val="00230E85"/>
    <w:rsid w:val="00231054"/>
    <w:rsid w:val="00232322"/>
    <w:rsid w:val="002323E7"/>
    <w:rsid w:val="00232964"/>
    <w:rsid w:val="00232AFB"/>
    <w:rsid w:val="00233483"/>
    <w:rsid w:val="00233CA7"/>
    <w:rsid w:val="00233DC7"/>
    <w:rsid w:val="002348E1"/>
    <w:rsid w:val="00235B5F"/>
    <w:rsid w:val="00235D86"/>
    <w:rsid w:val="0023628F"/>
    <w:rsid w:val="002374C0"/>
    <w:rsid w:val="00237520"/>
    <w:rsid w:val="00237924"/>
    <w:rsid w:val="00240AE1"/>
    <w:rsid w:val="00240C4E"/>
    <w:rsid w:val="00241FAE"/>
    <w:rsid w:val="00242187"/>
    <w:rsid w:val="00243206"/>
    <w:rsid w:val="00243508"/>
    <w:rsid w:val="00243922"/>
    <w:rsid w:val="00243F78"/>
    <w:rsid w:val="00244275"/>
    <w:rsid w:val="00244652"/>
    <w:rsid w:val="00244980"/>
    <w:rsid w:val="00244EFA"/>
    <w:rsid w:val="00244FC3"/>
    <w:rsid w:val="00246452"/>
    <w:rsid w:val="00246BCA"/>
    <w:rsid w:val="00246DFF"/>
    <w:rsid w:val="002470CB"/>
    <w:rsid w:val="002476BA"/>
    <w:rsid w:val="00247779"/>
    <w:rsid w:val="00247A00"/>
    <w:rsid w:val="002500A7"/>
    <w:rsid w:val="00250858"/>
    <w:rsid w:val="00250A23"/>
    <w:rsid w:val="00251694"/>
    <w:rsid w:val="00253033"/>
    <w:rsid w:val="0025484B"/>
    <w:rsid w:val="00254851"/>
    <w:rsid w:val="00254A51"/>
    <w:rsid w:val="00255D71"/>
    <w:rsid w:val="0025603B"/>
    <w:rsid w:val="00256385"/>
    <w:rsid w:val="002568E7"/>
    <w:rsid w:val="00256B38"/>
    <w:rsid w:val="0025759D"/>
    <w:rsid w:val="0025760C"/>
    <w:rsid w:val="0026045D"/>
    <w:rsid w:val="0026077F"/>
    <w:rsid w:val="00260816"/>
    <w:rsid w:val="00260DE4"/>
    <w:rsid w:val="0026106A"/>
    <w:rsid w:val="0026221D"/>
    <w:rsid w:val="002634DB"/>
    <w:rsid w:val="00263F47"/>
    <w:rsid w:val="00265CAF"/>
    <w:rsid w:val="00265E4A"/>
    <w:rsid w:val="002663B3"/>
    <w:rsid w:val="0026690E"/>
    <w:rsid w:val="00267661"/>
    <w:rsid w:val="002676E7"/>
    <w:rsid w:val="00267815"/>
    <w:rsid w:val="0027011B"/>
    <w:rsid w:val="00270A94"/>
    <w:rsid w:val="0027191C"/>
    <w:rsid w:val="00272756"/>
    <w:rsid w:val="0027285F"/>
    <w:rsid w:val="00272BF7"/>
    <w:rsid w:val="002731CB"/>
    <w:rsid w:val="00273D83"/>
    <w:rsid w:val="002746F0"/>
    <w:rsid w:val="00274CDE"/>
    <w:rsid w:val="00275B57"/>
    <w:rsid w:val="00276AD3"/>
    <w:rsid w:val="00276C64"/>
    <w:rsid w:val="00276E65"/>
    <w:rsid w:val="00280FC0"/>
    <w:rsid w:val="0028261E"/>
    <w:rsid w:val="00282E2C"/>
    <w:rsid w:val="00282F4A"/>
    <w:rsid w:val="0028355F"/>
    <w:rsid w:val="0028364E"/>
    <w:rsid w:val="0028386B"/>
    <w:rsid w:val="0028473C"/>
    <w:rsid w:val="00284A61"/>
    <w:rsid w:val="00285729"/>
    <w:rsid w:val="00285996"/>
    <w:rsid w:val="002859B4"/>
    <w:rsid w:val="00285B18"/>
    <w:rsid w:val="00285BEE"/>
    <w:rsid w:val="00285E44"/>
    <w:rsid w:val="0028716C"/>
    <w:rsid w:val="00287265"/>
    <w:rsid w:val="002874BC"/>
    <w:rsid w:val="00287601"/>
    <w:rsid w:val="0029024B"/>
    <w:rsid w:val="00290D8C"/>
    <w:rsid w:val="002914DB"/>
    <w:rsid w:val="00292097"/>
    <w:rsid w:val="00292150"/>
    <w:rsid w:val="002922D9"/>
    <w:rsid w:val="0029253C"/>
    <w:rsid w:val="002933FD"/>
    <w:rsid w:val="002934AA"/>
    <w:rsid w:val="0029533F"/>
    <w:rsid w:val="002961CD"/>
    <w:rsid w:val="002969BC"/>
    <w:rsid w:val="00296C43"/>
    <w:rsid w:val="00296EAE"/>
    <w:rsid w:val="002971BB"/>
    <w:rsid w:val="00297387"/>
    <w:rsid w:val="0029764D"/>
    <w:rsid w:val="002A0122"/>
    <w:rsid w:val="002A08D4"/>
    <w:rsid w:val="002A192D"/>
    <w:rsid w:val="002A2613"/>
    <w:rsid w:val="002A2826"/>
    <w:rsid w:val="002A29DD"/>
    <w:rsid w:val="002A2FBD"/>
    <w:rsid w:val="002A37DF"/>
    <w:rsid w:val="002A3D46"/>
    <w:rsid w:val="002A4B1C"/>
    <w:rsid w:val="002A4E7B"/>
    <w:rsid w:val="002A5317"/>
    <w:rsid w:val="002A56ED"/>
    <w:rsid w:val="002A58E3"/>
    <w:rsid w:val="002A5BDB"/>
    <w:rsid w:val="002A5C1B"/>
    <w:rsid w:val="002A6370"/>
    <w:rsid w:val="002A7333"/>
    <w:rsid w:val="002A78EC"/>
    <w:rsid w:val="002B026E"/>
    <w:rsid w:val="002B03B8"/>
    <w:rsid w:val="002B08C7"/>
    <w:rsid w:val="002B09B6"/>
    <w:rsid w:val="002B0AFD"/>
    <w:rsid w:val="002B1AF5"/>
    <w:rsid w:val="002B1ED3"/>
    <w:rsid w:val="002B2584"/>
    <w:rsid w:val="002B2A38"/>
    <w:rsid w:val="002B30AF"/>
    <w:rsid w:val="002B4667"/>
    <w:rsid w:val="002B48BA"/>
    <w:rsid w:val="002B4A1A"/>
    <w:rsid w:val="002B52BF"/>
    <w:rsid w:val="002B5581"/>
    <w:rsid w:val="002B618A"/>
    <w:rsid w:val="002B6BC9"/>
    <w:rsid w:val="002B7025"/>
    <w:rsid w:val="002B7830"/>
    <w:rsid w:val="002B7B73"/>
    <w:rsid w:val="002C11E3"/>
    <w:rsid w:val="002C1CF7"/>
    <w:rsid w:val="002C1DD3"/>
    <w:rsid w:val="002C2180"/>
    <w:rsid w:val="002C314C"/>
    <w:rsid w:val="002C39FD"/>
    <w:rsid w:val="002C3CBD"/>
    <w:rsid w:val="002C56AE"/>
    <w:rsid w:val="002C65D9"/>
    <w:rsid w:val="002C68AE"/>
    <w:rsid w:val="002C69A3"/>
    <w:rsid w:val="002D0254"/>
    <w:rsid w:val="002D2B10"/>
    <w:rsid w:val="002D2E62"/>
    <w:rsid w:val="002D2FA9"/>
    <w:rsid w:val="002D3C51"/>
    <w:rsid w:val="002D3F68"/>
    <w:rsid w:val="002D4A20"/>
    <w:rsid w:val="002D5480"/>
    <w:rsid w:val="002D5DF4"/>
    <w:rsid w:val="002D600C"/>
    <w:rsid w:val="002D6CA5"/>
    <w:rsid w:val="002D71A9"/>
    <w:rsid w:val="002D73C5"/>
    <w:rsid w:val="002D7F19"/>
    <w:rsid w:val="002E06A2"/>
    <w:rsid w:val="002E14B9"/>
    <w:rsid w:val="002E2AFC"/>
    <w:rsid w:val="002E2E87"/>
    <w:rsid w:val="002E36D1"/>
    <w:rsid w:val="002E4402"/>
    <w:rsid w:val="002E4572"/>
    <w:rsid w:val="002E4A84"/>
    <w:rsid w:val="002E4E1E"/>
    <w:rsid w:val="002E535A"/>
    <w:rsid w:val="002E5EE7"/>
    <w:rsid w:val="002E630D"/>
    <w:rsid w:val="002E6DC8"/>
    <w:rsid w:val="002E6E26"/>
    <w:rsid w:val="002E7550"/>
    <w:rsid w:val="002E76A8"/>
    <w:rsid w:val="002F05E9"/>
    <w:rsid w:val="002F0814"/>
    <w:rsid w:val="002F1325"/>
    <w:rsid w:val="002F153F"/>
    <w:rsid w:val="002F16F0"/>
    <w:rsid w:val="002F1B8A"/>
    <w:rsid w:val="002F1F06"/>
    <w:rsid w:val="002F2571"/>
    <w:rsid w:val="002F2A98"/>
    <w:rsid w:val="002F3375"/>
    <w:rsid w:val="002F33AA"/>
    <w:rsid w:val="002F58B0"/>
    <w:rsid w:val="002F5F7C"/>
    <w:rsid w:val="002F689F"/>
    <w:rsid w:val="002F6982"/>
    <w:rsid w:val="002F6A80"/>
    <w:rsid w:val="002F6A90"/>
    <w:rsid w:val="002F7439"/>
    <w:rsid w:val="002F7C48"/>
    <w:rsid w:val="00300CD1"/>
    <w:rsid w:val="00300EA2"/>
    <w:rsid w:val="00301774"/>
    <w:rsid w:val="0030292F"/>
    <w:rsid w:val="00302F0D"/>
    <w:rsid w:val="00303115"/>
    <w:rsid w:val="00303511"/>
    <w:rsid w:val="00303D90"/>
    <w:rsid w:val="00304131"/>
    <w:rsid w:val="00304478"/>
    <w:rsid w:val="00305A28"/>
    <w:rsid w:val="00307B68"/>
    <w:rsid w:val="00307F2D"/>
    <w:rsid w:val="00310A11"/>
    <w:rsid w:val="00310AE9"/>
    <w:rsid w:val="00310BF2"/>
    <w:rsid w:val="00310E58"/>
    <w:rsid w:val="00310F90"/>
    <w:rsid w:val="003115A0"/>
    <w:rsid w:val="0031235A"/>
    <w:rsid w:val="00312728"/>
    <w:rsid w:val="0031298C"/>
    <w:rsid w:val="00312D4F"/>
    <w:rsid w:val="0031442F"/>
    <w:rsid w:val="0031559F"/>
    <w:rsid w:val="00316C48"/>
    <w:rsid w:val="00317A0C"/>
    <w:rsid w:val="003202D0"/>
    <w:rsid w:val="00320405"/>
    <w:rsid w:val="00320A6C"/>
    <w:rsid w:val="00320CD8"/>
    <w:rsid w:val="00321BE1"/>
    <w:rsid w:val="00323E75"/>
    <w:rsid w:val="00324075"/>
    <w:rsid w:val="003240B9"/>
    <w:rsid w:val="00326E6F"/>
    <w:rsid w:val="0032785F"/>
    <w:rsid w:val="00330E73"/>
    <w:rsid w:val="00331406"/>
    <w:rsid w:val="003317D1"/>
    <w:rsid w:val="00331F52"/>
    <w:rsid w:val="0033215D"/>
    <w:rsid w:val="00333346"/>
    <w:rsid w:val="0033344A"/>
    <w:rsid w:val="00333C92"/>
    <w:rsid w:val="00333FFD"/>
    <w:rsid w:val="00334B69"/>
    <w:rsid w:val="00334BBC"/>
    <w:rsid w:val="00334FB3"/>
    <w:rsid w:val="00335235"/>
    <w:rsid w:val="00335236"/>
    <w:rsid w:val="00336482"/>
    <w:rsid w:val="00336A01"/>
    <w:rsid w:val="0033771A"/>
    <w:rsid w:val="00337908"/>
    <w:rsid w:val="003406B4"/>
    <w:rsid w:val="00340785"/>
    <w:rsid w:val="00340F3B"/>
    <w:rsid w:val="00342A1D"/>
    <w:rsid w:val="00342A60"/>
    <w:rsid w:val="003435E4"/>
    <w:rsid w:val="00344F69"/>
    <w:rsid w:val="00345469"/>
    <w:rsid w:val="003457FB"/>
    <w:rsid w:val="00345BD3"/>
    <w:rsid w:val="003462D4"/>
    <w:rsid w:val="00346BD1"/>
    <w:rsid w:val="00346C28"/>
    <w:rsid w:val="00346F01"/>
    <w:rsid w:val="00347962"/>
    <w:rsid w:val="003513BE"/>
    <w:rsid w:val="003515F8"/>
    <w:rsid w:val="0035160B"/>
    <w:rsid w:val="00351BEB"/>
    <w:rsid w:val="00351F3B"/>
    <w:rsid w:val="003530BD"/>
    <w:rsid w:val="00353FB3"/>
    <w:rsid w:val="0035435C"/>
    <w:rsid w:val="003547B4"/>
    <w:rsid w:val="00354C27"/>
    <w:rsid w:val="00355AB7"/>
    <w:rsid w:val="003561E7"/>
    <w:rsid w:val="003566D4"/>
    <w:rsid w:val="003566DF"/>
    <w:rsid w:val="0035687B"/>
    <w:rsid w:val="0035692B"/>
    <w:rsid w:val="00356934"/>
    <w:rsid w:val="00356D27"/>
    <w:rsid w:val="003572D8"/>
    <w:rsid w:val="003604F1"/>
    <w:rsid w:val="0036084C"/>
    <w:rsid w:val="00360876"/>
    <w:rsid w:val="00362528"/>
    <w:rsid w:val="00362883"/>
    <w:rsid w:val="00362F8C"/>
    <w:rsid w:val="0036320D"/>
    <w:rsid w:val="003634B7"/>
    <w:rsid w:val="00363F97"/>
    <w:rsid w:val="0036535E"/>
    <w:rsid w:val="0036587E"/>
    <w:rsid w:val="003664C3"/>
    <w:rsid w:val="003666D6"/>
    <w:rsid w:val="00367486"/>
    <w:rsid w:val="00367599"/>
    <w:rsid w:val="003703C4"/>
    <w:rsid w:val="003707CC"/>
    <w:rsid w:val="003707D6"/>
    <w:rsid w:val="00370AEC"/>
    <w:rsid w:val="00371BF0"/>
    <w:rsid w:val="0037200D"/>
    <w:rsid w:val="0037299A"/>
    <w:rsid w:val="003730EF"/>
    <w:rsid w:val="00374CC7"/>
    <w:rsid w:val="00375670"/>
    <w:rsid w:val="00375F69"/>
    <w:rsid w:val="00376CE8"/>
    <w:rsid w:val="0037706C"/>
    <w:rsid w:val="003800C4"/>
    <w:rsid w:val="00380880"/>
    <w:rsid w:val="00380C81"/>
    <w:rsid w:val="00380CE3"/>
    <w:rsid w:val="00381355"/>
    <w:rsid w:val="00381F09"/>
    <w:rsid w:val="00382136"/>
    <w:rsid w:val="00382174"/>
    <w:rsid w:val="00382569"/>
    <w:rsid w:val="00382781"/>
    <w:rsid w:val="003832D9"/>
    <w:rsid w:val="00385262"/>
    <w:rsid w:val="00385778"/>
    <w:rsid w:val="00385B46"/>
    <w:rsid w:val="0038634A"/>
    <w:rsid w:val="00386C0E"/>
    <w:rsid w:val="003902B7"/>
    <w:rsid w:val="003911FE"/>
    <w:rsid w:val="0039125B"/>
    <w:rsid w:val="00391562"/>
    <w:rsid w:val="003927E2"/>
    <w:rsid w:val="00392B30"/>
    <w:rsid w:val="003933F5"/>
    <w:rsid w:val="00393B22"/>
    <w:rsid w:val="00394831"/>
    <w:rsid w:val="0039488B"/>
    <w:rsid w:val="003949C8"/>
    <w:rsid w:val="00397BE7"/>
    <w:rsid w:val="003A0B26"/>
    <w:rsid w:val="003A1C1C"/>
    <w:rsid w:val="003A1C48"/>
    <w:rsid w:val="003A1E02"/>
    <w:rsid w:val="003A2E08"/>
    <w:rsid w:val="003A40BA"/>
    <w:rsid w:val="003A41B1"/>
    <w:rsid w:val="003A4EFE"/>
    <w:rsid w:val="003A54AD"/>
    <w:rsid w:val="003A551B"/>
    <w:rsid w:val="003A55E9"/>
    <w:rsid w:val="003A595A"/>
    <w:rsid w:val="003A60C1"/>
    <w:rsid w:val="003A6D36"/>
    <w:rsid w:val="003A736B"/>
    <w:rsid w:val="003A7602"/>
    <w:rsid w:val="003B0270"/>
    <w:rsid w:val="003B0377"/>
    <w:rsid w:val="003B1795"/>
    <w:rsid w:val="003B2261"/>
    <w:rsid w:val="003B2CEE"/>
    <w:rsid w:val="003B2FC1"/>
    <w:rsid w:val="003B30CE"/>
    <w:rsid w:val="003B3D7B"/>
    <w:rsid w:val="003B421D"/>
    <w:rsid w:val="003B4654"/>
    <w:rsid w:val="003B488C"/>
    <w:rsid w:val="003B5B0B"/>
    <w:rsid w:val="003B6435"/>
    <w:rsid w:val="003B74E3"/>
    <w:rsid w:val="003B74FE"/>
    <w:rsid w:val="003B799D"/>
    <w:rsid w:val="003C0379"/>
    <w:rsid w:val="003C0DB0"/>
    <w:rsid w:val="003C1CAD"/>
    <w:rsid w:val="003C2565"/>
    <w:rsid w:val="003C28F3"/>
    <w:rsid w:val="003C2ACE"/>
    <w:rsid w:val="003C2D0A"/>
    <w:rsid w:val="003C3705"/>
    <w:rsid w:val="003C3CCB"/>
    <w:rsid w:val="003C46C0"/>
    <w:rsid w:val="003C51BF"/>
    <w:rsid w:val="003C58C2"/>
    <w:rsid w:val="003C5BDA"/>
    <w:rsid w:val="003C6523"/>
    <w:rsid w:val="003C79D9"/>
    <w:rsid w:val="003D0E65"/>
    <w:rsid w:val="003D1FF6"/>
    <w:rsid w:val="003D3266"/>
    <w:rsid w:val="003D341F"/>
    <w:rsid w:val="003D39B9"/>
    <w:rsid w:val="003D3CD6"/>
    <w:rsid w:val="003D4030"/>
    <w:rsid w:val="003D4AFC"/>
    <w:rsid w:val="003D4C3D"/>
    <w:rsid w:val="003D4E0A"/>
    <w:rsid w:val="003D5D10"/>
    <w:rsid w:val="003D6202"/>
    <w:rsid w:val="003D70BC"/>
    <w:rsid w:val="003D7B00"/>
    <w:rsid w:val="003D7C50"/>
    <w:rsid w:val="003E0540"/>
    <w:rsid w:val="003E21BD"/>
    <w:rsid w:val="003E2FE3"/>
    <w:rsid w:val="003E364B"/>
    <w:rsid w:val="003E3D66"/>
    <w:rsid w:val="003E3F67"/>
    <w:rsid w:val="003E42E4"/>
    <w:rsid w:val="003E445B"/>
    <w:rsid w:val="003E48BA"/>
    <w:rsid w:val="003E4F2D"/>
    <w:rsid w:val="003E5727"/>
    <w:rsid w:val="003E647F"/>
    <w:rsid w:val="003E768E"/>
    <w:rsid w:val="003E791D"/>
    <w:rsid w:val="003F04DA"/>
    <w:rsid w:val="003F05F3"/>
    <w:rsid w:val="003F0C4A"/>
    <w:rsid w:val="003F1BD6"/>
    <w:rsid w:val="003F1E1E"/>
    <w:rsid w:val="003F23C3"/>
    <w:rsid w:val="003F2FFC"/>
    <w:rsid w:val="003F33DA"/>
    <w:rsid w:val="003F3797"/>
    <w:rsid w:val="003F3859"/>
    <w:rsid w:val="003F42E8"/>
    <w:rsid w:val="003F490C"/>
    <w:rsid w:val="003F5186"/>
    <w:rsid w:val="003F5550"/>
    <w:rsid w:val="003F587D"/>
    <w:rsid w:val="003F6B36"/>
    <w:rsid w:val="003F7AC6"/>
    <w:rsid w:val="00400902"/>
    <w:rsid w:val="00400F1D"/>
    <w:rsid w:val="0040277F"/>
    <w:rsid w:val="00404B20"/>
    <w:rsid w:val="00404BF0"/>
    <w:rsid w:val="00404C14"/>
    <w:rsid w:val="00404E18"/>
    <w:rsid w:val="004053E5"/>
    <w:rsid w:val="00405B8B"/>
    <w:rsid w:val="00405DC2"/>
    <w:rsid w:val="00406E23"/>
    <w:rsid w:val="004074E2"/>
    <w:rsid w:val="004077D6"/>
    <w:rsid w:val="00411062"/>
    <w:rsid w:val="004117BB"/>
    <w:rsid w:val="00411F6E"/>
    <w:rsid w:val="00412D96"/>
    <w:rsid w:val="00414383"/>
    <w:rsid w:val="00414D78"/>
    <w:rsid w:val="0041527F"/>
    <w:rsid w:val="00415363"/>
    <w:rsid w:val="0041590C"/>
    <w:rsid w:val="004167A2"/>
    <w:rsid w:val="004168A6"/>
    <w:rsid w:val="004169E4"/>
    <w:rsid w:val="00416AE4"/>
    <w:rsid w:val="004170A8"/>
    <w:rsid w:val="00417542"/>
    <w:rsid w:val="00417B79"/>
    <w:rsid w:val="00417BE8"/>
    <w:rsid w:val="00417DA9"/>
    <w:rsid w:val="00420301"/>
    <w:rsid w:val="00420B12"/>
    <w:rsid w:val="00420CD7"/>
    <w:rsid w:val="0042237C"/>
    <w:rsid w:val="00422B37"/>
    <w:rsid w:val="0042352A"/>
    <w:rsid w:val="00423727"/>
    <w:rsid w:val="00423E2C"/>
    <w:rsid w:val="00424087"/>
    <w:rsid w:val="004241E7"/>
    <w:rsid w:val="00425C73"/>
    <w:rsid w:val="00425D97"/>
    <w:rsid w:val="0042648E"/>
    <w:rsid w:val="00426E05"/>
    <w:rsid w:val="00427229"/>
    <w:rsid w:val="004277A6"/>
    <w:rsid w:val="0043068F"/>
    <w:rsid w:val="00431124"/>
    <w:rsid w:val="00432DD5"/>
    <w:rsid w:val="00432E98"/>
    <w:rsid w:val="004338F9"/>
    <w:rsid w:val="00433BE6"/>
    <w:rsid w:val="00434026"/>
    <w:rsid w:val="0043433E"/>
    <w:rsid w:val="00434A96"/>
    <w:rsid w:val="00434B49"/>
    <w:rsid w:val="00435A1D"/>
    <w:rsid w:val="00435F28"/>
    <w:rsid w:val="00437938"/>
    <w:rsid w:val="004379E3"/>
    <w:rsid w:val="00437A91"/>
    <w:rsid w:val="00440803"/>
    <w:rsid w:val="004408C6"/>
    <w:rsid w:val="00440A83"/>
    <w:rsid w:val="00441773"/>
    <w:rsid w:val="00441AD8"/>
    <w:rsid w:val="00443B77"/>
    <w:rsid w:val="00443E1D"/>
    <w:rsid w:val="00444774"/>
    <w:rsid w:val="004454E2"/>
    <w:rsid w:val="00445D3C"/>
    <w:rsid w:val="00446118"/>
    <w:rsid w:val="00446F72"/>
    <w:rsid w:val="0044713C"/>
    <w:rsid w:val="0044729C"/>
    <w:rsid w:val="00447643"/>
    <w:rsid w:val="004506B4"/>
    <w:rsid w:val="00450AE4"/>
    <w:rsid w:val="00451258"/>
    <w:rsid w:val="00451385"/>
    <w:rsid w:val="004516BA"/>
    <w:rsid w:val="004517FF"/>
    <w:rsid w:val="004520F4"/>
    <w:rsid w:val="004523DE"/>
    <w:rsid w:val="0045263B"/>
    <w:rsid w:val="004530FF"/>
    <w:rsid w:val="00453812"/>
    <w:rsid w:val="00454085"/>
    <w:rsid w:val="00454092"/>
    <w:rsid w:val="00454A01"/>
    <w:rsid w:val="0045620D"/>
    <w:rsid w:val="004566E9"/>
    <w:rsid w:val="00456917"/>
    <w:rsid w:val="00456F25"/>
    <w:rsid w:val="004572D3"/>
    <w:rsid w:val="004579E6"/>
    <w:rsid w:val="004600CB"/>
    <w:rsid w:val="004610D6"/>
    <w:rsid w:val="00461314"/>
    <w:rsid w:val="00461A55"/>
    <w:rsid w:val="00461FEA"/>
    <w:rsid w:val="0046240C"/>
    <w:rsid w:val="00462967"/>
    <w:rsid w:val="004636D5"/>
    <w:rsid w:val="004641E0"/>
    <w:rsid w:val="00464611"/>
    <w:rsid w:val="00465615"/>
    <w:rsid w:val="004658CF"/>
    <w:rsid w:val="00466FFB"/>
    <w:rsid w:val="0046725A"/>
    <w:rsid w:val="004704ED"/>
    <w:rsid w:val="00470C54"/>
    <w:rsid w:val="00470DD4"/>
    <w:rsid w:val="00471427"/>
    <w:rsid w:val="00471536"/>
    <w:rsid w:val="00471A4B"/>
    <w:rsid w:val="00473316"/>
    <w:rsid w:val="0047355A"/>
    <w:rsid w:val="0047369C"/>
    <w:rsid w:val="00473F43"/>
    <w:rsid w:val="00474422"/>
    <w:rsid w:val="00474879"/>
    <w:rsid w:val="00475014"/>
    <w:rsid w:val="004756CA"/>
    <w:rsid w:val="004765E8"/>
    <w:rsid w:val="00476B23"/>
    <w:rsid w:val="00477D6C"/>
    <w:rsid w:val="00477F2C"/>
    <w:rsid w:val="004817F1"/>
    <w:rsid w:val="00481A0E"/>
    <w:rsid w:val="00481BF6"/>
    <w:rsid w:val="004821D7"/>
    <w:rsid w:val="004826EB"/>
    <w:rsid w:val="00484352"/>
    <w:rsid w:val="0048438B"/>
    <w:rsid w:val="00484684"/>
    <w:rsid w:val="00484A8D"/>
    <w:rsid w:val="00485D3E"/>
    <w:rsid w:val="00487739"/>
    <w:rsid w:val="004877A7"/>
    <w:rsid w:val="00487A1E"/>
    <w:rsid w:val="004903F3"/>
    <w:rsid w:val="00491152"/>
    <w:rsid w:val="004911E4"/>
    <w:rsid w:val="0049158E"/>
    <w:rsid w:val="0049202C"/>
    <w:rsid w:val="004936D2"/>
    <w:rsid w:val="00493846"/>
    <w:rsid w:val="00493F98"/>
    <w:rsid w:val="00494109"/>
    <w:rsid w:val="00494128"/>
    <w:rsid w:val="004946C7"/>
    <w:rsid w:val="004947D5"/>
    <w:rsid w:val="00494833"/>
    <w:rsid w:val="00494F53"/>
    <w:rsid w:val="004963E0"/>
    <w:rsid w:val="004968A7"/>
    <w:rsid w:val="004A035E"/>
    <w:rsid w:val="004A07CB"/>
    <w:rsid w:val="004A0EF7"/>
    <w:rsid w:val="004A10FB"/>
    <w:rsid w:val="004A47BA"/>
    <w:rsid w:val="004A47C7"/>
    <w:rsid w:val="004A4B1E"/>
    <w:rsid w:val="004A4F69"/>
    <w:rsid w:val="004A56EE"/>
    <w:rsid w:val="004A571E"/>
    <w:rsid w:val="004A6472"/>
    <w:rsid w:val="004A647D"/>
    <w:rsid w:val="004A6818"/>
    <w:rsid w:val="004B168B"/>
    <w:rsid w:val="004B310C"/>
    <w:rsid w:val="004B348F"/>
    <w:rsid w:val="004B46E0"/>
    <w:rsid w:val="004B4A70"/>
    <w:rsid w:val="004B5167"/>
    <w:rsid w:val="004B633C"/>
    <w:rsid w:val="004B672A"/>
    <w:rsid w:val="004B6999"/>
    <w:rsid w:val="004B6A1A"/>
    <w:rsid w:val="004B6E54"/>
    <w:rsid w:val="004B6F53"/>
    <w:rsid w:val="004B72EC"/>
    <w:rsid w:val="004B73A0"/>
    <w:rsid w:val="004B7848"/>
    <w:rsid w:val="004C0566"/>
    <w:rsid w:val="004C05ED"/>
    <w:rsid w:val="004C0A6F"/>
    <w:rsid w:val="004C20BA"/>
    <w:rsid w:val="004C3CF5"/>
    <w:rsid w:val="004C4051"/>
    <w:rsid w:val="004C4513"/>
    <w:rsid w:val="004C478A"/>
    <w:rsid w:val="004C529B"/>
    <w:rsid w:val="004C5BC6"/>
    <w:rsid w:val="004C631A"/>
    <w:rsid w:val="004C6432"/>
    <w:rsid w:val="004C740E"/>
    <w:rsid w:val="004C79CD"/>
    <w:rsid w:val="004C7A1B"/>
    <w:rsid w:val="004C7C78"/>
    <w:rsid w:val="004D0621"/>
    <w:rsid w:val="004D0937"/>
    <w:rsid w:val="004D0C58"/>
    <w:rsid w:val="004D0E22"/>
    <w:rsid w:val="004D0F98"/>
    <w:rsid w:val="004D1BA5"/>
    <w:rsid w:val="004D273B"/>
    <w:rsid w:val="004D342D"/>
    <w:rsid w:val="004D3503"/>
    <w:rsid w:val="004D4508"/>
    <w:rsid w:val="004D4A98"/>
    <w:rsid w:val="004D4C91"/>
    <w:rsid w:val="004D4D19"/>
    <w:rsid w:val="004D55F4"/>
    <w:rsid w:val="004D5B61"/>
    <w:rsid w:val="004D60A5"/>
    <w:rsid w:val="004D6361"/>
    <w:rsid w:val="004D67E1"/>
    <w:rsid w:val="004D6C3C"/>
    <w:rsid w:val="004D7872"/>
    <w:rsid w:val="004D7B7B"/>
    <w:rsid w:val="004E0000"/>
    <w:rsid w:val="004E00AD"/>
    <w:rsid w:val="004E0BA6"/>
    <w:rsid w:val="004E1054"/>
    <w:rsid w:val="004E116A"/>
    <w:rsid w:val="004E1C3B"/>
    <w:rsid w:val="004E2107"/>
    <w:rsid w:val="004E27F8"/>
    <w:rsid w:val="004E2956"/>
    <w:rsid w:val="004E2A52"/>
    <w:rsid w:val="004E3F85"/>
    <w:rsid w:val="004E4017"/>
    <w:rsid w:val="004E4158"/>
    <w:rsid w:val="004E4202"/>
    <w:rsid w:val="004E4890"/>
    <w:rsid w:val="004E5754"/>
    <w:rsid w:val="004E63CB"/>
    <w:rsid w:val="004E6B7D"/>
    <w:rsid w:val="004E782C"/>
    <w:rsid w:val="004F01C0"/>
    <w:rsid w:val="004F01C2"/>
    <w:rsid w:val="004F13E0"/>
    <w:rsid w:val="004F19A3"/>
    <w:rsid w:val="004F23CD"/>
    <w:rsid w:val="004F3864"/>
    <w:rsid w:val="004F3D8C"/>
    <w:rsid w:val="004F4B0D"/>
    <w:rsid w:val="004F5167"/>
    <w:rsid w:val="004F51E3"/>
    <w:rsid w:val="004F566F"/>
    <w:rsid w:val="004F5F78"/>
    <w:rsid w:val="004F73E0"/>
    <w:rsid w:val="004F75E2"/>
    <w:rsid w:val="00500153"/>
    <w:rsid w:val="00500377"/>
    <w:rsid w:val="005008C0"/>
    <w:rsid w:val="00501DC2"/>
    <w:rsid w:val="00501E5E"/>
    <w:rsid w:val="00501FCB"/>
    <w:rsid w:val="00502E8D"/>
    <w:rsid w:val="00503A23"/>
    <w:rsid w:val="005055BE"/>
    <w:rsid w:val="0050585B"/>
    <w:rsid w:val="00505889"/>
    <w:rsid w:val="00505C65"/>
    <w:rsid w:val="0050775F"/>
    <w:rsid w:val="005079D4"/>
    <w:rsid w:val="00507D60"/>
    <w:rsid w:val="0051102E"/>
    <w:rsid w:val="00511CD2"/>
    <w:rsid w:val="00511DF6"/>
    <w:rsid w:val="005129EA"/>
    <w:rsid w:val="00512B35"/>
    <w:rsid w:val="0051313E"/>
    <w:rsid w:val="00514B68"/>
    <w:rsid w:val="00514D95"/>
    <w:rsid w:val="00515412"/>
    <w:rsid w:val="00516DE7"/>
    <w:rsid w:val="00516FEA"/>
    <w:rsid w:val="005171C5"/>
    <w:rsid w:val="005174B0"/>
    <w:rsid w:val="0052009F"/>
    <w:rsid w:val="0052019D"/>
    <w:rsid w:val="00522A68"/>
    <w:rsid w:val="00522C3A"/>
    <w:rsid w:val="00523595"/>
    <w:rsid w:val="005239BF"/>
    <w:rsid w:val="005241CE"/>
    <w:rsid w:val="00525022"/>
    <w:rsid w:val="00525416"/>
    <w:rsid w:val="005254E5"/>
    <w:rsid w:val="005255E0"/>
    <w:rsid w:val="00526BD0"/>
    <w:rsid w:val="005279AE"/>
    <w:rsid w:val="00527E50"/>
    <w:rsid w:val="00530033"/>
    <w:rsid w:val="00530517"/>
    <w:rsid w:val="00530526"/>
    <w:rsid w:val="00531553"/>
    <w:rsid w:val="00531B96"/>
    <w:rsid w:val="005326D8"/>
    <w:rsid w:val="00532952"/>
    <w:rsid w:val="00532A0F"/>
    <w:rsid w:val="00533B2A"/>
    <w:rsid w:val="00534B35"/>
    <w:rsid w:val="00535490"/>
    <w:rsid w:val="005360A2"/>
    <w:rsid w:val="0053684C"/>
    <w:rsid w:val="005371AB"/>
    <w:rsid w:val="00537B0F"/>
    <w:rsid w:val="00537B39"/>
    <w:rsid w:val="005412D1"/>
    <w:rsid w:val="005416EA"/>
    <w:rsid w:val="0054177F"/>
    <w:rsid w:val="0054182E"/>
    <w:rsid w:val="00541BFC"/>
    <w:rsid w:val="00542387"/>
    <w:rsid w:val="0054413A"/>
    <w:rsid w:val="005443AA"/>
    <w:rsid w:val="00544604"/>
    <w:rsid w:val="00544D20"/>
    <w:rsid w:val="00544EC6"/>
    <w:rsid w:val="0054631E"/>
    <w:rsid w:val="00546FC5"/>
    <w:rsid w:val="005470FD"/>
    <w:rsid w:val="00550A3B"/>
    <w:rsid w:val="00550C6B"/>
    <w:rsid w:val="00550E41"/>
    <w:rsid w:val="00551092"/>
    <w:rsid w:val="005512D4"/>
    <w:rsid w:val="00552434"/>
    <w:rsid w:val="005529DF"/>
    <w:rsid w:val="005537AC"/>
    <w:rsid w:val="005540FC"/>
    <w:rsid w:val="0055411B"/>
    <w:rsid w:val="0055435F"/>
    <w:rsid w:val="005546FE"/>
    <w:rsid w:val="00554923"/>
    <w:rsid w:val="00554F7E"/>
    <w:rsid w:val="005550BE"/>
    <w:rsid w:val="005558F8"/>
    <w:rsid w:val="00555A42"/>
    <w:rsid w:val="00555BE9"/>
    <w:rsid w:val="00556AF6"/>
    <w:rsid w:val="00560935"/>
    <w:rsid w:val="005610FD"/>
    <w:rsid w:val="00561AFC"/>
    <w:rsid w:val="00561B2A"/>
    <w:rsid w:val="005624CA"/>
    <w:rsid w:val="00563D0A"/>
    <w:rsid w:val="005647BB"/>
    <w:rsid w:val="00564876"/>
    <w:rsid w:val="00564A05"/>
    <w:rsid w:val="0056546C"/>
    <w:rsid w:val="00565C28"/>
    <w:rsid w:val="00566737"/>
    <w:rsid w:val="00566A5A"/>
    <w:rsid w:val="005678BD"/>
    <w:rsid w:val="00570BDF"/>
    <w:rsid w:val="00570E6F"/>
    <w:rsid w:val="00572555"/>
    <w:rsid w:val="005725A9"/>
    <w:rsid w:val="00572627"/>
    <w:rsid w:val="00572849"/>
    <w:rsid w:val="00572CB8"/>
    <w:rsid w:val="00572FEC"/>
    <w:rsid w:val="00573BB0"/>
    <w:rsid w:val="005743CF"/>
    <w:rsid w:val="005744C2"/>
    <w:rsid w:val="00574C68"/>
    <w:rsid w:val="005751F7"/>
    <w:rsid w:val="00575A8A"/>
    <w:rsid w:val="00575E80"/>
    <w:rsid w:val="00577A5C"/>
    <w:rsid w:val="00582328"/>
    <w:rsid w:val="00582798"/>
    <w:rsid w:val="0058281C"/>
    <w:rsid w:val="005828E7"/>
    <w:rsid w:val="0058442D"/>
    <w:rsid w:val="005853FB"/>
    <w:rsid w:val="00585CD5"/>
    <w:rsid w:val="00586C30"/>
    <w:rsid w:val="00586D62"/>
    <w:rsid w:val="00590E9C"/>
    <w:rsid w:val="0059126B"/>
    <w:rsid w:val="005926DA"/>
    <w:rsid w:val="00593156"/>
    <w:rsid w:val="0059351A"/>
    <w:rsid w:val="00593BFB"/>
    <w:rsid w:val="00593C05"/>
    <w:rsid w:val="00593FE5"/>
    <w:rsid w:val="005941A4"/>
    <w:rsid w:val="0059467D"/>
    <w:rsid w:val="00594BD2"/>
    <w:rsid w:val="00595383"/>
    <w:rsid w:val="00595633"/>
    <w:rsid w:val="0059632A"/>
    <w:rsid w:val="00596444"/>
    <w:rsid w:val="00596E2A"/>
    <w:rsid w:val="00597DEA"/>
    <w:rsid w:val="005A008F"/>
    <w:rsid w:val="005A1350"/>
    <w:rsid w:val="005A197F"/>
    <w:rsid w:val="005A3808"/>
    <w:rsid w:val="005A5BEA"/>
    <w:rsid w:val="005A640A"/>
    <w:rsid w:val="005A6974"/>
    <w:rsid w:val="005A6B34"/>
    <w:rsid w:val="005A6EA1"/>
    <w:rsid w:val="005A70D6"/>
    <w:rsid w:val="005A7A3A"/>
    <w:rsid w:val="005A7FA4"/>
    <w:rsid w:val="005B13CA"/>
    <w:rsid w:val="005B147B"/>
    <w:rsid w:val="005B1A4F"/>
    <w:rsid w:val="005B1EB6"/>
    <w:rsid w:val="005B2769"/>
    <w:rsid w:val="005B2B90"/>
    <w:rsid w:val="005B33F4"/>
    <w:rsid w:val="005B3A92"/>
    <w:rsid w:val="005B45AB"/>
    <w:rsid w:val="005B4C27"/>
    <w:rsid w:val="005B4EFB"/>
    <w:rsid w:val="005B5368"/>
    <w:rsid w:val="005B7465"/>
    <w:rsid w:val="005B7A05"/>
    <w:rsid w:val="005B7ACA"/>
    <w:rsid w:val="005C0862"/>
    <w:rsid w:val="005C10B2"/>
    <w:rsid w:val="005C1278"/>
    <w:rsid w:val="005C1376"/>
    <w:rsid w:val="005C17B7"/>
    <w:rsid w:val="005C1AAE"/>
    <w:rsid w:val="005C1BF2"/>
    <w:rsid w:val="005C3DA0"/>
    <w:rsid w:val="005C3EB2"/>
    <w:rsid w:val="005C4B4E"/>
    <w:rsid w:val="005C4F35"/>
    <w:rsid w:val="005C5233"/>
    <w:rsid w:val="005C5690"/>
    <w:rsid w:val="005C5ACB"/>
    <w:rsid w:val="005C5F14"/>
    <w:rsid w:val="005C68AF"/>
    <w:rsid w:val="005D0C4B"/>
    <w:rsid w:val="005D182C"/>
    <w:rsid w:val="005D1DE8"/>
    <w:rsid w:val="005D21FE"/>
    <w:rsid w:val="005D2938"/>
    <w:rsid w:val="005D2C27"/>
    <w:rsid w:val="005D35DA"/>
    <w:rsid w:val="005D44D3"/>
    <w:rsid w:val="005D4683"/>
    <w:rsid w:val="005D4D5B"/>
    <w:rsid w:val="005D5DA2"/>
    <w:rsid w:val="005D723A"/>
    <w:rsid w:val="005D777B"/>
    <w:rsid w:val="005D7C60"/>
    <w:rsid w:val="005E01C1"/>
    <w:rsid w:val="005E07B7"/>
    <w:rsid w:val="005E0CC4"/>
    <w:rsid w:val="005E0FF6"/>
    <w:rsid w:val="005E1F72"/>
    <w:rsid w:val="005E257D"/>
    <w:rsid w:val="005E2AB9"/>
    <w:rsid w:val="005E3243"/>
    <w:rsid w:val="005E3DEF"/>
    <w:rsid w:val="005E454C"/>
    <w:rsid w:val="005E4B65"/>
    <w:rsid w:val="005E5500"/>
    <w:rsid w:val="005E55F8"/>
    <w:rsid w:val="005E5AC3"/>
    <w:rsid w:val="005E5B80"/>
    <w:rsid w:val="005E6952"/>
    <w:rsid w:val="005E69B9"/>
    <w:rsid w:val="005E7372"/>
    <w:rsid w:val="005F05EA"/>
    <w:rsid w:val="005F086C"/>
    <w:rsid w:val="005F1387"/>
    <w:rsid w:val="005F15ED"/>
    <w:rsid w:val="005F182D"/>
    <w:rsid w:val="005F1EBA"/>
    <w:rsid w:val="005F25D3"/>
    <w:rsid w:val="005F4ACB"/>
    <w:rsid w:val="005F51E6"/>
    <w:rsid w:val="005F5F5D"/>
    <w:rsid w:val="005F7E17"/>
    <w:rsid w:val="0060109B"/>
    <w:rsid w:val="0060127C"/>
    <w:rsid w:val="00602313"/>
    <w:rsid w:val="006027F6"/>
    <w:rsid w:val="00602B8B"/>
    <w:rsid w:val="006030FD"/>
    <w:rsid w:val="006037AD"/>
    <w:rsid w:val="006038AF"/>
    <w:rsid w:val="00604D3A"/>
    <w:rsid w:val="00605382"/>
    <w:rsid w:val="006058D4"/>
    <w:rsid w:val="00605FCB"/>
    <w:rsid w:val="00606013"/>
    <w:rsid w:val="00606EF7"/>
    <w:rsid w:val="00607F96"/>
    <w:rsid w:val="00610A52"/>
    <w:rsid w:val="00610AC5"/>
    <w:rsid w:val="00610AFE"/>
    <w:rsid w:val="00610E1F"/>
    <w:rsid w:val="00611CBE"/>
    <w:rsid w:val="00612310"/>
    <w:rsid w:val="0061338F"/>
    <w:rsid w:val="006133FA"/>
    <w:rsid w:val="006138B1"/>
    <w:rsid w:val="006146A7"/>
    <w:rsid w:val="00615C8D"/>
    <w:rsid w:val="00615F8E"/>
    <w:rsid w:val="006164CE"/>
    <w:rsid w:val="0061659A"/>
    <w:rsid w:val="00617026"/>
    <w:rsid w:val="006176BA"/>
    <w:rsid w:val="006179D9"/>
    <w:rsid w:val="0062005F"/>
    <w:rsid w:val="0062156D"/>
    <w:rsid w:val="0062195B"/>
    <w:rsid w:val="00621E0F"/>
    <w:rsid w:val="00621F5A"/>
    <w:rsid w:val="00622111"/>
    <w:rsid w:val="00622616"/>
    <w:rsid w:val="0062267F"/>
    <w:rsid w:val="0062296C"/>
    <w:rsid w:val="006246A1"/>
    <w:rsid w:val="006248E6"/>
    <w:rsid w:val="00624D1A"/>
    <w:rsid w:val="00625F5F"/>
    <w:rsid w:val="00626C59"/>
    <w:rsid w:val="0062716E"/>
    <w:rsid w:val="00627905"/>
    <w:rsid w:val="00627B94"/>
    <w:rsid w:val="00627F82"/>
    <w:rsid w:val="00630FC2"/>
    <w:rsid w:val="006311B8"/>
    <w:rsid w:val="006315C2"/>
    <w:rsid w:val="00632CA0"/>
    <w:rsid w:val="006333CD"/>
    <w:rsid w:val="006336C8"/>
    <w:rsid w:val="00634631"/>
    <w:rsid w:val="006359AE"/>
    <w:rsid w:val="0063655E"/>
    <w:rsid w:val="0063663B"/>
    <w:rsid w:val="00636A31"/>
    <w:rsid w:val="00636B6D"/>
    <w:rsid w:val="00636BF2"/>
    <w:rsid w:val="00636C48"/>
    <w:rsid w:val="00636FF1"/>
    <w:rsid w:val="0063751A"/>
    <w:rsid w:val="0063761E"/>
    <w:rsid w:val="00637F48"/>
    <w:rsid w:val="0064140F"/>
    <w:rsid w:val="00642060"/>
    <w:rsid w:val="0064243B"/>
    <w:rsid w:val="006445BF"/>
    <w:rsid w:val="0064470D"/>
    <w:rsid w:val="00644A48"/>
    <w:rsid w:val="00645340"/>
    <w:rsid w:val="0064571C"/>
    <w:rsid w:val="00645B39"/>
    <w:rsid w:val="00646051"/>
    <w:rsid w:val="006464DB"/>
    <w:rsid w:val="00646902"/>
    <w:rsid w:val="00646950"/>
    <w:rsid w:val="00646B66"/>
    <w:rsid w:val="00646BEB"/>
    <w:rsid w:val="0064777E"/>
    <w:rsid w:val="00647984"/>
    <w:rsid w:val="0065073E"/>
    <w:rsid w:val="00650926"/>
    <w:rsid w:val="00650E5D"/>
    <w:rsid w:val="00651AB7"/>
    <w:rsid w:val="0065224C"/>
    <w:rsid w:val="00653624"/>
    <w:rsid w:val="00653B3E"/>
    <w:rsid w:val="00655621"/>
    <w:rsid w:val="006560E3"/>
    <w:rsid w:val="00656309"/>
    <w:rsid w:val="0065650B"/>
    <w:rsid w:val="006567F7"/>
    <w:rsid w:val="00656AA8"/>
    <w:rsid w:val="00656D93"/>
    <w:rsid w:val="00657AB8"/>
    <w:rsid w:val="00657B5A"/>
    <w:rsid w:val="00657BD8"/>
    <w:rsid w:val="00657EC8"/>
    <w:rsid w:val="006604E2"/>
    <w:rsid w:val="00660E9A"/>
    <w:rsid w:val="00660FB8"/>
    <w:rsid w:val="00661FD8"/>
    <w:rsid w:val="006621C2"/>
    <w:rsid w:val="00662398"/>
    <w:rsid w:val="0066245F"/>
    <w:rsid w:val="006638DA"/>
    <w:rsid w:val="00663E74"/>
    <w:rsid w:val="0066422A"/>
    <w:rsid w:val="00664EA7"/>
    <w:rsid w:val="00665833"/>
    <w:rsid w:val="00665B73"/>
    <w:rsid w:val="00665FC4"/>
    <w:rsid w:val="00666028"/>
    <w:rsid w:val="006666E6"/>
    <w:rsid w:val="00666F62"/>
    <w:rsid w:val="0066751F"/>
    <w:rsid w:val="00667644"/>
    <w:rsid w:val="00667B32"/>
    <w:rsid w:val="00670395"/>
    <w:rsid w:val="00670465"/>
    <w:rsid w:val="00670A4D"/>
    <w:rsid w:val="006710D0"/>
    <w:rsid w:val="0067181F"/>
    <w:rsid w:val="006730BF"/>
    <w:rsid w:val="00673CEF"/>
    <w:rsid w:val="00675DB1"/>
    <w:rsid w:val="00676452"/>
    <w:rsid w:val="00676990"/>
    <w:rsid w:val="006769C4"/>
    <w:rsid w:val="00676CD1"/>
    <w:rsid w:val="006774F8"/>
    <w:rsid w:val="0068024B"/>
    <w:rsid w:val="00680819"/>
    <w:rsid w:val="00680C44"/>
    <w:rsid w:val="006815EB"/>
    <w:rsid w:val="0068167C"/>
    <w:rsid w:val="0068171D"/>
    <w:rsid w:val="006821EC"/>
    <w:rsid w:val="00682273"/>
    <w:rsid w:val="00682419"/>
    <w:rsid w:val="00682ADE"/>
    <w:rsid w:val="00682DCC"/>
    <w:rsid w:val="00683C45"/>
    <w:rsid w:val="006842D1"/>
    <w:rsid w:val="00684699"/>
    <w:rsid w:val="00684CDB"/>
    <w:rsid w:val="00684E99"/>
    <w:rsid w:val="00685492"/>
    <w:rsid w:val="006858D1"/>
    <w:rsid w:val="006860F0"/>
    <w:rsid w:val="0068630C"/>
    <w:rsid w:val="0068659B"/>
    <w:rsid w:val="00686AF8"/>
    <w:rsid w:val="0068705F"/>
    <w:rsid w:val="00687482"/>
    <w:rsid w:val="00687809"/>
    <w:rsid w:val="00687F1D"/>
    <w:rsid w:val="00691796"/>
    <w:rsid w:val="006922CC"/>
    <w:rsid w:val="00693229"/>
    <w:rsid w:val="00693661"/>
    <w:rsid w:val="00694AAE"/>
    <w:rsid w:val="00694D2F"/>
    <w:rsid w:val="0069537C"/>
    <w:rsid w:val="00695399"/>
    <w:rsid w:val="00695B95"/>
    <w:rsid w:val="00695CC5"/>
    <w:rsid w:val="00695D15"/>
    <w:rsid w:val="00696D46"/>
    <w:rsid w:val="00697E68"/>
    <w:rsid w:val="006A018D"/>
    <w:rsid w:val="006A103C"/>
    <w:rsid w:val="006A1C16"/>
    <w:rsid w:val="006A1C49"/>
    <w:rsid w:val="006A1C4C"/>
    <w:rsid w:val="006A1D77"/>
    <w:rsid w:val="006A1F37"/>
    <w:rsid w:val="006A22E5"/>
    <w:rsid w:val="006A29BA"/>
    <w:rsid w:val="006A31D7"/>
    <w:rsid w:val="006A391E"/>
    <w:rsid w:val="006A4AFF"/>
    <w:rsid w:val="006A6B75"/>
    <w:rsid w:val="006A6FE5"/>
    <w:rsid w:val="006A739B"/>
    <w:rsid w:val="006A74F4"/>
    <w:rsid w:val="006A7AFA"/>
    <w:rsid w:val="006A7BF1"/>
    <w:rsid w:val="006B0304"/>
    <w:rsid w:val="006B09E0"/>
    <w:rsid w:val="006B12CB"/>
    <w:rsid w:val="006B1AED"/>
    <w:rsid w:val="006B201E"/>
    <w:rsid w:val="006B2767"/>
    <w:rsid w:val="006B293A"/>
    <w:rsid w:val="006B2ACB"/>
    <w:rsid w:val="006B2C34"/>
    <w:rsid w:val="006B3747"/>
    <w:rsid w:val="006B464D"/>
    <w:rsid w:val="006B48F6"/>
    <w:rsid w:val="006B5356"/>
    <w:rsid w:val="006B5DAB"/>
    <w:rsid w:val="006B6955"/>
    <w:rsid w:val="006B6E00"/>
    <w:rsid w:val="006B70FF"/>
    <w:rsid w:val="006B7AFA"/>
    <w:rsid w:val="006C1454"/>
    <w:rsid w:val="006C195E"/>
    <w:rsid w:val="006C1C50"/>
    <w:rsid w:val="006C1CA6"/>
    <w:rsid w:val="006C1CD6"/>
    <w:rsid w:val="006C2B90"/>
    <w:rsid w:val="006C3571"/>
    <w:rsid w:val="006C3650"/>
    <w:rsid w:val="006C41A6"/>
    <w:rsid w:val="006C499E"/>
    <w:rsid w:val="006C5107"/>
    <w:rsid w:val="006C538C"/>
    <w:rsid w:val="006C54E3"/>
    <w:rsid w:val="006C5E1F"/>
    <w:rsid w:val="006C6958"/>
    <w:rsid w:val="006C6BEB"/>
    <w:rsid w:val="006C6D5C"/>
    <w:rsid w:val="006C6EB6"/>
    <w:rsid w:val="006C7CE8"/>
    <w:rsid w:val="006D0B3B"/>
    <w:rsid w:val="006D1E70"/>
    <w:rsid w:val="006D2C12"/>
    <w:rsid w:val="006D30BF"/>
    <w:rsid w:val="006D319E"/>
    <w:rsid w:val="006D3279"/>
    <w:rsid w:val="006D3719"/>
    <w:rsid w:val="006D462A"/>
    <w:rsid w:val="006D4A94"/>
    <w:rsid w:val="006D5237"/>
    <w:rsid w:val="006D5599"/>
    <w:rsid w:val="006D6250"/>
    <w:rsid w:val="006D6255"/>
    <w:rsid w:val="006D62D0"/>
    <w:rsid w:val="006D74ED"/>
    <w:rsid w:val="006D7577"/>
    <w:rsid w:val="006E038A"/>
    <w:rsid w:val="006E054C"/>
    <w:rsid w:val="006E07F1"/>
    <w:rsid w:val="006E18ED"/>
    <w:rsid w:val="006E2422"/>
    <w:rsid w:val="006E2B6D"/>
    <w:rsid w:val="006E5183"/>
    <w:rsid w:val="006E552E"/>
    <w:rsid w:val="006F0050"/>
    <w:rsid w:val="006F12AA"/>
    <w:rsid w:val="006F1751"/>
    <w:rsid w:val="006F1795"/>
    <w:rsid w:val="006F1E00"/>
    <w:rsid w:val="006F1EA7"/>
    <w:rsid w:val="006F23A3"/>
    <w:rsid w:val="006F39F5"/>
    <w:rsid w:val="006F3EEF"/>
    <w:rsid w:val="006F426F"/>
    <w:rsid w:val="006F4A57"/>
    <w:rsid w:val="006F4AB4"/>
    <w:rsid w:val="006F4C6D"/>
    <w:rsid w:val="006F53A6"/>
    <w:rsid w:val="006F55A6"/>
    <w:rsid w:val="006F70AA"/>
    <w:rsid w:val="006F75D1"/>
    <w:rsid w:val="00700170"/>
    <w:rsid w:val="00701A1C"/>
    <w:rsid w:val="00701ACE"/>
    <w:rsid w:val="00702515"/>
    <w:rsid w:val="0070267E"/>
    <w:rsid w:val="00702CF8"/>
    <w:rsid w:val="0070333D"/>
    <w:rsid w:val="00703A0B"/>
    <w:rsid w:val="00704C19"/>
    <w:rsid w:val="007052E3"/>
    <w:rsid w:val="00705B25"/>
    <w:rsid w:val="00705EAB"/>
    <w:rsid w:val="0070601A"/>
    <w:rsid w:val="00706D50"/>
    <w:rsid w:val="00706D8E"/>
    <w:rsid w:val="007073A7"/>
    <w:rsid w:val="007074D2"/>
    <w:rsid w:val="00707915"/>
    <w:rsid w:val="00707B52"/>
    <w:rsid w:val="007112E4"/>
    <w:rsid w:val="00711589"/>
    <w:rsid w:val="00711CBA"/>
    <w:rsid w:val="00711D8C"/>
    <w:rsid w:val="00712636"/>
    <w:rsid w:val="007127A1"/>
    <w:rsid w:val="00712B95"/>
    <w:rsid w:val="00713578"/>
    <w:rsid w:val="00713BDB"/>
    <w:rsid w:val="0071459B"/>
    <w:rsid w:val="00714C25"/>
    <w:rsid w:val="00716746"/>
    <w:rsid w:val="00716967"/>
    <w:rsid w:val="00717178"/>
    <w:rsid w:val="00717586"/>
    <w:rsid w:val="0071778B"/>
    <w:rsid w:val="007179F6"/>
    <w:rsid w:val="00717B9B"/>
    <w:rsid w:val="007201BF"/>
    <w:rsid w:val="00721093"/>
    <w:rsid w:val="007215EC"/>
    <w:rsid w:val="00721798"/>
    <w:rsid w:val="00721A88"/>
    <w:rsid w:val="00722239"/>
    <w:rsid w:val="00722BE6"/>
    <w:rsid w:val="00722BF3"/>
    <w:rsid w:val="007237AE"/>
    <w:rsid w:val="00723980"/>
    <w:rsid w:val="00724274"/>
    <w:rsid w:val="0072452F"/>
    <w:rsid w:val="00724ACC"/>
    <w:rsid w:val="00724E8E"/>
    <w:rsid w:val="0072518E"/>
    <w:rsid w:val="00725255"/>
    <w:rsid w:val="00725DFB"/>
    <w:rsid w:val="00725F81"/>
    <w:rsid w:val="007269CB"/>
    <w:rsid w:val="007273E4"/>
    <w:rsid w:val="00727AF8"/>
    <w:rsid w:val="00727EF8"/>
    <w:rsid w:val="00730182"/>
    <w:rsid w:val="0073022F"/>
    <w:rsid w:val="007306AF"/>
    <w:rsid w:val="0073084C"/>
    <w:rsid w:val="007319E3"/>
    <w:rsid w:val="00731D4A"/>
    <w:rsid w:val="00732D68"/>
    <w:rsid w:val="007331C1"/>
    <w:rsid w:val="007336A9"/>
    <w:rsid w:val="00733EC7"/>
    <w:rsid w:val="00734324"/>
    <w:rsid w:val="007346F2"/>
    <w:rsid w:val="00734858"/>
    <w:rsid w:val="0073539C"/>
    <w:rsid w:val="00735B7D"/>
    <w:rsid w:val="00735F5D"/>
    <w:rsid w:val="007364DF"/>
    <w:rsid w:val="007368F4"/>
    <w:rsid w:val="00737128"/>
    <w:rsid w:val="0073795B"/>
    <w:rsid w:val="00737ACC"/>
    <w:rsid w:val="0074023B"/>
    <w:rsid w:val="00740745"/>
    <w:rsid w:val="0074203C"/>
    <w:rsid w:val="0074392E"/>
    <w:rsid w:val="0074536D"/>
    <w:rsid w:val="00745538"/>
    <w:rsid w:val="007455D3"/>
    <w:rsid w:val="007460A9"/>
    <w:rsid w:val="00746EAD"/>
    <w:rsid w:val="007474CD"/>
    <w:rsid w:val="00750BD0"/>
    <w:rsid w:val="00750D21"/>
    <w:rsid w:val="00751AFA"/>
    <w:rsid w:val="007534FC"/>
    <w:rsid w:val="00753737"/>
    <w:rsid w:val="00753A75"/>
    <w:rsid w:val="007543A6"/>
    <w:rsid w:val="0075478C"/>
    <w:rsid w:val="00754965"/>
    <w:rsid w:val="00754E31"/>
    <w:rsid w:val="0075551F"/>
    <w:rsid w:val="00755873"/>
    <w:rsid w:val="007558C7"/>
    <w:rsid w:val="00756283"/>
    <w:rsid w:val="00756D98"/>
    <w:rsid w:val="00756F08"/>
    <w:rsid w:val="00757040"/>
    <w:rsid w:val="00757268"/>
    <w:rsid w:val="007578D8"/>
    <w:rsid w:val="00757EBC"/>
    <w:rsid w:val="0076035C"/>
    <w:rsid w:val="00760696"/>
    <w:rsid w:val="00760DBB"/>
    <w:rsid w:val="00761351"/>
    <w:rsid w:val="00761501"/>
    <w:rsid w:val="00762011"/>
    <w:rsid w:val="0076208A"/>
    <w:rsid w:val="00762706"/>
    <w:rsid w:val="00763467"/>
    <w:rsid w:val="007648C8"/>
    <w:rsid w:val="00765948"/>
    <w:rsid w:val="0076783E"/>
    <w:rsid w:val="00767AFF"/>
    <w:rsid w:val="00770113"/>
    <w:rsid w:val="007705B0"/>
    <w:rsid w:val="00770A14"/>
    <w:rsid w:val="007718BF"/>
    <w:rsid w:val="00771F42"/>
    <w:rsid w:val="00772641"/>
    <w:rsid w:val="0077264D"/>
    <w:rsid w:val="007726E1"/>
    <w:rsid w:val="00772F3C"/>
    <w:rsid w:val="00772FB6"/>
    <w:rsid w:val="00772FFE"/>
    <w:rsid w:val="00773331"/>
    <w:rsid w:val="007734FE"/>
    <w:rsid w:val="00774F04"/>
    <w:rsid w:val="00775536"/>
    <w:rsid w:val="007761D8"/>
    <w:rsid w:val="00776C0D"/>
    <w:rsid w:val="00776EE0"/>
    <w:rsid w:val="00777A7B"/>
    <w:rsid w:val="00780048"/>
    <w:rsid w:val="007803AA"/>
    <w:rsid w:val="00780FA1"/>
    <w:rsid w:val="00780FCA"/>
    <w:rsid w:val="0078189C"/>
    <w:rsid w:val="00781CC4"/>
    <w:rsid w:val="0078219E"/>
    <w:rsid w:val="00783710"/>
    <w:rsid w:val="00783909"/>
    <w:rsid w:val="00783FCD"/>
    <w:rsid w:val="0078523F"/>
    <w:rsid w:val="0078667F"/>
    <w:rsid w:val="007866A0"/>
    <w:rsid w:val="00787295"/>
    <w:rsid w:val="00791883"/>
    <w:rsid w:val="00792AB3"/>
    <w:rsid w:val="007932EF"/>
    <w:rsid w:val="0079376E"/>
    <w:rsid w:val="00793BCF"/>
    <w:rsid w:val="00793FFA"/>
    <w:rsid w:val="00794ACC"/>
    <w:rsid w:val="00795267"/>
    <w:rsid w:val="007957FE"/>
    <w:rsid w:val="00795BB5"/>
    <w:rsid w:val="00796318"/>
    <w:rsid w:val="00796380"/>
    <w:rsid w:val="007969EF"/>
    <w:rsid w:val="00796A8B"/>
    <w:rsid w:val="00796BEE"/>
    <w:rsid w:val="00797CA4"/>
    <w:rsid w:val="007A0250"/>
    <w:rsid w:val="007A212B"/>
    <w:rsid w:val="007A232B"/>
    <w:rsid w:val="007A28A8"/>
    <w:rsid w:val="007A2997"/>
    <w:rsid w:val="007A2CED"/>
    <w:rsid w:val="007A32AB"/>
    <w:rsid w:val="007A3AC6"/>
    <w:rsid w:val="007A3E11"/>
    <w:rsid w:val="007A4AA2"/>
    <w:rsid w:val="007A4EBD"/>
    <w:rsid w:val="007A5406"/>
    <w:rsid w:val="007A5CF1"/>
    <w:rsid w:val="007A5E95"/>
    <w:rsid w:val="007A63CD"/>
    <w:rsid w:val="007A67DE"/>
    <w:rsid w:val="007A6C96"/>
    <w:rsid w:val="007A7798"/>
    <w:rsid w:val="007A7A6B"/>
    <w:rsid w:val="007A7CC9"/>
    <w:rsid w:val="007B09F5"/>
    <w:rsid w:val="007B1459"/>
    <w:rsid w:val="007B156E"/>
    <w:rsid w:val="007B1F13"/>
    <w:rsid w:val="007B1F29"/>
    <w:rsid w:val="007B2353"/>
    <w:rsid w:val="007B2C9B"/>
    <w:rsid w:val="007B356D"/>
    <w:rsid w:val="007B36A8"/>
    <w:rsid w:val="007B3BDF"/>
    <w:rsid w:val="007B3F8F"/>
    <w:rsid w:val="007B4AB4"/>
    <w:rsid w:val="007B4C5C"/>
    <w:rsid w:val="007B5B96"/>
    <w:rsid w:val="007B5F60"/>
    <w:rsid w:val="007B624B"/>
    <w:rsid w:val="007B65E1"/>
    <w:rsid w:val="007B6B2F"/>
    <w:rsid w:val="007B7819"/>
    <w:rsid w:val="007C046D"/>
    <w:rsid w:val="007C06C9"/>
    <w:rsid w:val="007C0E08"/>
    <w:rsid w:val="007C12D6"/>
    <w:rsid w:val="007C1802"/>
    <w:rsid w:val="007C1C7F"/>
    <w:rsid w:val="007C2AE3"/>
    <w:rsid w:val="007C2F17"/>
    <w:rsid w:val="007C3110"/>
    <w:rsid w:val="007C3117"/>
    <w:rsid w:val="007C3A8E"/>
    <w:rsid w:val="007C43C9"/>
    <w:rsid w:val="007C452C"/>
    <w:rsid w:val="007C4F30"/>
    <w:rsid w:val="007C4FAC"/>
    <w:rsid w:val="007C586E"/>
    <w:rsid w:val="007C64BC"/>
    <w:rsid w:val="007C6AA6"/>
    <w:rsid w:val="007C74EF"/>
    <w:rsid w:val="007C7C2F"/>
    <w:rsid w:val="007C7E07"/>
    <w:rsid w:val="007C7E64"/>
    <w:rsid w:val="007D0331"/>
    <w:rsid w:val="007D135F"/>
    <w:rsid w:val="007D28D6"/>
    <w:rsid w:val="007D2EBC"/>
    <w:rsid w:val="007D3551"/>
    <w:rsid w:val="007D3777"/>
    <w:rsid w:val="007D4745"/>
    <w:rsid w:val="007D4C2F"/>
    <w:rsid w:val="007D5622"/>
    <w:rsid w:val="007D6856"/>
    <w:rsid w:val="007D7E1F"/>
    <w:rsid w:val="007E0577"/>
    <w:rsid w:val="007E05B0"/>
    <w:rsid w:val="007E12BB"/>
    <w:rsid w:val="007E2381"/>
    <w:rsid w:val="007E247A"/>
    <w:rsid w:val="007E2A21"/>
    <w:rsid w:val="007E2BBA"/>
    <w:rsid w:val="007E3F32"/>
    <w:rsid w:val="007E4433"/>
    <w:rsid w:val="007E4ECA"/>
    <w:rsid w:val="007E5B6F"/>
    <w:rsid w:val="007E6117"/>
    <w:rsid w:val="007E6BC1"/>
    <w:rsid w:val="007E6FC1"/>
    <w:rsid w:val="007E7D24"/>
    <w:rsid w:val="007F1100"/>
    <w:rsid w:val="007F16B9"/>
    <w:rsid w:val="007F2E3E"/>
    <w:rsid w:val="007F36E7"/>
    <w:rsid w:val="007F36EA"/>
    <w:rsid w:val="007F3FF2"/>
    <w:rsid w:val="007F5068"/>
    <w:rsid w:val="007F5478"/>
    <w:rsid w:val="007F58AC"/>
    <w:rsid w:val="007F597E"/>
    <w:rsid w:val="007F5ECC"/>
    <w:rsid w:val="007F61D2"/>
    <w:rsid w:val="007F698D"/>
    <w:rsid w:val="007F6C14"/>
    <w:rsid w:val="007F75C9"/>
    <w:rsid w:val="007F778B"/>
    <w:rsid w:val="007F77E2"/>
    <w:rsid w:val="007F78E7"/>
    <w:rsid w:val="007F7F29"/>
    <w:rsid w:val="00800BAA"/>
    <w:rsid w:val="00800E74"/>
    <w:rsid w:val="00801416"/>
    <w:rsid w:val="00801B4C"/>
    <w:rsid w:val="00801BAB"/>
    <w:rsid w:val="00801C0D"/>
    <w:rsid w:val="00802CA3"/>
    <w:rsid w:val="008045C7"/>
    <w:rsid w:val="00804666"/>
    <w:rsid w:val="008049CE"/>
    <w:rsid w:val="00804B2A"/>
    <w:rsid w:val="00805FCD"/>
    <w:rsid w:val="0080681A"/>
    <w:rsid w:val="008070D1"/>
    <w:rsid w:val="00807D57"/>
    <w:rsid w:val="00810315"/>
    <w:rsid w:val="00810FCC"/>
    <w:rsid w:val="00811231"/>
    <w:rsid w:val="00812343"/>
    <w:rsid w:val="00812461"/>
    <w:rsid w:val="00813A0C"/>
    <w:rsid w:val="00813C99"/>
    <w:rsid w:val="00814153"/>
    <w:rsid w:val="008143B1"/>
    <w:rsid w:val="00814736"/>
    <w:rsid w:val="008153AE"/>
    <w:rsid w:val="00815A86"/>
    <w:rsid w:val="00815E87"/>
    <w:rsid w:val="00817602"/>
    <w:rsid w:val="008176C7"/>
    <w:rsid w:val="008178BB"/>
    <w:rsid w:val="0082005C"/>
    <w:rsid w:val="008202BA"/>
    <w:rsid w:val="008208F0"/>
    <w:rsid w:val="008209AC"/>
    <w:rsid w:val="00820C1A"/>
    <w:rsid w:val="00821209"/>
    <w:rsid w:val="00821BD0"/>
    <w:rsid w:val="00821FDD"/>
    <w:rsid w:val="00822B59"/>
    <w:rsid w:val="00822FF0"/>
    <w:rsid w:val="00823381"/>
    <w:rsid w:val="0082461C"/>
    <w:rsid w:val="0082533D"/>
    <w:rsid w:val="0082589F"/>
    <w:rsid w:val="0082675C"/>
    <w:rsid w:val="008274ED"/>
    <w:rsid w:val="00827894"/>
    <w:rsid w:val="00827F71"/>
    <w:rsid w:val="00830C32"/>
    <w:rsid w:val="00830ED0"/>
    <w:rsid w:val="008311B3"/>
    <w:rsid w:val="00831244"/>
    <w:rsid w:val="00831704"/>
    <w:rsid w:val="00831A1F"/>
    <w:rsid w:val="00831CBE"/>
    <w:rsid w:val="008322E3"/>
    <w:rsid w:val="0083284F"/>
    <w:rsid w:val="00833EE4"/>
    <w:rsid w:val="00834238"/>
    <w:rsid w:val="00835117"/>
    <w:rsid w:val="00835120"/>
    <w:rsid w:val="00835919"/>
    <w:rsid w:val="0083744A"/>
    <w:rsid w:val="00837821"/>
    <w:rsid w:val="00837A88"/>
    <w:rsid w:val="008402A5"/>
    <w:rsid w:val="00840BD6"/>
    <w:rsid w:val="008410CD"/>
    <w:rsid w:val="0084144F"/>
    <w:rsid w:val="00841622"/>
    <w:rsid w:val="00841F05"/>
    <w:rsid w:val="0084268F"/>
    <w:rsid w:val="00843729"/>
    <w:rsid w:val="00843B5D"/>
    <w:rsid w:val="00843B95"/>
    <w:rsid w:val="008445ED"/>
    <w:rsid w:val="0084533B"/>
    <w:rsid w:val="00846243"/>
    <w:rsid w:val="00846A60"/>
    <w:rsid w:val="008475F7"/>
    <w:rsid w:val="0084776D"/>
    <w:rsid w:val="0084786B"/>
    <w:rsid w:val="00847A43"/>
    <w:rsid w:val="008502F3"/>
    <w:rsid w:val="008510FA"/>
    <w:rsid w:val="00851B01"/>
    <w:rsid w:val="00851C1A"/>
    <w:rsid w:val="00851E83"/>
    <w:rsid w:val="00851EF2"/>
    <w:rsid w:val="00851FB7"/>
    <w:rsid w:val="00852DC3"/>
    <w:rsid w:val="00853031"/>
    <w:rsid w:val="00853614"/>
    <w:rsid w:val="00853AD9"/>
    <w:rsid w:val="008542F2"/>
    <w:rsid w:val="0085463C"/>
    <w:rsid w:val="008554BC"/>
    <w:rsid w:val="008559CE"/>
    <w:rsid w:val="00855D09"/>
    <w:rsid w:val="008567A9"/>
    <w:rsid w:val="00856FB3"/>
    <w:rsid w:val="008610DE"/>
    <w:rsid w:val="008612B9"/>
    <w:rsid w:val="008614B0"/>
    <w:rsid w:val="008617C5"/>
    <w:rsid w:val="00861E65"/>
    <w:rsid w:val="00862530"/>
    <w:rsid w:val="0086283F"/>
    <w:rsid w:val="00863B05"/>
    <w:rsid w:val="00863C2C"/>
    <w:rsid w:val="00863CFF"/>
    <w:rsid w:val="00864877"/>
    <w:rsid w:val="00865C81"/>
    <w:rsid w:val="00866B88"/>
    <w:rsid w:val="00866BEF"/>
    <w:rsid w:val="00866C06"/>
    <w:rsid w:val="008672D3"/>
    <w:rsid w:val="00867419"/>
    <w:rsid w:val="00867D56"/>
    <w:rsid w:val="008704C6"/>
    <w:rsid w:val="008711E1"/>
    <w:rsid w:val="00872C2F"/>
    <w:rsid w:val="0087305A"/>
    <w:rsid w:val="00874C7D"/>
    <w:rsid w:val="00874D22"/>
    <w:rsid w:val="008759AE"/>
    <w:rsid w:val="008759F4"/>
    <w:rsid w:val="00875CB3"/>
    <w:rsid w:val="00876A4C"/>
    <w:rsid w:val="00876FC8"/>
    <w:rsid w:val="00877F5A"/>
    <w:rsid w:val="008801F2"/>
    <w:rsid w:val="008807C1"/>
    <w:rsid w:val="0088168D"/>
    <w:rsid w:val="0088177A"/>
    <w:rsid w:val="008823F8"/>
    <w:rsid w:val="00883B08"/>
    <w:rsid w:val="00883CFD"/>
    <w:rsid w:val="00884F8F"/>
    <w:rsid w:val="00885AFC"/>
    <w:rsid w:val="008860A6"/>
    <w:rsid w:val="008860A9"/>
    <w:rsid w:val="008869DB"/>
    <w:rsid w:val="00886A3B"/>
    <w:rsid w:val="00886A7B"/>
    <w:rsid w:val="00886C18"/>
    <w:rsid w:val="008871DB"/>
    <w:rsid w:val="00887202"/>
    <w:rsid w:val="0088751E"/>
    <w:rsid w:val="0089065C"/>
    <w:rsid w:val="00890F60"/>
    <w:rsid w:val="00891EE8"/>
    <w:rsid w:val="0089385C"/>
    <w:rsid w:val="00893FEC"/>
    <w:rsid w:val="00895763"/>
    <w:rsid w:val="00896A2D"/>
    <w:rsid w:val="00896E63"/>
    <w:rsid w:val="008A0861"/>
    <w:rsid w:val="008A0D5A"/>
    <w:rsid w:val="008A0F87"/>
    <w:rsid w:val="008A1DD7"/>
    <w:rsid w:val="008A229D"/>
    <w:rsid w:val="008A2914"/>
    <w:rsid w:val="008A3612"/>
    <w:rsid w:val="008A3E22"/>
    <w:rsid w:val="008A3FF7"/>
    <w:rsid w:val="008A42F3"/>
    <w:rsid w:val="008A432F"/>
    <w:rsid w:val="008A4415"/>
    <w:rsid w:val="008A4BA9"/>
    <w:rsid w:val="008A623A"/>
    <w:rsid w:val="008A6387"/>
    <w:rsid w:val="008A6971"/>
    <w:rsid w:val="008B0A35"/>
    <w:rsid w:val="008B1432"/>
    <w:rsid w:val="008B1662"/>
    <w:rsid w:val="008B276A"/>
    <w:rsid w:val="008B2C8B"/>
    <w:rsid w:val="008B31F3"/>
    <w:rsid w:val="008B3E78"/>
    <w:rsid w:val="008B3FD7"/>
    <w:rsid w:val="008B43E8"/>
    <w:rsid w:val="008B47A6"/>
    <w:rsid w:val="008B4A22"/>
    <w:rsid w:val="008B4A83"/>
    <w:rsid w:val="008B5F04"/>
    <w:rsid w:val="008B601D"/>
    <w:rsid w:val="008B6D00"/>
    <w:rsid w:val="008B7A0B"/>
    <w:rsid w:val="008B7EE0"/>
    <w:rsid w:val="008C07CD"/>
    <w:rsid w:val="008C0D1F"/>
    <w:rsid w:val="008C111E"/>
    <w:rsid w:val="008C11D4"/>
    <w:rsid w:val="008C1C20"/>
    <w:rsid w:val="008C24CC"/>
    <w:rsid w:val="008C27AF"/>
    <w:rsid w:val="008C27F6"/>
    <w:rsid w:val="008C296A"/>
    <w:rsid w:val="008C318B"/>
    <w:rsid w:val="008C3411"/>
    <w:rsid w:val="008C4386"/>
    <w:rsid w:val="008C4D5C"/>
    <w:rsid w:val="008C51E5"/>
    <w:rsid w:val="008C5461"/>
    <w:rsid w:val="008C547F"/>
    <w:rsid w:val="008C56DC"/>
    <w:rsid w:val="008C7057"/>
    <w:rsid w:val="008C7CA6"/>
    <w:rsid w:val="008D07FD"/>
    <w:rsid w:val="008D09D5"/>
    <w:rsid w:val="008D2675"/>
    <w:rsid w:val="008D2A22"/>
    <w:rsid w:val="008D2FD8"/>
    <w:rsid w:val="008D34BD"/>
    <w:rsid w:val="008D3882"/>
    <w:rsid w:val="008D4273"/>
    <w:rsid w:val="008D52A3"/>
    <w:rsid w:val="008D5377"/>
    <w:rsid w:val="008D5CAE"/>
    <w:rsid w:val="008D5DB2"/>
    <w:rsid w:val="008D5ED1"/>
    <w:rsid w:val="008D66C6"/>
    <w:rsid w:val="008D66E0"/>
    <w:rsid w:val="008D725D"/>
    <w:rsid w:val="008D748D"/>
    <w:rsid w:val="008E08A8"/>
    <w:rsid w:val="008E08F3"/>
    <w:rsid w:val="008E0CCD"/>
    <w:rsid w:val="008E164F"/>
    <w:rsid w:val="008E198D"/>
    <w:rsid w:val="008E28FB"/>
    <w:rsid w:val="008E414E"/>
    <w:rsid w:val="008E4279"/>
    <w:rsid w:val="008E4D8E"/>
    <w:rsid w:val="008E4DA1"/>
    <w:rsid w:val="008E4E53"/>
    <w:rsid w:val="008E5132"/>
    <w:rsid w:val="008E531D"/>
    <w:rsid w:val="008F0242"/>
    <w:rsid w:val="008F07B1"/>
    <w:rsid w:val="008F173F"/>
    <w:rsid w:val="008F1BEA"/>
    <w:rsid w:val="008F2789"/>
    <w:rsid w:val="008F4209"/>
    <w:rsid w:val="008F7205"/>
    <w:rsid w:val="00900ED2"/>
    <w:rsid w:val="00901836"/>
    <w:rsid w:val="00901E86"/>
    <w:rsid w:val="00901EC1"/>
    <w:rsid w:val="00902120"/>
    <w:rsid w:val="0090267C"/>
    <w:rsid w:val="00902BE8"/>
    <w:rsid w:val="00904113"/>
    <w:rsid w:val="009043A0"/>
    <w:rsid w:val="00904B44"/>
    <w:rsid w:val="0090514D"/>
    <w:rsid w:val="00906A43"/>
    <w:rsid w:val="00906AC8"/>
    <w:rsid w:val="00906C86"/>
    <w:rsid w:val="00906D1D"/>
    <w:rsid w:val="0090722A"/>
    <w:rsid w:val="00907300"/>
    <w:rsid w:val="00907E5A"/>
    <w:rsid w:val="009102DC"/>
    <w:rsid w:val="009105B6"/>
    <w:rsid w:val="00910646"/>
    <w:rsid w:val="00911721"/>
    <w:rsid w:val="00911AAA"/>
    <w:rsid w:val="00911B2A"/>
    <w:rsid w:val="00911FDF"/>
    <w:rsid w:val="0091214F"/>
    <w:rsid w:val="00912291"/>
    <w:rsid w:val="00912551"/>
    <w:rsid w:val="00912D53"/>
    <w:rsid w:val="0091343F"/>
    <w:rsid w:val="00913ADD"/>
    <w:rsid w:val="00913D1C"/>
    <w:rsid w:val="00915881"/>
    <w:rsid w:val="00916227"/>
    <w:rsid w:val="0091624E"/>
    <w:rsid w:val="00916473"/>
    <w:rsid w:val="00916C46"/>
    <w:rsid w:val="009201BD"/>
    <w:rsid w:val="00920387"/>
    <w:rsid w:val="0092123D"/>
    <w:rsid w:val="0092180B"/>
    <w:rsid w:val="00921880"/>
    <w:rsid w:val="009219B9"/>
    <w:rsid w:val="0092227D"/>
    <w:rsid w:val="00923054"/>
    <w:rsid w:val="00923BCD"/>
    <w:rsid w:val="00924E75"/>
    <w:rsid w:val="00925154"/>
    <w:rsid w:val="009252AC"/>
    <w:rsid w:val="00925BFB"/>
    <w:rsid w:val="009272B0"/>
    <w:rsid w:val="00930633"/>
    <w:rsid w:val="00930989"/>
    <w:rsid w:val="00930AE8"/>
    <w:rsid w:val="009323A0"/>
    <w:rsid w:val="009335C1"/>
    <w:rsid w:val="00933F2F"/>
    <w:rsid w:val="00934B13"/>
    <w:rsid w:val="009355C2"/>
    <w:rsid w:val="0094095F"/>
    <w:rsid w:val="00943887"/>
    <w:rsid w:val="00945A1F"/>
    <w:rsid w:val="00945DDA"/>
    <w:rsid w:val="00946A52"/>
    <w:rsid w:val="00946D3D"/>
    <w:rsid w:val="009470CE"/>
    <w:rsid w:val="00947277"/>
    <w:rsid w:val="00947312"/>
    <w:rsid w:val="00947D06"/>
    <w:rsid w:val="00950858"/>
    <w:rsid w:val="00950E30"/>
    <w:rsid w:val="0095114C"/>
    <w:rsid w:val="0095161E"/>
    <w:rsid w:val="009516EB"/>
    <w:rsid w:val="00951F71"/>
    <w:rsid w:val="00952090"/>
    <w:rsid w:val="00952E53"/>
    <w:rsid w:val="009543A4"/>
    <w:rsid w:val="009549C2"/>
    <w:rsid w:val="0095597E"/>
    <w:rsid w:val="00955E3D"/>
    <w:rsid w:val="0095648D"/>
    <w:rsid w:val="009572FA"/>
    <w:rsid w:val="00957F3A"/>
    <w:rsid w:val="009604FD"/>
    <w:rsid w:val="00960579"/>
    <w:rsid w:val="00960A46"/>
    <w:rsid w:val="00960B22"/>
    <w:rsid w:val="009615CB"/>
    <w:rsid w:val="00961C18"/>
    <w:rsid w:val="009625F2"/>
    <w:rsid w:val="00962F90"/>
    <w:rsid w:val="0096479D"/>
    <w:rsid w:val="00964B9B"/>
    <w:rsid w:val="009651AA"/>
    <w:rsid w:val="009651CF"/>
    <w:rsid w:val="00967FF6"/>
    <w:rsid w:val="00970EE0"/>
    <w:rsid w:val="009711F9"/>
    <w:rsid w:val="0097153C"/>
    <w:rsid w:val="009731A0"/>
    <w:rsid w:val="00973751"/>
    <w:rsid w:val="009744BC"/>
    <w:rsid w:val="00974633"/>
    <w:rsid w:val="009761DC"/>
    <w:rsid w:val="009768E6"/>
    <w:rsid w:val="00976A95"/>
    <w:rsid w:val="009774A4"/>
    <w:rsid w:val="00977703"/>
    <w:rsid w:val="00980183"/>
    <w:rsid w:val="009809C4"/>
    <w:rsid w:val="00980BD1"/>
    <w:rsid w:val="009811AF"/>
    <w:rsid w:val="00981284"/>
    <w:rsid w:val="00981A13"/>
    <w:rsid w:val="009821D1"/>
    <w:rsid w:val="009823DE"/>
    <w:rsid w:val="009842E9"/>
    <w:rsid w:val="00984F2D"/>
    <w:rsid w:val="00985CEA"/>
    <w:rsid w:val="00986C7D"/>
    <w:rsid w:val="00987066"/>
    <w:rsid w:val="00987E74"/>
    <w:rsid w:val="009900A2"/>
    <w:rsid w:val="009904A4"/>
    <w:rsid w:val="009905CA"/>
    <w:rsid w:val="0099135E"/>
    <w:rsid w:val="00991448"/>
    <w:rsid w:val="00991DA2"/>
    <w:rsid w:val="00991F65"/>
    <w:rsid w:val="009920C7"/>
    <w:rsid w:val="009929BE"/>
    <w:rsid w:val="00993A73"/>
    <w:rsid w:val="00994641"/>
    <w:rsid w:val="009946A2"/>
    <w:rsid w:val="00994EEC"/>
    <w:rsid w:val="0099507F"/>
    <w:rsid w:val="009951D2"/>
    <w:rsid w:val="009960EC"/>
    <w:rsid w:val="009967DE"/>
    <w:rsid w:val="00996B06"/>
    <w:rsid w:val="0099768D"/>
    <w:rsid w:val="00997C2B"/>
    <w:rsid w:val="00997FC2"/>
    <w:rsid w:val="009A0A2B"/>
    <w:rsid w:val="009A0F05"/>
    <w:rsid w:val="009A0F8F"/>
    <w:rsid w:val="009A0FBD"/>
    <w:rsid w:val="009A1384"/>
    <w:rsid w:val="009A159F"/>
    <w:rsid w:val="009A17AE"/>
    <w:rsid w:val="009A1B9D"/>
    <w:rsid w:val="009A1D0E"/>
    <w:rsid w:val="009A2AAB"/>
    <w:rsid w:val="009A32E7"/>
    <w:rsid w:val="009A3347"/>
    <w:rsid w:val="009A35A2"/>
    <w:rsid w:val="009A3EE4"/>
    <w:rsid w:val="009A5241"/>
    <w:rsid w:val="009A5660"/>
    <w:rsid w:val="009A6556"/>
    <w:rsid w:val="009A6A2B"/>
    <w:rsid w:val="009A6C79"/>
    <w:rsid w:val="009B0B4A"/>
    <w:rsid w:val="009B100C"/>
    <w:rsid w:val="009B1895"/>
    <w:rsid w:val="009B1F45"/>
    <w:rsid w:val="009B1FA6"/>
    <w:rsid w:val="009B2402"/>
    <w:rsid w:val="009B246D"/>
    <w:rsid w:val="009B2EC3"/>
    <w:rsid w:val="009B3577"/>
    <w:rsid w:val="009B3806"/>
    <w:rsid w:val="009B38C2"/>
    <w:rsid w:val="009B3DEB"/>
    <w:rsid w:val="009B528D"/>
    <w:rsid w:val="009B571B"/>
    <w:rsid w:val="009B5A60"/>
    <w:rsid w:val="009B62FB"/>
    <w:rsid w:val="009B6C3D"/>
    <w:rsid w:val="009B7204"/>
    <w:rsid w:val="009B7F0C"/>
    <w:rsid w:val="009C0898"/>
    <w:rsid w:val="009C1355"/>
    <w:rsid w:val="009C1989"/>
    <w:rsid w:val="009C1DDF"/>
    <w:rsid w:val="009C2C0B"/>
    <w:rsid w:val="009C3249"/>
    <w:rsid w:val="009C3541"/>
    <w:rsid w:val="009C379A"/>
    <w:rsid w:val="009C38F5"/>
    <w:rsid w:val="009C3B9D"/>
    <w:rsid w:val="009C4073"/>
    <w:rsid w:val="009C491E"/>
    <w:rsid w:val="009C53FE"/>
    <w:rsid w:val="009C5E67"/>
    <w:rsid w:val="009C60CE"/>
    <w:rsid w:val="009C6816"/>
    <w:rsid w:val="009C6CA5"/>
    <w:rsid w:val="009C6F6B"/>
    <w:rsid w:val="009C7963"/>
    <w:rsid w:val="009C7DD5"/>
    <w:rsid w:val="009D0789"/>
    <w:rsid w:val="009D0C4C"/>
    <w:rsid w:val="009D0F03"/>
    <w:rsid w:val="009D19FC"/>
    <w:rsid w:val="009D1BEA"/>
    <w:rsid w:val="009D1F4D"/>
    <w:rsid w:val="009D33BA"/>
    <w:rsid w:val="009D42A5"/>
    <w:rsid w:val="009D42B7"/>
    <w:rsid w:val="009D44E0"/>
    <w:rsid w:val="009D4506"/>
    <w:rsid w:val="009D500D"/>
    <w:rsid w:val="009D5CC9"/>
    <w:rsid w:val="009D6B03"/>
    <w:rsid w:val="009D6ED8"/>
    <w:rsid w:val="009D78B6"/>
    <w:rsid w:val="009E15A1"/>
    <w:rsid w:val="009E1E11"/>
    <w:rsid w:val="009E2FAE"/>
    <w:rsid w:val="009E3ADE"/>
    <w:rsid w:val="009E3D45"/>
    <w:rsid w:val="009E40C6"/>
    <w:rsid w:val="009E58FB"/>
    <w:rsid w:val="009E59DD"/>
    <w:rsid w:val="009E6363"/>
    <w:rsid w:val="009E65CC"/>
    <w:rsid w:val="009E6646"/>
    <w:rsid w:val="009E6667"/>
    <w:rsid w:val="009E6B8D"/>
    <w:rsid w:val="009E6C9D"/>
    <w:rsid w:val="009E6E29"/>
    <w:rsid w:val="009E6F27"/>
    <w:rsid w:val="009E7FC4"/>
    <w:rsid w:val="009F0BFD"/>
    <w:rsid w:val="009F16A0"/>
    <w:rsid w:val="009F1715"/>
    <w:rsid w:val="009F1F5C"/>
    <w:rsid w:val="009F24C4"/>
    <w:rsid w:val="009F3AAA"/>
    <w:rsid w:val="009F3AB1"/>
    <w:rsid w:val="009F3BDF"/>
    <w:rsid w:val="009F4604"/>
    <w:rsid w:val="009F4F2B"/>
    <w:rsid w:val="009F5293"/>
    <w:rsid w:val="009F593C"/>
    <w:rsid w:val="009F6104"/>
    <w:rsid w:val="009F66D8"/>
    <w:rsid w:val="009F72A8"/>
    <w:rsid w:val="00A00775"/>
    <w:rsid w:val="00A01995"/>
    <w:rsid w:val="00A01A24"/>
    <w:rsid w:val="00A0231E"/>
    <w:rsid w:val="00A02A64"/>
    <w:rsid w:val="00A02F32"/>
    <w:rsid w:val="00A033ED"/>
    <w:rsid w:val="00A04CE4"/>
    <w:rsid w:val="00A05EFC"/>
    <w:rsid w:val="00A06952"/>
    <w:rsid w:val="00A06D2E"/>
    <w:rsid w:val="00A074FA"/>
    <w:rsid w:val="00A07C65"/>
    <w:rsid w:val="00A1062B"/>
    <w:rsid w:val="00A123B3"/>
    <w:rsid w:val="00A12424"/>
    <w:rsid w:val="00A12622"/>
    <w:rsid w:val="00A12FB2"/>
    <w:rsid w:val="00A132CA"/>
    <w:rsid w:val="00A13654"/>
    <w:rsid w:val="00A13A84"/>
    <w:rsid w:val="00A141EE"/>
    <w:rsid w:val="00A14766"/>
    <w:rsid w:val="00A14CC1"/>
    <w:rsid w:val="00A15892"/>
    <w:rsid w:val="00A15F26"/>
    <w:rsid w:val="00A16518"/>
    <w:rsid w:val="00A167AC"/>
    <w:rsid w:val="00A17643"/>
    <w:rsid w:val="00A21480"/>
    <w:rsid w:val="00A224B0"/>
    <w:rsid w:val="00A22677"/>
    <w:rsid w:val="00A2288A"/>
    <w:rsid w:val="00A23560"/>
    <w:rsid w:val="00A23F39"/>
    <w:rsid w:val="00A242A6"/>
    <w:rsid w:val="00A2497A"/>
    <w:rsid w:val="00A24B92"/>
    <w:rsid w:val="00A25831"/>
    <w:rsid w:val="00A25C85"/>
    <w:rsid w:val="00A263C4"/>
    <w:rsid w:val="00A26669"/>
    <w:rsid w:val="00A268B1"/>
    <w:rsid w:val="00A26D7C"/>
    <w:rsid w:val="00A30071"/>
    <w:rsid w:val="00A3077C"/>
    <w:rsid w:val="00A30CEA"/>
    <w:rsid w:val="00A30D6B"/>
    <w:rsid w:val="00A319B2"/>
    <w:rsid w:val="00A31F58"/>
    <w:rsid w:val="00A3273A"/>
    <w:rsid w:val="00A32CDE"/>
    <w:rsid w:val="00A3347C"/>
    <w:rsid w:val="00A33A17"/>
    <w:rsid w:val="00A34E29"/>
    <w:rsid w:val="00A356FE"/>
    <w:rsid w:val="00A3766E"/>
    <w:rsid w:val="00A40771"/>
    <w:rsid w:val="00A40800"/>
    <w:rsid w:val="00A415E8"/>
    <w:rsid w:val="00A4160C"/>
    <w:rsid w:val="00A41B8B"/>
    <w:rsid w:val="00A41D69"/>
    <w:rsid w:val="00A43090"/>
    <w:rsid w:val="00A43E97"/>
    <w:rsid w:val="00A44ABD"/>
    <w:rsid w:val="00A44CBD"/>
    <w:rsid w:val="00A451BF"/>
    <w:rsid w:val="00A45F33"/>
    <w:rsid w:val="00A45FB8"/>
    <w:rsid w:val="00A463D7"/>
    <w:rsid w:val="00A46ECE"/>
    <w:rsid w:val="00A471B8"/>
    <w:rsid w:val="00A471DF"/>
    <w:rsid w:val="00A505F6"/>
    <w:rsid w:val="00A52836"/>
    <w:rsid w:val="00A54931"/>
    <w:rsid w:val="00A554A4"/>
    <w:rsid w:val="00A55DB7"/>
    <w:rsid w:val="00A55FAD"/>
    <w:rsid w:val="00A563A4"/>
    <w:rsid w:val="00A5663F"/>
    <w:rsid w:val="00A566F9"/>
    <w:rsid w:val="00A56A71"/>
    <w:rsid w:val="00A56D6F"/>
    <w:rsid w:val="00A57F8E"/>
    <w:rsid w:val="00A600AD"/>
    <w:rsid w:val="00A60F8F"/>
    <w:rsid w:val="00A610A6"/>
    <w:rsid w:val="00A61243"/>
    <w:rsid w:val="00A61879"/>
    <w:rsid w:val="00A62007"/>
    <w:rsid w:val="00A63313"/>
    <w:rsid w:val="00A63C84"/>
    <w:rsid w:val="00A640C4"/>
    <w:rsid w:val="00A6476C"/>
    <w:rsid w:val="00A64863"/>
    <w:rsid w:val="00A649FA"/>
    <w:rsid w:val="00A64A27"/>
    <w:rsid w:val="00A6528E"/>
    <w:rsid w:val="00A6554A"/>
    <w:rsid w:val="00A65F02"/>
    <w:rsid w:val="00A66001"/>
    <w:rsid w:val="00A677C2"/>
    <w:rsid w:val="00A70507"/>
    <w:rsid w:val="00A7071B"/>
    <w:rsid w:val="00A7080C"/>
    <w:rsid w:val="00A70DEE"/>
    <w:rsid w:val="00A70FEA"/>
    <w:rsid w:val="00A71885"/>
    <w:rsid w:val="00A7189E"/>
    <w:rsid w:val="00A71C48"/>
    <w:rsid w:val="00A71F90"/>
    <w:rsid w:val="00A724E7"/>
    <w:rsid w:val="00A7313C"/>
    <w:rsid w:val="00A731F0"/>
    <w:rsid w:val="00A7347E"/>
    <w:rsid w:val="00A73682"/>
    <w:rsid w:val="00A73932"/>
    <w:rsid w:val="00A73E11"/>
    <w:rsid w:val="00A743EF"/>
    <w:rsid w:val="00A7551F"/>
    <w:rsid w:val="00A761AB"/>
    <w:rsid w:val="00A76CC6"/>
    <w:rsid w:val="00A76E37"/>
    <w:rsid w:val="00A77039"/>
    <w:rsid w:val="00A8208D"/>
    <w:rsid w:val="00A829E2"/>
    <w:rsid w:val="00A82FDA"/>
    <w:rsid w:val="00A832D4"/>
    <w:rsid w:val="00A83A2E"/>
    <w:rsid w:val="00A84149"/>
    <w:rsid w:val="00A8443F"/>
    <w:rsid w:val="00A84BFE"/>
    <w:rsid w:val="00A8514F"/>
    <w:rsid w:val="00A866BE"/>
    <w:rsid w:val="00A86974"/>
    <w:rsid w:val="00A86B2F"/>
    <w:rsid w:val="00A87247"/>
    <w:rsid w:val="00A876F5"/>
    <w:rsid w:val="00A87CDD"/>
    <w:rsid w:val="00A901B5"/>
    <w:rsid w:val="00A90681"/>
    <w:rsid w:val="00A90A7B"/>
    <w:rsid w:val="00A92311"/>
    <w:rsid w:val="00A924DC"/>
    <w:rsid w:val="00A92CB2"/>
    <w:rsid w:val="00A9420C"/>
    <w:rsid w:val="00A948F4"/>
    <w:rsid w:val="00A95876"/>
    <w:rsid w:val="00A9676E"/>
    <w:rsid w:val="00A9678F"/>
    <w:rsid w:val="00A96F94"/>
    <w:rsid w:val="00AA04F6"/>
    <w:rsid w:val="00AA05F3"/>
    <w:rsid w:val="00AA2894"/>
    <w:rsid w:val="00AA3C0D"/>
    <w:rsid w:val="00AA4043"/>
    <w:rsid w:val="00AA4432"/>
    <w:rsid w:val="00AA453B"/>
    <w:rsid w:val="00AA488A"/>
    <w:rsid w:val="00AA5094"/>
    <w:rsid w:val="00AA5120"/>
    <w:rsid w:val="00AA545C"/>
    <w:rsid w:val="00AA5BDD"/>
    <w:rsid w:val="00AA5E09"/>
    <w:rsid w:val="00AA62EA"/>
    <w:rsid w:val="00AA6F10"/>
    <w:rsid w:val="00AA73D0"/>
    <w:rsid w:val="00AA76B3"/>
    <w:rsid w:val="00AA7C76"/>
    <w:rsid w:val="00AB0392"/>
    <w:rsid w:val="00AB0E78"/>
    <w:rsid w:val="00AB225D"/>
    <w:rsid w:val="00AB29E6"/>
    <w:rsid w:val="00AB2F7E"/>
    <w:rsid w:val="00AB5D30"/>
    <w:rsid w:val="00AB5DCB"/>
    <w:rsid w:val="00AB6A1E"/>
    <w:rsid w:val="00AB7BA8"/>
    <w:rsid w:val="00AC1E21"/>
    <w:rsid w:val="00AC24E2"/>
    <w:rsid w:val="00AC30E3"/>
    <w:rsid w:val="00AC4424"/>
    <w:rsid w:val="00AC49B5"/>
    <w:rsid w:val="00AC4B14"/>
    <w:rsid w:val="00AC4EE4"/>
    <w:rsid w:val="00AC6242"/>
    <w:rsid w:val="00AC6845"/>
    <w:rsid w:val="00AC6D95"/>
    <w:rsid w:val="00AC7EDD"/>
    <w:rsid w:val="00AD0207"/>
    <w:rsid w:val="00AD0540"/>
    <w:rsid w:val="00AD0D8E"/>
    <w:rsid w:val="00AD12B4"/>
    <w:rsid w:val="00AD17DA"/>
    <w:rsid w:val="00AD2816"/>
    <w:rsid w:val="00AD2D98"/>
    <w:rsid w:val="00AD317F"/>
    <w:rsid w:val="00AD3683"/>
    <w:rsid w:val="00AD36E5"/>
    <w:rsid w:val="00AD3A31"/>
    <w:rsid w:val="00AD3CEE"/>
    <w:rsid w:val="00AD3F15"/>
    <w:rsid w:val="00AD55E1"/>
    <w:rsid w:val="00AD59C4"/>
    <w:rsid w:val="00AD5ED7"/>
    <w:rsid w:val="00AD60D4"/>
    <w:rsid w:val="00AD6436"/>
    <w:rsid w:val="00AD6685"/>
    <w:rsid w:val="00AD734E"/>
    <w:rsid w:val="00AD765D"/>
    <w:rsid w:val="00AD76A9"/>
    <w:rsid w:val="00AD7932"/>
    <w:rsid w:val="00AD79AA"/>
    <w:rsid w:val="00AE2832"/>
    <w:rsid w:val="00AE3DA6"/>
    <w:rsid w:val="00AE4F13"/>
    <w:rsid w:val="00AE5B73"/>
    <w:rsid w:val="00AE5E94"/>
    <w:rsid w:val="00AF0370"/>
    <w:rsid w:val="00AF041B"/>
    <w:rsid w:val="00AF07F4"/>
    <w:rsid w:val="00AF173A"/>
    <w:rsid w:val="00AF2385"/>
    <w:rsid w:val="00AF2608"/>
    <w:rsid w:val="00AF28B0"/>
    <w:rsid w:val="00AF32F9"/>
    <w:rsid w:val="00AF40E0"/>
    <w:rsid w:val="00AF42E7"/>
    <w:rsid w:val="00AF484E"/>
    <w:rsid w:val="00AF48DA"/>
    <w:rsid w:val="00AF4E48"/>
    <w:rsid w:val="00AF6474"/>
    <w:rsid w:val="00AF6546"/>
    <w:rsid w:val="00AF6EE8"/>
    <w:rsid w:val="00AF6F8A"/>
    <w:rsid w:val="00AF71AB"/>
    <w:rsid w:val="00AF7AF5"/>
    <w:rsid w:val="00AF7C69"/>
    <w:rsid w:val="00AF7F1A"/>
    <w:rsid w:val="00B00576"/>
    <w:rsid w:val="00B00AA2"/>
    <w:rsid w:val="00B01CF7"/>
    <w:rsid w:val="00B02507"/>
    <w:rsid w:val="00B02703"/>
    <w:rsid w:val="00B02EF9"/>
    <w:rsid w:val="00B02F3D"/>
    <w:rsid w:val="00B02F3E"/>
    <w:rsid w:val="00B04D03"/>
    <w:rsid w:val="00B04D07"/>
    <w:rsid w:val="00B06ED4"/>
    <w:rsid w:val="00B07130"/>
    <w:rsid w:val="00B07346"/>
    <w:rsid w:val="00B07DB6"/>
    <w:rsid w:val="00B1008B"/>
    <w:rsid w:val="00B10299"/>
    <w:rsid w:val="00B103E1"/>
    <w:rsid w:val="00B11F77"/>
    <w:rsid w:val="00B128EB"/>
    <w:rsid w:val="00B13D00"/>
    <w:rsid w:val="00B14413"/>
    <w:rsid w:val="00B1471A"/>
    <w:rsid w:val="00B157A0"/>
    <w:rsid w:val="00B15D95"/>
    <w:rsid w:val="00B167D6"/>
    <w:rsid w:val="00B2018D"/>
    <w:rsid w:val="00B20AB9"/>
    <w:rsid w:val="00B20F9C"/>
    <w:rsid w:val="00B215F6"/>
    <w:rsid w:val="00B21B36"/>
    <w:rsid w:val="00B22D7D"/>
    <w:rsid w:val="00B22FAB"/>
    <w:rsid w:val="00B23437"/>
    <w:rsid w:val="00B23773"/>
    <w:rsid w:val="00B24CDD"/>
    <w:rsid w:val="00B25ABF"/>
    <w:rsid w:val="00B25C59"/>
    <w:rsid w:val="00B27658"/>
    <w:rsid w:val="00B27908"/>
    <w:rsid w:val="00B2792E"/>
    <w:rsid w:val="00B3044A"/>
    <w:rsid w:val="00B306F0"/>
    <w:rsid w:val="00B3073C"/>
    <w:rsid w:val="00B314A9"/>
    <w:rsid w:val="00B31772"/>
    <w:rsid w:val="00B31CC2"/>
    <w:rsid w:val="00B32677"/>
    <w:rsid w:val="00B32C86"/>
    <w:rsid w:val="00B332BB"/>
    <w:rsid w:val="00B34AED"/>
    <w:rsid w:val="00B35D42"/>
    <w:rsid w:val="00B35E27"/>
    <w:rsid w:val="00B361FA"/>
    <w:rsid w:val="00B3643C"/>
    <w:rsid w:val="00B368CC"/>
    <w:rsid w:val="00B3692A"/>
    <w:rsid w:val="00B36B3C"/>
    <w:rsid w:val="00B36D02"/>
    <w:rsid w:val="00B37ABD"/>
    <w:rsid w:val="00B401B2"/>
    <w:rsid w:val="00B4035F"/>
    <w:rsid w:val="00B40F61"/>
    <w:rsid w:val="00B41D4E"/>
    <w:rsid w:val="00B42429"/>
    <w:rsid w:val="00B4255F"/>
    <w:rsid w:val="00B42946"/>
    <w:rsid w:val="00B43479"/>
    <w:rsid w:val="00B4371C"/>
    <w:rsid w:val="00B43BF6"/>
    <w:rsid w:val="00B465B7"/>
    <w:rsid w:val="00B46759"/>
    <w:rsid w:val="00B47A62"/>
    <w:rsid w:val="00B507EA"/>
    <w:rsid w:val="00B50CB0"/>
    <w:rsid w:val="00B52259"/>
    <w:rsid w:val="00B5269E"/>
    <w:rsid w:val="00B52819"/>
    <w:rsid w:val="00B5340E"/>
    <w:rsid w:val="00B53422"/>
    <w:rsid w:val="00B54621"/>
    <w:rsid w:val="00B5473C"/>
    <w:rsid w:val="00B566C2"/>
    <w:rsid w:val="00B5688F"/>
    <w:rsid w:val="00B571A1"/>
    <w:rsid w:val="00B578FB"/>
    <w:rsid w:val="00B60956"/>
    <w:rsid w:val="00B60CD4"/>
    <w:rsid w:val="00B60DC7"/>
    <w:rsid w:val="00B60EE5"/>
    <w:rsid w:val="00B612D9"/>
    <w:rsid w:val="00B626C0"/>
    <w:rsid w:val="00B632C1"/>
    <w:rsid w:val="00B64045"/>
    <w:rsid w:val="00B64A0A"/>
    <w:rsid w:val="00B64EE0"/>
    <w:rsid w:val="00B664E7"/>
    <w:rsid w:val="00B66DC5"/>
    <w:rsid w:val="00B67A2E"/>
    <w:rsid w:val="00B70174"/>
    <w:rsid w:val="00B70843"/>
    <w:rsid w:val="00B70AB2"/>
    <w:rsid w:val="00B710DC"/>
    <w:rsid w:val="00B71302"/>
    <w:rsid w:val="00B722B7"/>
    <w:rsid w:val="00B73029"/>
    <w:rsid w:val="00B74174"/>
    <w:rsid w:val="00B7419D"/>
    <w:rsid w:val="00B76203"/>
    <w:rsid w:val="00B7627B"/>
    <w:rsid w:val="00B76BDB"/>
    <w:rsid w:val="00B76F01"/>
    <w:rsid w:val="00B7762E"/>
    <w:rsid w:val="00B80536"/>
    <w:rsid w:val="00B808A9"/>
    <w:rsid w:val="00B819F3"/>
    <w:rsid w:val="00B82843"/>
    <w:rsid w:val="00B832FC"/>
    <w:rsid w:val="00B83CBE"/>
    <w:rsid w:val="00B846BA"/>
    <w:rsid w:val="00B84E52"/>
    <w:rsid w:val="00B850BF"/>
    <w:rsid w:val="00B852A7"/>
    <w:rsid w:val="00B85E9A"/>
    <w:rsid w:val="00B85FC6"/>
    <w:rsid w:val="00B87BD0"/>
    <w:rsid w:val="00B87C39"/>
    <w:rsid w:val="00B87F43"/>
    <w:rsid w:val="00B908D0"/>
    <w:rsid w:val="00B91B69"/>
    <w:rsid w:val="00B92D59"/>
    <w:rsid w:val="00B92FE4"/>
    <w:rsid w:val="00B93539"/>
    <w:rsid w:val="00B93FF8"/>
    <w:rsid w:val="00B9406A"/>
    <w:rsid w:val="00B95DBC"/>
    <w:rsid w:val="00B963EC"/>
    <w:rsid w:val="00B9657C"/>
    <w:rsid w:val="00B96B3F"/>
    <w:rsid w:val="00B96D3D"/>
    <w:rsid w:val="00B96E4E"/>
    <w:rsid w:val="00B970F9"/>
    <w:rsid w:val="00B972A0"/>
    <w:rsid w:val="00B975B9"/>
    <w:rsid w:val="00B97E58"/>
    <w:rsid w:val="00BA0851"/>
    <w:rsid w:val="00BA100E"/>
    <w:rsid w:val="00BA1706"/>
    <w:rsid w:val="00BA1972"/>
    <w:rsid w:val="00BA2D42"/>
    <w:rsid w:val="00BA36E2"/>
    <w:rsid w:val="00BA3B62"/>
    <w:rsid w:val="00BA3E7F"/>
    <w:rsid w:val="00BA4054"/>
    <w:rsid w:val="00BA485E"/>
    <w:rsid w:val="00BA4C14"/>
    <w:rsid w:val="00BA4D54"/>
    <w:rsid w:val="00BA4EB9"/>
    <w:rsid w:val="00BA5C69"/>
    <w:rsid w:val="00BA62EE"/>
    <w:rsid w:val="00BA693C"/>
    <w:rsid w:val="00BA7646"/>
    <w:rsid w:val="00BA7941"/>
    <w:rsid w:val="00BA7FC9"/>
    <w:rsid w:val="00BB0389"/>
    <w:rsid w:val="00BB041B"/>
    <w:rsid w:val="00BB0AE6"/>
    <w:rsid w:val="00BB0C72"/>
    <w:rsid w:val="00BB1298"/>
    <w:rsid w:val="00BB1397"/>
    <w:rsid w:val="00BB189D"/>
    <w:rsid w:val="00BB1AB9"/>
    <w:rsid w:val="00BB24EA"/>
    <w:rsid w:val="00BB4D77"/>
    <w:rsid w:val="00BB4E4E"/>
    <w:rsid w:val="00BB5EFE"/>
    <w:rsid w:val="00BB630B"/>
    <w:rsid w:val="00BB7D40"/>
    <w:rsid w:val="00BC0F3D"/>
    <w:rsid w:val="00BC124D"/>
    <w:rsid w:val="00BC12C1"/>
    <w:rsid w:val="00BC1CC1"/>
    <w:rsid w:val="00BC1E59"/>
    <w:rsid w:val="00BC27EA"/>
    <w:rsid w:val="00BC409B"/>
    <w:rsid w:val="00BC55FC"/>
    <w:rsid w:val="00BC59AE"/>
    <w:rsid w:val="00BC5CC7"/>
    <w:rsid w:val="00BC62F5"/>
    <w:rsid w:val="00BC639E"/>
    <w:rsid w:val="00BC6B2A"/>
    <w:rsid w:val="00BC6DD8"/>
    <w:rsid w:val="00BC717B"/>
    <w:rsid w:val="00BD141E"/>
    <w:rsid w:val="00BD14A4"/>
    <w:rsid w:val="00BD1650"/>
    <w:rsid w:val="00BD2303"/>
    <w:rsid w:val="00BD2464"/>
    <w:rsid w:val="00BD2822"/>
    <w:rsid w:val="00BD2D24"/>
    <w:rsid w:val="00BD3CA7"/>
    <w:rsid w:val="00BD43D2"/>
    <w:rsid w:val="00BD4BEC"/>
    <w:rsid w:val="00BD51E3"/>
    <w:rsid w:val="00BD578D"/>
    <w:rsid w:val="00BD673E"/>
    <w:rsid w:val="00BD70C9"/>
    <w:rsid w:val="00BD7B5D"/>
    <w:rsid w:val="00BE0193"/>
    <w:rsid w:val="00BE0B54"/>
    <w:rsid w:val="00BE1135"/>
    <w:rsid w:val="00BE1173"/>
    <w:rsid w:val="00BE2D36"/>
    <w:rsid w:val="00BE324C"/>
    <w:rsid w:val="00BE3DAE"/>
    <w:rsid w:val="00BE41D2"/>
    <w:rsid w:val="00BE4A3E"/>
    <w:rsid w:val="00BE4C42"/>
    <w:rsid w:val="00BE5FA0"/>
    <w:rsid w:val="00BE60CF"/>
    <w:rsid w:val="00BE644B"/>
    <w:rsid w:val="00BE6913"/>
    <w:rsid w:val="00BE7858"/>
    <w:rsid w:val="00BE7C2C"/>
    <w:rsid w:val="00BE7C36"/>
    <w:rsid w:val="00BF0FE4"/>
    <w:rsid w:val="00BF2D8C"/>
    <w:rsid w:val="00BF2F59"/>
    <w:rsid w:val="00BF375A"/>
    <w:rsid w:val="00BF3D49"/>
    <w:rsid w:val="00BF3F60"/>
    <w:rsid w:val="00BF3F6F"/>
    <w:rsid w:val="00BF4041"/>
    <w:rsid w:val="00BF4622"/>
    <w:rsid w:val="00BF4739"/>
    <w:rsid w:val="00BF4A82"/>
    <w:rsid w:val="00BF5811"/>
    <w:rsid w:val="00BF667E"/>
    <w:rsid w:val="00C0003A"/>
    <w:rsid w:val="00C009B6"/>
    <w:rsid w:val="00C01B32"/>
    <w:rsid w:val="00C021AB"/>
    <w:rsid w:val="00C0233B"/>
    <w:rsid w:val="00C028F9"/>
    <w:rsid w:val="00C03BB9"/>
    <w:rsid w:val="00C03D0E"/>
    <w:rsid w:val="00C045D8"/>
    <w:rsid w:val="00C04966"/>
    <w:rsid w:val="00C04A21"/>
    <w:rsid w:val="00C04CC7"/>
    <w:rsid w:val="00C053F3"/>
    <w:rsid w:val="00C05869"/>
    <w:rsid w:val="00C06B8B"/>
    <w:rsid w:val="00C06C47"/>
    <w:rsid w:val="00C07868"/>
    <w:rsid w:val="00C078D1"/>
    <w:rsid w:val="00C1017A"/>
    <w:rsid w:val="00C10C4A"/>
    <w:rsid w:val="00C10E1B"/>
    <w:rsid w:val="00C1126C"/>
    <w:rsid w:val="00C11339"/>
    <w:rsid w:val="00C11E49"/>
    <w:rsid w:val="00C12243"/>
    <w:rsid w:val="00C12301"/>
    <w:rsid w:val="00C12565"/>
    <w:rsid w:val="00C12B12"/>
    <w:rsid w:val="00C12BB2"/>
    <w:rsid w:val="00C137AC"/>
    <w:rsid w:val="00C143AB"/>
    <w:rsid w:val="00C145BB"/>
    <w:rsid w:val="00C151B9"/>
    <w:rsid w:val="00C15E7E"/>
    <w:rsid w:val="00C165B1"/>
    <w:rsid w:val="00C16952"/>
    <w:rsid w:val="00C16B9E"/>
    <w:rsid w:val="00C1703D"/>
    <w:rsid w:val="00C171CF"/>
    <w:rsid w:val="00C17FA0"/>
    <w:rsid w:val="00C201A0"/>
    <w:rsid w:val="00C201B2"/>
    <w:rsid w:val="00C20C1F"/>
    <w:rsid w:val="00C20C9A"/>
    <w:rsid w:val="00C21091"/>
    <w:rsid w:val="00C213DA"/>
    <w:rsid w:val="00C222B3"/>
    <w:rsid w:val="00C2360E"/>
    <w:rsid w:val="00C23A7A"/>
    <w:rsid w:val="00C23AB1"/>
    <w:rsid w:val="00C23ABF"/>
    <w:rsid w:val="00C2596A"/>
    <w:rsid w:val="00C262E9"/>
    <w:rsid w:val="00C267B8"/>
    <w:rsid w:val="00C274AF"/>
    <w:rsid w:val="00C27EA5"/>
    <w:rsid w:val="00C314D5"/>
    <w:rsid w:val="00C31A54"/>
    <w:rsid w:val="00C320EE"/>
    <w:rsid w:val="00C34070"/>
    <w:rsid w:val="00C340C5"/>
    <w:rsid w:val="00C344B9"/>
    <w:rsid w:val="00C34A40"/>
    <w:rsid w:val="00C34D1E"/>
    <w:rsid w:val="00C35C22"/>
    <w:rsid w:val="00C367E0"/>
    <w:rsid w:val="00C36CB8"/>
    <w:rsid w:val="00C36EBA"/>
    <w:rsid w:val="00C3702B"/>
    <w:rsid w:val="00C37971"/>
    <w:rsid w:val="00C37C3C"/>
    <w:rsid w:val="00C37EAB"/>
    <w:rsid w:val="00C40313"/>
    <w:rsid w:val="00C41BA7"/>
    <w:rsid w:val="00C41E37"/>
    <w:rsid w:val="00C42397"/>
    <w:rsid w:val="00C424BF"/>
    <w:rsid w:val="00C42EEF"/>
    <w:rsid w:val="00C443E0"/>
    <w:rsid w:val="00C44E27"/>
    <w:rsid w:val="00C4523F"/>
    <w:rsid w:val="00C45C5D"/>
    <w:rsid w:val="00C47E3C"/>
    <w:rsid w:val="00C502C7"/>
    <w:rsid w:val="00C5040B"/>
    <w:rsid w:val="00C50A41"/>
    <w:rsid w:val="00C51746"/>
    <w:rsid w:val="00C51A3F"/>
    <w:rsid w:val="00C51D3A"/>
    <w:rsid w:val="00C5236B"/>
    <w:rsid w:val="00C527E6"/>
    <w:rsid w:val="00C52D69"/>
    <w:rsid w:val="00C53A49"/>
    <w:rsid w:val="00C53D3F"/>
    <w:rsid w:val="00C53DF1"/>
    <w:rsid w:val="00C541B3"/>
    <w:rsid w:val="00C543CF"/>
    <w:rsid w:val="00C551EB"/>
    <w:rsid w:val="00C55ADA"/>
    <w:rsid w:val="00C572D8"/>
    <w:rsid w:val="00C6097C"/>
    <w:rsid w:val="00C636E0"/>
    <w:rsid w:val="00C639B1"/>
    <w:rsid w:val="00C63DD9"/>
    <w:rsid w:val="00C6402A"/>
    <w:rsid w:val="00C65E9E"/>
    <w:rsid w:val="00C66478"/>
    <w:rsid w:val="00C67941"/>
    <w:rsid w:val="00C709A2"/>
    <w:rsid w:val="00C7252F"/>
    <w:rsid w:val="00C7327F"/>
    <w:rsid w:val="00C73BC8"/>
    <w:rsid w:val="00C7445C"/>
    <w:rsid w:val="00C74671"/>
    <w:rsid w:val="00C747B2"/>
    <w:rsid w:val="00C75381"/>
    <w:rsid w:val="00C755BF"/>
    <w:rsid w:val="00C76796"/>
    <w:rsid w:val="00C76A25"/>
    <w:rsid w:val="00C77081"/>
    <w:rsid w:val="00C7778B"/>
    <w:rsid w:val="00C81355"/>
    <w:rsid w:val="00C839B0"/>
    <w:rsid w:val="00C83B76"/>
    <w:rsid w:val="00C84022"/>
    <w:rsid w:val="00C84363"/>
    <w:rsid w:val="00C853BA"/>
    <w:rsid w:val="00C860C5"/>
    <w:rsid w:val="00C87C04"/>
    <w:rsid w:val="00C87C86"/>
    <w:rsid w:val="00C87DED"/>
    <w:rsid w:val="00C90195"/>
    <w:rsid w:val="00C91505"/>
    <w:rsid w:val="00C91D3C"/>
    <w:rsid w:val="00C9287F"/>
    <w:rsid w:val="00C92A85"/>
    <w:rsid w:val="00C92ABB"/>
    <w:rsid w:val="00C92E55"/>
    <w:rsid w:val="00C93694"/>
    <w:rsid w:val="00C9415D"/>
    <w:rsid w:val="00C94F8E"/>
    <w:rsid w:val="00C95150"/>
    <w:rsid w:val="00C956B0"/>
    <w:rsid w:val="00C95797"/>
    <w:rsid w:val="00C95D0D"/>
    <w:rsid w:val="00C96368"/>
    <w:rsid w:val="00C96AF2"/>
    <w:rsid w:val="00C971CF"/>
    <w:rsid w:val="00CA0367"/>
    <w:rsid w:val="00CA08AA"/>
    <w:rsid w:val="00CA12DF"/>
    <w:rsid w:val="00CA180D"/>
    <w:rsid w:val="00CA2B49"/>
    <w:rsid w:val="00CA2C95"/>
    <w:rsid w:val="00CA3976"/>
    <w:rsid w:val="00CA468E"/>
    <w:rsid w:val="00CA4D33"/>
    <w:rsid w:val="00CA5015"/>
    <w:rsid w:val="00CA5969"/>
    <w:rsid w:val="00CA59CE"/>
    <w:rsid w:val="00CA5BBD"/>
    <w:rsid w:val="00CA6B75"/>
    <w:rsid w:val="00CA6DF9"/>
    <w:rsid w:val="00CA7D58"/>
    <w:rsid w:val="00CB01FC"/>
    <w:rsid w:val="00CB0444"/>
    <w:rsid w:val="00CB0620"/>
    <w:rsid w:val="00CB07B2"/>
    <w:rsid w:val="00CB0D8B"/>
    <w:rsid w:val="00CB3A56"/>
    <w:rsid w:val="00CB3ADB"/>
    <w:rsid w:val="00CB3B47"/>
    <w:rsid w:val="00CB3D61"/>
    <w:rsid w:val="00CB442C"/>
    <w:rsid w:val="00CB46A9"/>
    <w:rsid w:val="00CB4841"/>
    <w:rsid w:val="00CB6511"/>
    <w:rsid w:val="00CB68DC"/>
    <w:rsid w:val="00CB71EA"/>
    <w:rsid w:val="00CB78B7"/>
    <w:rsid w:val="00CB7B90"/>
    <w:rsid w:val="00CC0540"/>
    <w:rsid w:val="00CC0F46"/>
    <w:rsid w:val="00CC150B"/>
    <w:rsid w:val="00CC15FC"/>
    <w:rsid w:val="00CC3313"/>
    <w:rsid w:val="00CC37BB"/>
    <w:rsid w:val="00CC37CC"/>
    <w:rsid w:val="00CC38D2"/>
    <w:rsid w:val="00CC49E5"/>
    <w:rsid w:val="00CC4A50"/>
    <w:rsid w:val="00CC4B30"/>
    <w:rsid w:val="00CC505C"/>
    <w:rsid w:val="00CC7BDF"/>
    <w:rsid w:val="00CD0325"/>
    <w:rsid w:val="00CD04F0"/>
    <w:rsid w:val="00CD0C57"/>
    <w:rsid w:val="00CD1199"/>
    <w:rsid w:val="00CD289A"/>
    <w:rsid w:val="00CD35F2"/>
    <w:rsid w:val="00CD3BEB"/>
    <w:rsid w:val="00CD3D19"/>
    <w:rsid w:val="00CD40C0"/>
    <w:rsid w:val="00CD6CFC"/>
    <w:rsid w:val="00CD73C0"/>
    <w:rsid w:val="00CD748B"/>
    <w:rsid w:val="00CE024F"/>
    <w:rsid w:val="00CE04C1"/>
    <w:rsid w:val="00CE07BC"/>
    <w:rsid w:val="00CE09A6"/>
    <w:rsid w:val="00CE154F"/>
    <w:rsid w:val="00CE179C"/>
    <w:rsid w:val="00CE2439"/>
    <w:rsid w:val="00CE2581"/>
    <w:rsid w:val="00CE261A"/>
    <w:rsid w:val="00CE2B06"/>
    <w:rsid w:val="00CE41B4"/>
    <w:rsid w:val="00CE46FD"/>
    <w:rsid w:val="00CE4AC6"/>
    <w:rsid w:val="00CE52FE"/>
    <w:rsid w:val="00CE58A7"/>
    <w:rsid w:val="00CE620C"/>
    <w:rsid w:val="00CE63DF"/>
    <w:rsid w:val="00CE6D99"/>
    <w:rsid w:val="00CE755B"/>
    <w:rsid w:val="00CF0148"/>
    <w:rsid w:val="00CF0AD8"/>
    <w:rsid w:val="00CF0D05"/>
    <w:rsid w:val="00CF15D4"/>
    <w:rsid w:val="00CF1C1F"/>
    <w:rsid w:val="00CF236C"/>
    <w:rsid w:val="00CF23F1"/>
    <w:rsid w:val="00CF245D"/>
    <w:rsid w:val="00CF29FF"/>
    <w:rsid w:val="00CF3155"/>
    <w:rsid w:val="00CF49DF"/>
    <w:rsid w:val="00CF4D02"/>
    <w:rsid w:val="00CF55F4"/>
    <w:rsid w:val="00CF6C6E"/>
    <w:rsid w:val="00CF7454"/>
    <w:rsid w:val="00CF755E"/>
    <w:rsid w:val="00D015E0"/>
    <w:rsid w:val="00D02012"/>
    <w:rsid w:val="00D02B91"/>
    <w:rsid w:val="00D03315"/>
    <w:rsid w:val="00D0371B"/>
    <w:rsid w:val="00D04674"/>
    <w:rsid w:val="00D04B90"/>
    <w:rsid w:val="00D06130"/>
    <w:rsid w:val="00D071C2"/>
    <w:rsid w:val="00D1190B"/>
    <w:rsid w:val="00D12558"/>
    <w:rsid w:val="00D13020"/>
    <w:rsid w:val="00D147ED"/>
    <w:rsid w:val="00D14D92"/>
    <w:rsid w:val="00D1686F"/>
    <w:rsid w:val="00D17C74"/>
    <w:rsid w:val="00D20381"/>
    <w:rsid w:val="00D20471"/>
    <w:rsid w:val="00D20EDA"/>
    <w:rsid w:val="00D211F0"/>
    <w:rsid w:val="00D2137B"/>
    <w:rsid w:val="00D213F9"/>
    <w:rsid w:val="00D21463"/>
    <w:rsid w:val="00D2167E"/>
    <w:rsid w:val="00D21817"/>
    <w:rsid w:val="00D21905"/>
    <w:rsid w:val="00D225E8"/>
    <w:rsid w:val="00D22A65"/>
    <w:rsid w:val="00D22B57"/>
    <w:rsid w:val="00D23EDD"/>
    <w:rsid w:val="00D246CE"/>
    <w:rsid w:val="00D25224"/>
    <w:rsid w:val="00D25806"/>
    <w:rsid w:val="00D25E04"/>
    <w:rsid w:val="00D2637A"/>
    <w:rsid w:val="00D2731B"/>
    <w:rsid w:val="00D274DB"/>
    <w:rsid w:val="00D27C1F"/>
    <w:rsid w:val="00D32501"/>
    <w:rsid w:val="00D326EE"/>
    <w:rsid w:val="00D330AC"/>
    <w:rsid w:val="00D336E1"/>
    <w:rsid w:val="00D35B7E"/>
    <w:rsid w:val="00D36CB1"/>
    <w:rsid w:val="00D3765F"/>
    <w:rsid w:val="00D37EF8"/>
    <w:rsid w:val="00D40033"/>
    <w:rsid w:val="00D4014D"/>
    <w:rsid w:val="00D40319"/>
    <w:rsid w:val="00D4074E"/>
    <w:rsid w:val="00D40BD4"/>
    <w:rsid w:val="00D411F9"/>
    <w:rsid w:val="00D41408"/>
    <w:rsid w:val="00D418B9"/>
    <w:rsid w:val="00D419D8"/>
    <w:rsid w:val="00D42266"/>
    <w:rsid w:val="00D426D9"/>
    <w:rsid w:val="00D4383E"/>
    <w:rsid w:val="00D43A4A"/>
    <w:rsid w:val="00D443E2"/>
    <w:rsid w:val="00D44A10"/>
    <w:rsid w:val="00D44A4B"/>
    <w:rsid w:val="00D44FB5"/>
    <w:rsid w:val="00D450BC"/>
    <w:rsid w:val="00D465AA"/>
    <w:rsid w:val="00D46ADC"/>
    <w:rsid w:val="00D46CAC"/>
    <w:rsid w:val="00D46DAE"/>
    <w:rsid w:val="00D472EE"/>
    <w:rsid w:val="00D477FF"/>
    <w:rsid w:val="00D50284"/>
    <w:rsid w:val="00D504A1"/>
    <w:rsid w:val="00D50616"/>
    <w:rsid w:val="00D50B92"/>
    <w:rsid w:val="00D51652"/>
    <w:rsid w:val="00D5193F"/>
    <w:rsid w:val="00D529B3"/>
    <w:rsid w:val="00D53A9C"/>
    <w:rsid w:val="00D53BC2"/>
    <w:rsid w:val="00D53F64"/>
    <w:rsid w:val="00D540BF"/>
    <w:rsid w:val="00D5457A"/>
    <w:rsid w:val="00D54903"/>
    <w:rsid w:val="00D549BE"/>
    <w:rsid w:val="00D5503D"/>
    <w:rsid w:val="00D551DB"/>
    <w:rsid w:val="00D559E3"/>
    <w:rsid w:val="00D55B8D"/>
    <w:rsid w:val="00D55C03"/>
    <w:rsid w:val="00D55ECD"/>
    <w:rsid w:val="00D569FD"/>
    <w:rsid w:val="00D570B6"/>
    <w:rsid w:val="00D57A4B"/>
    <w:rsid w:val="00D57C11"/>
    <w:rsid w:val="00D60335"/>
    <w:rsid w:val="00D613E8"/>
    <w:rsid w:val="00D61AA6"/>
    <w:rsid w:val="00D62027"/>
    <w:rsid w:val="00D62229"/>
    <w:rsid w:val="00D6229A"/>
    <w:rsid w:val="00D629DF"/>
    <w:rsid w:val="00D632C5"/>
    <w:rsid w:val="00D63BD3"/>
    <w:rsid w:val="00D63CD1"/>
    <w:rsid w:val="00D6508C"/>
    <w:rsid w:val="00D65BE2"/>
    <w:rsid w:val="00D65CF6"/>
    <w:rsid w:val="00D666C1"/>
    <w:rsid w:val="00D66C40"/>
    <w:rsid w:val="00D67360"/>
    <w:rsid w:val="00D70848"/>
    <w:rsid w:val="00D708BF"/>
    <w:rsid w:val="00D726A9"/>
    <w:rsid w:val="00D72C3B"/>
    <w:rsid w:val="00D72ECD"/>
    <w:rsid w:val="00D72F2D"/>
    <w:rsid w:val="00D73BE7"/>
    <w:rsid w:val="00D73F4B"/>
    <w:rsid w:val="00D73FAE"/>
    <w:rsid w:val="00D74B8A"/>
    <w:rsid w:val="00D74E98"/>
    <w:rsid w:val="00D75B87"/>
    <w:rsid w:val="00D75E55"/>
    <w:rsid w:val="00D804D4"/>
    <w:rsid w:val="00D80725"/>
    <w:rsid w:val="00D819BA"/>
    <w:rsid w:val="00D83520"/>
    <w:rsid w:val="00D835A3"/>
    <w:rsid w:val="00D836A7"/>
    <w:rsid w:val="00D84562"/>
    <w:rsid w:val="00D855E8"/>
    <w:rsid w:val="00D8658A"/>
    <w:rsid w:val="00D90238"/>
    <w:rsid w:val="00D902D1"/>
    <w:rsid w:val="00D90708"/>
    <w:rsid w:val="00D91658"/>
    <w:rsid w:val="00D9181E"/>
    <w:rsid w:val="00D92823"/>
    <w:rsid w:val="00D932FF"/>
    <w:rsid w:val="00D93C06"/>
    <w:rsid w:val="00D93F29"/>
    <w:rsid w:val="00D94E3E"/>
    <w:rsid w:val="00D95C57"/>
    <w:rsid w:val="00D9660F"/>
    <w:rsid w:val="00D96EEB"/>
    <w:rsid w:val="00D97421"/>
    <w:rsid w:val="00DA0130"/>
    <w:rsid w:val="00DA1398"/>
    <w:rsid w:val="00DA1A66"/>
    <w:rsid w:val="00DA1B1C"/>
    <w:rsid w:val="00DA20C5"/>
    <w:rsid w:val="00DA3701"/>
    <w:rsid w:val="00DA3BCF"/>
    <w:rsid w:val="00DA4273"/>
    <w:rsid w:val="00DA4AE3"/>
    <w:rsid w:val="00DA54A0"/>
    <w:rsid w:val="00DA5BBA"/>
    <w:rsid w:val="00DA62F3"/>
    <w:rsid w:val="00DA7332"/>
    <w:rsid w:val="00DA7AD2"/>
    <w:rsid w:val="00DA7D7F"/>
    <w:rsid w:val="00DB012D"/>
    <w:rsid w:val="00DB17E1"/>
    <w:rsid w:val="00DB1A6A"/>
    <w:rsid w:val="00DB269E"/>
    <w:rsid w:val="00DB28E5"/>
    <w:rsid w:val="00DB30EE"/>
    <w:rsid w:val="00DB352D"/>
    <w:rsid w:val="00DB4880"/>
    <w:rsid w:val="00DB4A97"/>
    <w:rsid w:val="00DB4DEF"/>
    <w:rsid w:val="00DB5697"/>
    <w:rsid w:val="00DB5D78"/>
    <w:rsid w:val="00DB69D4"/>
    <w:rsid w:val="00DC0DB4"/>
    <w:rsid w:val="00DC115F"/>
    <w:rsid w:val="00DC123B"/>
    <w:rsid w:val="00DC1510"/>
    <w:rsid w:val="00DC1C38"/>
    <w:rsid w:val="00DC1D82"/>
    <w:rsid w:val="00DC3A1E"/>
    <w:rsid w:val="00DC3CD9"/>
    <w:rsid w:val="00DC4835"/>
    <w:rsid w:val="00DC51EA"/>
    <w:rsid w:val="00DC5303"/>
    <w:rsid w:val="00DC5C35"/>
    <w:rsid w:val="00DC74F6"/>
    <w:rsid w:val="00DD01BD"/>
    <w:rsid w:val="00DD02C6"/>
    <w:rsid w:val="00DD0E48"/>
    <w:rsid w:val="00DD16C2"/>
    <w:rsid w:val="00DD250F"/>
    <w:rsid w:val="00DD326D"/>
    <w:rsid w:val="00DD49EF"/>
    <w:rsid w:val="00DD4F18"/>
    <w:rsid w:val="00DD5886"/>
    <w:rsid w:val="00DD658C"/>
    <w:rsid w:val="00DD686D"/>
    <w:rsid w:val="00DD6E2C"/>
    <w:rsid w:val="00DD7017"/>
    <w:rsid w:val="00DD7D64"/>
    <w:rsid w:val="00DE1295"/>
    <w:rsid w:val="00DE169B"/>
    <w:rsid w:val="00DE17C8"/>
    <w:rsid w:val="00DE2E2A"/>
    <w:rsid w:val="00DE3122"/>
    <w:rsid w:val="00DE3AA4"/>
    <w:rsid w:val="00DE3F21"/>
    <w:rsid w:val="00DE40AB"/>
    <w:rsid w:val="00DE4D52"/>
    <w:rsid w:val="00DE5279"/>
    <w:rsid w:val="00DE5D93"/>
    <w:rsid w:val="00DE72F2"/>
    <w:rsid w:val="00DE7615"/>
    <w:rsid w:val="00DE76E7"/>
    <w:rsid w:val="00DF176B"/>
    <w:rsid w:val="00DF1F46"/>
    <w:rsid w:val="00DF2434"/>
    <w:rsid w:val="00DF256C"/>
    <w:rsid w:val="00DF2FC8"/>
    <w:rsid w:val="00DF3A77"/>
    <w:rsid w:val="00DF4A87"/>
    <w:rsid w:val="00DF4B95"/>
    <w:rsid w:val="00DF5C9B"/>
    <w:rsid w:val="00DF5E05"/>
    <w:rsid w:val="00DF69C4"/>
    <w:rsid w:val="00DF6B9C"/>
    <w:rsid w:val="00DF7825"/>
    <w:rsid w:val="00E0086F"/>
    <w:rsid w:val="00E0154C"/>
    <w:rsid w:val="00E01F32"/>
    <w:rsid w:val="00E02797"/>
    <w:rsid w:val="00E02960"/>
    <w:rsid w:val="00E03B64"/>
    <w:rsid w:val="00E03D45"/>
    <w:rsid w:val="00E0435C"/>
    <w:rsid w:val="00E04784"/>
    <w:rsid w:val="00E0523F"/>
    <w:rsid w:val="00E052AC"/>
    <w:rsid w:val="00E055D9"/>
    <w:rsid w:val="00E056A5"/>
    <w:rsid w:val="00E057ED"/>
    <w:rsid w:val="00E05D30"/>
    <w:rsid w:val="00E06991"/>
    <w:rsid w:val="00E069BE"/>
    <w:rsid w:val="00E06B35"/>
    <w:rsid w:val="00E07F45"/>
    <w:rsid w:val="00E10037"/>
    <w:rsid w:val="00E10F92"/>
    <w:rsid w:val="00E114B9"/>
    <w:rsid w:val="00E11DA3"/>
    <w:rsid w:val="00E124AA"/>
    <w:rsid w:val="00E12892"/>
    <w:rsid w:val="00E12CF0"/>
    <w:rsid w:val="00E12E80"/>
    <w:rsid w:val="00E13050"/>
    <w:rsid w:val="00E13170"/>
    <w:rsid w:val="00E13444"/>
    <w:rsid w:val="00E13A5C"/>
    <w:rsid w:val="00E15102"/>
    <w:rsid w:val="00E15DAE"/>
    <w:rsid w:val="00E15FBD"/>
    <w:rsid w:val="00E16341"/>
    <w:rsid w:val="00E170AE"/>
    <w:rsid w:val="00E17508"/>
    <w:rsid w:val="00E20181"/>
    <w:rsid w:val="00E20CA3"/>
    <w:rsid w:val="00E2130A"/>
    <w:rsid w:val="00E214AA"/>
    <w:rsid w:val="00E2161B"/>
    <w:rsid w:val="00E21F2C"/>
    <w:rsid w:val="00E22DC8"/>
    <w:rsid w:val="00E23141"/>
    <w:rsid w:val="00E2336F"/>
    <w:rsid w:val="00E23B8D"/>
    <w:rsid w:val="00E24C2A"/>
    <w:rsid w:val="00E24EC5"/>
    <w:rsid w:val="00E26690"/>
    <w:rsid w:val="00E27B78"/>
    <w:rsid w:val="00E30492"/>
    <w:rsid w:val="00E30BE2"/>
    <w:rsid w:val="00E30E85"/>
    <w:rsid w:val="00E312EA"/>
    <w:rsid w:val="00E31399"/>
    <w:rsid w:val="00E31507"/>
    <w:rsid w:val="00E31B02"/>
    <w:rsid w:val="00E32340"/>
    <w:rsid w:val="00E32437"/>
    <w:rsid w:val="00E32EC1"/>
    <w:rsid w:val="00E32EDF"/>
    <w:rsid w:val="00E33A92"/>
    <w:rsid w:val="00E33D4E"/>
    <w:rsid w:val="00E35FC4"/>
    <w:rsid w:val="00E364ED"/>
    <w:rsid w:val="00E3678D"/>
    <w:rsid w:val="00E36EED"/>
    <w:rsid w:val="00E400B5"/>
    <w:rsid w:val="00E41A07"/>
    <w:rsid w:val="00E426B4"/>
    <w:rsid w:val="00E4275E"/>
    <w:rsid w:val="00E42888"/>
    <w:rsid w:val="00E42B67"/>
    <w:rsid w:val="00E42C9B"/>
    <w:rsid w:val="00E42CAC"/>
    <w:rsid w:val="00E4357D"/>
    <w:rsid w:val="00E43B9C"/>
    <w:rsid w:val="00E44EFA"/>
    <w:rsid w:val="00E45256"/>
    <w:rsid w:val="00E4533D"/>
    <w:rsid w:val="00E462BC"/>
    <w:rsid w:val="00E46B6A"/>
    <w:rsid w:val="00E4736F"/>
    <w:rsid w:val="00E475BC"/>
    <w:rsid w:val="00E514DD"/>
    <w:rsid w:val="00E51A4B"/>
    <w:rsid w:val="00E520D1"/>
    <w:rsid w:val="00E5263F"/>
    <w:rsid w:val="00E5287A"/>
    <w:rsid w:val="00E5348C"/>
    <w:rsid w:val="00E53554"/>
    <w:rsid w:val="00E53B59"/>
    <w:rsid w:val="00E53DC1"/>
    <w:rsid w:val="00E54555"/>
    <w:rsid w:val="00E548A9"/>
    <w:rsid w:val="00E55022"/>
    <w:rsid w:val="00E55665"/>
    <w:rsid w:val="00E56078"/>
    <w:rsid w:val="00E56A22"/>
    <w:rsid w:val="00E56D6C"/>
    <w:rsid w:val="00E575D1"/>
    <w:rsid w:val="00E57A16"/>
    <w:rsid w:val="00E609BA"/>
    <w:rsid w:val="00E60CC3"/>
    <w:rsid w:val="00E6133D"/>
    <w:rsid w:val="00E61A10"/>
    <w:rsid w:val="00E6287B"/>
    <w:rsid w:val="00E62A67"/>
    <w:rsid w:val="00E639F9"/>
    <w:rsid w:val="00E64916"/>
    <w:rsid w:val="00E64F62"/>
    <w:rsid w:val="00E64FCC"/>
    <w:rsid w:val="00E664EE"/>
    <w:rsid w:val="00E6662B"/>
    <w:rsid w:val="00E670B7"/>
    <w:rsid w:val="00E6736C"/>
    <w:rsid w:val="00E675F4"/>
    <w:rsid w:val="00E67A4E"/>
    <w:rsid w:val="00E706CE"/>
    <w:rsid w:val="00E70E59"/>
    <w:rsid w:val="00E70E9A"/>
    <w:rsid w:val="00E71095"/>
    <w:rsid w:val="00E71759"/>
    <w:rsid w:val="00E71BC7"/>
    <w:rsid w:val="00E72FF1"/>
    <w:rsid w:val="00E75159"/>
    <w:rsid w:val="00E757B3"/>
    <w:rsid w:val="00E760B9"/>
    <w:rsid w:val="00E762F6"/>
    <w:rsid w:val="00E77457"/>
    <w:rsid w:val="00E80368"/>
    <w:rsid w:val="00E818B5"/>
    <w:rsid w:val="00E81CC2"/>
    <w:rsid w:val="00E82137"/>
    <w:rsid w:val="00E8224B"/>
    <w:rsid w:val="00E838FD"/>
    <w:rsid w:val="00E83AD5"/>
    <w:rsid w:val="00E83E66"/>
    <w:rsid w:val="00E84664"/>
    <w:rsid w:val="00E8568C"/>
    <w:rsid w:val="00E86C60"/>
    <w:rsid w:val="00E86F15"/>
    <w:rsid w:val="00E8700B"/>
    <w:rsid w:val="00E87392"/>
    <w:rsid w:val="00E906A4"/>
    <w:rsid w:val="00E90B22"/>
    <w:rsid w:val="00E91008"/>
    <w:rsid w:val="00E91CF1"/>
    <w:rsid w:val="00E91F4C"/>
    <w:rsid w:val="00E92100"/>
    <w:rsid w:val="00E921E8"/>
    <w:rsid w:val="00E92A6E"/>
    <w:rsid w:val="00E92DE9"/>
    <w:rsid w:val="00E944D8"/>
    <w:rsid w:val="00E94BCF"/>
    <w:rsid w:val="00E94FD0"/>
    <w:rsid w:val="00E953C9"/>
    <w:rsid w:val="00E95CF9"/>
    <w:rsid w:val="00E95D92"/>
    <w:rsid w:val="00E96193"/>
    <w:rsid w:val="00E961B1"/>
    <w:rsid w:val="00E962EF"/>
    <w:rsid w:val="00E9639E"/>
    <w:rsid w:val="00EA185B"/>
    <w:rsid w:val="00EA199B"/>
    <w:rsid w:val="00EA1B6D"/>
    <w:rsid w:val="00EA1B88"/>
    <w:rsid w:val="00EA2052"/>
    <w:rsid w:val="00EA2539"/>
    <w:rsid w:val="00EA3705"/>
    <w:rsid w:val="00EA40CE"/>
    <w:rsid w:val="00EA5256"/>
    <w:rsid w:val="00EA5C68"/>
    <w:rsid w:val="00EA5DB7"/>
    <w:rsid w:val="00EA6389"/>
    <w:rsid w:val="00EA63A0"/>
    <w:rsid w:val="00EA73FB"/>
    <w:rsid w:val="00EA799E"/>
    <w:rsid w:val="00EB0779"/>
    <w:rsid w:val="00EB1226"/>
    <w:rsid w:val="00EB1655"/>
    <w:rsid w:val="00EB16D4"/>
    <w:rsid w:val="00EB2ED6"/>
    <w:rsid w:val="00EB2F1E"/>
    <w:rsid w:val="00EB3581"/>
    <w:rsid w:val="00EB39AA"/>
    <w:rsid w:val="00EB4F0A"/>
    <w:rsid w:val="00EB5CF4"/>
    <w:rsid w:val="00EB7966"/>
    <w:rsid w:val="00EB7B40"/>
    <w:rsid w:val="00EC0A39"/>
    <w:rsid w:val="00EC1375"/>
    <w:rsid w:val="00EC18A6"/>
    <w:rsid w:val="00EC2083"/>
    <w:rsid w:val="00EC222C"/>
    <w:rsid w:val="00EC24D8"/>
    <w:rsid w:val="00EC325F"/>
    <w:rsid w:val="00EC3EB2"/>
    <w:rsid w:val="00EC4AC3"/>
    <w:rsid w:val="00EC4CEA"/>
    <w:rsid w:val="00EC4FA0"/>
    <w:rsid w:val="00EC561C"/>
    <w:rsid w:val="00EC5B5D"/>
    <w:rsid w:val="00EC62F7"/>
    <w:rsid w:val="00EC7B00"/>
    <w:rsid w:val="00ED0374"/>
    <w:rsid w:val="00ED0640"/>
    <w:rsid w:val="00ED0781"/>
    <w:rsid w:val="00ED0F13"/>
    <w:rsid w:val="00ED1890"/>
    <w:rsid w:val="00ED2911"/>
    <w:rsid w:val="00ED2B92"/>
    <w:rsid w:val="00ED2E00"/>
    <w:rsid w:val="00ED2EF7"/>
    <w:rsid w:val="00ED3079"/>
    <w:rsid w:val="00ED3A2F"/>
    <w:rsid w:val="00ED3AEC"/>
    <w:rsid w:val="00ED3D4A"/>
    <w:rsid w:val="00ED5462"/>
    <w:rsid w:val="00ED562F"/>
    <w:rsid w:val="00ED678C"/>
    <w:rsid w:val="00ED6990"/>
    <w:rsid w:val="00ED6BC0"/>
    <w:rsid w:val="00ED7549"/>
    <w:rsid w:val="00ED7EF9"/>
    <w:rsid w:val="00EE02F2"/>
    <w:rsid w:val="00EE0AF8"/>
    <w:rsid w:val="00EE0C33"/>
    <w:rsid w:val="00EE0E13"/>
    <w:rsid w:val="00EE11E8"/>
    <w:rsid w:val="00EE2102"/>
    <w:rsid w:val="00EE2181"/>
    <w:rsid w:val="00EE22AD"/>
    <w:rsid w:val="00EE23E1"/>
    <w:rsid w:val="00EE2610"/>
    <w:rsid w:val="00EE3117"/>
    <w:rsid w:val="00EE3C2C"/>
    <w:rsid w:val="00EE4440"/>
    <w:rsid w:val="00EF01F9"/>
    <w:rsid w:val="00EF119A"/>
    <w:rsid w:val="00EF1F86"/>
    <w:rsid w:val="00EF2BCA"/>
    <w:rsid w:val="00EF3120"/>
    <w:rsid w:val="00EF3340"/>
    <w:rsid w:val="00EF3798"/>
    <w:rsid w:val="00EF44BA"/>
    <w:rsid w:val="00EF4CE2"/>
    <w:rsid w:val="00EF5023"/>
    <w:rsid w:val="00EF557A"/>
    <w:rsid w:val="00EF5BFA"/>
    <w:rsid w:val="00EF5E8E"/>
    <w:rsid w:val="00EF6111"/>
    <w:rsid w:val="00EF6BB7"/>
    <w:rsid w:val="00EF6DCE"/>
    <w:rsid w:val="00EF731E"/>
    <w:rsid w:val="00F001E5"/>
    <w:rsid w:val="00F0140B"/>
    <w:rsid w:val="00F014CF"/>
    <w:rsid w:val="00F01581"/>
    <w:rsid w:val="00F01A2E"/>
    <w:rsid w:val="00F01B09"/>
    <w:rsid w:val="00F01BDF"/>
    <w:rsid w:val="00F01D9D"/>
    <w:rsid w:val="00F025B4"/>
    <w:rsid w:val="00F02705"/>
    <w:rsid w:val="00F03285"/>
    <w:rsid w:val="00F03A0B"/>
    <w:rsid w:val="00F03D59"/>
    <w:rsid w:val="00F048A0"/>
    <w:rsid w:val="00F04D0A"/>
    <w:rsid w:val="00F04E66"/>
    <w:rsid w:val="00F05708"/>
    <w:rsid w:val="00F060CA"/>
    <w:rsid w:val="00F066F6"/>
    <w:rsid w:val="00F06B2B"/>
    <w:rsid w:val="00F07732"/>
    <w:rsid w:val="00F07CD9"/>
    <w:rsid w:val="00F111DB"/>
    <w:rsid w:val="00F11864"/>
    <w:rsid w:val="00F135CE"/>
    <w:rsid w:val="00F1379C"/>
    <w:rsid w:val="00F13A19"/>
    <w:rsid w:val="00F147E9"/>
    <w:rsid w:val="00F154ED"/>
    <w:rsid w:val="00F15B09"/>
    <w:rsid w:val="00F15FCB"/>
    <w:rsid w:val="00F17558"/>
    <w:rsid w:val="00F20213"/>
    <w:rsid w:val="00F20779"/>
    <w:rsid w:val="00F20FB4"/>
    <w:rsid w:val="00F216AB"/>
    <w:rsid w:val="00F21B48"/>
    <w:rsid w:val="00F21E66"/>
    <w:rsid w:val="00F249AD"/>
    <w:rsid w:val="00F250BA"/>
    <w:rsid w:val="00F2511E"/>
    <w:rsid w:val="00F25A97"/>
    <w:rsid w:val="00F2691C"/>
    <w:rsid w:val="00F26E25"/>
    <w:rsid w:val="00F27A54"/>
    <w:rsid w:val="00F30D52"/>
    <w:rsid w:val="00F316E2"/>
    <w:rsid w:val="00F317DD"/>
    <w:rsid w:val="00F31EC0"/>
    <w:rsid w:val="00F32320"/>
    <w:rsid w:val="00F3280E"/>
    <w:rsid w:val="00F353AE"/>
    <w:rsid w:val="00F3574E"/>
    <w:rsid w:val="00F36B72"/>
    <w:rsid w:val="00F3721A"/>
    <w:rsid w:val="00F40AF9"/>
    <w:rsid w:val="00F42492"/>
    <w:rsid w:val="00F42CCF"/>
    <w:rsid w:val="00F42F4F"/>
    <w:rsid w:val="00F442E2"/>
    <w:rsid w:val="00F443D8"/>
    <w:rsid w:val="00F4483F"/>
    <w:rsid w:val="00F45054"/>
    <w:rsid w:val="00F46AF4"/>
    <w:rsid w:val="00F4754E"/>
    <w:rsid w:val="00F47E9C"/>
    <w:rsid w:val="00F47F96"/>
    <w:rsid w:val="00F502E2"/>
    <w:rsid w:val="00F50796"/>
    <w:rsid w:val="00F50A13"/>
    <w:rsid w:val="00F51887"/>
    <w:rsid w:val="00F51965"/>
    <w:rsid w:val="00F52240"/>
    <w:rsid w:val="00F52926"/>
    <w:rsid w:val="00F52DB0"/>
    <w:rsid w:val="00F5338F"/>
    <w:rsid w:val="00F539B6"/>
    <w:rsid w:val="00F54148"/>
    <w:rsid w:val="00F5545C"/>
    <w:rsid w:val="00F556C5"/>
    <w:rsid w:val="00F560BF"/>
    <w:rsid w:val="00F562F8"/>
    <w:rsid w:val="00F568B2"/>
    <w:rsid w:val="00F569D8"/>
    <w:rsid w:val="00F5713C"/>
    <w:rsid w:val="00F57B3C"/>
    <w:rsid w:val="00F57BC4"/>
    <w:rsid w:val="00F57C5E"/>
    <w:rsid w:val="00F608A9"/>
    <w:rsid w:val="00F61955"/>
    <w:rsid w:val="00F61A92"/>
    <w:rsid w:val="00F61DFC"/>
    <w:rsid w:val="00F61E07"/>
    <w:rsid w:val="00F622E8"/>
    <w:rsid w:val="00F622E9"/>
    <w:rsid w:val="00F62478"/>
    <w:rsid w:val="00F632F2"/>
    <w:rsid w:val="00F64C66"/>
    <w:rsid w:val="00F64E86"/>
    <w:rsid w:val="00F65282"/>
    <w:rsid w:val="00F6590B"/>
    <w:rsid w:val="00F65B8F"/>
    <w:rsid w:val="00F664BE"/>
    <w:rsid w:val="00F66D64"/>
    <w:rsid w:val="00F67369"/>
    <w:rsid w:val="00F67F68"/>
    <w:rsid w:val="00F70052"/>
    <w:rsid w:val="00F704F8"/>
    <w:rsid w:val="00F70827"/>
    <w:rsid w:val="00F70D38"/>
    <w:rsid w:val="00F70D7C"/>
    <w:rsid w:val="00F712E7"/>
    <w:rsid w:val="00F714C0"/>
    <w:rsid w:val="00F71856"/>
    <w:rsid w:val="00F71FEE"/>
    <w:rsid w:val="00F72C0D"/>
    <w:rsid w:val="00F72D4D"/>
    <w:rsid w:val="00F73671"/>
    <w:rsid w:val="00F738A7"/>
    <w:rsid w:val="00F743DF"/>
    <w:rsid w:val="00F74414"/>
    <w:rsid w:val="00F77ED6"/>
    <w:rsid w:val="00F80468"/>
    <w:rsid w:val="00F806C9"/>
    <w:rsid w:val="00F81921"/>
    <w:rsid w:val="00F83946"/>
    <w:rsid w:val="00F85031"/>
    <w:rsid w:val="00F85E66"/>
    <w:rsid w:val="00F861E4"/>
    <w:rsid w:val="00F86B27"/>
    <w:rsid w:val="00F87A35"/>
    <w:rsid w:val="00F87E90"/>
    <w:rsid w:val="00F9031A"/>
    <w:rsid w:val="00F912AF"/>
    <w:rsid w:val="00F91632"/>
    <w:rsid w:val="00F9170C"/>
    <w:rsid w:val="00F91785"/>
    <w:rsid w:val="00F920B7"/>
    <w:rsid w:val="00F9218A"/>
    <w:rsid w:val="00F922AA"/>
    <w:rsid w:val="00F927B1"/>
    <w:rsid w:val="00F93035"/>
    <w:rsid w:val="00F93F84"/>
    <w:rsid w:val="00F94020"/>
    <w:rsid w:val="00F95DF9"/>
    <w:rsid w:val="00F95E84"/>
    <w:rsid w:val="00F96390"/>
    <w:rsid w:val="00F96503"/>
    <w:rsid w:val="00F96D62"/>
    <w:rsid w:val="00F97355"/>
    <w:rsid w:val="00F9777A"/>
    <w:rsid w:val="00F97D0C"/>
    <w:rsid w:val="00FA0481"/>
    <w:rsid w:val="00FA0CB1"/>
    <w:rsid w:val="00FA1525"/>
    <w:rsid w:val="00FA1CCA"/>
    <w:rsid w:val="00FA1D36"/>
    <w:rsid w:val="00FA20A2"/>
    <w:rsid w:val="00FA3104"/>
    <w:rsid w:val="00FA344C"/>
    <w:rsid w:val="00FA351E"/>
    <w:rsid w:val="00FA36F9"/>
    <w:rsid w:val="00FA386C"/>
    <w:rsid w:val="00FA4E3D"/>
    <w:rsid w:val="00FA526D"/>
    <w:rsid w:val="00FA52A3"/>
    <w:rsid w:val="00FA5605"/>
    <w:rsid w:val="00FA6F4B"/>
    <w:rsid w:val="00FA71FA"/>
    <w:rsid w:val="00FB066D"/>
    <w:rsid w:val="00FB07C2"/>
    <w:rsid w:val="00FB0B20"/>
    <w:rsid w:val="00FB1B6D"/>
    <w:rsid w:val="00FB324C"/>
    <w:rsid w:val="00FB331A"/>
    <w:rsid w:val="00FB3DDA"/>
    <w:rsid w:val="00FB42FD"/>
    <w:rsid w:val="00FB519C"/>
    <w:rsid w:val="00FB52B9"/>
    <w:rsid w:val="00FB5F02"/>
    <w:rsid w:val="00FB6044"/>
    <w:rsid w:val="00FB6206"/>
    <w:rsid w:val="00FB67D3"/>
    <w:rsid w:val="00FB736C"/>
    <w:rsid w:val="00FB7968"/>
    <w:rsid w:val="00FC0798"/>
    <w:rsid w:val="00FC1375"/>
    <w:rsid w:val="00FC1805"/>
    <w:rsid w:val="00FC1A3D"/>
    <w:rsid w:val="00FC20B5"/>
    <w:rsid w:val="00FC2411"/>
    <w:rsid w:val="00FC2EAA"/>
    <w:rsid w:val="00FC312C"/>
    <w:rsid w:val="00FC38F8"/>
    <w:rsid w:val="00FC40ED"/>
    <w:rsid w:val="00FC4BCE"/>
    <w:rsid w:val="00FC5492"/>
    <w:rsid w:val="00FC6831"/>
    <w:rsid w:val="00FC76F0"/>
    <w:rsid w:val="00FD107E"/>
    <w:rsid w:val="00FD1B66"/>
    <w:rsid w:val="00FD20C7"/>
    <w:rsid w:val="00FD2715"/>
    <w:rsid w:val="00FD2869"/>
    <w:rsid w:val="00FD351B"/>
    <w:rsid w:val="00FD3FC2"/>
    <w:rsid w:val="00FD45D4"/>
    <w:rsid w:val="00FD60F6"/>
    <w:rsid w:val="00FD6D30"/>
    <w:rsid w:val="00FD6FBB"/>
    <w:rsid w:val="00FD77BA"/>
    <w:rsid w:val="00FE0B9E"/>
    <w:rsid w:val="00FE153A"/>
    <w:rsid w:val="00FE198A"/>
    <w:rsid w:val="00FE2606"/>
    <w:rsid w:val="00FE48BE"/>
    <w:rsid w:val="00FE4B9C"/>
    <w:rsid w:val="00FE5111"/>
    <w:rsid w:val="00FE5274"/>
    <w:rsid w:val="00FE5E15"/>
    <w:rsid w:val="00FE6832"/>
    <w:rsid w:val="00FE6B4A"/>
    <w:rsid w:val="00FE6FA9"/>
    <w:rsid w:val="00FE70D7"/>
    <w:rsid w:val="00FE7BC9"/>
    <w:rsid w:val="00FF120A"/>
    <w:rsid w:val="00FF13C3"/>
    <w:rsid w:val="00FF14C1"/>
    <w:rsid w:val="00FF38C8"/>
    <w:rsid w:val="00FF4B12"/>
    <w:rsid w:val="00FF5242"/>
    <w:rsid w:val="00FF5B1A"/>
    <w:rsid w:val="00FF5BAA"/>
    <w:rsid w:val="00FF5E88"/>
    <w:rsid w:val="00FF66FE"/>
    <w:rsid w:val="00FF767D"/>
    <w:rsid w:val="00FF7C64"/>
    <w:rsid w:val="01D7336A"/>
    <w:rsid w:val="0241E509"/>
    <w:rsid w:val="03043241"/>
    <w:rsid w:val="033D0C49"/>
    <w:rsid w:val="039C919A"/>
    <w:rsid w:val="03E6EEE4"/>
    <w:rsid w:val="041EEA17"/>
    <w:rsid w:val="04EA6336"/>
    <w:rsid w:val="050007EE"/>
    <w:rsid w:val="072BF0FF"/>
    <w:rsid w:val="072DB3C5"/>
    <w:rsid w:val="0738932E"/>
    <w:rsid w:val="073DE8A2"/>
    <w:rsid w:val="078DE3BD"/>
    <w:rsid w:val="07FDD7FB"/>
    <w:rsid w:val="081BAB14"/>
    <w:rsid w:val="083C17AF"/>
    <w:rsid w:val="083E55DF"/>
    <w:rsid w:val="085AD5E4"/>
    <w:rsid w:val="085ED29B"/>
    <w:rsid w:val="091AB562"/>
    <w:rsid w:val="095CD327"/>
    <w:rsid w:val="09709948"/>
    <w:rsid w:val="09C71286"/>
    <w:rsid w:val="0AF6AD69"/>
    <w:rsid w:val="0B27F1D8"/>
    <w:rsid w:val="0BB52852"/>
    <w:rsid w:val="0BEECD03"/>
    <w:rsid w:val="0DDAE008"/>
    <w:rsid w:val="0E0410AD"/>
    <w:rsid w:val="0E055DC8"/>
    <w:rsid w:val="0E7062FA"/>
    <w:rsid w:val="0FA097A6"/>
    <w:rsid w:val="10E4DC2E"/>
    <w:rsid w:val="111C7D34"/>
    <w:rsid w:val="113E7A43"/>
    <w:rsid w:val="12047A96"/>
    <w:rsid w:val="12248CF5"/>
    <w:rsid w:val="12552429"/>
    <w:rsid w:val="140174FB"/>
    <w:rsid w:val="146E4191"/>
    <w:rsid w:val="14A3BD17"/>
    <w:rsid w:val="14C40B5F"/>
    <w:rsid w:val="14C592D0"/>
    <w:rsid w:val="15F10B94"/>
    <w:rsid w:val="165B2F95"/>
    <w:rsid w:val="16848BB3"/>
    <w:rsid w:val="16E2FA3C"/>
    <w:rsid w:val="1711A2C4"/>
    <w:rsid w:val="17BC7754"/>
    <w:rsid w:val="18296AB0"/>
    <w:rsid w:val="1893C709"/>
    <w:rsid w:val="1894BABB"/>
    <w:rsid w:val="19C644C5"/>
    <w:rsid w:val="1A41CD2C"/>
    <w:rsid w:val="1A5A1306"/>
    <w:rsid w:val="1A5B5089"/>
    <w:rsid w:val="1ACC97DD"/>
    <w:rsid w:val="1B01BFEB"/>
    <w:rsid w:val="1B6E8CA0"/>
    <w:rsid w:val="1BBB6169"/>
    <w:rsid w:val="1BBD59C0"/>
    <w:rsid w:val="1C04B084"/>
    <w:rsid w:val="1CF6564F"/>
    <w:rsid w:val="1D313C11"/>
    <w:rsid w:val="1E04D167"/>
    <w:rsid w:val="1EA65023"/>
    <w:rsid w:val="1EB44DAE"/>
    <w:rsid w:val="1EB5A6C1"/>
    <w:rsid w:val="1F18C029"/>
    <w:rsid w:val="1F9EC882"/>
    <w:rsid w:val="1FBF0685"/>
    <w:rsid w:val="209EE267"/>
    <w:rsid w:val="213FE48B"/>
    <w:rsid w:val="214A000D"/>
    <w:rsid w:val="21A48E62"/>
    <w:rsid w:val="21B3231E"/>
    <w:rsid w:val="222E36B3"/>
    <w:rsid w:val="2230BFEC"/>
    <w:rsid w:val="227E1907"/>
    <w:rsid w:val="232F0831"/>
    <w:rsid w:val="2477D3DB"/>
    <w:rsid w:val="24AE3703"/>
    <w:rsid w:val="25804F60"/>
    <w:rsid w:val="25C398CC"/>
    <w:rsid w:val="27687BAF"/>
    <w:rsid w:val="278D85DB"/>
    <w:rsid w:val="279B3E95"/>
    <w:rsid w:val="281043CA"/>
    <w:rsid w:val="28ED1D72"/>
    <w:rsid w:val="29042592"/>
    <w:rsid w:val="295227D0"/>
    <w:rsid w:val="296D8CB4"/>
    <w:rsid w:val="29D8473D"/>
    <w:rsid w:val="2A39D0EC"/>
    <w:rsid w:val="2AB86E0D"/>
    <w:rsid w:val="2B2C8E75"/>
    <w:rsid w:val="2B6FBF43"/>
    <w:rsid w:val="2BFF440B"/>
    <w:rsid w:val="2C1093C7"/>
    <w:rsid w:val="2D436F4F"/>
    <w:rsid w:val="2DDCA33C"/>
    <w:rsid w:val="2DFFD505"/>
    <w:rsid w:val="2E8DE92E"/>
    <w:rsid w:val="313D17E4"/>
    <w:rsid w:val="321CCC2B"/>
    <w:rsid w:val="326FF10D"/>
    <w:rsid w:val="32B653FD"/>
    <w:rsid w:val="32FE164E"/>
    <w:rsid w:val="339869FD"/>
    <w:rsid w:val="34BA0CFD"/>
    <w:rsid w:val="351D8E47"/>
    <w:rsid w:val="352B870B"/>
    <w:rsid w:val="356A1DF7"/>
    <w:rsid w:val="36A50FE4"/>
    <w:rsid w:val="36AE05E6"/>
    <w:rsid w:val="3713C2E1"/>
    <w:rsid w:val="37399EFA"/>
    <w:rsid w:val="374B72D7"/>
    <w:rsid w:val="37A9B679"/>
    <w:rsid w:val="37C9F897"/>
    <w:rsid w:val="380E4325"/>
    <w:rsid w:val="38871DA2"/>
    <w:rsid w:val="38E6536A"/>
    <w:rsid w:val="392150F2"/>
    <w:rsid w:val="398B1912"/>
    <w:rsid w:val="39D5DD84"/>
    <w:rsid w:val="3A90ACF1"/>
    <w:rsid w:val="3B323EA3"/>
    <w:rsid w:val="3B5BF6CB"/>
    <w:rsid w:val="3BC979B1"/>
    <w:rsid w:val="3C66311B"/>
    <w:rsid w:val="3CD45FB9"/>
    <w:rsid w:val="3E8180A6"/>
    <w:rsid w:val="3EACAFDB"/>
    <w:rsid w:val="3EBC9E31"/>
    <w:rsid w:val="3F02E5CC"/>
    <w:rsid w:val="3F3045C8"/>
    <w:rsid w:val="3F527177"/>
    <w:rsid w:val="3F7C70B5"/>
    <w:rsid w:val="3FB48A12"/>
    <w:rsid w:val="3FC33B5E"/>
    <w:rsid w:val="3FCECC2B"/>
    <w:rsid w:val="41348074"/>
    <w:rsid w:val="4151C8CE"/>
    <w:rsid w:val="419D64FF"/>
    <w:rsid w:val="41B0D7E3"/>
    <w:rsid w:val="41E01F2D"/>
    <w:rsid w:val="41FE0338"/>
    <w:rsid w:val="42AEF9AC"/>
    <w:rsid w:val="43DB9F52"/>
    <w:rsid w:val="43EDBB18"/>
    <w:rsid w:val="447990E0"/>
    <w:rsid w:val="447CB5D8"/>
    <w:rsid w:val="44E9875F"/>
    <w:rsid w:val="45F9519A"/>
    <w:rsid w:val="464DCEED"/>
    <w:rsid w:val="467BA2C6"/>
    <w:rsid w:val="46A4F2D2"/>
    <w:rsid w:val="477B8BF5"/>
    <w:rsid w:val="478E4B4E"/>
    <w:rsid w:val="47A22844"/>
    <w:rsid w:val="4820B7B5"/>
    <w:rsid w:val="48F5EE60"/>
    <w:rsid w:val="48F8801D"/>
    <w:rsid w:val="49AA680E"/>
    <w:rsid w:val="4A120F39"/>
    <w:rsid w:val="4A838171"/>
    <w:rsid w:val="4A8A2B76"/>
    <w:rsid w:val="4BAB6952"/>
    <w:rsid w:val="4C77EF99"/>
    <w:rsid w:val="4D0AE3D7"/>
    <w:rsid w:val="4D557823"/>
    <w:rsid w:val="4D56C955"/>
    <w:rsid w:val="4D92200C"/>
    <w:rsid w:val="4DDF1B60"/>
    <w:rsid w:val="4E0A5530"/>
    <w:rsid w:val="514FA7AE"/>
    <w:rsid w:val="51C04BE2"/>
    <w:rsid w:val="52507253"/>
    <w:rsid w:val="528B7EC1"/>
    <w:rsid w:val="530CD163"/>
    <w:rsid w:val="537224E0"/>
    <w:rsid w:val="5383974C"/>
    <w:rsid w:val="54120B30"/>
    <w:rsid w:val="543A22DE"/>
    <w:rsid w:val="5524C571"/>
    <w:rsid w:val="559359BC"/>
    <w:rsid w:val="56529175"/>
    <w:rsid w:val="568C9A3C"/>
    <w:rsid w:val="57211C1C"/>
    <w:rsid w:val="575C766F"/>
    <w:rsid w:val="57905649"/>
    <w:rsid w:val="58AA6E35"/>
    <w:rsid w:val="58B94EB0"/>
    <w:rsid w:val="58D7D8A0"/>
    <w:rsid w:val="59225C70"/>
    <w:rsid w:val="5AEB6702"/>
    <w:rsid w:val="5BBFFF80"/>
    <w:rsid w:val="5BE0F6F6"/>
    <w:rsid w:val="5BFCAADE"/>
    <w:rsid w:val="5C1373A5"/>
    <w:rsid w:val="5C13BB99"/>
    <w:rsid w:val="5C1CB36F"/>
    <w:rsid w:val="5C1EDBAB"/>
    <w:rsid w:val="5C812993"/>
    <w:rsid w:val="5CAD5235"/>
    <w:rsid w:val="5D2AC2DA"/>
    <w:rsid w:val="5DEC0838"/>
    <w:rsid w:val="5F8638B8"/>
    <w:rsid w:val="5FC12FDE"/>
    <w:rsid w:val="600D3375"/>
    <w:rsid w:val="60E40ECA"/>
    <w:rsid w:val="6110456C"/>
    <w:rsid w:val="616A08F4"/>
    <w:rsid w:val="62992687"/>
    <w:rsid w:val="634A8DAA"/>
    <w:rsid w:val="63736D8E"/>
    <w:rsid w:val="63B12AB0"/>
    <w:rsid w:val="64D2A933"/>
    <w:rsid w:val="64D680A5"/>
    <w:rsid w:val="652959C7"/>
    <w:rsid w:val="6532F14F"/>
    <w:rsid w:val="654DCF90"/>
    <w:rsid w:val="65AC3490"/>
    <w:rsid w:val="65C7F5B2"/>
    <w:rsid w:val="65E91FE5"/>
    <w:rsid w:val="679C6849"/>
    <w:rsid w:val="6889C083"/>
    <w:rsid w:val="68F76460"/>
    <w:rsid w:val="69051473"/>
    <w:rsid w:val="697C017F"/>
    <w:rsid w:val="69AAF2B2"/>
    <w:rsid w:val="6A3BA3F5"/>
    <w:rsid w:val="6A6612F0"/>
    <w:rsid w:val="6A8C2322"/>
    <w:rsid w:val="6AF58462"/>
    <w:rsid w:val="6C03C8D7"/>
    <w:rsid w:val="6C9F1FAC"/>
    <w:rsid w:val="6CBCBCA4"/>
    <w:rsid w:val="6CC43495"/>
    <w:rsid w:val="6D0C8829"/>
    <w:rsid w:val="6D1ACA75"/>
    <w:rsid w:val="6D5F26A4"/>
    <w:rsid w:val="6DF47A0A"/>
    <w:rsid w:val="6E584E73"/>
    <w:rsid w:val="6E68B90F"/>
    <w:rsid w:val="6ECB54C0"/>
    <w:rsid w:val="6F8B0D5C"/>
    <w:rsid w:val="6FB8572E"/>
    <w:rsid w:val="6FDE92F1"/>
    <w:rsid w:val="70406C57"/>
    <w:rsid w:val="70AAA0AE"/>
    <w:rsid w:val="71672E4B"/>
    <w:rsid w:val="7189E1E8"/>
    <w:rsid w:val="72241472"/>
    <w:rsid w:val="72364CA8"/>
    <w:rsid w:val="7251161D"/>
    <w:rsid w:val="7327BE37"/>
    <w:rsid w:val="73841054"/>
    <w:rsid w:val="73CFA250"/>
    <w:rsid w:val="73D854AB"/>
    <w:rsid w:val="75212B35"/>
    <w:rsid w:val="75546DD3"/>
    <w:rsid w:val="757D3E83"/>
    <w:rsid w:val="75BD2BFA"/>
    <w:rsid w:val="771D8E0A"/>
    <w:rsid w:val="7745914A"/>
    <w:rsid w:val="779E36C6"/>
    <w:rsid w:val="77EEBD06"/>
    <w:rsid w:val="78865A2D"/>
    <w:rsid w:val="789D070D"/>
    <w:rsid w:val="78D1AE1B"/>
    <w:rsid w:val="7954638C"/>
    <w:rsid w:val="79ABA886"/>
    <w:rsid w:val="79E99D5C"/>
    <w:rsid w:val="79F0AAA6"/>
    <w:rsid w:val="7A0BB6EC"/>
    <w:rsid w:val="7A1E5899"/>
    <w:rsid w:val="7AAA2CE6"/>
    <w:rsid w:val="7B3E9424"/>
    <w:rsid w:val="7B5607A1"/>
    <w:rsid w:val="7B5E8613"/>
    <w:rsid w:val="7BA5D43E"/>
    <w:rsid w:val="7C2F0F4F"/>
    <w:rsid w:val="7C518A80"/>
    <w:rsid w:val="7D5A5AD0"/>
    <w:rsid w:val="7DDBD043"/>
    <w:rsid w:val="7DF33D4D"/>
    <w:rsid w:val="7E1D5DA8"/>
    <w:rsid w:val="7E973909"/>
    <w:rsid w:val="7F8D0D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5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4"/>
      </w:numPr>
      <w:outlineLvl w:val="3"/>
    </w:pPr>
    <w:rPr>
      <w:rFonts w:eastAsiaTheme="majorEastAsia"/>
      <w:bCs/>
      <w:iCs/>
    </w:rPr>
  </w:style>
  <w:style w:type="paragraph" w:styleId="Heading5">
    <w:name w:val="heading 5"/>
    <w:basedOn w:val="Normal"/>
    <w:next w:val="Text2"/>
    <w:link w:val="Heading5Char"/>
    <w:uiPriority w:val="9"/>
    <w:semiHidden/>
    <w:unhideWhenUsed/>
    <w:qFormat/>
    <w:rsid w:val="00707B52"/>
    <w:pPr>
      <w:keepNext/>
      <w:numPr>
        <w:ilvl w:val="4"/>
        <w:numId w:val="64"/>
      </w:numPr>
      <w:outlineLvl w:val="4"/>
    </w:pPr>
    <w:rPr>
      <w:rFonts w:eastAsiaTheme="majorEastAsia"/>
    </w:rPr>
  </w:style>
  <w:style w:type="paragraph" w:styleId="Heading6">
    <w:name w:val="heading 6"/>
    <w:basedOn w:val="Normal"/>
    <w:next w:val="Text2"/>
    <w:link w:val="Heading6Char"/>
    <w:uiPriority w:val="9"/>
    <w:semiHidden/>
    <w:unhideWhenUsed/>
    <w:qFormat/>
    <w:rsid w:val="00707B52"/>
    <w:pPr>
      <w:keepNext/>
      <w:numPr>
        <w:ilvl w:val="5"/>
        <w:numId w:val="64"/>
      </w:numPr>
      <w:outlineLvl w:val="5"/>
    </w:pPr>
    <w:rPr>
      <w:rFonts w:eastAsiaTheme="majorEastAsia"/>
      <w:iCs/>
    </w:rPr>
  </w:style>
  <w:style w:type="paragraph" w:styleId="Heading7">
    <w:name w:val="heading 7"/>
    <w:basedOn w:val="Normal"/>
    <w:next w:val="Text2"/>
    <w:link w:val="Heading7Char"/>
    <w:uiPriority w:val="9"/>
    <w:semiHidden/>
    <w:unhideWhenUsed/>
    <w:qFormat/>
    <w:rsid w:val="00707B52"/>
    <w:pPr>
      <w:keepNext/>
      <w:numPr>
        <w:ilvl w:val="6"/>
        <w:numId w:val="6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30D6B"/>
    <w:pPr>
      <w:numPr>
        <w:numId w:val="2"/>
      </w:numPr>
      <w:tabs>
        <w:tab w:val="num" w:pos="360"/>
      </w:tabs>
      <w:ind w:left="0" w:firstLine="0"/>
    </w:pPr>
    <w:rPr>
      <w:rFonts w:eastAsia="Times New Roman"/>
      <w:lang w:eastAsia="de-DE"/>
    </w:rPr>
  </w:style>
  <w:style w:type="paragraph" w:styleId="ListNumber">
    <w:name w:val="List Number"/>
    <w:basedOn w:val="Normal"/>
    <w:rsid w:val="00A30D6B"/>
    <w:pPr>
      <w:numPr>
        <w:numId w:val="6"/>
      </w:numPr>
    </w:pPr>
    <w:rPr>
      <w:rFonts w:eastAsia="Times New Roman"/>
      <w:lang w:eastAsia="de-DE"/>
    </w:rPr>
  </w:style>
  <w:style w:type="paragraph" w:customStyle="1" w:styleId="ListBullet1">
    <w:name w:val="List Bullet 1"/>
    <w:basedOn w:val="Normal"/>
    <w:rsid w:val="00A30D6B"/>
    <w:pPr>
      <w:numPr>
        <w:numId w:val="1"/>
      </w:numPr>
    </w:pPr>
    <w:rPr>
      <w:rFonts w:eastAsia="Times New Roman"/>
      <w:lang w:eastAsia="de-DE"/>
    </w:rPr>
  </w:style>
  <w:style w:type="paragraph" w:customStyle="1" w:styleId="ListDash">
    <w:name w:val="List Dash"/>
    <w:basedOn w:val="Normal"/>
    <w:rsid w:val="00A30D6B"/>
    <w:pPr>
      <w:numPr>
        <w:numId w:val="3"/>
      </w:numPr>
    </w:pPr>
    <w:rPr>
      <w:rFonts w:eastAsia="Times New Roman"/>
      <w:lang w:eastAsia="de-DE"/>
    </w:rPr>
  </w:style>
  <w:style w:type="paragraph" w:customStyle="1" w:styleId="ListDash1">
    <w:name w:val="List Dash 1"/>
    <w:basedOn w:val="Normal"/>
    <w:rsid w:val="00A30D6B"/>
    <w:pPr>
      <w:numPr>
        <w:numId w:val="4"/>
      </w:numPr>
    </w:pPr>
    <w:rPr>
      <w:rFonts w:eastAsia="Times New Roman"/>
      <w:lang w:eastAsia="de-DE"/>
    </w:rPr>
  </w:style>
  <w:style w:type="paragraph" w:customStyle="1" w:styleId="ListDash2">
    <w:name w:val="List Dash 2"/>
    <w:basedOn w:val="Normal"/>
    <w:rsid w:val="00A30D6B"/>
    <w:pPr>
      <w:numPr>
        <w:numId w:val="5"/>
      </w:numPr>
    </w:pPr>
    <w:rPr>
      <w:rFonts w:eastAsia="Times New Roman"/>
      <w:lang w:eastAsia="de-DE"/>
    </w:rPr>
  </w:style>
  <w:style w:type="paragraph" w:customStyle="1" w:styleId="ListNumberLevel2">
    <w:name w:val="List Number (Level 2)"/>
    <w:basedOn w:val="Normal"/>
    <w:rsid w:val="00A30D6B"/>
    <w:pPr>
      <w:numPr>
        <w:ilvl w:val="1"/>
        <w:numId w:val="6"/>
      </w:numPr>
    </w:pPr>
    <w:rPr>
      <w:rFonts w:eastAsia="Times New Roman"/>
      <w:lang w:eastAsia="de-DE"/>
    </w:rPr>
  </w:style>
  <w:style w:type="paragraph" w:customStyle="1" w:styleId="ListNumberLevel3">
    <w:name w:val="List Number (Level 3)"/>
    <w:basedOn w:val="Normal"/>
    <w:rsid w:val="00A30D6B"/>
    <w:pPr>
      <w:numPr>
        <w:ilvl w:val="2"/>
        <w:numId w:val="6"/>
      </w:numPr>
    </w:pPr>
    <w:rPr>
      <w:rFonts w:eastAsia="Times New Roman"/>
      <w:lang w:eastAsia="de-DE"/>
    </w:rPr>
  </w:style>
  <w:style w:type="paragraph" w:customStyle="1" w:styleId="ListNumberLevel4">
    <w:name w:val="List Number (Level 4)"/>
    <w:basedOn w:val="Normal"/>
    <w:rsid w:val="00A30D6B"/>
    <w:pPr>
      <w:numPr>
        <w:ilvl w:val="3"/>
        <w:numId w:val="6"/>
      </w:numPr>
    </w:pPr>
    <w:rPr>
      <w:rFonts w:eastAsia="Times New Roman"/>
      <w:lang w:eastAsia="de-DE"/>
    </w:rPr>
  </w:style>
  <w:style w:type="table" w:styleId="TableGrid">
    <w:name w:val="Table Grid"/>
    <w:basedOn w:val="TableNormal"/>
    <w:rsid w:val="00A30D6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30D6B"/>
    <w:rPr>
      <w:color w:val="0000FF"/>
      <w:u w:val="single"/>
    </w:rPr>
  </w:style>
  <w:style w:type="paragraph" w:styleId="ListBullet">
    <w:name w:val="List Bullet"/>
    <w:basedOn w:val="Normal"/>
    <w:rsid w:val="00A30D6B"/>
    <w:pPr>
      <w:numPr>
        <w:numId w:val="7"/>
      </w:numPr>
    </w:pPr>
    <w:rPr>
      <w:rFonts w:eastAsia="Times New Roman"/>
      <w:lang w:eastAsia="en-GB"/>
    </w:rPr>
  </w:style>
  <w:style w:type="paragraph" w:styleId="ListBullet2">
    <w:name w:val="List Bullet 2"/>
    <w:basedOn w:val="Normal"/>
    <w:rsid w:val="00A30D6B"/>
    <w:pPr>
      <w:numPr>
        <w:numId w:val="8"/>
      </w:numPr>
    </w:pPr>
    <w:rPr>
      <w:rFonts w:eastAsia="Times New Roman"/>
      <w:lang w:eastAsia="en-GB"/>
    </w:rPr>
  </w:style>
  <w:style w:type="paragraph" w:styleId="ListBullet3">
    <w:name w:val="List Bullet 3"/>
    <w:basedOn w:val="Normal"/>
    <w:rsid w:val="00A30D6B"/>
    <w:pPr>
      <w:numPr>
        <w:numId w:val="9"/>
      </w:numPr>
    </w:pPr>
    <w:rPr>
      <w:rFonts w:eastAsia="Times New Roman"/>
      <w:lang w:eastAsia="en-GB"/>
    </w:rPr>
  </w:style>
  <w:style w:type="paragraph" w:styleId="ListNumber2">
    <w:name w:val="List Number 2"/>
    <w:basedOn w:val="Normal"/>
    <w:rsid w:val="00A30D6B"/>
    <w:pPr>
      <w:numPr>
        <w:numId w:val="13"/>
      </w:numPr>
    </w:pPr>
    <w:rPr>
      <w:rFonts w:eastAsia="Times New Roman"/>
      <w:lang w:eastAsia="en-GB"/>
    </w:rPr>
  </w:style>
  <w:style w:type="paragraph" w:styleId="ListNumber3">
    <w:name w:val="List Number 3"/>
    <w:basedOn w:val="Normal"/>
    <w:rsid w:val="00A30D6B"/>
    <w:pPr>
      <w:numPr>
        <w:numId w:val="14"/>
      </w:numPr>
    </w:pPr>
    <w:rPr>
      <w:rFonts w:eastAsia="Times New Roman"/>
      <w:lang w:eastAsia="en-GB"/>
    </w:rPr>
  </w:style>
  <w:style w:type="paragraph" w:styleId="ListNumber4">
    <w:name w:val="List Number 4"/>
    <w:basedOn w:val="Normal"/>
    <w:rsid w:val="00A30D6B"/>
    <w:pPr>
      <w:numPr>
        <w:numId w:val="15"/>
      </w:numPr>
    </w:pPr>
    <w:rPr>
      <w:rFonts w:eastAsia="Times New Roman"/>
      <w:lang w:eastAsia="en-GB"/>
    </w:rPr>
  </w:style>
  <w:style w:type="paragraph" w:customStyle="1" w:styleId="ListDash3">
    <w:name w:val="List Dash 3"/>
    <w:basedOn w:val="Normal"/>
    <w:rsid w:val="00A30D6B"/>
    <w:pPr>
      <w:numPr>
        <w:numId w:val="10"/>
      </w:numPr>
    </w:pPr>
    <w:rPr>
      <w:rFonts w:eastAsia="Times New Roman"/>
      <w:lang w:eastAsia="en-GB"/>
    </w:rPr>
  </w:style>
  <w:style w:type="paragraph" w:customStyle="1" w:styleId="ListDash4">
    <w:name w:val="List Dash 4"/>
    <w:basedOn w:val="Normal"/>
    <w:rsid w:val="00A30D6B"/>
    <w:pPr>
      <w:numPr>
        <w:numId w:val="11"/>
      </w:numPr>
    </w:pPr>
    <w:rPr>
      <w:rFonts w:eastAsia="Times New Roman"/>
      <w:lang w:eastAsia="en-GB"/>
    </w:rPr>
  </w:style>
  <w:style w:type="paragraph" w:customStyle="1" w:styleId="ListNumber1">
    <w:name w:val="List Number 1"/>
    <w:basedOn w:val="Text1"/>
    <w:rsid w:val="00A30D6B"/>
    <w:pPr>
      <w:numPr>
        <w:numId w:val="12"/>
      </w:numPr>
    </w:pPr>
    <w:rPr>
      <w:rFonts w:eastAsia="Times New Roman"/>
      <w:lang w:eastAsia="en-GB"/>
    </w:rPr>
  </w:style>
  <w:style w:type="paragraph" w:customStyle="1" w:styleId="ListNumber1Level2">
    <w:name w:val="List Number 1 (Level 2)"/>
    <w:basedOn w:val="Text1"/>
    <w:rsid w:val="00A30D6B"/>
    <w:pPr>
      <w:numPr>
        <w:ilvl w:val="1"/>
        <w:numId w:val="12"/>
      </w:numPr>
    </w:pPr>
    <w:rPr>
      <w:rFonts w:eastAsia="Times New Roman"/>
      <w:lang w:eastAsia="en-GB"/>
    </w:rPr>
  </w:style>
  <w:style w:type="paragraph" w:customStyle="1" w:styleId="ListNumber2Level2">
    <w:name w:val="List Number 2 (Level 2)"/>
    <w:basedOn w:val="Text2"/>
    <w:rsid w:val="00A30D6B"/>
    <w:pPr>
      <w:numPr>
        <w:ilvl w:val="1"/>
        <w:numId w:val="13"/>
      </w:numPr>
    </w:pPr>
    <w:rPr>
      <w:rFonts w:eastAsia="Times New Roman"/>
      <w:lang w:eastAsia="en-GB"/>
    </w:rPr>
  </w:style>
  <w:style w:type="paragraph" w:customStyle="1" w:styleId="ListNumber3Level2">
    <w:name w:val="List Number 3 (Level 2)"/>
    <w:basedOn w:val="Text3"/>
    <w:rsid w:val="00A30D6B"/>
    <w:pPr>
      <w:numPr>
        <w:ilvl w:val="1"/>
        <w:numId w:val="14"/>
      </w:numPr>
    </w:pPr>
    <w:rPr>
      <w:rFonts w:eastAsia="Times New Roman"/>
      <w:lang w:eastAsia="en-GB"/>
    </w:rPr>
  </w:style>
  <w:style w:type="paragraph" w:customStyle="1" w:styleId="ListNumber4Level2">
    <w:name w:val="List Number 4 (Level 2)"/>
    <w:basedOn w:val="Text4"/>
    <w:rsid w:val="00A30D6B"/>
    <w:pPr>
      <w:numPr>
        <w:ilvl w:val="1"/>
        <w:numId w:val="15"/>
      </w:numPr>
    </w:pPr>
    <w:rPr>
      <w:rFonts w:eastAsia="Times New Roman"/>
      <w:lang w:eastAsia="en-GB"/>
    </w:rPr>
  </w:style>
  <w:style w:type="paragraph" w:customStyle="1" w:styleId="ListNumber1Level3">
    <w:name w:val="List Number 1 (Level 3)"/>
    <w:basedOn w:val="Text1"/>
    <w:rsid w:val="00A30D6B"/>
    <w:pPr>
      <w:numPr>
        <w:ilvl w:val="2"/>
        <w:numId w:val="12"/>
      </w:numPr>
    </w:pPr>
    <w:rPr>
      <w:rFonts w:eastAsia="Times New Roman"/>
      <w:lang w:eastAsia="en-GB"/>
    </w:rPr>
  </w:style>
  <w:style w:type="paragraph" w:customStyle="1" w:styleId="ListNumber2Level3">
    <w:name w:val="List Number 2 (Level 3)"/>
    <w:basedOn w:val="Text2"/>
    <w:rsid w:val="00A30D6B"/>
    <w:pPr>
      <w:numPr>
        <w:ilvl w:val="2"/>
        <w:numId w:val="13"/>
      </w:numPr>
    </w:pPr>
    <w:rPr>
      <w:rFonts w:eastAsia="Times New Roman"/>
      <w:lang w:eastAsia="en-GB"/>
    </w:rPr>
  </w:style>
  <w:style w:type="paragraph" w:customStyle="1" w:styleId="ListNumber3Level3">
    <w:name w:val="List Number 3 (Level 3)"/>
    <w:basedOn w:val="Text3"/>
    <w:rsid w:val="00A30D6B"/>
    <w:pPr>
      <w:numPr>
        <w:ilvl w:val="2"/>
        <w:numId w:val="14"/>
      </w:numPr>
    </w:pPr>
    <w:rPr>
      <w:rFonts w:eastAsia="Times New Roman"/>
      <w:lang w:eastAsia="en-GB"/>
    </w:rPr>
  </w:style>
  <w:style w:type="paragraph" w:customStyle="1" w:styleId="ListNumber4Level3">
    <w:name w:val="List Number 4 (Level 3)"/>
    <w:basedOn w:val="Text4"/>
    <w:rsid w:val="00A30D6B"/>
    <w:pPr>
      <w:numPr>
        <w:ilvl w:val="2"/>
        <w:numId w:val="15"/>
      </w:numPr>
    </w:pPr>
    <w:rPr>
      <w:rFonts w:eastAsia="Times New Roman"/>
      <w:lang w:eastAsia="en-GB"/>
    </w:rPr>
  </w:style>
  <w:style w:type="paragraph" w:customStyle="1" w:styleId="ListNumber1Level4">
    <w:name w:val="List Number 1 (Level 4)"/>
    <w:basedOn w:val="Text1"/>
    <w:rsid w:val="00A30D6B"/>
    <w:pPr>
      <w:numPr>
        <w:ilvl w:val="3"/>
        <w:numId w:val="12"/>
      </w:numPr>
    </w:pPr>
    <w:rPr>
      <w:rFonts w:eastAsia="Times New Roman"/>
      <w:lang w:eastAsia="en-GB"/>
    </w:rPr>
  </w:style>
  <w:style w:type="paragraph" w:customStyle="1" w:styleId="ListNumber2Level4">
    <w:name w:val="List Number 2 (Level 4)"/>
    <w:basedOn w:val="Text2"/>
    <w:rsid w:val="00A30D6B"/>
    <w:pPr>
      <w:numPr>
        <w:ilvl w:val="3"/>
        <w:numId w:val="13"/>
      </w:numPr>
    </w:pPr>
    <w:rPr>
      <w:rFonts w:eastAsia="Times New Roman"/>
      <w:lang w:eastAsia="en-GB"/>
    </w:rPr>
  </w:style>
  <w:style w:type="paragraph" w:customStyle="1" w:styleId="ListNumber3Level4">
    <w:name w:val="List Number 3 (Level 4)"/>
    <w:basedOn w:val="Text3"/>
    <w:rsid w:val="00A30D6B"/>
    <w:pPr>
      <w:numPr>
        <w:ilvl w:val="3"/>
        <w:numId w:val="14"/>
      </w:numPr>
    </w:pPr>
    <w:rPr>
      <w:rFonts w:eastAsia="Times New Roman"/>
      <w:lang w:eastAsia="en-GB"/>
    </w:rPr>
  </w:style>
  <w:style w:type="paragraph" w:customStyle="1" w:styleId="ListNumber4Level4">
    <w:name w:val="List Number 4 (Level 4)"/>
    <w:basedOn w:val="Text4"/>
    <w:rsid w:val="00A30D6B"/>
    <w:pPr>
      <w:numPr>
        <w:ilvl w:val="3"/>
        <w:numId w:val="15"/>
      </w:numPr>
    </w:pPr>
    <w:rPr>
      <w:rFonts w:eastAsia="Times New Roman"/>
      <w:lang w:eastAsia="en-GB"/>
    </w:rPr>
  </w:style>
  <w:style w:type="paragraph" w:customStyle="1" w:styleId="Annexetitreacte">
    <w:name w:val="Annexe titre (acte)"/>
    <w:basedOn w:val="Normal"/>
    <w:next w:val="Normal"/>
    <w:rsid w:val="00A30D6B"/>
    <w:pPr>
      <w:jc w:val="center"/>
    </w:pPr>
    <w:rPr>
      <w:rFonts w:eastAsia="Times New Roman"/>
      <w:b/>
      <w:u w:val="single"/>
      <w:lang w:eastAsia="en-GB"/>
    </w:rPr>
  </w:style>
  <w:style w:type="paragraph" w:customStyle="1" w:styleId="Annexetitreexposglobal">
    <w:name w:val="Annexe titre (exposé global)"/>
    <w:basedOn w:val="Normal"/>
    <w:next w:val="Normal"/>
    <w:rsid w:val="00A30D6B"/>
    <w:pPr>
      <w:jc w:val="center"/>
    </w:pPr>
    <w:rPr>
      <w:rFonts w:eastAsia="Times New Roman"/>
      <w:b/>
      <w:u w:val="single"/>
      <w:lang w:eastAsia="en-GB"/>
    </w:rPr>
  </w:style>
  <w:style w:type="paragraph" w:customStyle="1" w:styleId="Annexetitrefichefinacte">
    <w:name w:val="Annexe titre (fiche fin. acte)"/>
    <w:basedOn w:val="Normal"/>
    <w:next w:val="Normal"/>
    <w:rsid w:val="00A30D6B"/>
    <w:pPr>
      <w:jc w:val="center"/>
    </w:pPr>
    <w:rPr>
      <w:rFonts w:eastAsia="Times New Roman"/>
      <w:b/>
      <w:u w:val="single"/>
      <w:lang w:eastAsia="en-GB"/>
    </w:rPr>
  </w:style>
  <w:style w:type="paragraph" w:customStyle="1" w:styleId="Annexetitrefichefinglobale">
    <w:name w:val="Annexe titre (fiche fin. globale)"/>
    <w:basedOn w:val="Normal"/>
    <w:next w:val="Normal"/>
    <w:rsid w:val="00A30D6B"/>
    <w:pPr>
      <w:jc w:val="center"/>
    </w:pPr>
    <w:rPr>
      <w:rFonts w:eastAsia="Times New Roman"/>
      <w:b/>
      <w:u w:val="single"/>
      <w:lang w:eastAsia="en-GB"/>
    </w:rPr>
  </w:style>
  <w:style w:type="paragraph" w:customStyle="1" w:styleId="Annexetitreglobale">
    <w:name w:val="Annexe titre (globale)"/>
    <w:basedOn w:val="Normal"/>
    <w:next w:val="Normal"/>
    <w:rsid w:val="00A30D6B"/>
    <w:pPr>
      <w:jc w:val="center"/>
    </w:pPr>
    <w:rPr>
      <w:rFonts w:eastAsia="Times New Roman"/>
      <w:b/>
      <w:u w:val="single"/>
      <w:lang w:eastAsia="en-GB"/>
    </w:rPr>
  </w:style>
  <w:style w:type="paragraph" w:customStyle="1" w:styleId="Exposdesmotifstitreglobal">
    <w:name w:val="Exposé des motifs titre (global)"/>
    <w:basedOn w:val="Normal"/>
    <w:next w:val="Normal"/>
    <w:rsid w:val="00A30D6B"/>
    <w:pPr>
      <w:jc w:val="center"/>
    </w:pPr>
    <w:rPr>
      <w:rFonts w:eastAsia="Times New Roman"/>
      <w:b/>
      <w:u w:val="single"/>
      <w:lang w:eastAsia="en-GB"/>
    </w:rPr>
  </w:style>
  <w:style w:type="paragraph" w:customStyle="1" w:styleId="Langueoriginale">
    <w:name w:val="Langue originale"/>
    <w:basedOn w:val="Normal"/>
    <w:rsid w:val="00A30D6B"/>
    <w:pPr>
      <w:spacing w:before="360"/>
      <w:jc w:val="center"/>
    </w:pPr>
    <w:rPr>
      <w:rFonts w:eastAsia="Times New Roman"/>
      <w:caps/>
      <w:lang w:eastAsia="en-GB"/>
    </w:rPr>
  </w:style>
  <w:style w:type="paragraph" w:customStyle="1" w:styleId="Phrasefinale">
    <w:name w:val="Phrase finale"/>
    <w:basedOn w:val="Normal"/>
    <w:next w:val="Normal"/>
    <w:rsid w:val="00A30D6B"/>
    <w:pPr>
      <w:spacing w:before="360" w:after="0"/>
      <w:jc w:val="center"/>
    </w:pPr>
    <w:rPr>
      <w:rFonts w:eastAsia="Times New Roman"/>
      <w:lang w:eastAsia="en-GB"/>
    </w:rPr>
  </w:style>
  <w:style w:type="paragraph" w:customStyle="1" w:styleId="Prliminairetitre">
    <w:name w:val="Préliminaire titre"/>
    <w:basedOn w:val="Normal"/>
    <w:next w:val="Normal"/>
    <w:rsid w:val="00A30D6B"/>
    <w:pPr>
      <w:spacing w:before="360" w:after="360"/>
      <w:jc w:val="center"/>
    </w:pPr>
    <w:rPr>
      <w:rFonts w:eastAsia="Times New Roman"/>
      <w:b/>
      <w:lang w:eastAsia="en-GB"/>
    </w:rPr>
  </w:style>
  <w:style w:type="paragraph" w:customStyle="1" w:styleId="Prliminairetype">
    <w:name w:val="Préliminaire type"/>
    <w:basedOn w:val="Normal"/>
    <w:next w:val="Normal"/>
    <w:rsid w:val="00A30D6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30D6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30D6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30D6B"/>
    <w:pPr>
      <w:spacing w:before="0" w:after="0"/>
      <w:ind w:left="5103"/>
      <w:jc w:val="left"/>
    </w:pPr>
    <w:rPr>
      <w:rFonts w:eastAsia="Times New Roman"/>
      <w:lang w:eastAsia="en-GB"/>
    </w:rPr>
  </w:style>
  <w:style w:type="paragraph" w:customStyle="1" w:styleId="Sous-titreobjetprliminaire">
    <w:name w:val="Sous-titre objet (préliminaire)"/>
    <w:basedOn w:val="Normal"/>
    <w:rsid w:val="00A30D6B"/>
    <w:pPr>
      <w:spacing w:before="0" w:after="0"/>
      <w:jc w:val="center"/>
    </w:pPr>
    <w:rPr>
      <w:rFonts w:eastAsia="Times New Roman"/>
      <w:b/>
      <w:lang w:eastAsia="en-GB"/>
    </w:rPr>
  </w:style>
  <w:style w:type="paragraph" w:customStyle="1" w:styleId="Statutprliminaire">
    <w:name w:val="Statut (préliminaire)"/>
    <w:basedOn w:val="Normal"/>
    <w:next w:val="Normal"/>
    <w:rsid w:val="00A30D6B"/>
    <w:pPr>
      <w:spacing w:before="360" w:after="0"/>
      <w:jc w:val="center"/>
    </w:pPr>
    <w:rPr>
      <w:rFonts w:eastAsia="Times New Roman"/>
      <w:lang w:eastAsia="en-GB"/>
    </w:rPr>
  </w:style>
  <w:style w:type="paragraph" w:customStyle="1" w:styleId="Titreobjetprliminaire">
    <w:name w:val="Titre objet (préliminaire)"/>
    <w:basedOn w:val="Normal"/>
    <w:next w:val="Normal"/>
    <w:rsid w:val="00A30D6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30D6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30D6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30D6B"/>
    <w:pPr>
      <w:jc w:val="center"/>
    </w:pPr>
    <w:rPr>
      <w:rFonts w:eastAsia="Times New Roman"/>
      <w:b/>
      <w:u w:val="single"/>
      <w:lang w:eastAsia="en-GB"/>
    </w:rPr>
  </w:style>
  <w:style w:type="paragraph" w:customStyle="1" w:styleId="Fichefinanciretravailtitre">
    <w:name w:val="Fiche financière (travail) titre"/>
    <w:basedOn w:val="Normal"/>
    <w:next w:val="Normal"/>
    <w:rsid w:val="00A30D6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30D6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30D6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30D6B"/>
    <w:pPr>
      <w:jc w:val="center"/>
    </w:pPr>
    <w:rPr>
      <w:rFonts w:eastAsia="Times New Roman"/>
      <w:b/>
      <w:u w:val="single"/>
      <w:lang w:eastAsia="en-GB"/>
    </w:rPr>
  </w:style>
  <w:style w:type="character" w:styleId="CommentReference">
    <w:name w:val="annotation reference"/>
    <w:uiPriority w:val="99"/>
    <w:rsid w:val="00A30D6B"/>
    <w:rPr>
      <w:rFonts w:cs="Times New Roman"/>
      <w:sz w:val="16"/>
      <w:szCs w:val="16"/>
    </w:rPr>
  </w:style>
  <w:style w:type="paragraph" w:styleId="CommentText">
    <w:name w:val="annotation text"/>
    <w:basedOn w:val="Normal"/>
    <w:link w:val="CommentTextChar"/>
    <w:uiPriority w:val="99"/>
    <w:rsid w:val="00A30D6B"/>
    <w:rPr>
      <w:rFonts w:eastAsia="Times New Roman"/>
      <w:sz w:val="20"/>
      <w:szCs w:val="20"/>
      <w:lang w:eastAsia="en-GB"/>
    </w:rPr>
  </w:style>
  <w:style w:type="character" w:customStyle="1" w:styleId="CommentTextChar">
    <w:name w:val="Comment Text Char"/>
    <w:basedOn w:val="DefaultParagraphFont"/>
    <w:link w:val="CommentText"/>
    <w:uiPriority w:val="99"/>
    <w:rsid w:val="00A30D6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30D6B"/>
    <w:rPr>
      <w:b/>
      <w:bCs/>
    </w:rPr>
  </w:style>
  <w:style w:type="character" w:customStyle="1" w:styleId="CommentSubjectChar">
    <w:name w:val="Comment Subject Char"/>
    <w:basedOn w:val="CommentTextChar"/>
    <w:link w:val="CommentSubject"/>
    <w:rsid w:val="00A30D6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30D6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30D6B"/>
    <w:rPr>
      <w:rFonts w:ascii="Tahoma" w:eastAsia="Times New Roman" w:hAnsi="Tahoma" w:cs="Tahoma"/>
      <w:sz w:val="16"/>
      <w:szCs w:val="16"/>
      <w:lang w:val="fr-FR" w:eastAsia="en-GB"/>
    </w:rPr>
  </w:style>
  <w:style w:type="paragraph" w:styleId="Caption">
    <w:name w:val="caption"/>
    <w:basedOn w:val="Normal"/>
    <w:next w:val="Normal"/>
    <w:qFormat/>
    <w:rsid w:val="00A30D6B"/>
    <w:rPr>
      <w:rFonts w:eastAsia="Times New Roman"/>
      <w:b/>
      <w:bCs/>
      <w:sz w:val="20"/>
      <w:szCs w:val="20"/>
      <w:lang w:eastAsia="en-GB"/>
    </w:rPr>
  </w:style>
  <w:style w:type="paragraph" w:styleId="TableofFigures">
    <w:name w:val="table of figures"/>
    <w:basedOn w:val="Normal"/>
    <w:next w:val="Normal"/>
    <w:rsid w:val="00A30D6B"/>
    <w:rPr>
      <w:rFonts w:eastAsia="Times New Roman"/>
      <w:lang w:eastAsia="en-GB"/>
    </w:rPr>
  </w:style>
  <w:style w:type="character" w:styleId="PageNumber">
    <w:name w:val="page number"/>
    <w:rsid w:val="00A30D6B"/>
  </w:style>
  <w:style w:type="character" w:customStyle="1" w:styleId="tw4winMark">
    <w:name w:val="tw4winMark"/>
    <w:rsid w:val="00A30D6B"/>
    <w:rPr>
      <w:vanish/>
      <w:color w:val="800080"/>
      <w:vertAlign w:val="subscript"/>
    </w:rPr>
  </w:style>
  <w:style w:type="character" w:styleId="FollowedHyperlink">
    <w:name w:val="FollowedHyperlink"/>
    <w:rsid w:val="00A30D6B"/>
    <w:rPr>
      <w:color w:val="800080"/>
      <w:u w:val="single"/>
    </w:rPr>
  </w:style>
  <w:style w:type="paragraph" w:customStyle="1" w:styleId="Sous-titreobjet">
    <w:name w:val="Sous-titre objet"/>
    <w:basedOn w:val="Normal"/>
    <w:rsid w:val="00A30D6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30D6B"/>
  </w:style>
  <w:style w:type="paragraph" w:styleId="Revision">
    <w:name w:val="Revision"/>
    <w:hidden/>
    <w:uiPriority w:val="99"/>
    <w:semiHidden/>
    <w:rsid w:val="00A30D6B"/>
    <w:rPr>
      <w:rFonts w:ascii="Calibri" w:eastAsia="Calibri" w:hAnsi="Calibri" w:cs="Times New Roman"/>
      <w:sz w:val="24"/>
      <w:lang w:eastAsia="en-GB"/>
    </w:rPr>
  </w:style>
  <w:style w:type="paragraph" w:customStyle="1" w:styleId="FooterCoverPage">
    <w:name w:val="Footer Cover Page"/>
    <w:basedOn w:val="Normal"/>
    <w:link w:val="FooterCoverPageChar"/>
    <w:rsid w:val="00A30D6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30D6B"/>
    <w:rPr>
      <w:rFonts w:ascii="Times New Roman" w:hAnsi="Times New Roman" w:cs="Times New Roman"/>
      <w:b/>
      <w:sz w:val="28"/>
      <w:lang w:val="fr-FR"/>
    </w:rPr>
  </w:style>
  <w:style w:type="character" w:customStyle="1" w:styleId="FooterCoverPageChar">
    <w:name w:val="Footer Cover Page Char"/>
    <w:link w:val="FooterCoverPage"/>
    <w:rsid w:val="00A30D6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A30D6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30D6B"/>
    <w:rPr>
      <w:rFonts w:ascii="Times New Roman" w:eastAsia="Calibri" w:hAnsi="Times New Roman" w:cs="Times New Roman"/>
      <w:sz w:val="24"/>
      <w:lang w:val="fr-FR" w:eastAsia="en-GB"/>
    </w:rPr>
  </w:style>
  <w:style w:type="character" w:customStyle="1" w:styleId="FooterSensitivityChar">
    <w:name w:val="Footer Sensitivity Char"/>
    <w:rsid w:val="00A30D6B"/>
    <w:rPr>
      <w:rFonts w:ascii="Times New Roman" w:hAnsi="Times New Roman" w:cs="Times New Roman"/>
      <w:b/>
      <w:sz w:val="32"/>
      <w:lang w:val="fr-FR"/>
    </w:rPr>
  </w:style>
  <w:style w:type="character" w:customStyle="1" w:styleId="HeaderSensitivityChar">
    <w:name w:val="Header Sensitivity Char"/>
    <w:rsid w:val="00A30D6B"/>
    <w:rPr>
      <w:rFonts w:ascii="Times New Roman" w:hAnsi="Times New Roman" w:cs="Times New Roman"/>
      <w:b/>
      <w:sz w:val="32"/>
      <w:lang w:val="fr-FR"/>
    </w:rPr>
  </w:style>
  <w:style w:type="character" w:customStyle="1" w:styleId="HeaderSensitivityRightChar">
    <w:name w:val="Header Sensitivity Right Char"/>
    <w:rsid w:val="00A30D6B"/>
    <w:rPr>
      <w:rFonts w:ascii="Times New Roman" w:hAnsi="Times New Roman" w:cs="Times New Roman"/>
      <w:sz w:val="28"/>
      <w:lang w:val="fr-FR"/>
    </w:rPr>
  </w:style>
  <w:style w:type="paragraph" w:customStyle="1" w:styleId="LegalNumPar">
    <w:name w:val="LegalNumPar"/>
    <w:basedOn w:val="Normal"/>
    <w:qFormat/>
    <w:rsid w:val="00A30D6B"/>
    <w:pPr>
      <w:numPr>
        <w:numId w:val="29"/>
      </w:numPr>
      <w:spacing w:line="360" w:lineRule="auto"/>
    </w:pPr>
    <w:rPr>
      <w:rFonts w:eastAsia="Times New Roman"/>
      <w:lang w:eastAsia="en-GB"/>
    </w:rPr>
  </w:style>
  <w:style w:type="paragraph" w:customStyle="1" w:styleId="LegalNumPar2">
    <w:name w:val="LegalNumPar2"/>
    <w:basedOn w:val="Normal"/>
    <w:qFormat/>
    <w:rsid w:val="00A30D6B"/>
    <w:pPr>
      <w:numPr>
        <w:ilvl w:val="1"/>
        <w:numId w:val="29"/>
      </w:numPr>
      <w:spacing w:line="360" w:lineRule="auto"/>
    </w:pPr>
    <w:rPr>
      <w:rFonts w:eastAsia="Times New Roman"/>
      <w:lang w:eastAsia="en-GB"/>
    </w:rPr>
  </w:style>
  <w:style w:type="paragraph" w:customStyle="1" w:styleId="LegalNumPar3">
    <w:name w:val="LegalNumPar3"/>
    <w:basedOn w:val="Normal"/>
    <w:rsid w:val="00A30D6B"/>
    <w:pPr>
      <w:numPr>
        <w:ilvl w:val="2"/>
        <w:numId w:val="29"/>
      </w:numPr>
      <w:spacing w:line="360" w:lineRule="auto"/>
    </w:pPr>
    <w:rPr>
      <w:rFonts w:eastAsia="Times New Roman"/>
      <w:lang w:eastAsia="en-GB"/>
    </w:rPr>
  </w:style>
  <w:style w:type="paragraph" w:styleId="ListParagraph">
    <w:name w:val="List Paragraph"/>
    <w:basedOn w:val="Normal"/>
    <w:uiPriority w:val="34"/>
    <w:qFormat/>
    <w:rsid w:val="00A30D6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30D6B"/>
    <w:rPr>
      <w:color w:val="605E5C"/>
      <w:shd w:val="clear" w:color="auto" w:fill="E1DFDD"/>
    </w:rPr>
  </w:style>
  <w:style w:type="character" w:styleId="Strong">
    <w:name w:val="Strong"/>
    <w:basedOn w:val="DefaultParagraphFont"/>
    <w:qFormat/>
    <w:rsid w:val="00A30D6B"/>
    <w:rPr>
      <w:b/>
      <w:bCs/>
    </w:rPr>
  </w:style>
  <w:style w:type="character" w:styleId="Emphasis">
    <w:name w:val="Emphasis"/>
    <w:basedOn w:val="DefaultParagraphFont"/>
    <w:qFormat/>
    <w:rsid w:val="00A30D6B"/>
    <w:rPr>
      <w:i/>
      <w:iCs/>
    </w:rPr>
  </w:style>
  <w:style w:type="character" w:customStyle="1" w:styleId="Mention1">
    <w:name w:val="Mention1"/>
    <w:basedOn w:val="DefaultParagraphFont"/>
    <w:uiPriority w:val="99"/>
    <w:unhideWhenUsed/>
    <w:rsid w:val="00A30D6B"/>
    <w:rPr>
      <w:color w:val="2B579A"/>
      <w:shd w:val="clear" w:color="auto" w:fill="E1DFDD"/>
    </w:rPr>
  </w:style>
  <w:style w:type="character" w:customStyle="1" w:styleId="normaltextrun">
    <w:name w:val="normaltextrun"/>
    <w:basedOn w:val="DefaultParagraphFont"/>
    <w:rsid w:val="00A30D6B"/>
  </w:style>
  <w:style w:type="character" w:customStyle="1" w:styleId="eop">
    <w:name w:val="eop"/>
    <w:basedOn w:val="DefaultParagraphFont"/>
    <w:rsid w:val="00A30D6B"/>
  </w:style>
  <w:style w:type="paragraph" w:styleId="NormalWeb">
    <w:name w:val="Normal (Web)"/>
    <w:basedOn w:val="Normal"/>
    <w:uiPriority w:val="99"/>
    <w:unhideWhenUsed/>
    <w:rsid w:val="003D0E65"/>
    <w:pPr>
      <w:spacing w:before="100" w:beforeAutospacing="1" w:after="100" w:afterAutospacing="1"/>
      <w:jc w:val="left"/>
    </w:pPr>
    <w:rPr>
      <w:rFonts w:eastAsia="Times New Roman"/>
      <w:szCs w:val="24"/>
      <w:lang w:eastAsia="en-IE"/>
    </w:rPr>
  </w:style>
  <w:style w:type="paragraph" w:customStyle="1" w:styleId="Article">
    <w:name w:val="Article"/>
    <w:basedOn w:val="Normal"/>
    <w:rsid w:val="00846A60"/>
    <w:pPr>
      <w:ind w:left="360"/>
      <w:jc w:val="center"/>
    </w:pPr>
    <w:rPr>
      <w:b/>
    </w:rPr>
  </w:style>
  <w:style w:type="paragraph" w:customStyle="1" w:styleId="paragraph">
    <w:name w:val="paragraph"/>
    <w:basedOn w:val="Normal"/>
    <w:rsid w:val="008B31F3"/>
    <w:pPr>
      <w:spacing w:before="100" w:beforeAutospacing="1" w:after="100" w:afterAutospacing="1"/>
      <w:jc w:val="left"/>
    </w:pPr>
    <w:rPr>
      <w:rFonts w:eastAsia="Times New Roman"/>
      <w:szCs w:val="24"/>
      <w:lang w:eastAsia="en-IE"/>
    </w:rPr>
  </w:style>
  <w:style w:type="character" w:customStyle="1" w:styleId="tabchar">
    <w:name w:val="tabchar"/>
    <w:basedOn w:val="DefaultParagraphFont"/>
    <w:rsid w:val="008B31F3"/>
  </w:style>
  <w:style w:type="character" w:customStyle="1" w:styleId="UnresolvedMention2">
    <w:name w:val="Unresolved Mention2"/>
    <w:basedOn w:val="DefaultParagraphFont"/>
    <w:uiPriority w:val="99"/>
    <w:semiHidden/>
    <w:unhideWhenUsed/>
    <w:rsid w:val="006A31D7"/>
    <w:rPr>
      <w:color w:val="605E5C"/>
      <w:shd w:val="clear" w:color="auto" w:fill="E1DFDD"/>
    </w:rPr>
  </w:style>
  <w:style w:type="character" w:customStyle="1" w:styleId="HeaderChar">
    <w:name w:val="Header Char"/>
    <w:basedOn w:val="DefaultParagraphFont"/>
    <w:link w:val="Header"/>
    <w:uiPriority w:val="99"/>
    <w:rsid w:val="00D549BE"/>
    <w:rPr>
      <w:rFonts w:ascii="Times New Roman" w:hAnsi="Times New Roman" w:cs="Times New Roman"/>
      <w:sz w:val="24"/>
    </w:rPr>
  </w:style>
  <w:style w:type="character" w:customStyle="1" w:styleId="FooterChar">
    <w:name w:val="Footer Char"/>
    <w:basedOn w:val="DefaultParagraphFont"/>
    <w:link w:val="Footer"/>
    <w:uiPriority w:val="99"/>
    <w:rsid w:val="00D549BE"/>
    <w:rPr>
      <w:rFonts w:ascii="Times New Roman" w:hAnsi="Times New Roman" w:cs="Times New Roman"/>
      <w:sz w:val="24"/>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fr-FR"/>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sid w:val="00707B52"/>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sid w:val="00707B52"/>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sid w:val="00707B52"/>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707B52"/>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549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549BE"/>
    <w:pPr>
      <w:spacing w:before="0"/>
      <w:jc w:val="right"/>
    </w:pPr>
    <w:rPr>
      <w:sz w:val="28"/>
    </w:rPr>
  </w:style>
  <w:style w:type="paragraph" w:customStyle="1" w:styleId="FooterSensitivity">
    <w:name w:val="Footer Sensitivity"/>
    <w:basedOn w:val="Normal"/>
    <w:rsid w:val="00D549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707B52"/>
    <w:pPr>
      <w:ind w:left="3118"/>
    </w:pPr>
  </w:style>
  <w:style w:type="paragraph" w:customStyle="1" w:styleId="Text6">
    <w:name w:val="Text 6"/>
    <w:basedOn w:val="Normal"/>
    <w:rsid w:val="00707B52"/>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707B52"/>
    <w:pPr>
      <w:ind w:left="3685"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Tiret5">
    <w:name w:val="Tiret 5"/>
    <w:basedOn w:val="Point5"/>
    <w:rsid w:val="00707B52"/>
    <w:pPr>
      <w:numPr>
        <w:numId w:val="6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8"/>
      </w:numPr>
    </w:pPr>
  </w:style>
  <w:style w:type="paragraph" w:customStyle="1" w:styleId="NumPar2">
    <w:name w:val="NumPar 2"/>
    <w:basedOn w:val="Normal"/>
    <w:next w:val="Text1"/>
    <w:pPr>
      <w:numPr>
        <w:ilvl w:val="1"/>
        <w:numId w:val="68"/>
      </w:numPr>
    </w:pPr>
  </w:style>
  <w:style w:type="paragraph" w:customStyle="1" w:styleId="NumPar3">
    <w:name w:val="NumPar 3"/>
    <w:basedOn w:val="Normal"/>
    <w:next w:val="Text1"/>
    <w:pPr>
      <w:numPr>
        <w:ilvl w:val="2"/>
        <w:numId w:val="68"/>
      </w:numPr>
    </w:pPr>
  </w:style>
  <w:style w:type="paragraph" w:customStyle="1" w:styleId="NumPar4">
    <w:name w:val="NumPar 4"/>
    <w:basedOn w:val="Normal"/>
    <w:next w:val="Text1"/>
    <w:pPr>
      <w:numPr>
        <w:ilvl w:val="3"/>
        <w:numId w:val="68"/>
      </w:numPr>
    </w:pPr>
  </w:style>
  <w:style w:type="paragraph" w:customStyle="1" w:styleId="NumPar5">
    <w:name w:val="NumPar 5"/>
    <w:basedOn w:val="Normal"/>
    <w:next w:val="Text2"/>
    <w:rsid w:val="00707B52"/>
    <w:pPr>
      <w:numPr>
        <w:ilvl w:val="4"/>
        <w:numId w:val="68"/>
      </w:numPr>
    </w:pPr>
  </w:style>
  <w:style w:type="paragraph" w:customStyle="1" w:styleId="NumPar6">
    <w:name w:val="NumPar 6"/>
    <w:basedOn w:val="Normal"/>
    <w:next w:val="Text2"/>
    <w:rsid w:val="00707B52"/>
    <w:pPr>
      <w:numPr>
        <w:ilvl w:val="5"/>
        <w:numId w:val="68"/>
      </w:numPr>
    </w:pPr>
  </w:style>
  <w:style w:type="paragraph" w:customStyle="1" w:styleId="NumPar7">
    <w:name w:val="NumPar 7"/>
    <w:basedOn w:val="Normal"/>
    <w:next w:val="Text2"/>
    <w:rsid w:val="00707B52"/>
    <w:pPr>
      <w:numPr>
        <w:ilvl w:val="6"/>
        <w:numId w:val="6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707B52"/>
    <w:pPr>
      <w:ind w:left="1417" w:hanging="1417"/>
    </w:pPr>
  </w:style>
  <w:style w:type="paragraph" w:customStyle="1" w:styleId="ManualNumPar6">
    <w:name w:val="Manual NumPar 6"/>
    <w:basedOn w:val="Normal"/>
    <w:next w:val="Text2"/>
    <w:rsid w:val="00707B52"/>
    <w:pPr>
      <w:ind w:left="1417" w:hanging="1417"/>
    </w:pPr>
  </w:style>
  <w:style w:type="paragraph" w:customStyle="1" w:styleId="ManualNumPar7">
    <w:name w:val="Manual NumPar 7"/>
    <w:basedOn w:val="Normal"/>
    <w:next w:val="Text2"/>
    <w:rsid w:val="00707B5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707B52"/>
    <w:pPr>
      <w:keepNext/>
      <w:tabs>
        <w:tab w:val="left" w:pos="1417"/>
      </w:tabs>
      <w:ind w:left="1417" w:hanging="1417"/>
      <w:outlineLvl w:val="4"/>
    </w:pPr>
  </w:style>
  <w:style w:type="paragraph" w:customStyle="1" w:styleId="ManualHeading6">
    <w:name w:val="Manual Heading 6"/>
    <w:basedOn w:val="Normal"/>
    <w:next w:val="Text2"/>
    <w:rsid w:val="00707B52"/>
    <w:pPr>
      <w:keepNext/>
      <w:tabs>
        <w:tab w:val="left" w:pos="1417"/>
      </w:tabs>
      <w:ind w:left="1417" w:hanging="1417"/>
      <w:outlineLvl w:val="5"/>
    </w:pPr>
  </w:style>
  <w:style w:type="paragraph" w:customStyle="1" w:styleId="ManualHeading7">
    <w:name w:val="Manual Heading 7"/>
    <w:basedOn w:val="Normal"/>
    <w:next w:val="Text2"/>
    <w:rsid w:val="00707B5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707B52"/>
    <w:pPr>
      <w:spacing w:before="0" w:after="0" w:line="276" w:lineRule="auto"/>
      <w:ind w:left="5103"/>
      <w:jc w:val="left"/>
    </w:pPr>
    <w:rPr>
      <w:sz w:val="28"/>
    </w:rPr>
  </w:style>
  <w:style w:type="paragraph" w:customStyle="1" w:styleId="DateMarking">
    <w:name w:val="DateMarking"/>
    <w:basedOn w:val="Normal"/>
    <w:rsid w:val="00707B52"/>
    <w:pPr>
      <w:spacing w:before="0" w:after="0" w:line="276" w:lineRule="auto"/>
      <w:ind w:left="5103"/>
      <w:jc w:val="left"/>
    </w:pPr>
    <w:rPr>
      <w:i/>
      <w:sz w:val="28"/>
    </w:rPr>
  </w:style>
  <w:style w:type="paragraph" w:customStyle="1" w:styleId="ReleasableTo">
    <w:name w:val="ReleasableTo"/>
    <w:basedOn w:val="Normal"/>
    <w:rsid w:val="00707B52"/>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549BE"/>
    <w:pPr>
      <w:tabs>
        <w:tab w:val="center" w:pos="4535"/>
        <w:tab w:val="right" w:pos="9071"/>
      </w:tabs>
      <w:spacing w:before="0"/>
    </w:pPr>
  </w:style>
  <w:style w:type="paragraph" w:customStyle="1" w:styleId="HeaderLandscape">
    <w:name w:val="HeaderLandscape"/>
    <w:basedOn w:val="Normal"/>
    <w:rsid w:val="00D549BE"/>
    <w:pPr>
      <w:tabs>
        <w:tab w:val="center" w:pos="7285"/>
        <w:tab w:val="right" w:pos="14003"/>
      </w:tabs>
      <w:spacing w:before="0"/>
    </w:pPr>
  </w:style>
  <w:style w:type="paragraph" w:styleId="Footer">
    <w:name w:val="footer"/>
    <w:basedOn w:val="Normal"/>
    <w:link w:val="FooterChar"/>
    <w:uiPriority w:val="99"/>
    <w:unhideWhenUsed/>
    <w:rsid w:val="00D549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549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797">
      <w:bodyDiv w:val="1"/>
      <w:marLeft w:val="0"/>
      <w:marRight w:val="0"/>
      <w:marTop w:val="0"/>
      <w:marBottom w:val="0"/>
      <w:divBdr>
        <w:top w:val="none" w:sz="0" w:space="0" w:color="auto"/>
        <w:left w:val="none" w:sz="0" w:space="0" w:color="auto"/>
        <w:bottom w:val="none" w:sz="0" w:space="0" w:color="auto"/>
        <w:right w:val="none" w:sz="0" w:space="0" w:color="auto"/>
      </w:divBdr>
    </w:div>
    <w:div w:id="33510328">
      <w:bodyDiv w:val="1"/>
      <w:marLeft w:val="0"/>
      <w:marRight w:val="0"/>
      <w:marTop w:val="0"/>
      <w:marBottom w:val="0"/>
      <w:divBdr>
        <w:top w:val="none" w:sz="0" w:space="0" w:color="auto"/>
        <w:left w:val="none" w:sz="0" w:space="0" w:color="auto"/>
        <w:bottom w:val="none" w:sz="0" w:space="0" w:color="auto"/>
        <w:right w:val="none" w:sz="0" w:space="0" w:color="auto"/>
      </w:divBdr>
      <w:divsChild>
        <w:div w:id="2109350296">
          <w:marLeft w:val="0"/>
          <w:marRight w:val="0"/>
          <w:marTop w:val="0"/>
          <w:marBottom w:val="0"/>
          <w:divBdr>
            <w:top w:val="none" w:sz="0" w:space="0" w:color="auto"/>
            <w:left w:val="none" w:sz="0" w:space="0" w:color="auto"/>
            <w:bottom w:val="none" w:sz="0" w:space="0" w:color="auto"/>
            <w:right w:val="none" w:sz="0" w:space="0" w:color="auto"/>
          </w:divBdr>
        </w:div>
        <w:div w:id="1727755579">
          <w:marLeft w:val="0"/>
          <w:marRight w:val="0"/>
          <w:marTop w:val="0"/>
          <w:marBottom w:val="0"/>
          <w:divBdr>
            <w:top w:val="none" w:sz="0" w:space="0" w:color="auto"/>
            <w:left w:val="none" w:sz="0" w:space="0" w:color="auto"/>
            <w:bottom w:val="none" w:sz="0" w:space="0" w:color="auto"/>
            <w:right w:val="none" w:sz="0" w:space="0" w:color="auto"/>
          </w:divBdr>
        </w:div>
        <w:div w:id="36971719">
          <w:marLeft w:val="0"/>
          <w:marRight w:val="0"/>
          <w:marTop w:val="0"/>
          <w:marBottom w:val="0"/>
          <w:divBdr>
            <w:top w:val="none" w:sz="0" w:space="0" w:color="auto"/>
            <w:left w:val="none" w:sz="0" w:space="0" w:color="auto"/>
            <w:bottom w:val="none" w:sz="0" w:space="0" w:color="auto"/>
            <w:right w:val="none" w:sz="0" w:space="0" w:color="auto"/>
          </w:divBdr>
        </w:div>
        <w:div w:id="1909463006">
          <w:marLeft w:val="0"/>
          <w:marRight w:val="0"/>
          <w:marTop w:val="0"/>
          <w:marBottom w:val="0"/>
          <w:divBdr>
            <w:top w:val="none" w:sz="0" w:space="0" w:color="auto"/>
            <w:left w:val="none" w:sz="0" w:space="0" w:color="auto"/>
            <w:bottom w:val="none" w:sz="0" w:space="0" w:color="auto"/>
            <w:right w:val="none" w:sz="0" w:space="0" w:color="auto"/>
          </w:divBdr>
        </w:div>
        <w:div w:id="1026174575">
          <w:marLeft w:val="0"/>
          <w:marRight w:val="0"/>
          <w:marTop w:val="0"/>
          <w:marBottom w:val="0"/>
          <w:divBdr>
            <w:top w:val="none" w:sz="0" w:space="0" w:color="auto"/>
            <w:left w:val="none" w:sz="0" w:space="0" w:color="auto"/>
            <w:bottom w:val="none" w:sz="0" w:space="0" w:color="auto"/>
            <w:right w:val="none" w:sz="0" w:space="0" w:color="auto"/>
          </w:divBdr>
        </w:div>
        <w:div w:id="1684286431">
          <w:marLeft w:val="0"/>
          <w:marRight w:val="0"/>
          <w:marTop w:val="0"/>
          <w:marBottom w:val="0"/>
          <w:divBdr>
            <w:top w:val="none" w:sz="0" w:space="0" w:color="auto"/>
            <w:left w:val="none" w:sz="0" w:space="0" w:color="auto"/>
            <w:bottom w:val="none" w:sz="0" w:space="0" w:color="auto"/>
            <w:right w:val="none" w:sz="0" w:space="0" w:color="auto"/>
          </w:divBdr>
        </w:div>
        <w:div w:id="544174354">
          <w:marLeft w:val="0"/>
          <w:marRight w:val="0"/>
          <w:marTop w:val="0"/>
          <w:marBottom w:val="0"/>
          <w:divBdr>
            <w:top w:val="none" w:sz="0" w:space="0" w:color="auto"/>
            <w:left w:val="none" w:sz="0" w:space="0" w:color="auto"/>
            <w:bottom w:val="none" w:sz="0" w:space="0" w:color="auto"/>
            <w:right w:val="none" w:sz="0" w:space="0" w:color="auto"/>
          </w:divBdr>
        </w:div>
        <w:div w:id="1539859590">
          <w:marLeft w:val="0"/>
          <w:marRight w:val="0"/>
          <w:marTop w:val="0"/>
          <w:marBottom w:val="0"/>
          <w:divBdr>
            <w:top w:val="none" w:sz="0" w:space="0" w:color="auto"/>
            <w:left w:val="none" w:sz="0" w:space="0" w:color="auto"/>
            <w:bottom w:val="none" w:sz="0" w:space="0" w:color="auto"/>
            <w:right w:val="none" w:sz="0" w:space="0" w:color="auto"/>
          </w:divBdr>
        </w:div>
        <w:div w:id="45494965">
          <w:marLeft w:val="0"/>
          <w:marRight w:val="0"/>
          <w:marTop w:val="0"/>
          <w:marBottom w:val="0"/>
          <w:divBdr>
            <w:top w:val="none" w:sz="0" w:space="0" w:color="auto"/>
            <w:left w:val="none" w:sz="0" w:space="0" w:color="auto"/>
            <w:bottom w:val="none" w:sz="0" w:space="0" w:color="auto"/>
            <w:right w:val="none" w:sz="0" w:space="0" w:color="auto"/>
          </w:divBdr>
        </w:div>
        <w:div w:id="1635595912">
          <w:marLeft w:val="0"/>
          <w:marRight w:val="0"/>
          <w:marTop w:val="0"/>
          <w:marBottom w:val="0"/>
          <w:divBdr>
            <w:top w:val="none" w:sz="0" w:space="0" w:color="auto"/>
            <w:left w:val="none" w:sz="0" w:space="0" w:color="auto"/>
            <w:bottom w:val="none" w:sz="0" w:space="0" w:color="auto"/>
            <w:right w:val="none" w:sz="0" w:space="0" w:color="auto"/>
          </w:divBdr>
        </w:div>
        <w:div w:id="521016739">
          <w:marLeft w:val="0"/>
          <w:marRight w:val="0"/>
          <w:marTop w:val="0"/>
          <w:marBottom w:val="0"/>
          <w:divBdr>
            <w:top w:val="none" w:sz="0" w:space="0" w:color="auto"/>
            <w:left w:val="none" w:sz="0" w:space="0" w:color="auto"/>
            <w:bottom w:val="none" w:sz="0" w:space="0" w:color="auto"/>
            <w:right w:val="none" w:sz="0" w:space="0" w:color="auto"/>
          </w:divBdr>
        </w:div>
        <w:div w:id="205915787">
          <w:marLeft w:val="0"/>
          <w:marRight w:val="0"/>
          <w:marTop w:val="0"/>
          <w:marBottom w:val="0"/>
          <w:divBdr>
            <w:top w:val="none" w:sz="0" w:space="0" w:color="auto"/>
            <w:left w:val="none" w:sz="0" w:space="0" w:color="auto"/>
            <w:bottom w:val="none" w:sz="0" w:space="0" w:color="auto"/>
            <w:right w:val="none" w:sz="0" w:space="0" w:color="auto"/>
          </w:divBdr>
        </w:div>
        <w:div w:id="101535894">
          <w:marLeft w:val="0"/>
          <w:marRight w:val="0"/>
          <w:marTop w:val="0"/>
          <w:marBottom w:val="0"/>
          <w:divBdr>
            <w:top w:val="none" w:sz="0" w:space="0" w:color="auto"/>
            <w:left w:val="none" w:sz="0" w:space="0" w:color="auto"/>
            <w:bottom w:val="none" w:sz="0" w:space="0" w:color="auto"/>
            <w:right w:val="none" w:sz="0" w:space="0" w:color="auto"/>
          </w:divBdr>
        </w:div>
        <w:div w:id="976227520">
          <w:marLeft w:val="0"/>
          <w:marRight w:val="0"/>
          <w:marTop w:val="0"/>
          <w:marBottom w:val="0"/>
          <w:divBdr>
            <w:top w:val="none" w:sz="0" w:space="0" w:color="auto"/>
            <w:left w:val="none" w:sz="0" w:space="0" w:color="auto"/>
            <w:bottom w:val="none" w:sz="0" w:space="0" w:color="auto"/>
            <w:right w:val="none" w:sz="0" w:space="0" w:color="auto"/>
          </w:divBdr>
        </w:div>
        <w:div w:id="631523474">
          <w:marLeft w:val="0"/>
          <w:marRight w:val="0"/>
          <w:marTop w:val="0"/>
          <w:marBottom w:val="0"/>
          <w:divBdr>
            <w:top w:val="none" w:sz="0" w:space="0" w:color="auto"/>
            <w:left w:val="none" w:sz="0" w:space="0" w:color="auto"/>
            <w:bottom w:val="none" w:sz="0" w:space="0" w:color="auto"/>
            <w:right w:val="none" w:sz="0" w:space="0" w:color="auto"/>
          </w:divBdr>
        </w:div>
        <w:div w:id="410548475">
          <w:marLeft w:val="0"/>
          <w:marRight w:val="0"/>
          <w:marTop w:val="0"/>
          <w:marBottom w:val="0"/>
          <w:divBdr>
            <w:top w:val="none" w:sz="0" w:space="0" w:color="auto"/>
            <w:left w:val="none" w:sz="0" w:space="0" w:color="auto"/>
            <w:bottom w:val="none" w:sz="0" w:space="0" w:color="auto"/>
            <w:right w:val="none" w:sz="0" w:space="0" w:color="auto"/>
          </w:divBdr>
        </w:div>
        <w:div w:id="1857117092">
          <w:marLeft w:val="0"/>
          <w:marRight w:val="0"/>
          <w:marTop w:val="0"/>
          <w:marBottom w:val="0"/>
          <w:divBdr>
            <w:top w:val="none" w:sz="0" w:space="0" w:color="auto"/>
            <w:left w:val="none" w:sz="0" w:space="0" w:color="auto"/>
            <w:bottom w:val="none" w:sz="0" w:space="0" w:color="auto"/>
            <w:right w:val="none" w:sz="0" w:space="0" w:color="auto"/>
          </w:divBdr>
        </w:div>
        <w:div w:id="1005135900">
          <w:marLeft w:val="0"/>
          <w:marRight w:val="0"/>
          <w:marTop w:val="0"/>
          <w:marBottom w:val="0"/>
          <w:divBdr>
            <w:top w:val="none" w:sz="0" w:space="0" w:color="auto"/>
            <w:left w:val="none" w:sz="0" w:space="0" w:color="auto"/>
            <w:bottom w:val="none" w:sz="0" w:space="0" w:color="auto"/>
            <w:right w:val="none" w:sz="0" w:space="0" w:color="auto"/>
          </w:divBdr>
        </w:div>
        <w:div w:id="1260913748">
          <w:marLeft w:val="0"/>
          <w:marRight w:val="0"/>
          <w:marTop w:val="0"/>
          <w:marBottom w:val="0"/>
          <w:divBdr>
            <w:top w:val="none" w:sz="0" w:space="0" w:color="auto"/>
            <w:left w:val="none" w:sz="0" w:space="0" w:color="auto"/>
            <w:bottom w:val="none" w:sz="0" w:space="0" w:color="auto"/>
            <w:right w:val="none" w:sz="0" w:space="0" w:color="auto"/>
          </w:divBdr>
        </w:div>
        <w:div w:id="169879398">
          <w:marLeft w:val="0"/>
          <w:marRight w:val="0"/>
          <w:marTop w:val="0"/>
          <w:marBottom w:val="0"/>
          <w:divBdr>
            <w:top w:val="none" w:sz="0" w:space="0" w:color="auto"/>
            <w:left w:val="none" w:sz="0" w:space="0" w:color="auto"/>
            <w:bottom w:val="none" w:sz="0" w:space="0" w:color="auto"/>
            <w:right w:val="none" w:sz="0" w:space="0" w:color="auto"/>
          </w:divBdr>
        </w:div>
        <w:div w:id="155390611">
          <w:marLeft w:val="0"/>
          <w:marRight w:val="0"/>
          <w:marTop w:val="0"/>
          <w:marBottom w:val="0"/>
          <w:divBdr>
            <w:top w:val="none" w:sz="0" w:space="0" w:color="auto"/>
            <w:left w:val="none" w:sz="0" w:space="0" w:color="auto"/>
            <w:bottom w:val="none" w:sz="0" w:space="0" w:color="auto"/>
            <w:right w:val="none" w:sz="0" w:space="0" w:color="auto"/>
          </w:divBdr>
        </w:div>
        <w:div w:id="838425604">
          <w:marLeft w:val="0"/>
          <w:marRight w:val="0"/>
          <w:marTop w:val="0"/>
          <w:marBottom w:val="0"/>
          <w:divBdr>
            <w:top w:val="none" w:sz="0" w:space="0" w:color="auto"/>
            <w:left w:val="none" w:sz="0" w:space="0" w:color="auto"/>
            <w:bottom w:val="none" w:sz="0" w:space="0" w:color="auto"/>
            <w:right w:val="none" w:sz="0" w:space="0" w:color="auto"/>
          </w:divBdr>
        </w:div>
        <w:div w:id="663702502">
          <w:marLeft w:val="0"/>
          <w:marRight w:val="0"/>
          <w:marTop w:val="0"/>
          <w:marBottom w:val="0"/>
          <w:divBdr>
            <w:top w:val="none" w:sz="0" w:space="0" w:color="auto"/>
            <w:left w:val="none" w:sz="0" w:space="0" w:color="auto"/>
            <w:bottom w:val="none" w:sz="0" w:space="0" w:color="auto"/>
            <w:right w:val="none" w:sz="0" w:space="0" w:color="auto"/>
          </w:divBdr>
        </w:div>
        <w:div w:id="1459255892">
          <w:marLeft w:val="0"/>
          <w:marRight w:val="0"/>
          <w:marTop w:val="0"/>
          <w:marBottom w:val="0"/>
          <w:divBdr>
            <w:top w:val="none" w:sz="0" w:space="0" w:color="auto"/>
            <w:left w:val="none" w:sz="0" w:space="0" w:color="auto"/>
            <w:bottom w:val="none" w:sz="0" w:space="0" w:color="auto"/>
            <w:right w:val="none" w:sz="0" w:space="0" w:color="auto"/>
          </w:divBdr>
        </w:div>
      </w:divsChild>
    </w:div>
    <w:div w:id="83261873">
      <w:bodyDiv w:val="1"/>
      <w:marLeft w:val="0"/>
      <w:marRight w:val="0"/>
      <w:marTop w:val="0"/>
      <w:marBottom w:val="0"/>
      <w:divBdr>
        <w:top w:val="none" w:sz="0" w:space="0" w:color="auto"/>
        <w:left w:val="none" w:sz="0" w:space="0" w:color="auto"/>
        <w:bottom w:val="none" w:sz="0" w:space="0" w:color="auto"/>
        <w:right w:val="none" w:sz="0" w:space="0" w:color="auto"/>
      </w:divBdr>
    </w:div>
    <w:div w:id="142507512">
      <w:bodyDiv w:val="1"/>
      <w:marLeft w:val="0"/>
      <w:marRight w:val="0"/>
      <w:marTop w:val="0"/>
      <w:marBottom w:val="0"/>
      <w:divBdr>
        <w:top w:val="none" w:sz="0" w:space="0" w:color="auto"/>
        <w:left w:val="none" w:sz="0" w:space="0" w:color="auto"/>
        <w:bottom w:val="none" w:sz="0" w:space="0" w:color="auto"/>
        <w:right w:val="none" w:sz="0" w:space="0" w:color="auto"/>
      </w:divBdr>
    </w:div>
    <w:div w:id="181819381">
      <w:bodyDiv w:val="1"/>
      <w:marLeft w:val="0"/>
      <w:marRight w:val="0"/>
      <w:marTop w:val="0"/>
      <w:marBottom w:val="0"/>
      <w:divBdr>
        <w:top w:val="none" w:sz="0" w:space="0" w:color="auto"/>
        <w:left w:val="none" w:sz="0" w:space="0" w:color="auto"/>
        <w:bottom w:val="none" w:sz="0" w:space="0" w:color="auto"/>
        <w:right w:val="none" w:sz="0" w:space="0" w:color="auto"/>
      </w:divBdr>
    </w:div>
    <w:div w:id="351617636">
      <w:bodyDiv w:val="1"/>
      <w:marLeft w:val="0"/>
      <w:marRight w:val="0"/>
      <w:marTop w:val="0"/>
      <w:marBottom w:val="0"/>
      <w:divBdr>
        <w:top w:val="none" w:sz="0" w:space="0" w:color="auto"/>
        <w:left w:val="none" w:sz="0" w:space="0" w:color="auto"/>
        <w:bottom w:val="none" w:sz="0" w:space="0" w:color="auto"/>
        <w:right w:val="none" w:sz="0" w:space="0" w:color="auto"/>
      </w:divBdr>
      <w:divsChild>
        <w:div w:id="1266157285">
          <w:marLeft w:val="0"/>
          <w:marRight w:val="0"/>
          <w:marTop w:val="0"/>
          <w:marBottom w:val="0"/>
          <w:divBdr>
            <w:top w:val="none" w:sz="0" w:space="0" w:color="auto"/>
            <w:left w:val="none" w:sz="0" w:space="0" w:color="auto"/>
            <w:bottom w:val="none" w:sz="0" w:space="0" w:color="auto"/>
            <w:right w:val="none" w:sz="0" w:space="0" w:color="auto"/>
          </w:divBdr>
        </w:div>
      </w:divsChild>
    </w:div>
    <w:div w:id="351809553">
      <w:bodyDiv w:val="1"/>
      <w:marLeft w:val="0"/>
      <w:marRight w:val="0"/>
      <w:marTop w:val="0"/>
      <w:marBottom w:val="0"/>
      <w:divBdr>
        <w:top w:val="none" w:sz="0" w:space="0" w:color="auto"/>
        <w:left w:val="none" w:sz="0" w:space="0" w:color="auto"/>
        <w:bottom w:val="none" w:sz="0" w:space="0" w:color="auto"/>
        <w:right w:val="none" w:sz="0" w:space="0" w:color="auto"/>
      </w:divBdr>
    </w:div>
    <w:div w:id="368458047">
      <w:bodyDiv w:val="1"/>
      <w:marLeft w:val="0"/>
      <w:marRight w:val="0"/>
      <w:marTop w:val="0"/>
      <w:marBottom w:val="0"/>
      <w:divBdr>
        <w:top w:val="none" w:sz="0" w:space="0" w:color="auto"/>
        <w:left w:val="none" w:sz="0" w:space="0" w:color="auto"/>
        <w:bottom w:val="none" w:sz="0" w:space="0" w:color="auto"/>
        <w:right w:val="none" w:sz="0" w:space="0" w:color="auto"/>
      </w:divBdr>
      <w:divsChild>
        <w:div w:id="1384794126">
          <w:marLeft w:val="0"/>
          <w:marRight w:val="0"/>
          <w:marTop w:val="0"/>
          <w:marBottom w:val="0"/>
          <w:divBdr>
            <w:top w:val="none" w:sz="0" w:space="0" w:color="auto"/>
            <w:left w:val="none" w:sz="0" w:space="0" w:color="auto"/>
            <w:bottom w:val="none" w:sz="0" w:space="0" w:color="auto"/>
            <w:right w:val="none" w:sz="0" w:space="0" w:color="auto"/>
          </w:divBdr>
        </w:div>
      </w:divsChild>
    </w:div>
    <w:div w:id="488788427">
      <w:bodyDiv w:val="1"/>
      <w:marLeft w:val="0"/>
      <w:marRight w:val="0"/>
      <w:marTop w:val="0"/>
      <w:marBottom w:val="0"/>
      <w:divBdr>
        <w:top w:val="none" w:sz="0" w:space="0" w:color="auto"/>
        <w:left w:val="none" w:sz="0" w:space="0" w:color="auto"/>
        <w:bottom w:val="none" w:sz="0" w:space="0" w:color="auto"/>
        <w:right w:val="none" w:sz="0" w:space="0" w:color="auto"/>
      </w:divBdr>
    </w:div>
    <w:div w:id="507523025">
      <w:bodyDiv w:val="1"/>
      <w:marLeft w:val="0"/>
      <w:marRight w:val="0"/>
      <w:marTop w:val="0"/>
      <w:marBottom w:val="0"/>
      <w:divBdr>
        <w:top w:val="none" w:sz="0" w:space="0" w:color="auto"/>
        <w:left w:val="none" w:sz="0" w:space="0" w:color="auto"/>
        <w:bottom w:val="none" w:sz="0" w:space="0" w:color="auto"/>
        <w:right w:val="none" w:sz="0" w:space="0" w:color="auto"/>
      </w:divBdr>
      <w:divsChild>
        <w:div w:id="1017122668">
          <w:marLeft w:val="0"/>
          <w:marRight w:val="0"/>
          <w:marTop w:val="0"/>
          <w:marBottom w:val="0"/>
          <w:divBdr>
            <w:top w:val="none" w:sz="0" w:space="0" w:color="auto"/>
            <w:left w:val="none" w:sz="0" w:space="0" w:color="auto"/>
            <w:bottom w:val="none" w:sz="0" w:space="0" w:color="auto"/>
            <w:right w:val="none" w:sz="0" w:space="0" w:color="auto"/>
          </w:divBdr>
        </w:div>
        <w:div w:id="1084911060">
          <w:marLeft w:val="0"/>
          <w:marRight w:val="0"/>
          <w:marTop w:val="0"/>
          <w:marBottom w:val="0"/>
          <w:divBdr>
            <w:top w:val="none" w:sz="0" w:space="0" w:color="auto"/>
            <w:left w:val="none" w:sz="0" w:space="0" w:color="auto"/>
            <w:bottom w:val="none" w:sz="0" w:space="0" w:color="auto"/>
            <w:right w:val="none" w:sz="0" w:space="0" w:color="auto"/>
          </w:divBdr>
        </w:div>
        <w:div w:id="125784871">
          <w:marLeft w:val="0"/>
          <w:marRight w:val="0"/>
          <w:marTop w:val="0"/>
          <w:marBottom w:val="0"/>
          <w:divBdr>
            <w:top w:val="none" w:sz="0" w:space="0" w:color="auto"/>
            <w:left w:val="none" w:sz="0" w:space="0" w:color="auto"/>
            <w:bottom w:val="none" w:sz="0" w:space="0" w:color="auto"/>
            <w:right w:val="none" w:sz="0" w:space="0" w:color="auto"/>
          </w:divBdr>
        </w:div>
        <w:div w:id="278145585">
          <w:marLeft w:val="0"/>
          <w:marRight w:val="0"/>
          <w:marTop w:val="0"/>
          <w:marBottom w:val="0"/>
          <w:divBdr>
            <w:top w:val="none" w:sz="0" w:space="0" w:color="auto"/>
            <w:left w:val="none" w:sz="0" w:space="0" w:color="auto"/>
            <w:bottom w:val="none" w:sz="0" w:space="0" w:color="auto"/>
            <w:right w:val="none" w:sz="0" w:space="0" w:color="auto"/>
          </w:divBdr>
        </w:div>
        <w:div w:id="701712926">
          <w:marLeft w:val="0"/>
          <w:marRight w:val="0"/>
          <w:marTop w:val="0"/>
          <w:marBottom w:val="0"/>
          <w:divBdr>
            <w:top w:val="none" w:sz="0" w:space="0" w:color="auto"/>
            <w:left w:val="none" w:sz="0" w:space="0" w:color="auto"/>
            <w:bottom w:val="none" w:sz="0" w:space="0" w:color="auto"/>
            <w:right w:val="none" w:sz="0" w:space="0" w:color="auto"/>
          </w:divBdr>
        </w:div>
        <w:div w:id="2091929249">
          <w:marLeft w:val="0"/>
          <w:marRight w:val="0"/>
          <w:marTop w:val="0"/>
          <w:marBottom w:val="0"/>
          <w:divBdr>
            <w:top w:val="none" w:sz="0" w:space="0" w:color="auto"/>
            <w:left w:val="none" w:sz="0" w:space="0" w:color="auto"/>
            <w:bottom w:val="none" w:sz="0" w:space="0" w:color="auto"/>
            <w:right w:val="none" w:sz="0" w:space="0" w:color="auto"/>
          </w:divBdr>
        </w:div>
        <w:div w:id="166529191">
          <w:marLeft w:val="0"/>
          <w:marRight w:val="0"/>
          <w:marTop w:val="0"/>
          <w:marBottom w:val="0"/>
          <w:divBdr>
            <w:top w:val="none" w:sz="0" w:space="0" w:color="auto"/>
            <w:left w:val="none" w:sz="0" w:space="0" w:color="auto"/>
            <w:bottom w:val="none" w:sz="0" w:space="0" w:color="auto"/>
            <w:right w:val="none" w:sz="0" w:space="0" w:color="auto"/>
          </w:divBdr>
        </w:div>
        <w:div w:id="1786269936">
          <w:marLeft w:val="0"/>
          <w:marRight w:val="0"/>
          <w:marTop w:val="0"/>
          <w:marBottom w:val="0"/>
          <w:divBdr>
            <w:top w:val="none" w:sz="0" w:space="0" w:color="auto"/>
            <w:left w:val="none" w:sz="0" w:space="0" w:color="auto"/>
            <w:bottom w:val="none" w:sz="0" w:space="0" w:color="auto"/>
            <w:right w:val="none" w:sz="0" w:space="0" w:color="auto"/>
          </w:divBdr>
        </w:div>
        <w:div w:id="601883614">
          <w:marLeft w:val="0"/>
          <w:marRight w:val="0"/>
          <w:marTop w:val="0"/>
          <w:marBottom w:val="0"/>
          <w:divBdr>
            <w:top w:val="none" w:sz="0" w:space="0" w:color="auto"/>
            <w:left w:val="none" w:sz="0" w:space="0" w:color="auto"/>
            <w:bottom w:val="none" w:sz="0" w:space="0" w:color="auto"/>
            <w:right w:val="none" w:sz="0" w:space="0" w:color="auto"/>
          </w:divBdr>
        </w:div>
        <w:div w:id="1805613010">
          <w:marLeft w:val="0"/>
          <w:marRight w:val="0"/>
          <w:marTop w:val="0"/>
          <w:marBottom w:val="0"/>
          <w:divBdr>
            <w:top w:val="none" w:sz="0" w:space="0" w:color="auto"/>
            <w:left w:val="none" w:sz="0" w:space="0" w:color="auto"/>
            <w:bottom w:val="none" w:sz="0" w:space="0" w:color="auto"/>
            <w:right w:val="none" w:sz="0" w:space="0" w:color="auto"/>
          </w:divBdr>
        </w:div>
        <w:div w:id="1407994693">
          <w:marLeft w:val="0"/>
          <w:marRight w:val="0"/>
          <w:marTop w:val="0"/>
          <w:marBottom w:val="0"/>
          <w:divBdr>
            <w:top w:val="none" w:sz="0" w:space="0" w:color="auto"/>
            <w:left w:val="none" w:sz="0" w:space="0" w:color="auto"/>
            <w:bottom w:val="none" w:sz="0" w:space="0" w:color="auto"/>
            <w:right w:val="none" w:sz="0" w:space="0" w:color="auto"/>
          </w:divBdr>
        </w:div>
        <w:div w:id="958801697">
          <w:marLeft w:val="0"/>
          <w:marRight w:val="0"/>
          <w:marTop w:val="0"/>
          <w:marBottom w:val="0"/>
          <w:divBdr>
            <w:top w:val="none" w:sz="0" w:space="0" w:color="auto"/>
            <w:left w:val="none" w:sz="0" w:space="0" w:color="auto"/>
            <w:bottom w:val="none" w:sz="0" w:space="0" w:color="auto"/>
            <w:right w:val="none" w:sz="0" w:space="0" w:color="auto"/>
          </w:divBdr>
        </w:div>
        <w:div w:id="563444868">
          <w:marLeft w:val="0"/>
          <w:marRight w:val="0"/>
          <w:marTop w:val="0"/>
          <w:marBottom w:val="0"/>
          <w:divBdr>
            <w:top w:val="none" w:sz="0" w:space="0" w:color="auto"/>
            <w:left w:val="none" w:sz="0" w:space="0" w:color="auto"/>
            <w:bottom w:val="none" w:sz="0" w:space="0" w:color="auto"/>
            <w:right w:val="none" w:sz="0" w:space="0" w:color="auto"/>
          </w:divBdr>
        </w:div>
        <w:div w:id="36590137">
          <w:marLeft w:val="0"/>
          <w:marRight w:val="0"/>
          <w:marTop w:val="0"/>
          <w:marBottom w:val="0"/>
          <w:divBdr>
            <w:top w:val="none" w:sz="0" w:space="0" w:color="auto"/>
            <w:left w:val="none" w:sz="0" w:space="0" w:color="auto"/>
            <w:bottom w:val="none" w:sz="0" w:space="0" w:color="auto"/>
            <w:right w:val="none" w:sz="0" w:space="0" w:color="auto"/>
          </w:divBdr>
        </w:div>
        <w:div w:id="2020963988">
          <w:marLeft w:val="0"/>
          <w:marRight w:val="0"/>
          <w:marTop w:val="0"/>
          <w:marBottom w:val="0"/>
          <w:divBdr>
            <w:top w:val="none" w:sz="0" w:space="0" w:color="auto"/>
            <w:left w:val="none" w:sz="0" w:space="0" w:color="auto"/>
            <w:bottom w:val="none" w:sz="0" w:space="0" w:color="auto"/>
            <w:right w:val="none" w:sz="0" w:space="0" w:color="auto"/>
          </w:divBdr>
        </w:div>
        <w:div w:id="896165509">
          <w:marLeft w:val="0"/>
          <w:marRight w:val="0"/>
          <w:marTop w:val="0"/>
          <w:marBottom w:val="0"/>
          <w:divBdr>
            <w:top w:val="none" w:sz="0" w:space="0" w:color="auto"/>
            <w:left w:val="none" w:sz="0" w:space="0" w:color="auto"/>
            <w:bottom w:val="none" w:sz="0" w:space="0" w:color="auto"/>
            <w:right w:val="none" w:sz="0" w:space="0" w:color="auto"/>
          </w:divBdr>
        </w:div>
        <w:div w:id="888031781">
          <w:marLeft w:val="0"/>
          <w:marRight w:val="0"/>
          <w:marTop w:val="0"/>
          <w:marBottom w:val="0"/>
          <w:divBdr>
            <w:top w:val="none" w:sz="0" w:space="0" w:color="auto"/>
            <w:left w:val="none" w:sz="0" w:space="0" w:color="auto"/>
            <w:bottom w:val="none" w:sz="0" w:space="0" w:color="auto"/>
            <w:right w:val="none" w:sz="0" w:space="0" w:color="auto"/>
          </w:divBdr>
        </w:div>
        <w:div w:id="102002413">
          <w:marLeft w:val="0"/>
          <w:marRight w:val="0"/>
          <w:marTop w:val="0"/>
          <w:marBottom w:val="0"/>
          <w:divBdr>
            <w:top w:val="none" w:sz="0" w:space="0" w:color="auto"/>
            <w:left w:val="none" w:sz="0" w:space="0" w:color="auto"/>
            <w:bottom w:val="none" w:sz="0" w:space="0" w:color="auto"/>
            <w:right w:val="none" w:sz="0" w:space="0" w:color="auto"/>
          </w:divBdr>
        </w:div>
        <w:div w:id="622425993">
          <w:marLeft w:val="0"/>
          <w:marRight w:val="0"/>
          <w:marTop w:val="0"/>
          <w:marBottom w:val="0"/>
          <w:divBdr>
            <w:top w:val="none" w:sz="0" w:space="0" w:color="auto"/>
            <w:left w:val="none" w:sz="0" w:space="0" w:color="auto"/>
            <w:bottom w:val="none" w:sz="0" w:space="0" w:color="auto"/>
            <w:right w:val="none" w:sz="0" w:space="0" w:color="auto"/>
          </w:divBdr>
        </w:div>
        <w:div w:id="1575168649">
          <w:marLeft w:val="0"/>
          <w:marRight w:val="0"/>
          <w:marTop w:val="0"/>
          <w:marBottom w:val="0"/>
          <w:divBdr>
            <w:top w:val="none" w:sz="0" w:space="0" w:color="auto"/>
            <w:left w:val="none" w:sz="0" w:space="0" w:color="auto"/>
            <w:bottom w:val="none" w:sz="0" w:space="0" w:color="auto"/>
            <w:right w:val="none" w:sz="0" w:space="0" w:color="auto"/>
          </w:divBdr>
        </w:div>
        <w:div w:id="1322201587">
          <w:marLeft w:val="0"/>
          <w:marRight w:val="0"/>
          <w:marTop w:val="0"/>
          <w:marBottom w:val="0"/>
          <w:divBdr>
            <w:top w:val="none" w:sz="0" w:space="0" w:color="auto"/>
            <w:left w:val="none" w:sz="0" w:space="0" w:color="auto"/>
            <w:bottom w:val="none" w:sz="0" w:space="0" w:color="auto"/>
            <w:right w:val="none" w:sz="0" w:space="0" w:color="auto"/>
          </w:divBdr>
        </w:div>
        <w:div w:id="1082333820">
          <w:marLeft w:val="0"/>
          <w:marRight w:val="0"/>
          <w:marTop w:val="0"/>
          <w:marBottom w:val="0"/>
          <w:divBdr>
            <w:top w:val="none" w:sz="0" w:space="0" w:color="auto"/>
            <w:left w:val="none" w:sz="0" w:space="0" w:color="auto"/>
            <w:bottom w:val="none" w:sz="0" w:space="0" w:color="auto"/>
            <w:right w:val="none" w:sz="0" w:space="0" w:color="auto"/>
          </w:divBdr>
        </w:div>
        <w:div w:id="514000832">
          <w:marLeft w:val="0"/>
          <w:marRight w:val="0"/>
          <w:marTop w:val="0"/>
          <w:marBottom w:val="0"/>
          <w:divBdr>
            <w:top w:val="none" w:sz="0" w:space="0" w:color="auto"/>
            <w:left w:val="none" w:sz="0" w:space="0" w:color="auto"/>
            <w:bottom w:val="none" w:sz="0" w:space="0" w:color="auto"/>
            <w:right w:val="none" w:sz="0" w:space="0" w:color="auto"/>
          </w:divBdr>
        </w:div>
        <w:div w:id="1694696249">
          <w:marLeft w:val="0"/>
          <w:marRight w:val="0"/>
          <w:marTop w:val="0"/>
          <w:marBottom w:val="0"/>
          <w:divBdr>
            <w:top w:val="none" w:sz="0" w:space="0" w:color="auto"/>
            <w:left w:val="none" w:sz="0" w:space="0" w:color="auto"/>
            <w:bottom w:val="none" w:sz="0" w:space="0" w:color="auto"/>
            <w:right w:val="none" w:sz="0" w:space="0" w:color="auto"/>
          </w:divBdr>
        </w:div>
      </w:divsChild>
    </w:div>
    <w:div w:id="525944173">
      <w:bodyDiv w:val="1"/>
      <w:marLeft w:val="0"/>
      <w:marRight w:val="0"/>
      <w:marTop w:val="0"/>
      <w:marBottom w:val="0"/>
      <w:divBdr>
        <w:top w:val="none" w:sz="0" w:space="0" w:color="auto"/>
        <w:left w:val="none" w:sz="0" w:space="0" w:color="auto"/>
        <w:bottom w:val="none" w:sz="0" w:space="0" w:color="auto"/>
        <w:right w:val="none" w:sz="0" w:space="0" w:color="auto"/>
      </w:divBdr>
    </w:div>
    <w:div w:id="558782044">
      <w:bodyDiv w:val="1"/>
      <w:marLeft w:val="0"/>
      <w:marRight w:val="0"/>
      <w:marTop w:val="0"/>
      <w:marBottom w:val="0"/>
      <w:divBdr>
        <w:top w:val="none" w:sz="0" w:space="0" w:color="auto"/>
        <w:left w:val="none" w:sz="0" w:space="0" w:color="auto"/>
        <w:bottom w:val="none" w:sz="0" w:space="0" w:color="auto"/>
        <w:right w:val="none" w:sz="0" w:space="0" w:color="auto"/>
      </w:divBdr>
      <w:divsChild>
        <w:div w:id="931745008">
          <w:marLeft w:val="0"/>
          <w:marRight w:val="0"/>
          <w:marTop w:val="0"/>
          <w:marBottom w:val="0"/>
          <w:divBdr>
            <w:top w:val="none" w:sz="0" w:space="0" w:color="auto"/>
            <w:left w:val="none" w:sz="0" w:space="0" w:color="auto"/>
            <w:bottom w:val="none" w:sz="0" w:space="0" w:color="auto"/>
            <w:right w:val="none" w:sz="0" w:space="0" w:color="auto"/>
          </w:divBdr>
          <w:divsChild>
            <w:div w:id="1017269709">
              <w:marLeft w:val="0"/>
              <w:marRight w:val="0"/>
              <w:marTop w:val="0"/>
              <w:marBottom w:val="0"/>
              <w:divBdr>
                <w:top w:val="none" w:sz="0" w:space="0" w:color="auto"/>
                <w:left w:val="none" w:sz="0" w:space="0" w:color="auto"/>
                <w:bottom w:val="none" w:sz="0" w:space="0" w:color="auto"/>
                <w:right w:val="none" w:sz="0" w:space="0" w:color="auto"/>
              </w:divBdr>
            </w:div>
            <w:div w:id="1097825756">
              <w:marLeft w:val="0"/>
              <w:marRight w:val="0"/>
              <w:marTop w:val="0"/>
              <w:marBottom w:val="0"/>
              <w:divBdr>
                <w:top w:val="none" w:sz="0" w:space="0" w:color="auto"/>
                <w:left w:val="none" w:sz="0" w:space="0" w:color="auto"/>
                <w:bottom w:val="none" w:sz="0" w:space="0" w:color="auto"/>
                <w:right w:val="none" w:sz="0" w:space="0" w:color="auto"/>
              </w:divBdr>
            </w:div>
            <w:div w:id="2024167502">
              <w:marLeft w:val="0"/>
              <w:marRight w:val="0"/>
              <w:marTop w:val="0"/>
              <w:marBottom w:val="0"/>
              <w:divBdr>
                <w:top w:val="none" w:sz="0" w:space="0" w:color="auto"/>
                <w:left w:val="none" w:sz="0" w:space="0" w:color="auto"/>
                <w:bottom w:val="none" w:sz="0" w:space="0" w:color="auto"/>
                <w:right w:val="none" w:sz="0" w:space="0" w:color="auto"/>
              </w:divBdr>
            </w:div>
          </w:divsChild>
        </w:div>
        <w:div w:id="1568833335">
          <w:marLeft w:val="0"/>
          <w:marRight w:val="0"/>
          <w:marTop w:val="0"/>
          <w:marBottom w:val="0"/>
          <w:divBdr>
            <w:top w:val="none" w:sz="0" w:space="0" w:color="auto"/>
            <w:left w:val="none" w:sz="0" w:space="0" w:color="auto"/>
            <w:bottom w:val="none" w:sz="0" w:space="0" w:color="auto"/>
            <w:right w:val="none" w:sz="0" w:space="0" w:color="auto"/>
          </w:divBdr>
        </w:div>
      </w:divsChild>
    </w:div>
    <w:div w:id="565143652">
      <w:bodyDiv w:val="1"/>
      <w:marLeft w:val="0"/>
      <w:marRight w:val="0"/>
      <w:marTop w:val="0"/>
      <w:marBottom w:val="0"/>
      <w:divBdr>
        <w:top w:val="none" w:sz="0" w:space="0" w:color="auto"/>
        <w:left w:val="none" w:sz="0" w:space="0" w:color="auto"/>
        <w:bottom w:val="none" w:sz="0" w:space="0" w:color="auto"/>
        <w:right w:val="none" w:sz="0" w:space="0" w:color="auto"/>
      </w:divBdr>
      <w:divsChild>
        <w:div w:id="5906986">
          <w:marLeft w:val="0"/>
          <w:marRight w:val="0"/>
          <w:marTop w:val="0"/>
          <w:marBottom w:val="0"/>
          <w:divBdr>
            <w:top w:val="none" w:sz="0" w:space="0" w:color="auto"/>
            <w:left w:val="none" w:sz="0" w:space="0" w:color="auto"/>
            <w:bottom w:val="none" w:sz="0" w:space="0" w:color="auto"/>
            <w:right w:val="none" w:sz="0" w:space="0" w:color="auto"/>
          </w:divBdr>
        </w:div>
        <w:div w:id="1199001809">
          <w:marLeft w:val="0"/>
          <w:marRight w:val="0"/>
          <w:marTop w:val="0"/>
          <w:marBottom w:val="0"/>
          <w:divBdr>
            <w:top w:val="none" w:sz="0" w:space="0" w:color="auto"/>
            <w:left w:val="none" w:sz="0" w:space="0" w:color="auto"/>
            <w:bottom w:val="none" w:sz="0" w:space="0" w:color="auto"/>
            <w:right w:val="none" w:sz="0" w:space="0" w:color="auto"/>
          </w:divBdr>
        </w:div>
        <w:div w:id="1969125113">
          <w:marLeft w:val="0"/>
          <w:marRight w:val="0"/>
          <w:marTop w:val="0"/>
          <w:marBottom w:val="0"/>
          <w:divBdr>
            <w:top w:val="none" w:sz="0" w:space="0" w:color="auto"/>
            <w:left w:val="none" w:sz="0" w:space="0" w:color="auto"/>
            <w:bottom w:val="none" w:sz="0" w:space="0" w:color="auto"/>
            <w:right w:val="none" w:sz="0" w:space="0" w:color="auto"/>
          </w:divBdr>
        </w:div>
        <w:div w:id="1640265337">
          <w:marLeft w:val="0"/>
          <w:marRight w:val="0"/>
          <w:marTop w:val="0"/>
          <w:marBottom w:val="0"/>
          <w:divBdr>
            <w:top w:val="none" w:sz="0" w:space="0" w:color="auto"/>
            <w:left w:val="none" w:sz="0" w:space="0" w:color="auto"/>
            <w:bottom w:val="none" w:sz="0" w:space="0" w:color="auto"/>
            <w:right w:val="none" w:sz="0" w:space="0" w:color="auto"/>
          </w:divBdr>
        </w:div>
        <w:div w:id="992367902">
          <w:marLeft w:val="0"/>
          <w:marRight w:val="0"/>
          <w:marTop w:val="0"/>
          <w:marBottom w:val="0"/>
          <w:divBdr>
            <w:top w:val="none" w:sz="0" w:space="0" w:color="auto"/>
            <w:left w:val="none" w:sz="0" w:space="0" w:color="auto"/>
            <w:bottom w:val="none" w:sz="0" w:space="0" w:color="auto"/>
            <w:right w:val="none" w:sz="0" w:space="0" w:color="auto"/>
          </w:divBdr>
        </w:div>
        <w:div w:id="309335501">
          <w:marLeft w:val="0"/>
          <w:marRight w:val="0"/>
          <w:marTop w:val="0"/>
          <w:marBottom w:val="0"/>
          <w:divBdr>
            <w:top w:val="none" w:sz="0" w:space="0" w:color="auto"/>
            <w:left w:val="none" w:sz="0" w:space="0" w:color="auto"/>
            <w:bottom w:val="none" w:sz="0" w:space="0" w:color="auto"/>
            <w:right w:val="none" w:sz="0" w:space="0" w:color="auto"/>
          </w:divBdr>
        </w:div>
        <w:div w:id="1649624759">
          <w:marLeft w:val="0"/>
          <w:marRight w:val="0"/>
          <w:marTop w:val="0"/>
          <w:marBottom w:val="0"/>
          <w:divBdr>
            <w:top w:val="none" w:sz="0" w:space="0" w:color="auto"/>
            <w:left w:val="none" w:sz="0" w:space="0" w:color="auto"/>
            <w:bottom w:val="none" w:sz="0" w:space="0" w:color="auto"/>
            <w:right w:val="none" w:sz="0" w:space="0" w:color="auto"/>
          </w:divBdr>
        </w:div>
        <w:div w:id="76829869">
          <w:marLeft w:val="0"/>
          <w:marRight w:val="0"/>
          <w:marTop w:val="0"/>
          <w:marBottom w:val="0"/>
          <w:divBdr>
            <w:top w:val="none" w:sz="0" w:space="0" w:color="auto"/>
            <w:left w:val="none" w:sz="0" w:space="0" w:color="auto"/>
            <w:bottom w:val="none" w:sz="0" w:space="0" w:color="auto"/>
            <w:right w:val="none" w:sz="0" w:space="0" w:color="auto"/>
          </w:divBdr>
        </w:div>
        <w:div w:id="605311147">
          <w:marLeft w:val="0"/>
          <w:marRight w:val="0"/>
          <w:marTop w:val="0"/>
          <w:marBottom w:val="0"/>
          <w:divBdr>
            <w:top w:val="none" w:sz="0" w:space="0" w:color="auto"/>
            <w:left w:val="none" w:sz="0" w:space="0" w:color="auto"/>
            <w:bottom w:val="none" w:sz="0" w:space="0" w:color="auto"/>
            <w:right w:val="none" w:sz="0" w:space="0" w:color="auto"/>
          </w:divBdr>
        </w:div>
        <w:div w:id="1603100083">
          <w:marLeft w:val="0"/>
          <w:marRight w:val="0"/>
          <w:marTop w:val="0"/>
          <w:marBottom w:val="0"/>
          <w:divBdr>
            <w:top w:val="none" w:sz="0" w:space="0" w:color="auto"/>
            <w:left w:val="none" w:sz="0" w:space="0" w:color="auto"/>
            <w:bottom w:val="none" w:sz="0" w:space="0" w:color="auto"/>
            <w:right w:val="none" w:sz="0" w:space="0" w:color="auto"/>
          </w:divBdr>
        </w:div>
        <w:div w:id="828407398">
          <w:marLeft w:val="0"/>
          <w:marRight w:val="0"/>
          <w:marTop w:val="0"/>
          <w:marBottom w:val="0"/>
          <w:divBdr>
            <w:top w:val="none" w:sz="0" w:space="0" w:color="auto"/>
            <w:left w:val="none" w:sz="0" w:space="0" w:color="auto"/>
            <w:bottom w:val="none" w:sz="0" w:space="0" w:color="auto"/>
            <w:right w:val="none" w:sz="0" w:space="0" w:color="auto"/>
          </w:divBdr>
        </w:div>
        <w:div w:id="786971142">
          <w:marLeft w:val="0"/>
          <w:marRight w:val="0"/>
          <w:marTop w:val="0"/>
          <w:marBottom w:val="0"/>
          <w:divBdr>
            <w:top w:val="none" w:sz="0" w:space="0" w:color="auto"/>
            <w:left w:val="none" w:sz="0" w:space="0" w:color="auto"/>
            <w:bottom w:val="none" w:sz="0" w:space="0" w:color="auto"/>
            <w:right w:val="none" w:sz="0" w:space="0" w:color="auto"/>
          </w:divBdr>
        </w:div>
        <w:div w:id="541088770">
          <w:marLeft w:val="0"/>
          <w:marRight w:val="0"/>
          <w:marTop w:val="0"/>
          <w:marBottom w:val="0"/>
          <w:divBdr>
            <w:top w:val="none" w:sz="0" w:space="0" w:color="auto"/>
            <w:left w:val="none" w:sz="0" w:space="0" w:color="auto"/>
            <w:bottom w:val="none" w:sz="0" w:space="0" w:color="auto"/>
            <w:right w:val="none" w:sz="0" w:space="0" w:color="auto"/>
          </w:divBdr>
        </w:div>
        <w:div w:id="1765036033">
          <w:marLeft w:val="0"/>
          <w:marRight w:val="0"/>
          <w:marTop w:val="0"/>
          <w:marBottom w:val="0"/>
          <w:divBdr>
            <w:top w:val="none" w:sz="0" w:space="0" w:color="auto"/>
            <w:left w:val="none" w:sz="0" w:space="0" w:color="auto"/>
            <w:bottom w:val="none" w:sz="0" w:space="0" w:color="auto"/>
            <w:right w:val="none" w:sz="0" w:space="0" w:color="auto"/>
          </w:divBdr>
        </w:div>
        <w:div w:id="1556550413">
          <w:marLeft w:val="0"/>
          <w:marRight w:val="0"/>
          <w:marTop w:val="0"/>
          <w:marBottom w:val="0"/>
          <w:divBdr>
            <w:top w:val="none" w:sz="0" w:space="0" w:color="auto"/>
            <w:left w:val="none" w:sz="0" w:space="0" w:color="auto"/>
            <w:bottom w:val="none" w:sz="0" w:space="0" w:color="auto"/>
            <w:right w:val="none" w:sz="0" w:space="0" w:color="auto"/>
          </w:divBdr>
        </w:div>
        <w:div w:id="1779644353">
          <w:marLeft w:val="0"/>
          <w:marRight w:val="0"/>
          <w:marTop w:val="0"/>
          <w:marBottom w:val="0"/>
          <w:divBdr>
            <w:top w:val="none" w:sz="0" w:space="0" w:color="auto"/>
            <w:left w:val="none" w:sz="0" w:space="0" w:color="auto"/>
            <w:bottom w:val="none" w:sz="0" w:space="0" w:color="auto"/>
            <w:right w:val="none" w:sz="0" w:space="0" w:color="auto"/>
          </w:divBdr>
        </w:div>
        <w:div w:id="1880360247">
          <w:marLeft w:val="0"/>
          <w:marRight w:val="0"/>
          <w:marTop w:val="0"/>
          <w:marBottom w:val="0"/>
          <w:divBdr>
            <w:top w:val="none" w:sz="0" w:space="0" w:color="auto"/>
            <w:left w:val="none" w:sz="0" w:space="0" w:color="auto"/>
            <w:bottom w:val="none" w:sz="0" w:space="0" w:color="auto"/>
            <w:right w:val="none" w:sz="0" w:space="0" w:color="auto"/>
          </w:divBdr>
        </w:div>
        <w:div w:id="348869842">
          <w:marLeft w:val="0"/>
          <w:marRight w:val="0"/>
          <w:marTop w:val="0"/>
          <w:marBottom w:val="0"/>
          <w:divBdr>
            <w:top w:val="none" w:sz="0" w:space="0" w:color="auto"/>
            <w:left w:val="none" w:sz="0" w:space="0" w:color="auto"/>
            <w:bottom w:val="none" w:sz="0" w:space="0" w:color="auto"/>
            <w:right w:val="none" w:sz="0" w:space="0" w:color="auto"/>
          </w:divBdr>
        </w:div>
        <w:div w:id="487093941">
          <w:marLeft w:val="0"/>
          <w:marRight w:val="0"/>
          <w:marTop w:val="0"/>
          <w:marBottom w:val="0"/>
          <w:divBdr>
            <w:top w:val="none" w:sz="0" w:space="0" w:color="auto"/>
            <w:left w:val="none" w:sz="0" w:space="0" w:color="auto"/>
            <w:bottom w:val="none" w:sz="0" w:space="0" w:color="auto"/>
            <w:right w:val="none" w:sz="0" w:space="0" w:color="auto"/>
          </w:divBdr>
        </w:div>
        <w:div w:id="1001203702">
          <w:marLeft w:val="0"/>
          <w:marRight w:val="0"/>
          <w:marTop w:val="0"/>
          <w:marBottom w:val="0"/>
          <w:divBdr>
            <w:top w:val="none" w:sz="0" w:space="0" w:color="auto"/>
            <w:left w:val="none" w:sz="0" w:space="0" w:color="auto"/>
            <w:bottom w:val="none" w:sz="0" w:space="0" w:color="auto"/>
            <w:right w:val="none" w:sz="0" w:space="0" w:color="auto"/>
          </w:divBdr>
        </w:div>
        <w:div w:id="398360043">
          <w:marLeft w:val="0"/>
          <w:marRight w:val="0"/>
          <w:marTop w:val="0"/>
          <w:marBottom w:val="0"/>
          <w:divBdr>
            <w:top w:val="none" w:sz="0" w:space="0" w:color="auto"/>
            <w:left w:val="none" w:sz="0" w:space="0" w:color="auto"/>
            <w:bottom w:val="none" w:sz="0" w:space="0" w:color="auto"/>
            <w:right w:val="none" w:sz="0" w:space="0" w:color="auto"/>
          </w:divBdr>
        </w:div>
        <w:div w:id="1202860179">
          <w:marLeft w:val="0"/>
          <w:marRight w:val="0"/>
          <w:marTop w:val="0"/>
          <w:marBottom w:val="0"/>
          <w:divBdr>
            <w:top w:val="none" w:sz="0" w:space="0" w:color="auto"/>
            <w:left w:val="none" w:sz="0" w:space="0" w:color="auto"/>
            <w:bottom w:val="none" w:sz="0" w:space="0" w:color="auto"/>
            <w:right w:val="none" w:sz="0" w:space="0" w:color="auto"/>
          </w:divBdr>
        </w:div>
        <w:div w:id="514075128">
          <w:marLeft w:val="0"/>
          <w:marRight w:val="0"/>
          <w:marTop w:val="0"/>
          <w:marBottom w:val="0"/>
          <w:divBdr>
            <w:top w:val="none" w:sz="0" w:space="0" w:color="auto"/>
            <w:left w:val="none" w:sz="0" w:space="0" w:color="auto"/>
            <w:bottom w:val="none" w:sz="0" w:space="0" w:color="auto"/>
            <w:right w:val="none" w:sz="0" w:space="0" w:color="auto"/>
          </w:divBdr>
        </w:div>
        <w:div w:id="817961913">
          <w:marLeft w:val="0"/>
          <w:marRight w:val="0"/>
          <w:marTop w:val="0"/>
          <w:marBottom w:val="0"/>
          <w:divBdr>
            <w:top w:val="none" w:sz="0" w:space="0" w:color="auto"/>
            <w:left w:val="none" w:sz="0" w:space="0" w:color="auto"/>
            <w:bottom w:val="none" w:sz="0" w:space="0" w:color="auto"/>
            <w:right w:val="none" w:sz="0" w:space="0" w:color="auto"/>
          </w:divBdr>
        </w:div>
      </w:divsChild>
    </w:div>
    <w:div w:id="948313808">
      <w:bodyDiv w:val="1"/>
      <w:marLeft w:val="0"/>
      <w:marRight w:val="0"/>
      <w:marTop w:val="0"/>
      <w:marBottom w:val="0"/>
      <w:divBdr>
        <w:top w:val="none" w:sz="0" w:space="0" w:color="auto"/>
        <w:left w:val="none" w:sz="0" w:space="0" w:color="auto"/>
        <w:bottom w:val="none" w:sz="0" w:space="0" w:color="auto"/>
        <w:right w:val="none" w:sz="0" w:space="0" w:color="auto"/>
      </w:divBdr>
      <w:divsChild>
        <w:div w:id="326441970">
          <w:marLeft w:val="0"/>
          <w:marRight w:val="0"/>
          <w:marTop w:val="0"/>
          <w:marBottom w:val="0"/>
          <w:divBdr>
            <w:top w:val="none" w:sz="0" w:space="0" w:color="auto"/>
            <w:left w:val="none" w:sz="0" w:space="0" w:color="auto"/>
            <w:bottom w:val="none" w:sz="0" w:space="0" w:color="auto"/>
            <w:right w:val="none" w:sz="0" w:space="0" w:color="auto"/>
          </w:divBdr>
        </w:div>
        <w:div w:id="341669624">
          <w:marLeft w:val="0"/>
          <w:marRight w:val="0"/>
          <w:marTop w:val="0"/>
          <w:marBottom w:val="0"/>
          <w:divBdr>
            <w:top w:val="none" w:sz="0" w:space="0" w:color="auto"/>
            <w:left w:val="none" w:sz="0" w:space="0" w:color="auto"/>
            <w:bottom w:val="none" w:sz="0" w:space="0" w:color="auto"/>
            <w:right w:val="none" w:sz="0" w:space="0" w:color="auto"/>
          </w:divBdr>
        </w:div>
        <w:div w:id="855660285">
          <w:marLeft w:val="0"/>
          <w:marRight w:val="0"/>
          <w:marTop w:val="0"/>
          <w:marBottom w:val="0"/>
          <w:divBdr>
            <w:top w:val="none" w:sz="0" w:space="0" w:color="auto"/>
            <w:left w:val="none" w:sz="0" w:space="0" w:color="auto"/>
            <w:bottom w:val="none" w:sz="0" w:space="0" w:color="auto"/>
            <w:right w:val="none" w:sz="0" w:space="0" w:color="auto"/>
          </w:divBdr>
        </w:div>
        <w:div w:id="1067998737">
          <w:marLeft w:val="0"/>
          <w:marRight w:val="0"/>
          <w:marTop w:val="0"/>
          <w:marBottom w:val="0"/>
          <w:divBdr>
            <w:top w:val="none" w:sz="0" w:space="0" w:color="auto"/>
            <w:left w:val="none" w:sz="0" w:space="0" w:color="auto"/>
            <w:bottom w:val="none" w:sz="0" w:space="0" w:color="auto"/>
            <w:right w:val="none" w:sz="0" w:space="0" w:color="auto"/>
          </w:divBdr>
        </w:div>
        <w:div w:id="1475485187">
          <w:marLeft w:val="0"/>
          <w:marRight w:val="0"/>
          <w:marTop w:val="0"/>
          <w:marBottom w:val="0"/>
          <w:divBdr>
            <w:top w:val="none" w:sz="0" w:space="0" w:color="auto"/>
            <w:left w:val="none" w:sz="0" w:space="0" w:color="auto"/>
            <w:bottom w:val="none" w:sz="0" w:space="0" w:color="auto"/>
            <w:right w:val="none" w:sz="0" w:space="0" w:color="auto"/>
          </w:divBdr>
        </w:div>
        <w:div w:id="1556551723">
          <w:marLeft w:val="0"/>
          <w:marRight w:val="0"/>
          <w:marTop w:val="0"/>
          <w:marBottom w:val="0"/>
          <w:divBdr>
            <w:top w:val="none" w:sz="0" w:space="0" w:color="auto"/>
            <w:left w:val="none" w:sz="0" w:space="0" w:color="auto"/>
            <w:bottom w:val="none" w:sz="0" w:space="0" w:color="auto"/>
            <w:right w:val="none" w:sz="0" w:space="0" w:color="auto"/>
          </w:divBdr>
        </w:div>
        <w:div w:id="1702239238">
          <w:marLeft w:val="0"/>
          <w:marRight w:val="0"/>
          <w:marTop w:val="0"/>
          <w:marBottom w:val="0"/>
          <w:divBdr>
            <w:top w:val="none" w:sz="0" w:space="0" w:color="auto"/>
            <w:left w:val="none" w:sz="0" w:space="0" w:color="auto"/>
            <w:bottom w:val="none" w:sz="0" w:space="0" w:color="auto"/>
            <w:right w:val="none" w:sz="0" w:space="0" w:color="auto"/>
          </w:divBdr>
        </w:div>
        <w:div w:id="1938752990">
          <w:marLeft w:val="0"/>
          <w:marRight w:val="0"/>
          <w:marTop w:val="0"/>
          <w:marBottom w:val="0"/>
          <w:divBdr>
            <w:top w:val="none" w:sz="0" w:space="0" w:color="auto"/>
            <w:left w:val="none" w:sz="0" w:space="0" w:color="auto"/>
            <w:bottom w:val="none" w:sz="0" w:space="0" w:color="auto"/>
            <w:right w:val="none" w:sz="0" w:space="0" w:color="auto"/>
          </w:divBdr>
        </w:div>
      </w:divsChild>
    </w:div>
    <w:div w:id="952397203">
      <w:bodyDiv w:val="1"/>
      <w:marLeft w:val="0"/>
      <w:marRight w:val="0"/>
      <w:marTop w:val="0"/>
      <w:marBottom w:val="0"/>
      <w:divBdr>
        <w:top w:val="none" w:sz="0" w:space="0" w:color="auto"/>
        <w:left w:val="none" w:sz="0" w:space="0" w:color="auto"/>
        <w:bottom w:val="none" w:sz="0" w:space="0" w:color="auto"/>
        <w:right w:val="none" w:sz="0" w:space="0" w:color="auto"/>
      </w:divBdr>
      <w:divsChild>
        <w:div w:id="443428424">
          <w:marLeft w:val="0"/>
          <w:marRight w:val="0"/>
          <w:marTop w:val="0"/>
          <w:marBottom w:val="0"/>
          <w:divBdr>
            <w:top w:val="none" w:sz="0" w:space="0" w:color="auto"/>
            <w:left w:val="none" w:sz="0" w:space="0" w:color="auto"/>
            <w:bottom w:val="none" w:sz="0" w:space="0" w:color="auto"/>
            <w:right w:val="none" w:sz="0" w:space="0" w:color="auto"/>
          </w:divBdr>
        </w:div>
        <w:div w:id="541136627">
          <w:marLeft w:val="0"/>
          <w:marRight w:val="0"/>
          <w:marTop w:val="0"/>
          <w:marBottom w:val="0"/>
          <w:divBdr>
            <w:top w:val="none" w:sz="0" w:space="0" w:color="auto"/>
            <w:left w:val="none" w:sz="0" w:space="0" w:color="auto"/>
            <w:bottom w:val="none" w:sz="0" w:space="0" w:color="auto"/>
            <w:right w:val="none" w:sz="0" w:space="0" w:color="auto"/>
          </w:divBdr>
        </w:div>
        <w:div w:id="836118529">
          <w:marLeft w:val="0"/>
          <w:marRight w:val="0"/>
          <w:marTop w:val="0"/>
          <w:marBottom w:val="0"/>
          <w:divBdr>
            <w:top w:val="none" w:sz="0" w:space="0" w:color="auto"/>
            <w:left w:val="none" w:sz="0" w:space="0" w:color="auto"/>
            <w:bottom w:val="none" w:sz="0" w:space="0" w:color="auto"/>
            <w:right w:val="none" w:sz="0" w:space="0" w:color="auto"/>
          </w:divBdr>
        </w:div>
        <w:div w:id="1689214640">
          <w:marLeft w:val="0"/>
          <w:marRight w:val="0"/>
          <w:marTop w:val="0"/>
          <w:marBottom w:val="0"/>
          <w:divBdr>
            <w:top w:val="none" w:sz="0" w:space="0" w:color="auto"/>
            <w:left w:val="none" w:sz="0" w:space="0" w:color="auto"/>
            <w:bottom w:val="none" w:sz="0" w:space="0" w:color="auto"/>
            <w:right w:val="none" w:sz="0" w:space="0" w:color="auto"/>
          </w:divBdr>
        </w:div>
        <w:div w:id="1807694272">
          <w:marLeft w:val="0"/>
          <w:marRight w:val="0"/>
          <w:marTop w:val="0"/>
          <w:marBottom w:val="0"/>
          <w:divBdr>
            <w:top w:val="none" w:sz="0" w:space="0" w:color="auto"/>
            <w:left w:val="none" w:sz="0" w:space="0" w:color="auto"/>
            <w:bottom w:val="none" w:sz="0" w:space="0" w:color="auto"/>
            <w:right w:val="none" w:sz="0" w:space="0" w:color="auto"/>
          </w:divBdr>
        </w:div>
        <w:div w:id="1845320369">
          <w:marLeft w:val="0"/>
          <w:marRight w:val="0"/>
          <w:marTop w:val="0"/>
          <w:marBottom w:val="0"/>
          <w:divBdr>
            <w:top w:val="none" w:sz="0" w:space="0" w:color="auto"/>
            <w:left w:val="none" w:sz="0" w:space="0" w:color="auto"/>
            <w:bottom w:val="none" w:sz="0" w:space="0" w:color="auto"/>
            <w:right w:val="none" w:sz="0" w:space="0" w:color="auto"/>
          </w:divBdr>
        </w:div>
        <w:div w:id="1890728020">
          <w:marLeft w:val="0"/>
          <w:marRight w:val="0"/>
          <w:marTop w:val="0"/>
          <w:marBottom w:val="0"/>
          <w:divBdr>
            <w:top w:val="none" w:sz="0" w:space="0" w:color="auto"/>
            <w:left w:val="none" w:sz="0" w:space="0" w:color="auto"/>
            <w:bottom w:val="none" w:sz="0" w:space="0" w:color="auto"/>
            <w:right w:val="none" w:sz="0" w:space="0" w:color="auto"/>
          </w:divBdr>
        </w:div>
        <w:div w:id="2117165459">
          <w:marLeft w:val="0"/>
          <w:marRight w:val="0"/>
          <w:marTop w:val="0"/>
          <w:marBottom w:val="0"/>
          <w:divBdr>
            <w:top w:val="none" w:sz="0" w:space="0" w:color="auto"/>
            <w:left w:val="none" w:sz="0" w:space="0" w:color="auto"/>
            <w:bottom w:val="none" w:sz="0" w:space="0" w:color="auto"/>
            <w:right w:val="none" w:sz="0" w:space="0" w:color="auto"/>
          </w:divBdr>
        </w:div>
      </w:divsChild>
    </w:div>
    <w:div w:id="1108425699">
      <w:bodyDiv w:val="1"/>
      <w:marLeft w:val="0"/>
      <w:marRight w:val="0"/>
      <w:marTop w:val="0"/>
      <w:marBottom w:val="0"/>
      <w:divBdr>
        <w:top w:val="none" w:sz="0" w:space="0" w:color="auto"/>
        <w:left w:val="none" w:sz="0" w:space="0" w:color="auto"/>
        <w:bottom w:val="none" w:sz="0" w:space="0" w:color="auto"/>
        <w:right w:val="none" w:sz="0" w:space="0" w:color="auto"/>
      </w:divBdr>
      <w:divsChild>
        <w:div w:id="1039667553">
          <w:marLeft w:val="0"/>
          <w:marRight w:val="0"/>
          <w:marTop w:val="0"/>
          <w:marBottom w:val="0"/>
          <w:divBdr>
            <w:top w:val="none" w:sz="0" w:space="0" w:color="auto"/>
            <w:left w:val="none" w:sz="0" w:space="0" w:color="auto"/>
            <w:bottom w:val="none" w:sz="0" w:space="0" w:color="auto"/>
            <w:right w:val="none" w:sz="0" w:space="0" w:color="auto"/>
          </w:divBdr>
          <w:divsChild>
            <w:div w:id="4216370">
              <w:marLeft w:val="0"/>
              <w:marRight w:val="0"/>
              <w:marTop w:val="0"/>
              <w:marBottom w:val="0"/>
              <w:divBdr>
                <w:top w:val="none" w:sz="0" w:space="0" w:color="auto"/>
                <w:left w:val="none" w:sz="0" w:space="0" w:color="auto"/>
                <w:bottom w:val="none" w:sz="0" w:space="0" w:color="auto"/>
                <w:right w:val="none" w:sz="0" w:space="0" w:color="auto"/>
              </w:divBdr>
            </w:div>
            <w:div w:id="144125707">
              <w:marLeft w:val="0"/>
              <w:marRight w:val="0"/>
              <w:marTop w:val="0"/>
              <w:marBottom w:val="0"/>
              <w:divBdr>
                <w:top w:val="none" w:sz="0" w:space="0" w:color="auto"/>
                <w:left w:val="none" w:sz="0" w:space="0" w:color="auto"/>
                <w:bottom w:val="none" w:sz="0" w:space="0" w:color="auto"/>
                <w:right w:val="none" w:sz="0" w:space="0" w:color="auto"/>
              </w:divBdr>
            </w:div>
            <w:div w:id="606735515">
              <w:marLeft w:val="0"/>
              <w:marRight w:val="0"/>
              <w:marTop w:val="0"/>
              <w:marBottom w:val="0"/>
              <w:divBdr>
                <w:top w:val="none" w:sz="0" w:space="0" w:color="auto"/>
                <w:left w:val="none" w:sz="0" w:space="0" w:color="auto"/>
                <w:bottom w:val="none" w:sz="0" w:space="0" w:color="auto"/>
                <w:right w:val="none" w:sz="0" w:space="0" w:color="auto"/>
              </w:divBdr>
            </w:div>
            <w:div w:id="1650749201">
              <w:marLeft w:val="0"/>
              <w:marRight w:val="0"/>
              <w:marTop w:val="0"/>
              <w:marBottom w:val="0"/>
              <w:divBdr>
                <w:top w:val="none" w:sz="0" w:space="0" w:color="auto"/>
                <w:left w:val="none" w:sz="0" w:space="0" w:color="auto"/>
                <w:bottom w:val="none" w:sz="0" w:space="0" w:color="auto"/>
                <w:right w:val="none" w:sz="0" w:space="0" w:color="auto"/>
              </w:divBdr>
            </w:div>
            <w:div w:id="1817136759">
              <w:marLeft w:val="0"/>
              <w:marRight w:val="0"/>
              <w:marTop w:val="0"/>
              <w:marBottom w:val="0"/>
              <w:divBdr>
                <w:top w:val="none" w:sz="0" w:space="0" w:color="auto"/>
                <w:left w:val="none" w:sz="0" w:space="0" w:color="auto"/>
                <w:bottom w:val="none" w:sz="0" w:space="0" w:color="auto"/>
                <w:right w:val="none" w:sz="0" w:space="0" w:color="auto"/>
              </w:divBdr>
            </w:div>
            <w:div w:id="2126998741">
              <w:marLeft w:val="0"/>
              <w:marRight w:val="0"/>
              <w:marTop w:val="0"/>
              <w:marBottom w:val="0"/>
              <w:divBdr>
                <w:top w:val="none" w:sz="0" w:space="0" w:color="auto"/>
                <w:left w:val="none" w:sz="0" w:space="0" w:color="auto"/>
                <w:bottom w:val="none" w:sz="0" w:space="0" w:color="auto"/>
                <w:right w:val="none" w:sz="0" w:space="0" w:color="auto"/>
              </w:divBdr>
            </w:div>
          </w:divsChild>
        </w:div>
        <w:div w:id="1129780285">
          <w:marLeft w:val="0"/>
          <w:marRight w:val="0"/>
          <w:marTop w:val="0"/>
          <w:marBottom w:val="0"/>
          <w:divBdr>
            <w:top w:val="none" w:sz="0" w:space="0" w:color="auto"/>
            <w:left w:val="none" w:sz="0" w:space="0" w:color="auto"/>
            <w:bottom w:val="none" w:sz="0" w:space="0" w:color="auto"/>
            <w:right w:val="none" w:sz="0" w:space="0" w:color="auto"/>
          </w:divBdr>
        </w:div>
      </w:divsChild>
    </w:div>
    <w:div w:id="1131485191">
      <w:bodyDiv w:val="1"/>
      <w:marLeft w:val="0"/>
      <w:marRight w:val="0"/>
      <w:marTop w:val="0"/>
      <w:marBottom w:val="0"/>
      <w:divBdr>
        <w:top w:val="none" w:sz="0" w:space="0" w:color="auto"/>
        <w:left w:val="none" w:sz="0" w:space="0" w:color="auto"/>
        <w:bottom w:val="none" w:sz="0" w:space="0" w:color="auto"/>
        <w:right w:val="none" w:sz="0" w:space="0" w:color="auto"/>
      </w:divBdr>
      <w:divsChild>
        <w:div w:id="935599620">
          <w:marLeft w:val="0"/>
          <w:marRight w:val="0"/>
          <w:marTop w:val="0"/>
          <w:marBottom w:val="0"/>
          <w:divBdr>
            <w:top w:val="none" w:sz="0" w:space="0" w:color="auto"/>
            <w:left w:val="none" w:sz="0" w:space="0" w:color="auto"/>
            <w:bottom w:val="none" w:sz="0" w:space="0" w:color="auto"/>
            <w:right w:val="none" w:sz="0" w:space="0" w:color="auto"/>
          </w:divBdr>
        </w:div>
        <w:div w:id="46993199">
          <w:marLeft w:val="0"/>
          <w:marRight w:val="0"/>
          <w:marTop w:val="0"/>
          <w:marBottom w:val="0"/>
          <w:divBdr>
            <w:top w:val="none" w:sz="0" w:space="0" w:color="auto"/>
            <w:left w:val="none" w:sz="0" w:space="0" w:color="auto"/>
            <w:bottom w:val="none" w:sz="0" w:space="0" w:color="auto"/>
            <w:right w:val="none" w:sz="0" w:space="0" w:color="auto"/>
          </w:divBdr>
        </w:div>
        <w:div w:id="2007631680">
          <w:marLeft w:val="0"/>
          <w:marRight w:val="0"/>
          <w:marTop w:val="0"/>
          <w:marBottom w:val="0"/>
          <w:divBdr>
            <w:top w:val="none" w:sz="0" w:space="0" w:color="auto"/>
            <w:left w:val="none" w:sz="0" w:space="0" w:color="auto"/>
            <w:bottom w:val="none" w:sz="0" w:space="0" w:color="auto"/>
            <w:right w:val="none" w:sz="0" w:space="0" w:color="auto"/>
          </w:divBdr>
        </w:div>
        <w:div w:id="439179887">
          <w:marLeft w:val="0"/>
          <w:marRight w:val="0"/>
          <w:marTop w:val="0"/>
          <w:marBottom w:val="0"/>
          <w:divBdr>
            <w:top w:val="none" w:sz="0" w:space="0" w:color="auto"/>
            <w:left w:val="none" w:sz="0" w:space="0" w:color="auto"/>
            <w:bottom w:val="none" w:sz="0" w:space="0" w:color="auto"/>
            <w:right w:val="none" w:sz="0" w:space="0" w:color="auto"/>
          </w:divBdr>
        </w:div>
        <w:div w:id="1763212248">
          <w:marLeft w:val="0"/>
          <w:marRight w:val="0"/>
          <w:marTop w:val="0"/>
          <w:marBottom w:val="0"/>
          <w:divBdr>
            <w:top w:val="none" w:sz="0" w:space="0" w:color="auto"/>
            <w:left w:val="none" w:sz="0" w:space="0" w:color="auto"/>
            <w:bottom w:val="none" w:sz="0" w:space="0" w:color="auto"/>
            <w:right w:val="none" w:sz="0" w:space="0" w:color="auto"/>
          </w:divBdr>
        </w:div>
        <w:div w:id="1281649034">
          <w:marLeft w:val="0"/>
          <w:marRight w:val="0"/>
          <w:marTop w:val="0"/>
          <w:marBottom w:val="0"/>
          <w:divBdr>
            <w:top w:val="none" w:sz="0" w:space="0" w:color="auto"/>
            <w:left w:val="none" w:sz="0" w:space="0" w:color="auto"/>
            <w:bottom w:val="none" w:sz="0" w:space="0" w:color="auto"/>
            <w:right w:val="none" w:sz="0" w:space="0" w:color="auto"/>
          </w:divBdr>
        </w:div>
        <w:div w:id="94595057">
          <w:marLeft w:val="0"/>
          <w:marRight w:val="0"/>
          <w:marTop w:val="0"/>
          <w:marBottom w:val="0"/>
          <w:divBdr>
            <w:top w:val="none" w:sz="0" w:space="0" w:color="auto"/>
            <w:left w:val="none" w:sz="0" w:space="0" w:color="auto"/>
            <w:bottom w:val="none" w:sz="0" w:space="0" w:color="auto"/>
            <w:right w:val="none" w:sz="0" w:space="0" w:color="auto"/>
          </w:divBdr>
        </w:div>
        <w:div w:id="887955622">
          <w:marLeft w:val="0"/>
          <w:marRight w:val="0"/>
          <w:marTop w:val="0"/>
          <w:marBottom w:val="0"/>
          <w:divBdr>
            <w:top w:val="none" w:sz="0" w:space="0" w:color="auto"/>
            <w:left w:val="none" w:sz="0" w:space="0" w:color="auto"/>
            <w:bottom w:val="none" w:sz="0" w:space="0" w:color="auto"/>
            <w:right w:val="none" w:sz="0" w:space="0" w:color="auto"/>
          </w:divBdr>
        </w:div>
        <w:div w:id="215286043">
          <w:marLeft w:val="0"/>
          <w:marRight w:val="0"/>
          <w:marTop w:val="0"/>
          <w:marBottom w:val="0"/>
          <w:divBdr>
            <w:top w:val="none" w:sz="0" w:space="0" w:color="auto"/>
            <w:left w:val="none" w:sz="0" w:space="0" w:color="auto"/>
            <w:bottom w:val="none" w:sz="0" w:space="0" w:color="auto"/>
            <w:right w:val="none" w:sz="0" w:space="0" w:color="auto"/>
          </w:divBdr>
        </w:div>
        <w:div w:id="1799257423">
          <w:marLeft w:val="0"/>
          <w:marRight w:val="0"/>
          <w:marTop w:val="0"/>
          <w:marBottom w:val="0"/>
          <w:divBdr>
            <w:top w:val="none" w:sz="0" w:space="0" w:color="auto"/>
            <w:left w:val="none" w:sz="0" w:space="0" w:color="auto"/>
            <w:bottom w:val="none" w:sz="0" w:space="0" w:color="auto"/>
            <w:right w:val="none" w:sz="0" w:space="0" w:color="auto"/>
          </w:divBdr>
        </w:div>
        <w:div w:id="2106685368">
          <w:marLeft w:val="0"/>
          <w:marRight w:val="0"/>
          <w:marTop w:val="0"/>
          <w:marBottom w:val="0"/>
          <w:divBdr>
            <w:top w:val="none" w:sz="0" w:space="0" w:color="auto"/>
            <w:left w:val="none" w:sz="0" w:space="0" w:color="auto"/>
            <w:bottom w:val="none" w:sz="0" w:space="0" w:color="auto"/>
            <w:right w:val="none" w:sz="0" w:space="0" w:color="auto"/>
          </w:divBdr>
        </w:div>
        <w:div w:id="1922446708">
          <w:marLeft w:val="0"/>
          <w:marRight w:val="0"/>
          <w:marTop w:val="0"/>
          <w:marBottom w:val="0"/>
          <w:divBdr>
            <w:top w:val="none" w:sz="0" w:space="0" w:color="auto"/>
            <w:left w:val="none" w:sz="0" w:space="0" w:color="auto"/>
            <w:bottom w:val="none" w:sz="0" w:space="0" w:color="auto"/>
            <w:right w:val="none" w:sz="0" w:space="0" w:color="auto"/>
          </w:divBdr>
        </w:div>
        <w:div w:id="1039085139">
          <w:marLeft w:val="0"/>
          <w:marRight w:val="0"/>
          <w:marTop w:val="0"/>
          <w:marBottom w:val="0"/>
          <w:divBdr>
            <w:top w:val="none" w:sz="0" w:space="0" w:color="auto"/>
            <w:left w:val="none" w:sz="0" w:space="0" w:color="auto"/>
            <w:bottom w:val="none" w:sz="0" w:space="0" w:color="auto"/>
            <w:right w:val="none" w:sz="0" w:space="0" w:color="auto"/>
          </w:divBdr>
        </w:div>
        <w:div w:id="697270006">
          <w:marLeft w:val="0"/>
          <w:marRight w:val="0"/>
          <w:marTop w:val="0"/>
          <w:marBottom w:val="0"/>
          <w:divBdr>
            <w:top w:val="none" w:sz="0" w:space="0" w:color="auto"/>
            <w:left w:val="none" w:sz="0" w:space="0" w:color="auto"/>
            <w:bottom w:val="none" w:sz="0" w:space="0" w:color="auto"/>
            <w:right w:val="none" w:sz="0" w:space="0" w:color="auto"/>
          </w:divBdr>
        </w:div>
        <w:div w:id="1079013457">
          <w:marLeft w:val="0"/>
          <w:marRight w:val="0"/>
          <w:marTop w:val="0"/>
          <w:marBottom w:val="0"/>
          <w:divBdr>
            <w:top w:val="none" w:sz="0" w:space="0" w:color="auto"/>
            <w:left w:val="none" w:sz="0" w:space="0" w:color="auto"/>
            <w:bottom w:val="none" w:sz="0" w:space="0" w:color="auto"/>
            <w:right w:val="none" w:sz="0" w:space="0" w:color="auto"/>
          </w:divBdr>
        </w:div>
        <w:div w:id="1799686727">
          <w:marLeft w:val="0"/>
          <w:marRight w:val="0"/>
          <w:marTop w:val="0"/>
          <w:marBottom w:val="0"/>
          <w:divBdr>
            <w:top w:val="none" w:sz="0" w:space="0" w:color="auto"/>
            <w:left w:val="none" w:sz="0" w:space="0" w:color="auto"/>
            <w:bottom w:val="none" w:sz="0" w:space="0" w:color="auto"/>
            <w:right w:val="none" w:sz="0" w:space="0" w:color="auto"/>
          </w:divBdr>
        </w:div>
        <w:div w:id="1437406233">
          <w:marLeft w:val="0"/>
          <w:marRight w:val="0"/>
          <w:marTop w:val="0"/>
          <w:marBottom w:val="0"/>
          <w:divBdr>
            <w:top w:val="none" w:sz="0" w:space="0" w:color="auto"/>
            <w:left w:val="none" w:sz="0" w:space="0" w:color="auto"/>
            <w:bottom w:val="none" w:sz="0" w:space="0" w:color="auto"/>
            <w:right w:val="none" w:sz="0" w:space="0" w:color="auto"/>
          </w:divBdr>
        </w:div>
        <w:div w:id="48578655">
          <w:marLeft w:val="0"/>
          <w:marRight w:val="0"/>
          <w:marTop w:val="0"/>
          <w:marBottom w:val="0"/>
          <w:divBdr>
            <w:top w:val="none" w:sz="0" w:space="0" w:color="auto"/>
            <w:left w:val="none" w:sz="0" w:space="0" w:color="auto"/>
            <w:bottom w:val="none" w:sz="0" w:space="0" w:color="auto"/>
            <w:right w:val="none" w:sz="0" w:space="0" w:color="auto"/>
          </w:divBdr>
        </w:div>
        <w:div w:id="107433628">
          <w:marLeft w:val="0"/>
          <w:marRight w:val="0"/>
          <w:marTop w:val="0"/>
          <w:marBottom w:val="0"/>
          <w:divBdr>
            <w:top w:val="none" w:sz="0" w:space="0" w:color="auto"/>
            <w:left w:val="none" w:sz="0" w:space="0" w:color="auto"/>
            <w:bottom w:val="none" w:sz="0" w:space="0" w:color="auto"/>
            <w:right w:val="none" w:sz="0" w:space="0" w:color="auto"/>
          </w:divBdr>
        </w:div>
        <w:div w:id="1695382092">
          <w:marLeft w:val="0"/>
          <w:marRight w:val="0"/>
          <w:marTop w:val="0"/>
          <w:marBottom w:val="0"/>
          <w:divBdr>
            <w:top w:val="none" w:sz="0" w:space="0" w:color="auto"/>
            <w:left w:val="none" w:sz="0" w:space="0" w:color="auto"/>
            <w:bottom w:val="none" w:sz="0" w:space="0" w:color="auto"/>
            <w:right w:val="none" w:sz="0" w:space="0" w:color="auto"/>
          </w:divBdr>
        </w:div>
        <w:div w:id="1407920475">
          <w:marLeft w:val="0"/>
          <w:marRight w:val="0"/>
          <w:marTop w:val="0"/>
          <w:marBottom w:val="0"/>
          <w:divBdr>
            <w:top w:val="none" w:sz="0" w:space="0" w:color="auto"/>
            <w:left w:val="none" w:sz="0" w:space="0" w:color="auto"/>
            <w:bottom w:val="none" w:sz="0" w:space="0" w:color="auto"/>
            <w:right w:val="none" w:sz="0" w:space="0" w:color="auto"/>
          </w:divBdr>
        </w:div>
        <w:div w:id="654530013">
          <w:marLeft w:val="0"/>
          <w:marRight w:val="0"/>
          <w:marTop w:val="0"/>
          <w:marBottom w:val="0"/>
          <w:divBdr>
            <w:top w:val="none" w:sz="0" w:space="0" w:color="auto"/>
            <w:left w:val="none" w:sz="0" w:space="0" w:color="auto"/>
            <w:bottom w:val="none" w:sz="0" w:space="0" w:color="auto"/>
            <w:right w:val="none" w:sz="0" w:space="0" w:color="auto"/>
          </w:divBdr>
        </w:div>
        <w:div w:id="233514350">
          <w:marLeft w:val="0"/>
          <w:marRight w:val="0"/>
          <w:marTop w:val="0"/>
          <w:marBottom w:val="0"/>
          <w:divBdr>
            <w:top w:val="none" w:sz="0" w:space="0" w:color="auto"/>
            <w:left w:val="none" w:sz="0" w:space="0" w:color="auto"/>
            <w:bottom w:val="none" w:sz="0" w:space="0" w:color="auto"/>
            <w:right w:val="none" w:sz="0" w:space="0" w:color="auto"/>
          </w:divBdr>
        </w:div>
        <w:div w:id="2125347699">
          <w:marLeft w:val="0"/>
          <w:marRight w:val="0"/>
          <w:marTop w:val="0"/>
          <w:marBottom w:val="0"/>
          <w:divBdr>
            <w:top w:val="none" w:sz="0" w:space="0" w:color="auto"/>
            <w:left w:val="none" w:sz="0" w:space="0" w:color="auto"/>
            <w:bottom w:val="none" w:sz="0" w:space="0" w:color="auto"/>
            <w:right w:val="none" w:sz="0" w:space="0" w:color="auto"/>
          </w:divBdr>
        </w:div>
      </w:divsChild>
    </w:div>
    <w:div w:id="1136024380">
      <w:bodyDiv w:val="1"/>
      <w:marLeft w:val="0"/>
      <w:marRight w:val="0"/>
      <w:marTop w:val="0"/>
      <w:marBottom w:val="0"/>
      <w:divBdr>
        <w:top w:val="none" w:sz="0" w:space="0" w:color="auto"/>
        <w:left w:val="none" w:sz="0" w:space="0" w:color="auto"/>
        <w:bottom w:val="none" w:sz="0" w:space="0" w:color="auto"/>
        <w:right w:val="none" w:sz="0" w:space="0" w:color="auto"/>
      </w:divBdr>
    </w:div>
    <w:div w:id="1194920679">
      <w:bodyDiv w:val="1"/>
      <w:marLeft w:val="0"/>
      <w:marRight w:val="0"/>
      <w:marTop w:val="0"/>
      <w:marBottom w:val="0"/>
      <w:divBdr>
        <w:top w:val="none" w:sz="0" w:space="0" w:color="auto"/>
        <w:left w:val="none" w:sz="0" w:space="0" w:color="auto"/>
        <w:bottom w:val="none" w:sz="0" w:space="0" w:color="auto"/>
        <w:right w:val="none" w:sz="0" w:space="0" w:color="auto"/>
      </w:divBdr>
    </w:div>
    <w:div w:id="1272009212">
      <w:bodyDiv w:val="1"/>
      <w:marLeft w:val="0"/>
      <w:marRight w:val="0"/>
      <w:marTop w:val="0"/>
      <w:marBottom w:val="0"/>
      <w:divBdr>
        <w:top w:val="none" w:sz="0" w:space="0" w:color="auto"/>
        <w:left w:val="none" w:sz="0" w:space="0" w:color="auto"/>
        <w:bottom w:val="none" w:sz="0" w:space="0" w:color="auto"/>
        <w:right w:val="none" w:sz="0" w:space="0" w:color="auto"/>
      </w:divBdr>
      <w:divsChild>
        <w:div w:id="583957925">
          <w:marLeft w:val="0"/>
          <w:marRight w:val="0"/>
          <w:marTop w:val="0"/>
          <w:marBottom w:val="0"/>
          <w:divBdr>
            <w:top w:val="none" w:sz="0" w:space="0" w:color="auto"/>
            <w:left w:val="none" w:sz="0" w:space="0" w:color="auto"/>
            <w:bottom w:val="none" w:sz="0" w:space="0" w:color="auto"/>
            <w:right w:val="none" w:sz="0" w:space="0" w:color="auto"/>
          </w:divBdr>
        </w:div>
        <w:div w:id="637489796">
          <w:marLeft w:val="0"/>
          <w:marRight w:val="0"/>
          <w:marTop w:val="0"/>
          <w:marBottom w:val="0"/>
          <w:divBdr>
            <w:top w:val="none" w:sz="0" w:space="0" w:color="auto"/>
            <w:left w:val="none" w:sz="0" w:space="0" w:color="auto"/>
            <w:bottom w:val="none" w:sz="0" w:space="0" w:color="auto"/>
            <w:right w:val="none" w:sz="0" w:space="0" w:color="auto"/>
          </w:divBdr>
        </w:div>
        <w:div w:id="1037580761">
          <w:marLeft w:val="0"/>
          <w:marRight w:val="0"/>
          <w:marTop w:val="0"/>
          <w:marBottom w:val="0"/>
          <w:divBdr>
            <w:top w:val="none" w:sz="0" w:space="0" w:color="auto"/>
            <w:left w:val="none" w:sz="0" w:space="0" w:color="auto"/>
            <w:bottom w:val="none" w:sz="0" w:space="0" w:color="auto"/>
            <w:right w:val="none" w:sz="0" w:space="0" w:color="auto"/>
          </w:divBdr>
        </w:div>
        <w:div w:id="1258099821">
          <w:marLeft w:val="0"/>
          <w:marRight w:val="0"/>
          <w:marTop w:val="0"/>
          <w:marBottom w:val="0"/>
          <w:divBdr>
            <w:top w:val="none" w:sz="0" w:space="0" w:color="auto"/>
            <w:left w:val="none" w:sz="0" w:space="0" w:color="auto"/>
            <w:bottom w:val="none" w:sz="0" w:space="0" w:color="auto"/>
            <w:right w:val="none" w:sz="0" w:space="0" w:color="auto"/>
          </w:divBdr>
        </w:div>
        <w:div w:id="1260793507">
          <w:marLeft w:val="0"/>
          <w:marRight w:val="0"/>
          <w:marTop w:val="0"/>
          <w:marBottom w:val="0"/>
          <w:divBdr>
            <w:top w:val="none" w:sz="0" w:space="0" w:color="auto"/>
            <w:left w:val="none" w:sz="0" w:space="0" w:color="auto"/>
            <w:bottom w:val="none" w:sz="0" w:space="0" w:color="auto"/>
            <w:right w:val="none" w:sz="0" w:space="0" w:color="auto"/>
          </w:divBdr>
        </w:div>
        <w:div w:id="1479493169">
          <w:marLeft w:val="0"/>
          <w:marRight w:val="0"/>
          <w:marTop w:val="0"/>
          <w:marBottom w:val="0"/>
          <w:divBdr>
            <w:top w:val="none" w:sz="0" w:space="0" w:color="auto"/>
            <w:left w:val="none" w:sz="0" w:space="0" w:color="auto"/>
            <w:bottom w:val="none" w:sz="0" w:space="0" w:color="auto"/>
            <w:right w:val="none" w:sz="0" w:space="0" w:color="auto"/>
          </w:divBdr>
        </w:div>
        <w:div w:id="1713185252">
          <w:marLeft w:val="0"/>
          <w:marRight w:val="0"/>
          <w:marTop w:val="0"/>
          <w:marBottom w:val="0"/>
          <w:divBdr>
            <w:top w:val="none" w:sz="0" w:space="0" w:color="auto"/>
            <w:left w:val="none" w:sz="0" w:space="0" w:color="auto"/>
            <w:bottom w:val="none" w:sz="0" w:space="0" w:color="auto"/>
            <w:right w:val="none" w:sz="0" w:space="0" w:color="auto"/>
          </w:divBdr>
        </w:div>
      </w:divsChild>
    </w:div>
    <w:div w:id="1283266663">
      <w:bodyDiv w:val="1"/>
      <w:marLeft w:val="0"/>
      <w:marRight w:val="0"/>
      <w:marTop w:val="0"/>
      <w:marBottom w:val="0"/>
      <w:divBdr>
        <w:top w:val="none" w:sz="0" w:space="0" w:color="auto"/>
        <w:left w:val="none" w:sz="0" w:space="0" w:color="auto"/>
        <w:bottom w:val="none" w:sz="0" w:space="0" w:color="auto"/>
        <w:right w:val="none" w:sz="0" w:space="0" w:color="auto"/>
      </w:divBdr>
    </w:div>
    <w:div w:id="1295795019">
      <w:bodyDiv w:val="1"/>
      <w:marLeft w:val="0"/>
      <w:marRight w:val="0"/>
      <w:marTop w:val="0"/>
      <w:marBottom w:val="0"/>
      <w:divBdr>
        <w:top w:val="none" w:sz="0" w:space="0" w:color="auto"/>
        <w:left w:val="none" w:sz="0" w:space="0" w:color="auto"/>
        <w:bottom w:val="none" w:sz="0" w:space="0" w:color="auto"/>
        <w:right w:val="none" w:sz="0" w:space="0" w:color="auto"/>
      </w:divBdr>
    </w:div>
    <w:div w:id="1365011119">
      <w:bodyDiv w:val="1"/>
      <w:marLeft w:val="0"/>
      <w:marRight w:val="0"/>
      <w:marTop w:val="0"/>
      <w:marBottom w:val="0"/>
      <w:divBdr>
        <w:top w:val="none" w:sz="0" w:space="0" w:color="auto"/>
        <w:left w:val="none" w:sz="0" w:space="0" w:color="auto"/>
        <w:bottom w:val="none" w:sz="0" w:space="0" w:color="auto"/>
        <w:right w:val="none" w:sz="0" w:space="0" w:color="auto"/>
      </w:divBdr>
      <w:divsChild>
        <w:div w:id="2105611432">
          <w:marLeft w:val="0"/>
          <w:marRight w:val="0"/>
          <w:marTop w:val="0"/>
          <w:marBottom w:val="0"/>
          <w:divBdr>
            <w:top w:val="none" w:sz="0" w:space="0" w:color="auto"/>
            <w:left w:val="none" w:sz="0" w:space="0" w:color="auto"/>
            <w:bottom w:val="none" w:sz="0" w:space="0" w:color="auto"/>
            <w:right w:val="none" w:sz="0" w:space="0" w:color="auto"/>
          </w:divBdr>
        </w:div>
        <w:div w:id="247888270">
          <w:marLeft w:val="0"/>
          <w:marRight w:val="0"/>
          <w:marTop w:val="0"/>
          <w:marBottom w:val="0"/>
          <w:divBdr>
            <w:top w:val="none" w:sz="0" w:space="0" w:color="auto"/>
            <w:left w:val="none" w:sz="0" w:space="0" w:color="auto"/>
            <w:bottom w:val="none" w:sz="0" w:space="0" w:color="auto"/>
            <w:right w:val="none" w:sz="0" w:space="0" w:color="auto"/>
          </w:divBdr>
        </w:div>
        <w:div w:id="1867013956">
          <w:marLeft w:val="0"/>
          <w:marRight w:val="0"/>
          <w:marTop w:val="0"/>
          <w:marBottom w:val="0"/>
          <w:divBdr>
            <w:top w:val="none" w:sz="0" w:space="0" w:color="auto"/>
            <w:left w:val="none" w:sz="0" w:space="0" w:color="auto"/>
            <w:bottom w:val="none" w:sz="0" w:space="0" w:color="auto"/>
            <w:right w:val="none" w:sz="0" w:space="0" w:color="auto"/>
          </w:divBdr>
        </w:div>
        <w:div w:id="1743522377">
          <w:marLeft w:val="0"/>
          <w:marRight w:val="0"/>
          <w:marTop w:val="0"/>
          <w:marBottom w:val="0"/>
          <w:divBdr>
            <w:top w:val="none" w:sz="0" w:space="0" w:color="auto"/>
            <w:left w:val="none" w:sz="0" w:space="0" w:color="auto"/>
            <w:bottom w:val="none" w:sz="0" w:space="0" w:color="auto"/>
            <w:right w:val="none" w:sz="0" w:space="0" w:color="auto"/>
          </w:divBdr>
        </w:div>
        <w:div w:id="470368659">
          <w:marLeft w:val="0"/>
          <w:marRight w:val="0"/>
          <w:marTop w:val="0"/>
          <w:marBottom w:val="0"/>
          <w:divBdr>
            <w:top w:val="none" w:sz="0" w:space="0" w:color="auto"/>
            <w:left w:val="none" w:sz="0" w:space="0" w:color="auto"/>
            <w:bottom w:val="none" w:sz="0" w:space="0" w:color="auto"/>
            <w:right w:val="none" w:sz="0" w:space="0" w:color="auto"/>
          </w:divBdr>
        </w:div>
        <w:div w:id="1135173221">
          <w:marLeft w:val="0"/>
          <w:marRight w:val="0"/>
          <w:marTop w:val="0"/>
          <w:marBottom w:val="0"/>
          <w:divBdr>
            <w:top w:val="none" w:sz="0" w:space="0" w:color="auto"/>
            <w:left w:val="none" w:sz="0" w:space="0" w:color="auto"/>
            <w:bottom w:val="none" w:sz="0" w:space="0" w:color="auto"/>
            <w:right w:val="none" w:sz="0" w:space="0" w:color="auto"/>
          </w:divBdr>
        </w:div>
        <w:div w:id="1894346195">
          <w:marLeft w:val="0"/>
          <w:marRight w:val="0"/>
          <w:marTop w:val="0"/>
          <w:marBottom w:val="0"/>
          <w:divBdr>
            <w:top w:val="none" w:sz="0" w:space="0" w:color="auto"/>
            <w:left w:val="none" w:sz="0" w:space="0" w:color="auto"/>
            <w:bottom w:val="none" w:sz="0" w:space="0" w:color="auto"/>
            <w:right w:val="none" w:sz="0" w:space="0" w:color="auto"/>
          </w:divBdr>
        </w:div>
        <w:div w:id="1553080420">
          <w:marLeft w:val="0"/>
          <w:marRight w:val="0"/>
          <w:marTop w:val="0"/>
          <w:marBottom w:val="0"/>
          <w:divBdr>
            <w:top w:val="none" w:sz="0" w:space="0" w:color="auto"/>
            <w:left w:val="none" w:sz="0" w:space="0" w:color="auto"/>
            <w:bottom w:val="none" w:sz="0" w:space="0" w:color="auto"/>
            <w:right w:val="none" w:sz="0" w:space="0" w:color="auto"/>
          </w:divBdr>
        </w:div>
        <w:div w:id="1068070565">
          <w:marLeft w:val="0"/>
          <w:marRight w:val="0"/>
          <w:marTop w:val="0"/>
          <w:marBottom w:val="0"/>
          <w:divBdr>
            <w:top w:val="none" w:sz="0" w:space="0" w:color="auto"/>
            <w:left w:val="none" w:sz="0" w:space="0" w:color="auto"/>
            <w:bottom w:val="none" w:sz="0" w:space="0" w:color="auto"/>
            <w:right w:val="none" w:sz="0" w:space="0" w:color="auto"/>
          </w:divBdr>
        </w:div>
        <w:div w:id="825979114">
          <w:marLeft w:val="0"/>
          <w:marRight w:val="0"/>
          <w:marTop w:val="0"/>
          <w:marBottom w:val="0"/>
          <w:divBdr>
            <w:top w:val="none" w:sz="0" w:space="0" w:color="auto"/>
            <w:left w:val="none" w:sz="0" w:space="0" w:color="auto"/>
            <w:bottom w:val="none" w:sz="0" w:space="0" w:color="auto"/>
            <w:right w:val="none" w:sz="0" w:space="0" w:color="auto"/>
          </w:divBdr>
        </w:div>
        <w:div w:id="1987052091">
          <w:marLeft w:val="0"/>
          <w:marRight w:val="0"/>
          <w:marTop w:val="0"/>
          <w:marBottom w:val="0"/>
          <w:divBdr>
            <w:top w:val="none" w:sz="0" w:space="0" w:color="auto"/>
            <w:left w:val="none" w:sz="0" w:space="0" w:color="auto"/>
            <w:bottom w:val="none" w:sz="0" w:space="0" w:color="auto"/>
            <w:right w:val="none" w:sz="0" w:space="0" w:color="auto"/>
          </w:divBdr>
        </w:div>
        <w:div w:id="547181544">
          <w:marLeft w:val="0"/>
          <w:marRight w:val="0"/>
          <w:marTop w:val="0"/>
          <w:marBottom w:val="0"/>
          <w:divBdr>
            <w:top w:val="none" w:sz="0" w:space="0" w:color="auto"/>
            <w:left w:val="none" w:sz="0" w:space="0" w:color="auto"/>
            <w:bottom w:val="none" w:sz="0" w:space="0" w:color="auto"/>
            <w:right w:val="none" w:sz="0" w:space="0" w:color="auto"/>
          </w:divBdr>
        </w:div>
        <w:div w:id="177618210">
          <w:marLeft w:val="0"/>
          <w:marRight w:val="0"/>
          <w:marTop w:val="0"/>
          <w:marBottom w:val="0"/>
          <w:divBdr>
            <w:top w:val="none" w:sz="0" w:space="0" w:color="auto"/>
            <w:left w:val="none" w:sz="0" w:space="0" w:color="auto"/>
            <w:bottom w:val="none" w:sz="0" w:space="0" w:color="auto"/>
            <w:right w:val="none" w:sz="0" w:space="0" w:color="auto"/>
          </w:divBdr>
        </w:div>
        <w:div w:id="1632245005">
          <w:marLeft w:val="0"/>
          <w:marRight w:val="0"/>
          <w:marTop w:val="0"/>
          <w:marBottom w:val="0"/>
          <w:divBdr>
            <w:top w:val="none" w:sz="0" w:space="0" w:color="auto"/>
            <w:left w:val="none" w:sz="0" w:space="0" w:color="auto"/>
            <w:bottom w:val="none" w:sz="0" w:space="0" w:color="auto"/>
            <w:right w:val="none" w:sz="0" w:space="0" w:color="auto"/>
          </w:divBdr>
        </w:div>
        <w:div w:id="657808230">
          <w:marLeft w:val="0"/>
          <w:marRight w:val="0"/>
          <w:marTop w:val="0"/>
          <w:marBottom w:val="0"/>
          <w:divBdr>
            <w:top w:val="none" w:sz="0" w:space="0" w:color="auto"/>
            <w:left w:val="none" w:sz="0" w:space="0" w:color="auto"/>
            <w:bottom w:val="none" w:sz="0" w:space="0" w:color="auto"/>
            <w:right w:val="none" w:sz="0" w:space="0" w:color="auto"/>
          </w:divBdr>
        </w:div>
        <w:div w:id="2006351649">
          <w:marLeft w:val="0"/>
          <w:marRight w:val="0"/>
          <w:marTop w:val="0"/>
          <w:marBottom w:val="0"/>
          <w:divBdr>
            <w:top w:val="none" w:sz="0" w:space="0" w:color="auto"/>
            <w:left w:val="none" w:sz="0" w:space="0" w:color="auto"/>
            <w:bottom w:val="none" w:sz="0" w:space="0" w:color="auto"/>
            <w:right w:val="none" w:sz="0" w:space="0" w:color="auto"/>
          </w:divBdr>
        </w:div>
        <w:div w:id="1079601008">
          <w:marLeft w:val="0"/>
          <w:marRight w:val="0"/>
          <w:marTop w:val="0"/>
          <w:marBottom w:val="0"/>
          <w:divBdr>
            <w:top w:val="none" w:sz="0" w:space="0" w:color="auto"/>
            <w:left w:val="none" w:sz="0" w:space="0" w:color="auto"/>
            <w:bottom w:val="none" w:sz="0" w:space="0" w:color="auto"/>
            <w:right w:val="none" w:sz="0" w:space="0" w:color="auto"/>
          </w:divBdr>
        </w:div>
        <w:div w:id="1578827924">
          <w:marLeft w:val="0"/>
          <w:marRight w:val="0"/>
          <w:marTop w:val="0"/>
          <w:marBottom w:val="0"/>
          <w:divBdr>
            <w:top w:val="none" w:sz="0" w:space="0" w:color="auto"/>
            <w:left w:val="none" w:sz="0" w:space="0" w:color="auto"/>
            <w:bottom w:val="none" w:sz="0" w:space="0" w:color="auto"/>
            <w:right w:val="none" w:sz="0" w:space="0" w:color="auto"/>
          </w:divBdr>
        </w:div>
        <w:div w:id="961301490">
          <w:marLeft w:val="0"/>
          <w:marRight w:val="0"/>
          <w:marTop w:val="0"/>
          <w:marBottom w:val="0"/>
          <w:divBdr>
            <w:top w:val="none" w:sz="0" w:space="0" w:color="auto"/>
            <w:left w:val="none" w:sz="0" w:space="0" w:color="auto"/>
            <w:bottom w:val="none" w:sz="0" w:space="0" w:color="auto"/>
            <w:right w:val="none" w:sz="0" w:space="0" w:color="auto"/>
          </w:divBdr>
        </w:div>
        <w:div w:id="518617397">
          <w:marLeft w:val="0"/>
          <w:marRight w:val="0"/>
          <w:marTop w:val="0"/>
          <w:marBottom w:val="0"/>
          <w:divBdr>
            <w:top w:val="none" w:sz="0" w:space="0" w:color="auto"/>
            <w:left w:val="none" w:sz="0" w:space="0" w:color="auto"/>
            <w:bottom w:val="none" w:sz="0" w:space="0" w:color="auto"/>
            <w:right w:val="none" w:sz="0" w:space="0" w:color="auto"/>
          </w:divBdr>
        </w:div>
        <w:div w:id="63112241">
          <w:marLeft w:val="0"/>
          <w:marRight w:val="0"/>
          <w:marTop w:val="0"/>
          <w:marBottom w:val="0"/>
          <w:divBdr>
            <w:top w:val="none" w:sz="0" w:space="0" w:color="auto"/>
            <w:left w:val="none" w:sz="0" w:space="0" w:color="auto"/>
            <w:bottom w:val="none" w:sz="0" w:space="0" w:color="auto"/>
            <w:right w:val="none" w:sz="0" w:space="0" w:color="auto"/>
          </w:divBdr>
        </w:div>
        <w:div w:id="1290361741">
          <w:marLeft w:val="0"/>
          <w:marRight w:val="0"/>
          <w:marTop w:val="0"/>
          <w:marBottom w:val="0"/>
          <w:divBdr>
            <w:top w:val="none" w:sz="0" w:space="0" w:color="auto"/>
            <w:left w:val="none" w:sz="0" w:space="0" w:color="auto"/>
            <w:bottom w:val="none" w:sz="0" w:space="0" w:color="auto"/>
            <w:right w:val="none" w:sz="0" w:space="0" w:color="auto"/>
          </w:divBdr>
        </w:div>
        <w:div w:id="1243443296">
          <w:marLeft w:val="0"/>
          <w:marRight w:val="0"/>
          <w:marTop w:val="0"/>
          <w:marBottom w:val="0"/>
          <w:divBdr>
            <w:top w:val="none" w:sz="0" w:space="0" w:color="auto"/>
            <w:left w:val="none" w:sz="0" w:space="0" w:color="auto"/>
            <w:bottom w:val="none" w:sz="0" w:space="0" w:color="auto"/>
            <w:right w:val="none" w:sz="0" w:space="0" w:color="auto"/>
          </w:divBdr>
        </w:div>
        <w:div w:id="1029985571">
          <w:marLeft w:val="0"/>
          <w:marRight w:val="0"/>
          <w:marTop w:val="0"/>
          <w:marBottom w:val="0"/>
          <w:divBdr>
            <w:top w:val="none" w:sz="0" w:space="0" w:color="auto"/>
            <w:left w:val="none" w:sz="0" w:space="0" w:color="auto"/>
            <w:bottom w:val="none" w:sz="0" w:space="0" w:color="auto"/>
            <w:right w:val="none" w:sz="0" w:space="0" w:color="auto"/>
          </w:divBdr>
        </w:div>
      </w:divsChild>
    </w:div>
    <w:div w:id="1535268252">
      <w:bodyDiv w:val="1"/>
      <w:marLeft w:val="0"/>
      <w:marRight w:val="0"/>
      <w:marTop w:val="0"/>
      <w:marBottom w:val="0"/>
      <w:divBdr>
        <w:top w:val="none" w:sz="0" w:space="0" w:color="auto"/>
        <w:left w:val="none" w:sz="0" w:space="0" w:color="auto"/>
        <w:bottom w:val="none" w:sz="0" w:space="0" w:color="auto"/>
        <w:right w:val="none" w:sz="0" w:space="0" w:color="auto"/>
      </w:divBdr>
      <w:divsChild>
        <w:div w:id="1165899775">
          <w:marLeft w:val="0"/>
          <w:marRight w:val="0"/>
          <w:marTop w:val="0"/>
          <w:marBottom w:val="0"/>
          <w:divBdr>
            <w:top w:val="none" w:sz="0" w:space="0" w:color="auto"/>
            <w:left w:val="none" w:sz="0" w:space="0" w:color="auto"/>
            <w:bottom w:val="none" w:sz="0" w:space="0" w:color="auto"/>
            <w:right w:val="none" w:sz="0" w:space="0" w:color="auto"/>
          </w:divBdr>
        </w:div>
        <w:div w:id="1395856104">
          <w:marLeft w:val="0"/>
          <w:marRight w:val="0"/>
          <w:marTop w:val="0"/>
          <w:marBottom w:val="0"/>
          <w:divBdr>
            <w:top w:val="none" w:sz="0" w:space="0" w:color="auto"/>
            <w:left w:val="none" w:sz="0" w:space="0" w:color="auto"/>
            <w:bottom w:val="none" w:sz="0" w:space="0" w:color="auto"/>
            <w:right w:val="none" w:sz="0" w:space="0" w:color="auto"/>
          </w:divBdr>
        </w:div>
        <w:div w:id="1756824519">
          <w:marLeft w:val="0"/>
          <w:marRight w:val="0"/>
          <w:marTop w:val="0"/>
          <w:marBottom w:val="0"/>
          <w:divBdr>
            <w:top w:val="none" w:sz="0" w:space="0" w:color="auto"/>
            <w:left w:val="none" w:sz="0" w:space="0" w:color="auto"/>
            <w:bottom w:val="none" w:sz="0" w:space="0" w:color="auto"/>
            <w:right w:val="none" w:sz="0" w:space="0" w:color="auto"/>
          </w:divBdr>
        </w:div>
        <w:div w:id="1789660230">
          <w:marLeft w:val="0"/>
          <w:marRight w:val="0"/>
          <w:marTop w:val="0"/>
          <w:marBottom w:val="0"/>
          <w:divBdr>
            <w:top w:val="none" w:sz="0" w:space="0" w:color="auto"/>
            <w:left w:val="none" w:sz="0" w:space="0" w:color="auto"/>
            <w:bottom w:val="none" w:sz="0" w:space="0" w:color="auto"/>
            <w:right w:val="none" w:sz="0" w:space="0" w:color="auto"/>
          </w:divBdr>
        </w:div>
        <w:div w:id="1833369695">
          <w:marLeft w:val="0"/>
          <w:marRight w:val="0"/>
          <w:marTop w:val="0"/>
          <w:marBottom w:val="0"/>
          <w:divBdr>
            <w:top w:val="none" w:sz="0" w:space="0" w:color="auto"/>
            <w:left w:val="none" w:sz="0" w:space="0" w:color="auto"/>
            <w:bottom w:val="none" w:sz="0" w:space="0" w:color="auto"/>
            <w:right w:val="none" w:sz="0" w:space="0" w:color="auto"/>
          </w:divBdr>
        </w:div>
        <w:div w:id="1853566024">
          <w:marLeft w:val="0"/>
          <w:marRight w:val="0"/>
          <w:marTop w:val="0"/>
          <w:marBottom w:val="0"/>
          <w:divBdr>
            <w:top w:val="none" w:sz="0" w:space="0" w:color="auto"/>
            <w:left w:val="none" w:sz="0" w:space="0" w:color="auto"/>
            <w:bottom w:val="none" w:sz="0" w:space="0" w:color="auto"/>
            <w:right w:val="none" w:sz="0" w:space="0" w:color="auto"/>
          </w:divBdr>
        </w:div>
        <w:div w:id="2033798312">
          <w:marLeft w:val="0"/>
          <w:marRight w:val="0"/>
          <w:marTop w:val="0"/>
          <w:marBottom w:val="0"/>
          <w:divBdr>
            <w:top w:val="none" w:sz="0" w:space="0" w:color="auto"/>
            <w:left w:val="none" w:sz="0" w:space="0" w:color="auto"/>
            <w:bottom w:val="none" w:sz="0" w:space="0" w:color="auto"/>
            <w:right w:val="none" w:sz="0" w:space="0" w:color="auto"/>
          </w:divBdr>
        </w:div>
      </w:divsChild>
    </w:div>
    <w:div w:id="1616785536">
      <w:bodyDiv w:val="1"/>
      <w:marLeft w:val="0"/>
      <w:marRight w:val="0"/>
      <w:marTop w:val="0"/>
      <w:marBottom w:val="0"/>
      <w:divBdr>
        <w:top w:val="none" w:sz="0" w:space="0" w:color="auto"/>
        <w:left w:val="none" w:sz="0" w:space="0" w:color="auto"/>
        <w:bottom w:val="none" w:sz="0" w:space="0" w:color="auto"/>
        <w:right w:val="none" w:sz="0" w:space="0" w:color="auto"/>
      </w:divBdr>
    </w:div>
    <w:div w:id="1688868389">
      <w:bodyDiv w:val="1"/>
      <w:marLeft w:val="0"/>
      <w:marRight w:val="0"/>
      <w:marTop w:val="0"/>
      <w:marBottom w:val="0"/>
      <w:divBdr>
        <w:top w:val="none" w:sz="0" w:space="0" w:color="auto"/>
        <w:left w:val="none" w:sz="0" w:space="0" w:color="auto"/>
        <w:bottom w:val="none" w:sz="0" w:space="0" w:color="auto"/>
        <w:right w:val="none" w:sz="0" w:space="0" w:color="auto"/>
      </w:divBdr>
    </w:div>
    <w:div w:id="1694989242">
      <w:bodyDiv w:val="1"/>
      <w:marLeft w:val="0"/>
      <w:marRight w:val="0"/>
      <w:marTop w:val="0"/>
      <w:marBottom w:val="0"/>
      <w:divBdr>
        <w:top w:val="none" w:sz="0" w:space="0" w:color="auto"/>
        <w:left w:val="none" w:sz="0" w:space="0" w:color="auto"/>
        <w:bottom w:val="none" w:sz="0" w:space="0" w:color="auto"/>
        <w:right w:val="none" w:sz="0" w:space="0" w:color="auto"/>
      </w:divBdr>
    </w:div>
    <w:div w:id="1696269424">
      <w:bodyDiv w:val="1"/>
      <w:marLeft w:val="0"/>
      <w:marRight w:val="0"/>
      <w:marTop w:val="0"/>
      <w:marBottom w:val="0"/>
      <w:divBdr>
        <w:top w:val="none" w:sz="0" w:space="0" w:color="auto"/>
        <w:left w:val="none" w:sz="0" w:space="0" w:color="auto"/>
        <w:bottom w:val="none" w:sz="0" w:space="0" w:color="auto"/>
        <w:right w:val="none" w:sz="0" w:space="0" w:color="auto"/>
      </w:divBdr>
      <w:divsChild>
        <w:div w:id="207182207">
          <w:marLeft w:val="0"/>
          <w:marRight w:val="0"/>
          <w:marTop w:val="0"/>
          <w:marBottom w:val="0"/>
          <w:divBdr>
            <w:top w:val="none" w:sz="0" w:space="0" w:color="auto"/>
            <w:left w:val="none" w:sz="0" w:space="0" w:color="auto"/>
            <w:bottom w:val="none" w:sz="0" w:space="0" w:color="auto"/>
            <w:right w:val="none" w:sz="0" w:space="0" w:color="auto"/>
          </w:divBdr>
        </w:div>
        <w:div w:id="1136794802">
          <w:marLeft w:val="0"/>
          <w:marRight w:val="0"/>
          <w:marTop w:val="0"/>
          <w:marBottom w:val="0"/>
          <w:divBdr>
            <w:top w:val="none" w:sz="0" w:space="0" w:color="auto"/>
            <w:left w:val="none" w:sz="0" w:space="0" w:color="auto"/>
            <w:bottom w:val="none" w:sz="0" w:space="0" w:color="auto"/>
            <w:right w:val="none" w:sz="0" w:space="0" w:color="auto"/>
          </w:divBdr>
          <w:divsChild>
            <w:div w:id="362950184">
              <w:marLeft w:val="0"/>
              <w:marRight w:val="0"/>
              <w:marTop w:val="0"/>
              <w:marBottom w:val="0"/>
              <w:divBdr>
                <w:top w:val="none" w:sz="0" w:space="0" w:color="auto"/>
                <w:left w:val="none" w:sz="0" w:space="0" w:color="auto"/>
                <w:bottom w:val="none" w:sz="0" w:space="0" w:color="auto"/>
                <w:right w:val="none" w:sz="0" w:space="0" w:color="auto"/>
              </w:divBdr>
            </w:div>
            <w:div w:id="387874368">
              <w:marLeft w:val="0"/>
              <w:marRight w:val="0"/>
              <w:marTop w:val="0"/>
              <w:marBottom w:val="0"/>
              <w:divBdr>
                <w:top w:val="none" w:sz="0" w:space="0" w:color="auto"/>
                <w:left w:val="none" w:sz="0" w:space="0" w:color="auto"/>
                <w:bottom w:val="none" w:sz="0" w:space="0" w:color="auto"/>
                <w:right w:val="none" w:sz="0" w:space="0" w:color="auto"/>
              </w:divBdr>
            </w:div>
            <w:div w:id="207723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2924">
      <w:bodyDiv w:val="1"/>
      <w:marLeft w:val="0"/>
      <w:marRight w:val="0"/>
      <w:marTop w:val="0"/>
      <w:marBottom w:val="0"/>
      <w:divBdr>
        <w:top w:val="none" w:sz="0" w:space="0" w:color="auto"/>
        <w:left w:val="none" w:sz="0" w:space="0" w:color="auto"/>
        <w:bottom w:val="none" w:sz="0" w:space="0" w:color="auto"/>
        <w:right w:val="none" w:sz="0" w:space="0" w:color="auto"/>
      </w:divBdr>
    </w:div>
    <w:div w:id="1837452525">
      <w:bodyDiv w:val="1"/>
      <w:marLeft w:val="0"/>
      <w:marRight w:val="0"/>
      <w:marTop w:val="0"/>
      <w:marBottom w:val="0"/>
      <w:divBdr>
        <w:top w:val="none" w:sz="0" w:space="0" w:color="auto"/>
        <w:left w:val="none" w:sz="0" w:space="0" w:color="auto"/>
        <w:bottom w:val="none" w:sz="0" w:space="0" w:color="auto"/>
        <w:right w:val="none" w:sz="0" w:space="0" w:color="auto"/>
      </w:divBdr>
      <w:divsChild>
        <w:div w:id="1053700177">
          <w:marLeft w:val="0"/>
          <w:marRight w:val="0"/>
          <w:marTop w:val="0"/>
          <w:marBottom w:val="0"/>
          <w:divBdr>
            <w:top w:val="none" w:sz="0" w:space="0" w:color="auto"/>
            <w:left w:val="none" w:sz="0" w:space="0" w:color="auto"/>
            <w:bottom w:val="none" w:sz="0" w:space="0" w:color="auto"/>
            <w:right w:val="none" w:sz="0" w:space="0" w:color="auto"/>
          </w:divBdr>
        </w:div>
        <w:div w:id="620264369">
          <w:marLeft w:val="0"/>
          <w:marRight w:val="0"/>
          <w:marTop w:val="0"/>
          <w:marBottom w:val="0"/>
          <w:divBdr>
            <w:top w:val="none" w:sz="0" w:space="0" w:color="auto"/>
            <w:left w:val="none" w:sz="0" w:space="0" w:color="auto"/>
            <w:bottom w:val="none" w:sz="0" w:space="0" w:color="auto"/>
            <w:right w:val="none" w:sz="0" w:space="0" w:color="auto"/>
          </w:divBdr>
        </w:div>
        <w:div w:id="1673725401">
          <w:marLeft w:val="0"/>
          <w:marRight w:val="0"/>
          <w:marTop w:val="0"/>
          <w:marBottom w:val="0"/>
          <w:divBdr>
            <w:top w:val="none" w:sz="0" w:space="0" w:color="auto"/>
            <w:left w:val="none" w:sz="0" w:space="0" w:color="auto"/>
            <w:bottom w:val="none" w:sz="0" w:space="0" w:color="auto"/>
            <w:right w:val="none" w:sz="0" w:space="0" w:color="auto"/>
          </w:divBdr>
        </w:div>
        <w:div w:id="1646230051">
          <w:marLeft w:val="0"/>
          <w:marRight w:val="0"/>
          <w:marTop w:val="0"/>
          <w:marBottom w:val="0"/>
          <w:divBdr>
            <w:top w:val="none" w:sz="0" w:space="0" w:color="auto"/>
            <w:left w:val="none" w:sz="0" w:space="0" w:color="auto"/>
            <w:bottom w:val="none" w:sz="0" w:space="0" w:color="auto"/>
            <w:right w:val="none" w:sz="0" w:space="0" w:color="auto"/>
          </w:divBdr>
        </w:div>
        <w:div w:id="954559997">
          <w:marLeft w:val="0"/>
          <w:marRight w:val="0"/>
          <w:marTop w:val="0"/>
          <w:marBottom w:val="0"/>
          <w:divBdr>
            <w:top w:val="none" w:sz="0" w:space="0" w:color="auto"/>
            <w:left w:val="none" w:sz="0" w:space="0" w:color="auto"/>
            <w:bottom w:val="none" w:sz="0" w:space="0" w:color="auto"/>
            <w:right w:val="none" w:sz="0" w:space="0" w:color="auto"/>
          </w:divBdr>
        </w:div>
        <w:div w:id="528026824">
          <w:marLeft w:val="0"/>
          <w:marRight w:val="0"/>
          <w:marTop w:val="0"/>
          <w:marBottom w:val="0"/>
          <w:divBdr>
            <w:top w:val="none" w:sz="0" w:space="0" w:color="auto"/>
            <w:left w:val="none" w:sz="0" w:space="0" w:color="auto"/>
            <w:bottom w:val="none" w:sz="0" w:space="0" w:color="auto"/>
            <w:right w:val="none" w:sz="0" w:space="0" w:color="auto"/>
          </w:divBdr>
        </w:div>
        <w:div w:id="1361587271">
          <w:marLeft w:val="0"/>
          <w:marRight w:val="0"/>
          <w:marTop w:val="0"/>
          <w:marBottom w:val="0"/>
          <w:divBdr>
            <w:top w:val="none" w:sz="0" w:space="0" w:color="auto"/>
            <w:left w:val="none" w:sz="0" w:space="0" w:color="auto"/>
            <w:bottom w:val="none" w:sz="0" w:space="0" w:color="auto"/>
            <w:right w:val="none" w:sz="0" w:space="0" w:color="auto"/>
          </w:divBdr>
        </w:div>
        <w:div w:id="698438076">
          <w:marLeft w:val="0"/>
          <w:marRight w:val="0"/>
          <w:marTop w:val="0"/>
          <w:marBottom w:val="0"/>
          <w:divBdr>
            <w:top w:val="none" w:sz="0" w:space="0" w:color="auto"/>
            <w:left w:val="none" w:sz="0" w:space="0" w:color="auto"/>
            <w:bottom w:val="none" w:sz="0" w:space="0" w:color="auto"/>
            <w:right w:val="none" w:sz="0" w:space="0" w:color="auto"/>
          </w:divBdr>
        </w:div>
        <w:div w:id="1030060728">
          <w:marLeft w:val="0"/>
          <w:marRight w:val="0"/>
          <w:marTop w:val="0"/>
          <w:marBottom w:val="0"/>
          <w:divBdr>
            <w:top w:val="none" w:sz="0" w:space="0" w:color="auto"/>
            <w:left w:val="none" w:sz="0" w:space="0" w:color="auto"/>
            <w:bottom w:val="none" w:sz="0" w:space="0" w:color="auto"/>
            <w:right w:val="none" w:sz="0" w:space="0" w:color="auto"/>
          </w:divBdr>
        </w:div>
        <w:div w:id="277489544">
          <w:marLeft w:val="0"/>
          <w:marRight w:val="0"/>
          <w:marTop w:val="0"/>
          <w:marBottom w:val="0"/>
          <w:divBdr>
            <w:top w:val="none" w:sz="0" w:space="0" w:color="auto"/>
            <w:left w:val="none" w:sz="0" w:space="0" w:color="auto"/>
            <w:bottom w:val="none" w:sz="0" w:space="0" w:color="auto"/>
            <w:right w:val="none" w:sz="0" w:space="0" w:color="auto"/>
          </w:divBdr>
        </w:div>
        <w:div w:id="260577786">
          <w:marLeft w:val="0"/>
          <w:marRight w:val="0"/>
          <w:marTop w:val="0"/>
          <w:marBottom w:val="0"/>
          <w:divBdr>
            <w:top w:val="none" w:sz="0" w:space="0" w:color="auto"/>
            <w:left w:val="none" w:sz="0" w:space="0" w:color="auto"/>
            <w:bottom w:val="none" w:sz="0" w:space="0" w:color="auto"/>
            <w:right w:val="none" w:sz="0" w:space="0" w:color="auto"/>
          </w:divBdr>
        </w:div>
        <w:div w:id="681858623">
          <w:marLeft w:val="0"/>
          <w:marRight w:val="0"/>
          <w:marTop w:val="0"/>
          <w:marBottom w:val="0"/>
          <w:divBdr>
            <w:top w:val="none" w:sz="0" w:space="0" w:color="auto"/>
            <w:left w:val="none" w:sz="0" w:space="0" w:color="auto"/>
            <w:bottom w:val="none" w:sz="0" w:space="0" w:color="auto"/>
            <w:right w:val="none" w:sz="0" w:space="0" w:color="auto"/>
          </w:divBdr>
        </w:div>
        <w:div w:id="1040596627">
          <w:marLeft w:val="0"/>
          <w:marRight w:val="0"/>
          <w:marTop w:val="0"/>
          <w:marBottom w:val="0"/>
          <w:divBdr>
            <w:top w:val="none" w:sz="0" w:space="0" w:color="auto"/>
            <w:left w:val="none" w:sz="0" w:space="0" w:color="auto"/>
            <w:bottom w:val="none" w:sz="0" w:space="0" w:color="auto"/>
            <w:right w:val="none" w:sz="0" w:space="0" w:color="auto"/>
          </w:divBdr>
        </w:div>
        <w:div w:id="378555072">
          <w:marLeft w:val="0"/>
          <w:marRight w:val="0"/>
          <w:marTop w:val="0"/>
          <w:marBottom w:val="0"/>
          <w:divBdr>
            <w:top w:val="none" w:sz="0" w:space="0" w:color="auto"/>
            <w:left w:val="none" w:sz="0" w:space="0" w:color="auto"/>
            <w:bottom w:val="none" w:sz="0" w:space="0" w:color="auto"/>
            <w:right w:val="none" w:sz="0" w:space="0" w:color="auto"/>
          </w:divBdr>
        </w:div>
        <w:div w:id="1265000209">
          <w:marLeft w:val="0"/>
          <w:marRight w:val="0"/>
          <w:marTop w:val="0"/>
          <w:marBottom w:val="0"/>
          <w:divBdr>
            <w:top w:val="none" w:sz="0" w:space="0" w:color="auto"/>
            <w:left w:val="none" w:sz="0" w:space="0" w:color="auto"/>
            <w:bottom w:val="none" w:sz="0" w:space="0" w:color="auto"/>
            <w:right w:val="none" w:sz="0" w:space="0" w:color="auto"/>
          </w:divBdr>
        </w:div>
        <w:div w:id="1110246304">
          <w:marLeft w:val="0"/>
          <w:marRight w:val="0"/>
          <w:marTop w:val="0"/>
          <w:marBottom w:val="0"/>
          <w:divBdr>
            <w:top w:val="none" w:sz="0" w:space="0" w:color="auto"/>
            <w:left w:val="none" w:sz="0" w:space="0" w:color="auto"/>
            <w:bottom w:val="none" w:sz="0" w:space="0" w:color="auto"/>
            <w:right w:val="none" w:sz="0" w:space="0" w:color="auto"/>
          </w:divBdr>
        </w:div>
        <w:div w:id="574358281">
          <w:marLeft w:val="0"/>
          <w:marRight w:val="0"/>
          <w:marTop w:val="0"/>
          <w:marBottom w:val="0"/>
          <w:divBdr>
            <w:top w:val="none" w:sz="0" w:space="0" w:color="auto"/>
            <w:left w:val="none" w:sz="0" w:space="0" w:color="auto"/>
            <w:bottom w:val="none" w:sz="0" w:space="0" w:color="auto"/>
            <w:right w:val="none" w:sz="0" w:space="0" w:color="auto"/>
          </w:divBdr>
        </w:div>
        <w:div w:id="2123457809">
          <w:marLeft w:val="0"/>
          <w:marRight w:val="0"/>
          <w:marTop w:val="0"/>
          <w:marBottom w:val="0"/>
          <w:divBdr>
            <w:top w:val="none" w:sz="0" w:space="0" w:color="auto"/>
            <w:left w:val="none" w:sz="0" w:space="0" w:color="auto"/>
            <w:bottom w:val="none" w:sz="0" w:space="0" w:color="auto"/>
            <w:right w:val="none" w:sz="0" w:space="0" w:color="auto"/>
          </w:divBdr>
        </w:div>
        <w:div w:id="1842426580">
          <w:marLeft w:val="0"/>
          <w:marRight w:val="0"/>
          <w:marTop w:val="0"/>
          <w:marBottom w:val="0"/>
          <w:divBdr>
            <w:top w:val="none" w:sz="0" w:space="0" w:color="auto"/>
            <w:left w:val="none" w:sz="0" w:space="0" w:color="auto"/>
            <w:bottom w:val="none" w:sz="0" w:space="0" w:color="auto"/>
            <w:right w:val="none" w:sz="0" w:space="0" w:color="auto"/>
          </w:divBdr>
        </w:div>
        <w:div w:id="341863904">
          <w:marLeft w:val="0"/>
          <w:marRight w:val="0"/>
          <w:marTop w:val="0"/>
          <w:marBottom w:val="0"/>
          <w:divBdr>
            <w:top w:val="none" w:sz="0" w:space="0" w:color="auto"/>
            <w:left w:val="none" w:sz="0" w:space="0" w:color="auto"/>
            <w:bottom w:val="none" w:sz="0" w:space="0" w:color="auto"/>
            <w:right w:val="none" w:sz="0" w:space="0" w:color="auto"/>
          </w:divBdr>
        </w:div>
        <w:div w:id="1637056017">
          <w:marLeft w:val="0"/>
          <w:marRight w:val="0"/>
          <w:marTop w:val="0"/>
          <w:marBottom w:val="0"/>
          <w:divBdr>
            <w:top w:val="none" w:sz="0" w:space="0" w:color="auto"/>
            <w:left w:val="none" w:sz="0" w:space="0" w:color="auto"/>
            <w:bottom w:val="none" w:sz="0" w:space="0" w:color="auto"/>
            <w:right w:val="none" w:sz="0" w:space="0" w:color="auto"/>
          </w:divBdr>
        </w:div>
        <w:div w:id="2130779024">
          <w:marLeft w:val="0"/>
          <w:marRight w:val="0"/>
          <w:marTop w:val="0"/>
          <w:marBottom w:val="0"/>
          <w:divBdr>
            <w:top w:val="none" w:sz="0" w:space="0" w:color="auto"/>
            <w:left w:val="none" w:sz="0" w:space="0" w:color="auto"/>
            <w:bottom w:val="none" w:sz="0" w:space="0" w:color="auto"/>
            <w:right w:val="none" w:sz="0" w:space="0" w:color="auto"/>
          </w:divBdr>
        </w:div>
        <w:div w:id="2121289830">
          <w:marLeft w:val="0"/>
          <w:marRight w:val="0"/>
          <w:marTop w:val="0"/>
          <w:marBottom w:val="0"/>
          <w:divBdr>
            <w:top w:val="none" w:sz="0" w:space="0" w:color="auto"/>
            <w:left w:val="none" w:sz="0" w:space="0" w:color="auto"/>
            <w:bottom w:val="none" w:sz="0" w:space="0" w:color="auto"/>
            <w:right w:val="none" w:sz="0" w:space="0" w:color="auto"/>
          </w:divBdr>
        </w:div>
        <w:div w:id="173422048">
          <w:marLeft w:val="0"/>
          <w:marRight w:val="0"/>
          <w:marTop w:val="0"/>
          <w:marBottom w:val="0"/>
          <w:divBdr>
            <w:top w:val="none" w:sz="0" w:space="0" w:color="auto"/>
            <w:left w:val="none" w:sz="0" w:space="0" w:color="auto"/>
            <w:bottom w:val="none" w:sz="0" w:space="0" w:color="auto"/>
            <w:right w:val="none" w:sz="0" w:space="0" w:color="auto"/>
          </w:divBdr>
        </w:div>
      </w:divsChild>
    </w:div>
    <w:div w:id="1894266788">
      <w:bodyDiv w:val="1"/>
      <w:marLeft w:val="0"/>
      <w:marRight w:val="0"/>
      <w:marTop w:val="0"/>
      <w:marBottom w:val="0"/>
      <w:divBdr>
        <w:top w:val="none" w:sz="0" w:space="0" w:color="auto"/>
        <w:left w:val="none" w:sz="0" w:space="0" w:color="auto"/>
        <w:bottom w:val="none" w:sz="0" w:space="0" w:color="auto"/>
        <w:right w:val="none" w:sz="0" w:space="0" w:color="auto"/>
      </w:divBdr>
    </w:div>
    <w:div w:id="1975135955">
      <w:bodyDiv w:val="1"/>
      <w:marLeft w:val="0"/>
      <w:marRight w:val="0"/>
      <w:marTop w:val="0"/>
      <w:marBottom w:val="0"/>
      <w:divBdr>
        <w:top w:val="none" w:sz="0" w:space="0" w:color="auto"/>
        <w:left w:val="none" w:sz="0" w:space="0" w:color="auto"/>
        <w:bottom w:val="none" w:sz="0" w:space="0" w:color="auto"/>
        <w:right w:val="none" w:sz="0" w:space="0" w:color="auto"/>
      </w:divBdr>
    </w:div>
    <w:div w:id="2050107521">
      <w:bodyDiv w:val="1"/>
      <w:marLeft w:val="0"/>
      <w:marRight w:val="0"/>
      <w:marTop w:val="0"/>
      <w:marBottom w:val="0"/>
      <w:divBdr>
        <w:top w:val="none" w:sz="0" w:space="0" w:color="auto"/>
        <w:left w:val="none" w:sz="0" w:space="0" w:color="auto"/>
        <w:bottom w:val="none" w:sz="0" w:space="0" w:color="auto"/>
        <w:right w:val="none" w:sz="0" w:space="0" w:color="auto"/>
      </w:divBdr>
    </w:div>
    <w:div w:id="2053768538">
      <w:bodyDiv w:val="1"/>
      <w:marLeft w:val="0"/>
      <w:marRight w:val="0"/>
      <w:marTop w:val="0"/>
      <w:marBottom w:val="0"/>
      <w:divBdr>
        <w:top w:val="none" w:sz="0" w:space="0" w:color="auto"/>
        <w:left w:val="none" w:sz="0" w:space="0" w:color="auto"/>
        <w:bottom w:val="none" w:sz="0" w:space="0" w:color="auto"/>
        <w:right w:val="none" w:sz="0" w:space="0" w:color="auto"/>
      </w:divBdr>
    </w:div>
    <w:div w:id="2088918876">
      <w:bodyDiv w:val="1"/>
      <w:marLeft w:val="0"/>
      <w:marRight w:val="0"/>
      <w:marTop w:val="0"/>
      <w:marBottom w:val="0"/>
      <w:divBdr>
        <w:top w:val="none" w:sz="0" w:space="0" w:color="auto"/>
        <w:left w:val="none" w:sz="0" w:space="0" w:color="auto"/>
        <w:bottom w:val="none" w:sz="0" w:space="0" w:color="auto"/>
        <w:right w:val="none" w:sz="0" w:space="0" w:color="auto"/>
      </w:divBdr>
    </w:div>
    <w:div w:id="2136752868">
      <w:bodyDiv w:val="1"/>
      <w:marLeft w:val="0"/>
      <w:marRight w:val="0"/>
      <w:marTop w:val="0"/>
      <w:marBottom w:val="0"/>
      <w:divBdr>
        <w:top w:val="none" w:sz="0" w:space="0" w:color="auto"/>
        <w:left w:val="none" w:sz="0" w:space="0" w:color="auto"/>
        <w:bottom w:val="none" w:sz="0" w:space="0" w:color="auto"/>
        <w:right w:val="none" w:sz="0" w:space="0" w:color="auto"/>
      </w:divBdr>
      <w:divsChild>
        <w:div w:id="26418421">
          <w:marLeft w:val="0"/>
          <w:marRight w:val="0"/>
          <w:marTop w:val="0"/>
          <w:marBottom w:val="0"/>
          <w:divBdr>
            <w:top w:val="none" w:sz="0" w:space="0" w:color="auto"/>
            <w:left w:val="none" w:sz="0" w:space="0" w:color="auto"/>
            <w:bottom w:val="none" w:sz="0" w:space="0" w:color="auto"/>
            <w:right w:val="none" w:sz="0" w:space="0" w:color="auto"/>
          </w:divBdr>
          <w:divsChild>
            <w:div w:id="46150232">
              <w:marLeft w:val="0"/>
              <w:marRight w:val="0"/>
              <w:marTop w:val="0"/>
              <w:marBottom w:val="0"/>
              <w:divBdr>
                <w:top w:val="none" w:sz="0" w:space="0" w:color="auto"/>
                <w:left w:val="none" w:sz="0" w:space="0" w:color="auto"/>
                <w:bottom w:val="none" w:sz="0" w:space="0" w:color="auto"/>
                <w:right w:val="none" w:sz="0" w:space="0" w:color="auto"/>
              </w:divBdr>
            </w:div>
            <w:div w:id="203711604">
              <w:marLeft w:val="0"/>
              <w:marRight w:val="0"/>
              <w:marTop w:val="0"/>
              <w:marBottom w:val="0"/>
              <w:divBdr>
                <w:top w:val="none" w:sz="0" w:space="0" w:color="auto"/>
                <w:left w:val="none" w:sz="0" w:space="0" w:color="auto"/>
                <w:bottom w:val="none" w:sz="0" w:space="0" w:color="auto"/>
                <w:right w:val="none" w:sz="0" w:space="0" w:color="auto"/>
              </w:divBdr>
            </w:div>
            <w:div w:id="650057229">
              <w:marLeft w:val="0"/>
              <w:marRight w:val="0"/>
              <w:marTop w:val="0"/>
              <w:marBottom w:val="0"/>
              <w:divBdr>
                <w:top w:val="none" w:sz="0" w:space="0" w:color="auto"/>
                <w:left w:val="none" w:sz="0" w:space="0" w:color="auto"/>
                <w:bottom w:val="none" w:sz="0" w:space="0" w:color="auto"/>
                <w:right w:val="none" w:sz="0" w:space="0" w:color="auto"/>
              </w:divBdr>
            </w:div>
            <w:div w:id="920406539">
              <w:marLeft w:val="0"/>
              <w:marRight w:val="0"/>
              <w:marTop w:val="0"/>
              <w:marBottom w:val="0"/>
              <w:divBdr>
                <w:top w:val="none" w:sz="0" w:space="0" w:color="auto"/>
                <w:left w:val="none" w:sz="0" w:space="0" w:color="auto"/>
                <w:bottom w:val="none" w:sz="0" w:space="0" w:color="auto"/>
                <w:right w:val="none" w:sz="0" w:space="0" w:color="auto"/>
              </w:divBdr>
            </w:div>
            <w:div w:id="1158418218">
              <w:marLeft w:val="0"/>
              <w:marRight w:val="0"/>
              <w:marTop w:val="0"/>
              <w:marBottom w:val="0"/>
              <w:divBdr>
                <w:top w:val="none" w:sz="0" w:space="0" w:color="auto"/>
                <w:left w:val="none" w:sz="0" w:space="0" w:color="auto"/>
                <w:bottom w:val="none" w:sz="0" w:space="0" w:color="auto"/>
                <w:right w:val="none" w:sz="0" w:space="0" w:color="auto"/>
              </w:divBdr>
            </w:div>
            <w:div w:id="1799225911">
              <w:marLeft w:val="0"/>
              <w:marRight w:val="0"/>
              <w:marTop w:val="0"/>
              <w:marBottom w:val="0"/>
              <w:divBdr>
                <w:top w:val="none" w:sz="0" w:space="0" w:color="auto"/>
                <w:left w:val="none" w:sz="0" w:space="0" w:color="auto"/>
                <w:bottom w:val="none" w:sz="0" w:space="0" w:color="auto"/>
                <w:right w:val="none" w:sz="0" w:space="0" w:color="auto"/>
              </w:divBdr>
            </w:div>
          </w:divsChild>
        </w:div>
        <w:div w:id="908734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1201/oj" TargetMode="External"/><Relationship Id="rId13" Type="http://schemas.openxmlformats.org/officeDocument/2006/relationships/hyperlink" Target="http://data.europa.eu/eli/dec/2022/335/oj" TargetMode="External"/><Relationship Id="rId18" Type="http://schemas.openxmlformats.org/officeDocument/2006/relationships/hyperlink" Target="http://data.europa.eu/eli/reg/2024/2509/oj" TargetMode="External"/><Relationship Id="rId26" Type="http://schemas.openxmlformats.org/officeDocument/2006/relationships/hyperlink" Target="http://data.europa.eu/eli/dec/2010/427/oj" TargetMode="External"/><Relationship Id="rId3" Type="http://schemas.openxmlformats.org/officeDocument/2006/relationships/hyperlink" Target="http://data.europa.eu/eli/reg/2021/947/2021-06-14" TargetMode="External"/><Relationship Id="rId21" Type="http://schemas.openxmlformats.org/officeDocument/2006/relationships/hyperlink" Target="http://data.europa.eu/eli/reg/2013/883/oj" TargetMode="External"/><Relationship Id="rId7" Type="http://schemas.openxmlformats.org/officeDocument/2006/relationships/hyperlink" Target="http://data.europa.eu/eli/dec/2022/313/oj" TargetMode="External"/><Relationship Id="rId12" Type="http://schemas.openxmlformats.org/officeDocument/2006/relationships/hyperlink" Target="http://data.europa.eu/eli/reg/2024/2773/oj" TargetMode="External"/><Relationship Id="rId17" Type="http://schemas.openxmlformats.org/officeDocument/2006/relationships/hyperlink" Target="http://data.europa.eu/eli/reg/2025/1106/oj" TargetMode="External"/><Relationship Id="rId25" Type="http://schemas.openxmlformats.org/officeDocument/2006/relationships/hyperlink" Target="http://data.europa.eu/eli/reg/2014/609/oj" TargetMode="External"/><Relationship Id="rId2" Type="http://schemas.openxmlformats.org/officeDocument/2006/relationships/hyperlink" Target="http://data.europa.eu/eli/reg/2024/792/oj" TargetMode="External"/><Relationship Id="rId16" Type="http://schemas.openxmlformats.org/officeDocument/2006/relationships/hyperlink" Target="http://data.europa.eu/eli/reg/2011/182/oj" TargetMode="External"/><Relationship Id="rId20" Type="http://schemas.openxmlformats.org/officeDocument/2006/relationships/hyperlink" Target="http://data.europa.eu/eli/reg/1995/2988/oj" TargetMode="External"/><Relationship Id="rId29" Type="http://schemas.openxmlformats.org/officeDocument/2006/relationships/hyperlink" Target="http://data.europa.eu/eli/reg/2023/1525/oj" TargetMode="External"/><Relationship Id="rId1" Type="http://schemas.openxmlformats.org/officeDocument/2006/relationships/hyperlink" Target="http://data.europa.eu/eli/reg/2025/2600/oj" TargetMode="External"/><Relationship Id="rId6" Type="http://schemas.openxmlformats.org/officeDocument/2006/relationships/hyperlink" Target="http://data.europa.eu/eli/reg/2025/1106/oj" TargetMode="External"/><Relationship Id="rId11" Type="http://schemas.openxmlformats.org/officeDocument/2006/relationships/hyperlink" Target="http://data.europa.eu/eli/reg/2024/792/oj" TargetMode="External"/><Relationship Id="rId24" Type="http://schemas.openxmlformats.org/officeDocument/2006/relationships/hyperlink" Target="http://data.europa.eu/eli/reg/2021/947/2021-06-14" TargetMode="External"/><Relationship Id="rId5" Type="http://schemas.openxmlformats.org/officeDocument/2006/relationships/hyperlink" Target="http://data.europa.eu/eli/reg/2024/2773/oj" TargetMode="External"/><Relationship Id="rId15" Type="http://schemas.openxmlformats.org/officeDocument/2006/relationships/hyperlink" Target="http://data.europa.eu/eli/reg/2025/2600/oj" TargetMode="External"/><Relationship Id="rId23" Type="http://schemas.openxmlformats.org/officeDocument/2006/relationships/hyperlink" Target="http://data.europa.eu/eli/reg/2017/1939/oj" TargetMode="External"/><Relationship Id="rId28" Type="http://schemas.openxmlformats.org/officeDocument/2006/relationships/hyperlink" Target="http://data.europa.eu/eli/reg/2021/697/oj" TargetMode="External"/><Relationship Id="rId10" Type="http://schemas.openxmlformats.org/officeDocument/2006/relationships/hyperlink" Target="http://data.europa.eu/eli/reg/2022/2463/oj" TargetMode="External"/><Relationship Id="rId19" Type="http://schemas.openxmlformats.org/officeDocument/2006/relationships/hyperlink" Target="http://data.europa.eu/eli/dir/2009/81/oj" TargetMode="External"/><Relationship Id="rId31" Type="http://schemas.openxmlformats.org/officeDocument/2006/relationships/hyperlink" Target="http://data.europa.eu/eli/dec/2015/444/oj" TargetMode="External"/><Relationship Id="rId4" Type="http://schemas.openxmlformats.org/officeDocument/2006/relationships/hyperlink" Target="http://data.europa.eu/eli/reg/1996/1257/2019-07-26" TargetMode="External"/><Relationship Id="rId9" Type="http://schemas.openxmlformats.org/officeDocument/2006/relationships/hyperlink" Target="http://data.europa.eu/eli/dec/2022/1628/oj" TargetMode="External"/><Relationship Id="rId14" Type="http://schemas.openxmlformats.org/officeDocument/2006/relationships/hyperlink" Target="http://data.europa.eu/eli/reg/2022/334/oj" TargetMode="External"/><Relationship Id="rId22" Type="http://schemas.openxmlformats.org/officeDocument/2006/relationships/hyperlink" Target="http://data.europa.eu/eli/dir/2017/1371/oj" TargetMode="External"/><Relationship Id="rId27" Type="http://schemas.openxmlformats.org/officeDocument/2006/relationships/hyperlink" Target="http://data.europa.eu/eli/reg/2018/1092/oj" TargetMode="External"/><Relationship Id="rId30" Type="http://schemas.openxmlformats.org/officeDocument/2006/relationships/hyperlink" Target="http://data.europa.eu/eli/reg/2023/241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A7801-1D8A-4D87-B50D-4691C837B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82</Pages>
  <Words>29814</Words>
  <Characters>167262</Characters>
  <Application>Microsoft Office Word</Application>
  <DocSecurity>0</DocSecurity>
  <Lines>4288</Lines>
  <Paragraphs>2265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194811</CharactersWithSpaces>
  <SharedDoc>false</SharedDoc>
  <HLinks>
    <vt:vector size="24" baseType="variant">
      <vt:variant>
        <vt:i4>5439606</vt:i4>
      </vt:variant>
      <vt:variant>
        <vt:i4>9</vt:i4>
      </vt:variant>
      <vt:variant>
        <vt:i4>0</vt:i4>
      </vt:variant>
      <vt:variant>
        <vt:i4>5</vt:i4>
      </vt:variant>
      <vt:variant>
        <vt:lpwstr>https://commission.europa.eu/strategy-and-policy/priorities-2019-2024/europe-fit-digital-age/european-data-strategy_en</vt:lpwstr>
      </vt:variant>
      <vt:variant>
        <vt:lpwstr/>
      </vt:variant>
      <vt:variant>
        <vt:i4>4980764</vt:i4>
      </vt:variant>
      <vt:variant>
        <vt:i4>6</vt:i4>
      </vt:variant>
      <vt:variant>
        <vt:i4>0</vt:i4>
      </vt:variant>
      <vt:variant>
        <vt:i4>5</vt:i4>
      </vt:variant>
      <vt:variant>
        <vt:lpwstr>http://data.europa.eu/eli/reg/2024/903/oj</vt:lpwstr>
      </vt:variant>
      <vt:variant>
        <vt:lpwstr/>
      </vt:variant>
      <vt:variant>
        <vt:i4>458767</vt:i4>
      </vt:variant>
      <vt:variant>
        <vt:i4>3</vt:i4>
      </vt:variant>
      <vt:variant>
        <vt:i4>0</vt:i4>
      </vt:variant>
      <vt:variant>
        <vt:i4>5</vt:i4>
      </vt:variant>
      <vt:variant>
        <vt:lpwstr>https://myintracomm.ec.europa.eu/corp/budget/financial-rules/budget-implementation/Pages/financial-statement.aspx</vt:lpwstr>
      </vt:variant>
      <vt:variant>
        <vt:lpwstr/>
      </vt: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2026-01-14T09:02:00Z</dcterms:created>
  <dcterms:modified xsi:type="dcterms:W3CDTF">2026-01-16T10:50:00Z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2026-01-12T17:46:10Z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5a5b7883-44c9-4452-bed2-fc6ef9fd7f43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QCStatus">
    <vt:lpwstr>Yellow (DQC version 03)</vt:lpwstr>
  </property>
  <property fmtid="{D5CDD505-2E9C-101B-9397-08002B2CF9AE}" pid="11" name="Level of sensitivity">
    <vt:lpwstr>Standard treatment</vt:lpwstr>
  </property>
  <property fmtid="{D5CDD505-2E9C-101B-9397-08002B2CF9AE}" pid="12" name="Category">
    <vt:lpwstr>COM/PL/ORG</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