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138" w:rsidRPr="00220FCB" w:rsidRDefault="00F94E5B" w:rsidP="00F94E5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641631-B9BE-44EA-B685-6619A579E8DD" style="width:455.25pt;height:342.75pt">
            <v:imagedata r:id="rId11" o:title=""/>
          </v:shape>
        </w:pict>
      </w:r>
    </w:p>
    <w:p w:rsidR="00C94138" w:rsidRPr="00220FCB" w:rsidRDefault="00C94138" w:rsidP="00C94138">
      <w:pPr>
        <w:rPr>
          <w:noProof/>
        </w:rPr>
        <w:sectPr w:rsidR="00C94138" w:rsidRPr="00220FCB" w:rsidSect="00F94E5B">
          <w:footerReference w:type="even" r:id="rId12"/>
          <w:footerReference w:type="default" r:id="rId13"/>
          <w:pgSz w:w="11907" w:h="16839"/>
          <w:pgMar w:top="1134" w:right="1417" w:bottom="1134" w:left="1417" w:header="709" w:footer="709" w:gutter="0"/>
          <w:pgNumType w:start="0"/>
          <w:cols w:space="720"/>
          <w:docGrid w:linePitch="360"/>
        </w:sectPr>
      </w:pPr>
    </w:p>
    <w:p w:rsidR="00C94138" w:rsidRPr="00220FCB" w:rsidRDefault="00C94138">
      <w:pPr>
        <w:pStyle w:val="Exposdesmotifstitre"/>
        <w:rPr>
          <w:noProof/>
        </w:rPr>
      </w:pPr>
      <w:bookmarkStart w:id="0" w:name="_GoBack"/>
      <w:bookmarkEnd w:id="0"/>
      <w:r w:rsidRPr="00220FCB">
        <w:rPr>
          <w:noProof/>
        </w:rPr>
        <w:lastRenderedPageBreak/>
        <w:t>EXPOSÉ DES MOTIFS</w:t>
      </w:r>
    </w:p>
    <w:p w:rsidR="00071B73" w:rsidRPr="00220FCB" w:rsidRDefault="00071B73" w:rsidP="00071B73">
      <w:pPr>
        <w:rPr>
          <w:noProof/>
        </w:rPr>
      </w:pPr>
    </w:p>
    <w:p w:rsidR="00C94138" w:rsidRPr="00220FCB" w:rsidRDefault="00C94138">
      <w:pPr>
        <w:pStyle w:val="ManualHeading1"/>
        <w:rPr>
          <w:noProof/>
        </w:rPr>
      </w:pPr>
      <w:r w:rsidRPr="00220FCB">
        <w:rPr>
          <w:noProof/>
        </w:rPr>
        <w:t>1.</w:t>
      </w:r>
      <w:r w:rsidRPr="00220FCB">
        <w:rPr>
          <w:noProof/>
        </w:rPr>
        <w:tab/>
        <w:t>CONTEXTE DE LA PROPOSITION</w:t>
      </w:r>
    </w:p>
    <w:p w:rsidR="00C94138" w:rsidRPr="00220FCB" w:rsidRDefault="00C94138">
      <w:pPr>
        <w:pStyle w:val="ManualHeading2"/>
        <w:rPr>
          <w:rFonts w:eastAsia="Arial Unicode MS"/>
          <w:noProof/>
        </w:rPr>
      </w:pPr>
      <w:r w:rsidRPr="00220FCB">
        <w:rPr>
          <w:noProof/>
          <w:color w:val="000000"/>
          <w:u w:color="000000"/>
          <w:bdr w:val="nil"/>
        </w:rPr>
        <w:t>•</w:t>
      </w:r>
      <w:r w:rsidRPr="00220FCB">
        <w:rPr>
          <w:noProof/>
        </w:rPr>
        <w:tab/>
        <w:t>Justification et objectifs de la proposition</w:t>
      </w:r>
    </w:p>
    <w:p w:rsidR="006514F1" w:rsidRPr="00220FCB" w:rsidRDefault="006514F1" w:rsidP="006514F1">
      <w:pPr>
        <w:pBdr>
          <w:top w:val="nil"/>
          <w:left w:val="nil"/>
          <w:bottom w:val="nil"/>
          <w:right w:val="nil"/>
          <w:between w:val="nil"/>
          <w:bar w:val="nil"/>
        </w:pBdr>
        <w:spacing w:before="0" w:after="240"/>
        <w:rPr>
          <w:noProof/>
        </w:rPr>
      </w:pPr>
      <w:r w:rsidRPr="00220FCB">
        <w:rPr>
          <w:noProof/>
        </w:rPr>
        <w:t>La présente proposition de modification du règlement (UE, Euratom) 2020/2093</w:t>
      </w:r>
      <w:r w:rsidRPr="00220FCB">
        <w:rPr>
          <w:rStyle w:val="FootnoteReference"/>
          <w:rFonts w:eastAsia="Arial Unicode MS"/>
          <w:noProof/>
        </w:rPr>
        <w:footnoteReference w:id="2"/>
      </w:r>
      <w:r w:rsidRPr="00220FCB">
        <w:rPr>
          <w:noProof/>
        </w:rPr>
        <w:t xml:space="preserve"> est présentée conjointement à la proposition de règlement établissant le prêt de </w:t>
      </w:r>
      <w:r w:rsidRPr="00220FCB">
        <w:rPr>
          <w:rStyle w:val="Added"/>
          <w:b w:val="0"/>
          <w:noProof/>
          <w:u w:val="none"/>
        </w:rPr>
        <w:t>soutien à l’Ukraine</w:t>
      </w:r>
      <w:r w:rsidRPr="00220FCB">
        <w:rPr>
          <w:noProof/>
        </w:rPr>
        <w:t xml:space="preserve"> et modifiant le règlement (UE) 2024/792 établissant la facilité pour l’Ukraine</w:t>
      </w:r>
      <w:r w:rsidRPr="00220FCB">
        <w:rPr>
          <w:rStyle w:val="FootnoteReference"/>
          <w:rFonts w:eastAsia="Arial Unicode MS"/>
          <w:noProof/>
        </w:rPr>
        <w:footnoteReference w:id="3"/>
      </w:r>
      <w:r w:rsidRPr="00220FCB">
        <w:rPr>
          <w:noProof/>
        </w:rPr>
        <w:t>.</w:t>
      </w:r>
    </w:p>
    <w:p w:rsidR="006514F1" w:rsidRPr="00220FCB" w:rsidRDefault="006514F1" w:rsidP="006514F1">
      <w:pPr>
        <w:pBdr>
          <w:top w:val="nil"/>
          <w:left w:val="nil"/>
          <w:bottom w:val="nil"/>
          <w:right w:val="nil"/>
          <w:between w:val="nil"/>
          <w:bar w:val="nil"/>
        </w:pBdr>
        <w:spacing w:before="0" w:after="240"/>
        <w:rPr>
          <w:noProof/>
        </w:rPr>
      </w:pPr>
      <w:r w:rsidRPr="00220FCB">
        <w:rPr>
          <w:noProof/>
        </w:rPr>
        <w:t xml:space="preserve">À la suite de l’invasion non provoquée et injustifiée de l’Ukraine par la Russie, l’Union a apporté un soutien substantiel à l’Ukraine en adoptant une série de mesures financières. L’Ukraine aura besoin d’une assistance continue, qui devrait être fournie dans le cadre de la proposition de nouveau règlement établissant le prêt de </w:t>
      </w:r>
      <w:r w:rsidRPr="00220FCB">
        <w:rPr>
          <w:rStyle w:val="Added"/>
          <w:b w:val="0"/>
          <w:noProof/>
          <w:u w:val="none"/>
        </w:rPr>
        <w:t>soutien à l’Ukraine</w:t>
      </w:r>
      <w:r w:rsidRPr="00220FCB">
        <w:rPr>
          <w:noProof/>
        </w:rPr>
        <w:t>.</w:t>
      </w:r>
    </w:p>
    <w:p w:rsidR="006514F1" w:rsidRPr="00220FCB" w:rsidRDefault="006514F1" w:rsidP="006514F1">
      <w:pPr>
        <w:pBdr>
          <w:top w:val="nil"/>
          <w:left w:val="nil"/>
          <w:bottom w:val="nil"/>
          <w:right w:val="nil"/>
          <w:between w:val="nil"/>
          <w:bar w:val="nil"/>
        </w:pBdr>
        <w:spacing w:before="0" w:after="240"/>
        <w:rPr>
          <w:noProof/>
        </w:rPr>
      </w:pPr>
      <w:r w:rsidRPr="00220FCB">
        <w:rPr>
          <w:noProof/>
        </w:rPr>
        <w:t>Grâce à la modification du règlement (UE, Euratom) 2020/2093, la garantie budgétaire actuellement appliquée en règle générale aux prêts à l’Ukraine dans le cadre de l’instrument d’AMF +</w:t>
      </w:r>
      <w:r w:rsidRPr="00220FCB">
        <w:rPr>
          <w:rStyle w:val="FootnoteReference"/>
          <w:noProof/>
        </w:rPr>
        <w:footnoteReference w:id="4"/>
      </w:r>
      <w:r w:rsidRPr="00220FCB">
        <w:rPr>
          <w:noProof/>
        </w:rPr>
        <w:t>, de la facilité pour l’Ukraine</w:t>
      </w:r>
      <w:r w:rsidRPr="00220FCB">
        <w:rPr>
          <w:rStyle w:val="FootnoteReference"/>
          <w:noProof/>
        </w:rPr>
        <w:footnoteReference w:id="5"/>
      </w:r>
      <w:r w:rsidRPr="00220FCB">
        <w:rPr>
          <w:noProof/>
        </w:rPr>
        <w:t xml:space="preserve"> et de l’AMF à l’Ukraine au titre du mécanisme de coopération pour les prêts à l’Ukraine</w:t>
      </w:r>
      <w:r w:rsidRPr="00220FCB">
        <w:rPr>
          <w:rStyle w:val="FootnoteReference"/>
          <w:noProof/>
        </w:rPr>
        <w:footnoteReference w:id="6"/>
      </w:r>
      <w:r w:rsidRPr="00220FCB">
        <w:rPr>
          <w:noProof/>
        </w:rPr>
        <w:t>, sera étendue et couvrira également l’assistance financière à l’Ukraine au titre du règlement (UE) XXX/XXX du Parlement européen et du Conseil. Cette garantie devrait permettre de toujours disposer en temps voulu des ressources nécessaires pour que l’Union puisse remplir toutes ses obligations financières à l’égard de ses créanciers. Par conséquent, si l’Union doit honorer ses obligations de remboursement à partir des ressources de son budget, dans le cas où un État bénéficiaire n’effectue pas le paiement dû dans les délais, les montants nécessaires seront mobilisés au-delà des plafonds du CFP dans les limites du plafond des ressources propres (c’est-à-dire en recourant à la «marge de manœuvre»).</w:t>
      </w:r>
    </w:p>
    <w:p w:rsidR="00ED104C" w:rsidRPr="00220FCB" w:rsidRDefault="006514F1" w:rsidP="006514F1">
      <w:pPr>
        <w:pBdr>
          <w:top w:val="nil"/>
          <w:left w:val="nil"/>
          <w:bottom w:val="nil"/>
          <w:right w:val="nil"/>
          <w:between w:val="nil"/>
          <w:bar w:val="nil"/>
        </w:pBdr>
        <w:spacing w:before="0" w:after="240"/>
        <w:rPr>
          <w:rStyle w:val="Added"/>
          <w:b w:val="0"/>
          <w:noProof/>
          <w:u w:val="none"/>
        </w:rPr>
      </w:pPr>
      <w:r w:rsidRPr="00220FCB">
        <w:rPr>
          <w:noProof/>
        </w:rPr>
        <w:t xml:space="preserve">La couverture budgétaire de la marge de manœuvre devrait s’appliquer à l’assistance financière </w:t>
      </w:r>
      <w:r w:rsidRPr="00220FCB">
        <w:rPr>
          <w:b/>
          <w:bCs/>
          <w:noProof/>
          <w:u w:val="single"/>
        </w:rPr>
        <w:t>sous forme de prêt</w:t>
      </w:r>
      <w:r w:rsidRPr="00220FCB">
        <w:rPr>
          <w:noProof/>
        </w:rPr>
        <w:t xml:space="preserve"> à l’Ukraine </w:t>
      </w:r>
      <w:r w:rsidRPr="00220FCB">
        <w:rPr>
          <w:rStyle w:val="Added"/>
          <w:b w:val="0"/>
          <w:noProof/>
          <w:u w:val="none"/>
        </w:rPr>
        <w:t>d’un montant de 90 000 000 000 EUR</w:t>
      </w:r>
      <w:r w:rsidRPr="00220FCB">
        <w:rPr>
          <w:noProof/>
        </w:rPr>
        <w:t xml:space="preserve"> </w:t>
      </w:r>
      <w:r w:rsidRPr="00220FCB">
        <w:rPr>
          <w:b/>
          <w:bCs/>
          <w:noProof/>
          <w:u w:val="single"/>
        </w:rPr>
        <w:t>à</w:t>
      </w:r>
      <w:r w:rsidRPr="00220FCB">
        <w:rPr>
          <w:noProof/>
        </w:rPr>
        <w:t xml:space="preserve"> </w:t>
      </w:r>
      <w:r w:rsidRPr="00220FCB">
        <w:rPr>
          <w:rStyle w:val="Added"/>
          <w:b w:val="0"/>
          <w:noProof/>
          <w:u w:val="none"/>
        </w:rPr>
        <w:t xml:space="preserve">mettre en œuvre dans le cadre d’une coopération renforcée. </w:t>
      </w:r>
    </w:p>
    <w:p w:rsidR="006514F1" w:rsidRPr="00220FCB" w:rsidRDefault="47BF2AB2" w:rsidP="74B10694">
      <w:pPr>
        <w:spacing w:before="0" w:after="240"/>
        <w:rPr>
          <w:rStyle w:val="Added"/>
          <w:b w:val="0"/>
          <w:noProof/>
          <w:u w:val="none"/>
        </w:rPr>
      </w:pPr>
      <w:r w:rsidRPr="00220FCB">
        <w:rPr>
          <w:rStyle w:val="Added"/>
          <w:b w:val="0"/>
          <w:noProof/>
          <w:u w:val="none"/>
        </w:rPr>
        <w:t>Soutien à l’Ukraine à des conditions favorables</w:t>
      </w:r>
    </w:p>
    <w:p w:rsidR="006514F1" w:rsidRPr="00220FCB" w:rsidRDefault="006514F1" w:rsidP="006514F1">
      <w:pPr>
        <w:spacing w:before="0" w:after="240"/>
        <w:rPr>
          <w:rStyle w:val="Added"/>
          <w:b w:val="0"/>
          <w:noProof/>
          <w:u w:val="none"/>
        </w:rPr>
      </w:pPr>
      <w:r w:rsidRPr="00220FCB">
        <w:rPr>
          <w:rStyle w:val="Added"/>
          <w:b w:val="0"/>
          <w:noProof/>
          <w:u w:val="none"/>
        </w:rPr>
        <w:t>Afin d’apporter un soutien à l’Ukraine à des conditions favorables et d’éviter d’accroître la pression sur les finances publiques de l’Ukraine, le budget de l’Union couvrira les coûts découlant de l’emprunt en vue d’un prêt en établissant une bonification des coûts de l’emprunt. Ces coûts comprennent les coûts du service de la dette</w:t>
      </w:r>
      <w:r w:rsidRPr="00220FCB">
        <w:rPr>
          <w:noProof/>
        </w:rPr>
        <w:t xml:space="preserve"> (coût du financement et coûts d’émission et de gestion des liquidités) et les coûts administratifs associés. </w:t>
      </w:r>
      <w:r w:rsidRPr="00220FCB">
        <w:rPr>
          <w:rStyle w:val="Added"/>
          <w:b w:val="0"/>
          <w:noProof/>
          <w:u w:val="none"/>
        </w:rPr>
        <w:t xml:space="preserve">Les coûts du service de la dette seront financés au titre d’un nouvel instrument spécial thématique, l’instrument de prêt à l’Ukraine, au-delà des plafonds du CFP. Lors de la mobilisation de l’instrument de prêt à l’Ukraine dans le cadre de la procédure budgétaire, les disponibilités budgétaires dans d’autres instruments spéciaux, les règles sectorielles applicables, toute obligation juridique ou autre, y compris au titre de l’instrument EURI, les priorités, une budgétisation prudente et une bonne gestion financière seront prises en considération.  </w:t>
      </w:r>
    </w:p>
    <w:p w:rsidR="009B30E3" w:rsidRPr="00220FCB" w:rsidRDefault="009B30E3" w:rsidP="006514F1">
      <w:pPr>
        <w:spacing w:before="0" w:after="240"/>
        <w:rPr>
          <w:rStyle w:val="Added"/>
          <w:noProof/>
        </w:rPr>
      </w:pPr>
    </w:p>
    <w:p w:rsidR="00C94138" w:rsidRPr="00220FCB" w:rsidRDefault="00C94138">
      <w:pPr>
        <w:pStyle w:val="ManualHeading1"/>
        <w:rPr>
          <w:noProof/>
        </w:rPr>
      </w:pPr>
      <w:r w:rsidRPr="00220FCB">
        <w:rPr>
          <w:noProof/>
        </w:rPr>
        <w:t>2.</w:t>
      </w:r>
      <w:r w:rsidRPr="00220FCB">
        <w:rPr>
          <w:noProof/>
        </w:rPr>
        <w:tab/>
        <w:t>BASE JURIDIQUE, SUBSIDIARITÉ ET PROPORTIONNALITÉ</w:t>
      </w:r>
    </w:p>
    <w:p w:rsidR="00C94138" w:rsidRPr="00220FCB" w:rsidRDefault="00C94138">
      <w:pPr>
        <w:pStyle w:val="ManualHeading2"/>
        <w:rPr>
          <w:rFonts w:eastAsia="Arial Unicode MS"/>
          <w:noProof/>
          <w:u w:color="000000"/>
          <w:bdr w:val="nil"/>
        </w:rPr>
      </w:pPr>
      <w:r w:rsidRPr="00220FCB">
        <w:rPr>
          <w:noProof/>
          <w:u w:color="000000"/>
          <w:bdr w:val="nil"/>
        </w:rPr>
        <w:t>•</w:t>
      </w:r>
      <w:r w:rsidRPr="00220FCB">
        <w:rPr>
          <w:noProof/>
        </w:rPr>
        <w:tab/>
      </w:r>
      <w:r w:rsidRPr="00220FCB">
        <w:rPr>
          <w:noProof/>
          <w:u w:color="000000"/>
          <w:bdr w:val="nil"/>
        </w:rPr>
        <w:t>Base juridique</w:t>
      </w:r>
    </w:p>
    <w:p w:rsidR="00C94138" w:rsidRPr="00220FCB" w:rsidRDefault="006514F1">
      <w:pPr>
        <w:pBdr>
          <w:top w:val="nil"/>
          <w:left w:val="nil"/>
          <w:bottom w:val="nil"/>
          <w:right w:val="nil"/>
          <w:between w:val="nil"/>
          <w:bar w:val="nil"/>
        </w:pBdr>
        <w:spacing w:before="0" w:after="240"/>
        <w:rPr>
          <w:rFonts w:eastAsia="Arial Unicode MS"/>
          <w:noProof/>
        </w:rPr>
      </w:pPr>
      <w:r w:rsidRPr="00220FCB">
        <w:rPr>
          <w:noProof/>
        </w:rPr>
        <w:t>L’article 312 du traité sur le fonctionnement de l’Union européenne (TFUE) constitue la base juridique pour l’adoption du cadre financier pluriannuel.</w:t>
      </w:r>
    </w:p>
    <w:p w:rsidR="00C94138" w:rsidRPr="00220FCB" w:rsidRDefault="00C94138">
      <w:pPr>
        <w:pStyle w:val="ManualHeading2"/>
        <w:rPr>
          <w:rFonts w:eastAsia="Arial Unicode MS"/>
          <w:noProof/>
          <w:u w:color="000000"/>
          <w:bdr w:val="nil"/>
        </w:rPr>
      </w:pPr>
      <w:r w:rsidRPr="00220FCB">
        <w:rPr>
          <w:noProof/>
          <w:u w:color="000000"/>
          <w:bdr w:val="nil"/>
        </w:rPr>
        <w:t>•</w:t>
      </w:r>
      <w:r w:rsidRPr="00220FCB">
        <w:rPr>
          <w:noProof/>
        </w:rPr>
        <w:tab/>
      </w:r>
      <w:r w:rsidRPr="00220FCB">
        <w:rPr>
          <w:noProof/>
          <w:u w:color="000000"/>
          <w:bdr w:val="nil"/>
        </w:rPr>
        <w:t xml:space="preserve">Subsidiarité (en cas de compétence non exclusive) </w:t>
      </w:r>
    </w:p>
    <w:p w:rsidR="00C94138" w:rsidRPr="00220FCB" w:rsidRDefault="006514F1">
      <w:pPr>
        <w:pBdr>
          <w:top w:val="nil"/>
          <w:left w:val="nil"/>
          <w:bottom w:val="nil"/>
          <w:right w:val="nil"/>
          <w:between w:val="nil"/>
          <w:bar w:val="nil"/>
        </w:pBdr>
        <w:spacing w:before="0" w:after="240"/>
        <w:rPr>
          <w:noProof/>
        </w:rPr>
      </w:pPr>
      <w:r w:rsidRPr="00220FCB">
        <w:rPr>
          <w:noProof/>
        </w:rPr>
        <w:t>L’initiative relève d’un domaine d’action dans lequel l’Union dispose d’une compétence exclusive (en vertu de l’article 312 du TFUE). Par conséquent, le principe de subsidiarité ne s’applique pas.</w:t>
      </w:r>
    </w:p>
    <w:p w:rsidR="00C94138" w:rsidRPr="00220FCB" w:rsidRDefault="00C94138">
      <w:pPr>
        <w:pStyle w:val="ManualHeading2"/>
        <w:rPr>
          <w:rFonts w:eastAsia="Arial Unicode MS"/>
          <w:noProof/>
          <w:u w:color="000000"/>
          <w:bdr w:val="nil"/>
        </w:rPr>
      </w:pPr>
      <w:r w:rsidRPr="00220FCB">
        <w:rPr>
          <w:noProof/>
          <w:u w:color="000000"/>
          <w:bdr w:val="nil"/>
        </w:rPr>
        <w:t>•</w:t>
      </w:r>
      <w:r w:rsidRPr="00220FCB">
        <w:rPr>
          <w:noProof/>
        </w:rPr>
        <w:tab/>
      </w:r>
      <w:r w:rsidRPr="00220FCB">
        <w:rPr>
          <w:noProof/>
          <w:u w:color="000000"/>
          <w:bdr w:val="nil"/>
        </w:rPr>
        <w:t>Proportionnalité</w:t>
      </w:r>
    </w:p>
    <w:p w:rsidR="006514F1" w:rsidRPr="00220FCB" w:rsidRDefault="006514F1" w:rsidP="006514F1">
      <w:pPr>
        <w:pBdr>
          <w:top w:val="nil"/>
          <w:left w:val="nil"/>
          <w:bottom w:val="nil"/>
          <w:right w:val="nil"/>
          <w:between w:val="nil"/>
          <w:bar w:val="nil"/>
        </w:pBdr>
        <w:spacing w:before="0" w:after="240"/>
        <w:rPr>
          <w:noProof/>
        </w:rPr>
      </w:pPr>
      <w:r w:rsidRPr="00220FCB">
        <w:rPr>
          <w:noProof/>
        </w:rPr>
        <w:t>Les modifications sont proportionnées à la nécessité urgente d’établir un instrument de soutien à l’Ukraine, qui ne pourra être mis en œuvre qu’une fois que la couverture budgétaire des prêts à l’Ukraine aura été établie.</w:t>
      </w:r>
    </w:p>
    <w:p w:rsidR="006514F1" w:rsidRPr="00220FCB" w:rsidRDefault="006514F1" w:rsidP="006514F1">
      <w:pPr>
        <w:pStyle w:val="ManualHeading2"/>
        <w:rPr>
          <w:rFonts w:eastAsia="Arial Unicode MS"/>
          <w:noProof/>
          <w:u w:color="000000"/>
          <w:bdr w:val="nil"/>
        </w:rPr>
      </w:pPr>
      <w:r w:rsidRPr="00220FCB">
        <w:rPr>
          <w:noProof/>
          <w:u w:color="000000"/>
          <w:bdr w:val="nil"/>
        </w:rPr>
        <w:t>•</w:t>
      </w:r>
      <w:r w:rsidRPr="00220FCB">
        <w:rPr>
          <w:noProof/>
        </w:rPr>
        <w:tab/>
      </w:r>
      <w:r w:rsidRPr="00220FCB">
        <w:rPr>
          <w:noProof/>
          <w:u w:color="000000"/>
          <w:bdr w:val="nil"/>
        </w:rPr>
        <w:t>Explication détaillée de certaines dispositions de la proposition</w:t>
      </w:r>
    </w:p>
    <w:p w:rsidR="006514F1" w:rsidRPr="00220FCB" w:rsidRDefault="006514F1" w:rsidP="006514F1">
      <w:pPr>
        <w:pBdr>
          <w:top w:val="nil"/>
          <w:left w:val="nil"/>
          <w:bottom w:val="nil"/>
          <w:right w:val="nil"/>
          <w:between w:val="nil"/>
          <w:bar w:val="nil"/>
        </w:pBdr>
        <w:spacing w:before="0" w:after="240"/>
        <w:rPr>
          <w:rStyle w:val="Added"/>
          <w:noProof/>
        </w:rPr>
      </w:pPr>
      <w:r w:rsidRPr="00220FCB">
        <w:rPr>
          <w:rStyle w:val="Added"/>
          <w:noProof/>
        </w:rPr>
        <w:t>Chapitre I – Dispositions générales</w:t>
      </w:r>
    </w:p>
    <w:p w:rsidR="006514F1" w:rsidRPr="00220FCB" w:rsidRDefault="006514F1" w:rsidP="006514F1">
      <w:pPr>
        <w:pBdr>
          <w:top w:val="nil"/>
          <w:left w:val="nil"/>
          <w:bottom w:val="nil"/>
          <w:right w:val="nil"/>
          <w:between w:val="nil"/>
          <w:bar w:val="nil"/>
        </w:pBdr>
        <w:spacing w:before="0" w:after="240"/>
        <w:rPr>
          <w:rStyle w:val="Added"/>
          <w:noProof/>
        </w:rPr>
      </w:pPr>
      <w:r w:rsidRPr="00220FCB">
        <w:rPr>
          <w:rStyle w:val="Added"/>
          <w:noProof/>
        </w:rPr>
        <w:t>Article 2 – Respect des plafonds du CFP</w:t>
      </w:r>
    </w:p>
    <w:p w:rsidR="006514F1" w:rsidRPr="00220FCB" w:rsidRDefault="006514F1" w:rsidP="006514F1">
      <w:pPr>
        <w:pBdr>
          <w:top w:val="nil"/>
          <w:left w:val="nil"/>
          <w:bottom w:val="nil"/>
          <w:right w:val="nil"/>
          <w:between w:val="nil"/>
          <w:bar w:val="nil"/>
        </w:pBdr>
        <w:spacing w:before="0" w:after="240"/>
        <w:rPr>
          <w:noProof/>
        </w:rPr>
      </w:pPr>
      <w:r w:rsidRPr="00220FCB">
        <w:rPr>
          <w:noProof/>
        </w:rPr>
        <w:t xml:space="preserve">En vertu des dispositions actuelles de l’article 2, paragraphe 3, du règlement (UE, Euratom) 2020/2093, les montants nécessaires pour honorer les obligations de remboursement de l’Union au titre d’opérations d’emprunt et de prêt dans le cas où l’Union ne reçoit pas dans les délais le paiement dû par l’État bénéficiaire (c’est-à-dire l’intervention d’une garantie pour une assistance financière aux États membres et à l’Ukraine) seraient mobilisés au-delà des plafonds du CFP. </w:t>
      </w:r>
    </w:p>
    <w:p w:rsidR="006514F1" w:rsidRPr="00220FCB" w:rsidRDefault="006514F1" w:rsidP="006514F1">
      <w:pPr>
        <w:pBdr>
          <w:top w:val="nil"/>
          <w:left w:val="nil"/>
          <w:bottom w:val="nil"/>
          <w:right w:val="nil"/>
          <w:between w:val="nil"/>
          <w:bar w:val="nil"/>
        </w:pBdr>
        <w:spacing w:before="0" w:after="240"/>
        <w:rPr>
          <w:noProof/>
        </w:rPr>
      </w:pPr>
      <w:r w:rsidRPr="00220FCB">
        <w:rPr>
          <w:noProof/>
        </w:rPr>
        <w:t xml:space="preserve">Le montant mobilisé ne peut entraîner un dépassement des limites du plafond des ressources propres. La disposition visant à étendre la couverture budgétaire de la marge de manœuvre à la garantie pour l’assistance financière à l’Ukraine au titre du règlement établissant le prêt de </w:t>
      </w:r>
      <w:r w:rsidRPr="00220FCB">
        <w:rPr>
          <w:rStyle w:val="Added"/>
          <w:b w:val="0"/>
          <w:noProof/>
          <w:u w:val="none"/>
        </w:rPr>
        <w:t>soutien à l’Ukraine</w:t>
      </w:r>
      <w:r w:rsidRPr="00220FCB">
        <w:rPr>
          <w:noProof/>
        </w:rPr>
        <w:t xml:space="preserve"> est par conséquent compatible avec l’article 312, paragraphes 1 et 3, du TFUE, qui dispose que le CFP «</w:t>
      </w:r>
      <w:r w:rsidRPr="00220FCB">
        <w:rPr>
          <w:i/>
          <w:iCs/>
          <w:noProof/>
        </w:rPr>
        <w:t>vise à assurer l’évolution ordonnée des dépenses de l’Union dans la limite de ses ressources propres</w:t>
      </w:r>
      <w:r w:rsidRPr="00220FCB">
        <w:rPr>
          <w:noProof/>
        </w:rPr>
        <w:t>» et «</w:t>
      </w:r>
      <w:r w:rsidRPr="00220FCB">
        <w:rPr>
          <w:i/>
          <w:iCs/>
          <w:noProof/>
        </w:rPr>
        <w:t>prévoit toute autre disposition utile au bon déroulement de la procédure budgétaire annuelle</w:t>
      </w:r>
      <w:r w:rsidRPr="00220FCB">
        <w:rPr>
          <w:noProof/>
        </w:rPr>
        <w:t>».</w:t>
      </w:r>
    </w:p>
    <w:p w:rsidR="006514F1" w:rsidRPr="00220FCB" w:rsidRDefault="006514F1" w:rsidP="006514F1">
      <w:pPr>
        <w:pBdr>
          <w:top w:val="nil"/>
          <w:left w:val="nil"/>
          <w:bottom w:val="nil"/>
          <w:right w:val="nil"/>
          <w:between w:val="nil"/>
          <w:bar w:val="nil"/>
        </w:pBdr>
        <w:spacing w:before="0" w:after="240"/>
        <w:rPr>
          <w:rStyle w:val="Added"/>
          <w:noProof/>
        </w:rPr>
      </w:pPr>
      <w:r w:rsidRPr="00220FCB">
        <w:rPr>
          <w:rStyle w:val="Added"/>
          <w:noProof/>
        </w:rPr>
        <w:t>Chapitre 3 – Instruments spéciaux</w:t>
      </w:r>
    </w:p>
    <w:p w:rsidR="006514F1" w:rsidRPr="00220FCB" w:rsidRDefault="006514F1" w:rsidP="006514F1">
      <w:pPr>
        <w:pBdr>
          <w:top w:val="nil"/>
          <w:left w:val="nil"/>
          <w:bottom w:val="nil"/>
          <w:right w:val="nil"/>
          <w:between w:val="nil"/>
          <w:bar w:val="nil"/>
        </w:pBdr>
        <w:spacing w:before="0" w:after="240"/>
        <w:rPr>
          <w:rStyle w:val="Added"/>
          <w:noProof/>
        </w:rPr>
      </w:pPr>
      <w:r w:rsidRPr="00220FCB">
        <w:rPr>
          <w:rStyle w:val="Added"/>
          <w:noProof/>
        </w:rPr>
        <w:t>Section 1 — Instruments spéciaux thématiques</w:t>
      </w:r>
    </w:p>
    <w:p w:rsidR="006514F1" w:rsidRPr="00220FCB" w:rsidRDefault="006514F1" w:rsidP="006514F1">
      <w:pPr>
        <w:pBdr>
          <w:top w:val="nil"/>
          <w:left w:val="nil"/>
          <w:bottom w:val="nil"/>
          <w:right w:val="nil"/>
          <w:between w:val="nil"/>
          <w:bar w:val="nil"/>
        </w:pBdr>
        <w:spacing w:before="0" w:after="240"/>
        <w:rPr>
          <w:rStyle w:val="Added"/>
          <w:noProof/>
        </w:rPr>
      </w:pPr>
      <w:r w:rsidRPr="00220FCB">
        <w:rPr>
          <w:rStyle w:val="Added"/>
          <w:noProof/>
        </w:rPr>
        <w:t>Article 10 </w:t>
      </w:r>
      <w:r w:rsidRPr="00220FCB">
        <w:rPr>
          <w:rStyle w:val="Added"/>
          <w:i/>
          <w:noProof/>
        </w:rPr>
        <w:t>quater</w:t>
      </w:r>
      <w:r w:rsidRPr="00220FCB">
        <w:rPr>
          <w:rStyle w:val="Added"/>
          <w:noProof/>
        </w:rPr>
        <w:t xml:space="preserve"> — Instrument de prêt de soutien à l’Ukraine</w:t>
      </w:r>
    </w:p>
    <w:p w:rsidR="006514F1" w:rsidRPr="00220FCB" w:rsidRDefault="006514F1" w:rsidP="006514F1">
      <w:pPr>
        <w:pBdr>
          <w:top w:val="nil"/>
          <w:left w:val="nil"/>
          <w:bottom w:val="nil"/>
          <w:right w:val="nil"/>
          <w:between w:val="nil"/>
          <w:bar w:val="nil"/>
        </w:pBdr>
        <w:spacing w:before="0" w:after="240"/>
        <w:rPr>
          <w:rStyle w:val="Added"/>
          <w:b w:val="0"/>
          <w:bCs/>
          <w:noProof/>
          <w:u w:val="none"/>
        </w:rPr>
      </w:pPr>
      <w:r w:rsidRPr="00220FCB">
        <w:rPr>
          <w:rStyle w:val="Added"/>
          <w:b w:val="0"/>
          <w:noProof/>
          <w:u w:val="none"/>
        </w:rPr>
        <w:t xml:space="preserve">Ce nouvel article est ajouté pour prévoir l’«instrument de prêt de soutien à l’Ukraine», un nouvel instrument spécial thématique. </w:t>
      </w:r>
    </w:p>
    <w:p w:rsidR="006514F1" w:rsidRPr="00220FCB" w:rsidRDefault="006514F1" w:rsidP="006514F1">
      <w:pPr>
        <w:pBdr>
          <w:top w:val="nil"/>
          <w:left w:val="nil"/>
          <w:bottom w:val="nil"/>
          <w:right w:val="nil"/>
          <w:between w:val="nil"/>
          <w:bar w:val="nil"/>
        </w:pBdr>
        <w:spacing w:before="0" w:after="240"/>
        <w:rPr>
          <w:b/>
          <w:bCs/>
          <w:noProof/>
        </w:rPr>
      </w:pPr>
      <w:r w:rsidRPr="00220FCB">
        <w:rPr>
          <w:rStyle w:val="Added"/>
          <w:b w:val="0"/>
          <w:noProof/>
          <w:u w:val="none"/>
        </w:rPr>
        <w:t>Les dépenses spécifiques pour lesquels l’instrument de prêt de soutien à l’Ukraine peut être utilisé sont les coûts du service de la dette, qui comprennent</w:t>
      </w:r>
      <w:r w:rsidRPr="00220FCB">
        <w:rPr>
          <w:noProof/>
        </w:rPr>
        <w:t xml:space="preserve"> les coûts du financement et les coûts d’émission et de gestion des liquidités, </w:t>
      </w:r>
      <w:r w:rsidRPr="00220FCB">
        <w:rPr>
          <w:rStyle w:val="Added"/>
          <w:b w:val="0"/>
          <w:noProof/>
          <w:u w:val="none"/>
        </w:rPr>
        <w:t>dus pour les fonds empruntés sur les marchés des capitaux pour un prêt à l’Ukraine à mettre en œuvre dans le cadre d’une coopération renforcée.</w:t>
      </w:r>
    </w:p>
    <w:p w:rsidR="00C94138" w:rsidRPr="00220FCB" w:rsidRDefault="00C94138">
      <w:pPr>
        <w:pStyle w:val="ManualHeading1"/>
        <w:rPr>
          <w:noProof/>
        </w:rPr>
      </w:pPr>
      <w:r w:rsidRPr="00220FCB">
        <w:rPr>
          <w:noProof/>
        </w:rPr>
        <w:t>4.</w:t>
      </w:r>
      <w:r w:rsidRPr="00220FCB">
        <w:rPr>
          <w:noProof/>
        </w:rPr>
        <w:tab/>
        <w:t>INCIDENCE BUDGÉTAIRE</w:t>
      </w:r>
    </w:p>
    <w:p w:rsidR="005725D6" w:rsidRPr="00220FCB" w:rsidRDefault="005725D6" w:rsidP="005725D6">
      <w:pPr>
        <w:pBdr>
          <w:top w:val="nil"/>
          <w:left w:val="nil"/>
          <w:bottom w:val="nil"/>
          <w:right w:val="nil"/>
          <w:between w:val="nil"/>
          <w:bar w:val="nil"/>
        </w:pBdr>
        <w:spacing w:before="0" w:after="240"/>
        <w:rPr>
          <w:noProof/>
        </w:rPr>
      </w:pPr>
      <w:r w:rsidRPr="00220FCB">
        <w:rPr>
          <w:noProof/>
        </w:rPr>
        <w:t xml:space="preserve">Grâce à l’extension de la mobilisation d’une garantie pour l’assistance financière au-delà des plafonds du CFP à l’Ukraine pour l’assistance financière proposée, qui s’ajoute à l’assistance financière aux États membres de l’UE et à l’Ukraine dans le cadre de l’instrument d’AMF +, de la facilité pour l’Ukraine et de l’AMF à l’Ukraine au titre du mécanisme de coopération pour les prêts à l’Ukraine, la proposition permettra d’utiliser plus efficacement les ressources budgétaires sous les plafonds du CFP. La possibilité de mobiliser la garantie au-delà des plafonds du CFP offrirait une couverture complète de l’assistance financière octroyée à l’Ukraine conformément au règlement (UE) XXX/XXX du Parlement européen et du Conseil au cours des prochaines années, conformément au principe de bonne gestion financière. </w:t>
      </w:r>
    </w:p>
    <w:p w:rsidR="008D402A" w:rsidRPr="00220FCB" w:rsidRDefault="005725D6" w:rsidP="008D402A">
      <w:pPr>
        <w:pBdr>
          <w:top w:val="nil"/>
          <w:left w:val="nil"/>
          <w:bottom w:val="nil"/>
          <w:right w:val="nil"/>
          <w:between w:val="nil"/>
          <w:bar w:val="nil"/>
        </w:pBdr>
        <w:spacing w:before="0" w:after="240"/>
        <w:rPr>
          <w:rStyle w:val="Added"/>
          <w:b w:val="0"/>
          <w:bCs/>
          <w:noProof/>
          <w:u w:val="none"/>
        </w:rPr>
      </w:pPr>
      <w:r w:rsidRPr="00220FCB">
        <w:rPr>
          <w:rStyle w:val="Added"/>
          <w:b w:val="0"/>
          <w:noProof/>
          <w:u w:val="none"/>
        </w:rPr>
        <w:t xml:space="preserve">L’instrument spécial «Instrument de prêt à l’Ukraine» figurant dans la présente proposition sera mobilisé dans le cadre de la procédure budgétaire prévue à l’article 314 du TFUE, pour des montants établis conformément aux procédures applicables énoncées dans les actes de base pertinents. Au cours de la période couverte par le CFP actuel, les fonds empruntés pour financer le prêt à l’Ukraine devraient donner lieu à des coûts du service de la dette, facturés en 2027, dont la couverture pourrait nécessiter la mobilisation de l’instrument spécial «Instrument de prêt de soutien à l’Ukraine». Lors de la mobilisation de l’instrument de prêt de soutien à l’Ukraine dans le cadre de la procédure budgétaire annuelle, les disponibilités budgétaires dans d’autres instruments spéciaux, les règles sectorielles applicables, toute obligation juridique ou autre, y compris au titre de l’instrument EURI, les priorités, une budgétisation prudente et une bonne gestion financière seront prises en considération.  </w:t>
      </w:r>
    </w:p>
    <w:p w:rsidR="005725D6" w:rsidRPr="00220FCB" w:rsidRDefault="005725D6" w:rsidP="005725D6">
      <w:pPr>
        <w:pBdr>
          <w:top w:val="nil"/>
          <w:left w:val="nil"/>
          <w:bottom w:val="nil"/>
          <w:right w:val="nil"/>
          <w:between w:val="nil"/>
          <w:bar w:val="nil"/>
        </w:pBdr>
        <w:spacing w:before="0" w:after="240"/>
        <w:rPr>
          <w:rStyle w:val="Added"/>
          <w:b w:val="0"/>
          <w:bCs/>
          <w:noProof/>
          <w:u w:val="none"/>
        </w:rPr>
      </w:pPr>
      <w:r w:rsidRPr="00220FCB">
        <w:rPr>
          <w:rStyle w:val="Added"/>
          <w:b w:val="0"/>
          <w:noProof/>
          <w:u w:val="none"/>
        </w:rPr>
        <w:t>Étant donné que les dépenses liées aux instruments spéciaux sont inscrites au budget «au-delà» des plafonds du CFP concernés, la présente proposition n’a pas d’incidence sur les plafonds du CFP.</w:t>
      </w:r>
    </w:p>
    <w:p w:rsidR="00C94138" w:rsidRPr="00220FCB" w:rsidRDefault="00C94138">
      <w:pPr>
        <w:pBdr>
          <w:top w:val="nil"/>
          <w:left w:val="nil"/>
          <w:bottom w:val="nil"/>
          <w:right w:val="nil"/>
          <w:between w:val="nil"/>
          <w:bar w:val="nil"/>
        </w:pBdr>
        <w:spacing w:before="0" w:after="240"/>
        <w:rPr>
          <w:rFonts w:eastAsia="Arial Unicode MS"/>
          <w:noProof/>
        </w:rPr>
      </w:pPr>
    </w:p>
    <w:p w:rsidR="00C94138" w:rsidRPr="00220FCB" w:rsidRDefault="00C94138">
      <w:pPr>
        <w:rPr>
          <w:noProof/>
        </w:rPr>
        <w:sectPr w:rsidR="00C94138" w:rsidRPr="00220FCB" w:rsidSect="00F94E5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9A1515" w:rsidRDefault="00B033A6">
      <w:pPr>
        <w:pStyle w:val="Rfrenceinterinstitutionnelle"/>
        <w:rPr>
          <w:noProof/>
        </w:rPr>
      </w:pPr>
      <w:r>
        <w:rPr>
          <w:noProof/>
        </w:rPr>
        <w:t>2025/3500 (APP)</w:t>
      </w:r>
    </w:p>
    <w:p w:rsidR="00C94138" w:rsidRPr="00220FCB" w:rsidRDefault="00220FCB" w:rsidP="00220FCB">
      <w:pPr>
        <w:pStyle w:val="Statut"/>
        <w:rPr>
          <w:noProof/>
        </w:rPr>
      </w:pPr>
      <w:bookmarkStart w:id="1" w:name="_Hlk219125933"/>
      <w:r w:rsidRPr="00220FCB">
        <w:rPr>
          <w:noProof/>
        </w:rPr>
        <w:t>Proposition modifiée de</w:t>
      </w:r>
    </w:p>
    <w:p w:rsidR="00C94138" w:rsidRPr="00220FCB" w:rsidRDefault="00220FCB" w:rsidP="00220FCB">
      <w:pPr>
        <w:pStyle w:val="Typedudocument"/>
        <w:rPr>
          <w:noProof/>
        </w:rPr>
      </w:pPr>
      <w:r w:rsidRPr="00220FCB">
        <w:rPr>
          <w:noProof/>
        </w:rPr>
        <w:t>RÈGLEMENT DU CONSEIL</w:t>
      </w:r>
    </w:p>
    <w:p w:rsidR="00C94138" w:rsidRPr="00220FCB" w:rsidRDefault="00220FCB" w:rsidP="00220FCB">
      <w:pPr>
        <w:pStyle w:val="Titreobjet"/>
        <w:rPr>
          <w:noProof/>
        </w:rPr>
      </w:pPr>
      <w:r w:rsidRPr="00220FCB">
        <w:rPr>
          <w:noProof/>
        </w:rPr>
        <w:t>modifiant le règlement (UE, Euratom) 2020/2093 fixant le cadre financier pluriannuel pour les années 2021 à 2027</w:t>
      </w:r>
    </w:p>
    <w:bookmarkEnd w:id="1"/>
    <w:p w:rsidR="005725D6" w:rsidRPr="00220FCB" w:rsidRDefault="005725D6" w:rsidP="005725D6">
      <w:pPr>
        <w:pStyle w:val="Institutionquiagit"/>
        <w:rPr>
          <w:noProof/>
        </w:rPr>
      </w:pPr>
      <w:r w:rsidRPr="00220FCB">
        <w:rPr>
          <w:noProof/>
        </w:rPr>
        <w:t>LE CONSEIL DE L’UNION EUROPÉENNE,</w:t>
      </w:r>
    </w:p>
    <w:p w:rsidR="005725D6" w:rsidRPr="00220FCB" w:rsidRDefault="005725D6" w:rsidP="005725D6">
      <w:pPr>
        <w:rPr>
          <w:noProof/>
        </w:rPr>
      </w:pPr>
      <w:r w:rsidRPr="00220FCB">
        <w:rPr>
          <w:noProof/>
        </w:rPr>
        <w:t>vu le traité sur le fonctionnement de l’Union européenne, et notamment son article 312,</w:t>
      </w:r>
    </w:p>
    <w:p w:rsidR="005725D6" w:rsidRPr="00220FCB" w:rsidRDefault="005725D6" w:rsidP="005725D6">
      <w:pPr>
        <w:rPr>
          <w:noProof/>
        </w:rPr>
      </w:pPr>
      <w:r w:rsidRPr="00220FCB">
        <w:rPr>
          <w:noProof/>
        </w:rPr>
        <w:t>vu le traité instituant la Communauté européenne de l’énergie atomique, et notamment son article 106 </w:t>
      </w:r>
      <w:r w:rsidRPr="00220FCB">
        <w:rPr>
          <w:i/>
          <w:noProof/>
        </w:rPr>
        <w:t>bis</w:t>
      </w:r>
      <w:r w:rsidRPr="00220FCB">
        <w:rPr>
          <w:noProof/>
        </w:rPr>
        <w:t xml:space="preserve">, </w:t>
      </w:r>
    </w:p>
    <w:p w:rsidR="005725D6" w:rsidRPr="00220FCB" w:rsidRDefault="005725D6" w:rsidP="005725D6">
      <w:pPr>
        <w:rPr>
          <w:noProof/>
        </w:rPr>
      </w:pPr>
      <w:r w:rsidRPr="00220FCB">
        <w:rPr>
          <w:noProof/>
        </w:rPr>
        <w:t xml:space="preserve">vu la proposition de la Commission européenne, </w:t>
      </w:r>
    </w:p>
    <w:p w:rsidR="005725D6" w:rsidRPr="00220FCB" w:rsidRDefault="005725D6" w:rsidP="005725D6">
      <w:pPr>
        <w:rPr>
          <w:noProof/>
        </w:rPr>
      </w:pPr>
      <w:r w:rsidRPr="00220FCB">
        <w:rPr>
          <w:noProof/>
        </w:rPr>
        <w:t>vu l’approbation du Parlement européen</w:t>
      </w:r>
      <w:r w:rsidRPr="00220FCB">
        <w:rPr>
          <w:noProof/>
          <w:vertAlign w:val="superscript"/>
        </w:rPr>
        <w:t>6</w:t>
      </w:r>
      <w:r w:rsidRPr="00220FCB">
        <w:rPr>
          <w:noProof/>
        </w:rPr>
        <w:t xml:space="preserve">,  </w:t>
      </w:r>
    </w:p>
    <w:p w:rsidR="005725D6" w:rsidRPr="00220FCB" w:rsidRDefault="005725D6" w:rsidP="005725D6">
      <w:pPr>
        <w:rPr>
          <w:noProof/>
        </w:rPr>
      </w:pPr>
      <w:r w:rsidRPr="00220FCB">
        <w:rPr>
          <w:noProof/>
        </w:rPr>
        <w:t>statuant conformément à une procédure législative spéciale,</w:t>
      </w:r>
    </w:p>
    <w:p w:rsidR="00C94138" w:rsidRPr="00220FCB" w:rsidRDefault="00C94138">
      <w:pPr>
        <w:rPr>
          <w:noProof/>
        </w:rPr>
      </w:pPr>
      <w:r w:rsidRPr="00220FCB">
        <w:rPr>
          <w:noProof/>
        </w:rPr>
        <w:t>considérant ce qui suit:</w:t>
      </w:r>
    </w:p>
    <w:p w:rsidR="00C94138" w:rsidRPr="00220FCB" w:rsidRDefault="00422650" w:rsidP="00422650">
      <w:pPr>
        <w:pStyle w:val="ManualConsidrant"/>
        <w:rPr>
          <w:noProof/>
        </w:rPr>
      </w:pPr>
      <w:r w:rsidRPr="00422650">
        <w:rPr>
          <w:noProof/>
        </w:rPr>
        <w:t>(1)</w:t>
      </w:r>
      <w:r w:rsidRPr="00422650">
        <w:rPr>
          <w:noProof/>
        </w:rPr>
        <w:tab/>
      </w:r>
      <w:r w:rsidR="005725D6" w:rsidRPr="00220FCB">
        <w:rPr>
          <w:noProof/>
        </w:rPr>
        <w:t>À la suite de la guerre d’agression non provoquée et injustifiée menée par la Russie contre l’Ukraine, l’Union soutient l’Ukraine en adoptant une série de mesures financières.</w:t>
      </w:r>
    </w:p>
    <w:p w:rsidR="005725D6" w:rsidRPr="00220FCB" w:rsidRDefault="00422650" w:rsidP="00422650">
      <w:pPr>
        <w:pStyle w:val="ManualConsidrant"/>
        <w:rPr>
          <w:noProof/>
        </w:rPr>
      </w:pPr>
      <w:r w:rsidRPr="00422650">
        <w:rPr>
          <w:noProof/>
        </w:rPr>
        <w:t>(2)</w:t>
      </w:r>
      <w:r w:rsidRPr="00422650">
        <w:rPr>
          <w:noProof/>
        </w:rPr>
        <w:tab/>
      </w:r>
      <w:r w:rsidR="005725D6" w:rsidRPr="00220FCB">
        <w:rPr>
          <w:noProof/>
        </w:rPr>
        <w:t xml:space="preserve">L’Ukraine aura besoin d’une assistance financière et économique en temps utile et d’une manière prévisible, continue, ordonnée et souple pour couvrir ses besoins de financement, notamment ceux résultant de la guerre d’agression menée par la Russie. </w:t>
      </w:r>
      <w:r w:rsidR="005725D6" w:rsidRPr="00220FCB">
        <w:rPr>
          <w:rStyle w:val="Deleted"/>
          <w:noProof/>
        </w:rPr>
        <w:t>À cette fin, l’Union a institué un nouvel instrument au titre du règlement (UE) XXX/XXX du Parlement européen et du Conseil. En vertu de cet instrument, l’assistance financière envisagée doit être fournie sous la forme de prêts.</w:t>
      </w:r>
      <w:r w:rsidR="005725D6" w:rsidRPr="00220FCB">
        <w:rPr>
          <w:noProof/>
        </w:rPr>
        <w:t xml:space="preserve"> </w:t>
      </w:r>
    </w:p>
    <w:p w:rsidR="00083139" w:rsidRPr="00220FCB" w:rsidRDefault="00422650" w:rsidP="00422650">
      <w:pPr>
        <w:pStyle w:val="ManualConsidrant"/>
        <w:rPr>
          <w:rStyle w:val="Added"/>
          <w:noProof/>
        </w:rPr>
      </w:pPr>
      <w:r w:rsidRPr="00422650">
        <w:rPr>
          <w:rStyle w:val="Added"/>
          <w:noProof/>
        </w:rPr>
        <w:t>(3)</w:t>
      </w:r>
      <w:r w:rsidRPr="00422650">
        <w:rPr>
          <w:rStyle w:val="Added"/>
          <w:noProof/>
        </w:rPr>
        <w:tab/>
      </w:r>
      <w:r w:rsidR="00083139" w:rsidRPr="00220FCB">
        <w:rPr>
          <w:rStyle w:val="Added"/>
          <w:noProof/>
        </w:rPr>
        <w:t>Par sa décision (UE) XXX</w:t>
      </w:r>
      <w:r w:rsidR="00083139" w:rsidRPr="00220FCB">
        <w:rPr>
          <w:rStyle w:val="FootnoteReference"/>
          <w:b/>
          <w:noProof/>
          <w:u w:val="single"/>
        </w:rPr>
        <w:footnoteReference w:id="7"/>
      </w:r>
      <w:r w:rsidR="00083139" w:rsidRPr="00220FCB">
        <w:rPr>
          <w:rStyle w:val="Added"/>
          <w:noProof/>
        </w:rPr>
        <w:t>, le Conseil a autorisé</w:t>
      </w:r>
      <w:r w:rsidR="00083139" w:rsidRPr="00220FCB">
        <w:rPr>
          <w:noProof/>
        </w:rPr>
        <w:t xml:space="preserve"> une coopération renforcée en vue de l’établissement d’un </w:t>
      </w:r>
      <w:r w:rsidR="00083139" w:rsidRPr="00220FCB">
        <w:rPr>
          <w:rStyle w:val="Added"/>
          <w:noProof/>
        </w:rPr>
        <w:t xml:space="preserve">prêt de soutien à l’Ukraine d’un montant de 90 000 000 000 EUR. . Conformément à l’article 332 du TFUE, les dépenses résultant de la mise en œuvre de la coopération renforcée sont à la charge des États membres qui y participent. Il y a lieu que les coûts administratifs liés à la mise en œuvre de toute coopération renforcée soient à la charge du budget de l’Union. </w:t>
      </w:r>
    </w:p>
    <w:p w:rsidR="005725D6" w:rsidRPr="00220FCB" w:rsidRDefault="00422650" w:rsidP="00422650">
      <w:pPr>
        <w:pStyle w:val="ManualConsidrant"/>
        <w:rPr>
          <w:noProof/>
        </w:rPr>
      </w:pPr>
      <w:r w:rsidRPr="00422650">
        <w:rPr>
          <w:noProof/>
        </w:rPr>
        <w:t>(4)</w:t>
      </w:r>
      <w:r w:rsidRPr="00422650">
        <w:rPr>
          <w:noProof/>
        </w:rPr>
        <w:tab/>
      </w:r>
      <w:r w:rsidR="005725D6" w:rsidRPr="00220FCB">
        <w:rPr>
          <w:rStyle w:val="Deleted"/>
          <w:noProof/>
        </w:rPr>
        <w:t>À cette fin, l</w:t>
      </w:r>
      <w:r w:rsidR="005725D6" w:rsidRPr="00220FCB">
        <w:rPr>
          <w:rStyle w:val="Added"/>
          <w:noProof/>
        </w:rPr>
        <w:t>I</w:t>
      </w:r>
      <w:r w:rsidR="005725D6" w:rsidRPr="00220FCB">
        <w:rPr>
          <w:noProof/>
        </w:rPr>
        <w:t xml:space="preserve">l convient d’étendre la garantie budgétaire de l’Union afin de couvrir l’assistance financière </w:t>
      </w:r>
      <w:r w:rsidR="005725D6" w:rsidRPr="00220FCB">
        <w:rPr>
          <w:b/>
          <w:noProof/>
          <w:u w:val="single"/>
        </w:rPr>
        <w:t>sous forme de prêt</w:t>
      </w:r>
      <w:r w:rsidR="005725D6" w:rsidRPr="00220FCB">
        <w:rPr>
          <w:noProof/>
        </w:rPr>
        <w:t xml:space="preserve"> à l’Ukraine </w:t>
      </w:r>
      <w:r w:rsidR="005725D6" w:rsidRPr="00220FCB">
        <w:rPr>
          <w:rStyle w:val="Added"/>
          <w:noProof/>
        </w:rPr>
        <w:t xml:space="preserve">d’un montant de 90 000 000 000 EUR </w:t>
      </w:r>
      <w:r w:rsidR="005725D6" w:rsidRPr="00220FCB">
        <w:rPr>
          <w:b/>
          <w:noProof/>
          <w:u w:val="single"/>
        </w:rPr>
        <w:t xml:space="preserve">mis en œuvre dans le cadre d’une coopération renforcée </w:t>
      </w:r>
      <w:r w:rsidR="005725D6" w:rsidRPr="00220FCB">
        <w:rPr>
          <w:rStyle w:val="Deleted"/>
          <w:noProof/>
        </w:rPr>
        <w:t>au titre du règlement (UE) XXX/XXX du Parlement européen et du Conseil</w:t>
      </w:r>
      <w:r w:rsidR="005725D6" w:rsidRPr="00220FCB">
        <w:rPr>
          <w:noProof/>
        </w:rPr>
        <w:t>. Cette garantie devrait permettre de toujours disposer en temps voulu des ressources nécessaires pour que l’Union puisse remplir toutes ses obligations financières à l’égard de ses créanciers.</w:t>
      </w:r>
    </w:p>
    <w:p w:rsidR="005725D6" w:rsidRPr="00220FCB" w:rsidRDefault="00422650" w:rsidP="00422650">
      <w:pPr>
        <w:pStyle w:val="ManualConsidrant"/>
        <w:rPr>
          <w:noProof/>
        </w:rPr>
      </w:pPr>
      <w:r w:rsidRPr="00422650">
        <w:rPr>
          <w:noProof/>
        </w:rPr>
        <w:t>(5)</w:t>
      </w:r>
      <w:r w:rsidRPr="00422650">
        <w:rPr>
          <w:noProof/>
        </w:rPr>
        <w:tab/>
      </w:r>
      <w:r w:rsidR="005725D6" w:rsidRPr="00220FCB">
        <w:rPr>
          <w:noProof/>
        </w:rPr>
        <w:t>Il devrait être possible de mobiliser les crédits nécessaires dans le budget de l’Union au-delà des plafonds du cadre financier pluriannuel pour l’assistance financière supplémentaire à l’Ukraine</w:t>
      </w:r>
      <w:r w:rsidR="005725D6" w:rsidRPr="00220FCB">
        <w:rPr>
          <w:rStyle w:val="Added"/>
          <w:noProof/>
        </w:rPr>
        <w:t>.</w:t>
      </w:r>
      <w:r w:rsidR="005725D6" w:rsidRPr="00220FCB">
        <w:rPr>
          <w:noProof/>
        </w:rPr>
        <w:t xml:space="preserve"> Il convient que cette possibilité soit sans préjudice de l’obligation de respecter le plafond des ressources propres fixé à l’article 3, paragraphe 1, de la décision (UE, Euratom) 2020/2053 du Conseil.</w:t>
      </w:r>
    </w:p>
    <w:p w:rsidR="00906123" w:rsidRPr="00220FCB" w:rsidRDefault="00422650" w:rsidP="00422650">
      <w:pPr>
        <w:pStyle w:val="ManualConsidrant"/>
        <w:rPr>
          <w:rStyle w:val="Added"/>
          <w:noProof/>
        </w:rPr>
      </w:pPr>
      <w:r w:rsidRPr="00422650">
        <w:rPr>
          <w:rStyle w:val="Added"/>
          <w:noProof/>
        </w:rPr>
        <w:t>(6)</w:t>
      </w:r>
      <w:r w:rsidRPr="00422650">
        <w:rPr>
          <w:rStyle w:val="Added"/>
          <w:noProof/>
        </w:rPr>
        <w:tab/>
      </w:r>
      <w:r w:rsidR="005725D6" w:rsidRPr="00220FCB">
        <w:rPr>
          <w:rStyle w:val="Added"/>
          <w:noProof/>
        </w:rPr>
        <w:t>En vue d’apporter un soutien à l’Ukraine à des conditions très favorables, il convient de mettre en place un nouvel instrument spécial thématique, l’«instrument de prêt de soutien à l’Ukraine», qui permettrait de financer les coûts du service de la dette. Les coûts du service de la dette comprennent</w:t>
      </w:r>
      <w:r w:rsidR="005725D6" w:rsidRPr="00220FCB">
        <w:rPr>
          <w:bCs/>
          <w:noProof/>
        </w:rPr>
        <w:t xml:space="preserve"> le coût du financement et les coûts d’émission et de gestion des liquidités</w:t>
      </w:r>
      <w:r w:rsidR="005725D6" w:rsidRPr="00220FCB">
        <w:rPr>
          <w:rStyle w:val="Added"/>
          <w:bCs/>
          <w:noProof/>
        </w:rPr>
        <w:t>, dus pour les fonds empruntés sur les marchés des capitaux pour un prêt à l’Ukraine à mettre en œuvre dans le cadre d’une coopération renforcée.</w:t>
      </w:r>
      <w:r w:rsidR="005725D6" w:rsidRPr="00220FCB">
        <w:rPr>
          <w:rStyle w:val="Added"/>
          <w:noProof/>
        </w:rPr>
        <w:t xml:space="preserve"> </w:t>
      </w:r>
      <w:r w:rsidR="005725D6" w:rsidRPr="00220FCB">
        <w:rPr>
          <w:noProof/>
        </w:rPr>
        <w:t>Étant donné que les coûts du service de la dette liés au prêt à l’Ukraine devraient commencer à être facturés au cours de la dernière année du cadre financier pluriannuel pour les années 2021 à 2027, il convient de tenir compte des disponibilités budgétaires dans d’autres instruments spéciaux, tout en tenant compte des règles sectorielles applicables, de toute obligation juridique ou autre, y compris au titre de l’article 10 </w:t>
      </w:r>
      <w:r w:rsidR="005725D6" w:rsidRPr="00220FCB">
        <w:rPr>
          <w:i/>
          <w:iCs/>
          <w:noProof/>
        </w:rPr>
        <w:t>bis</w:t>
      </w:r>
      <w:r w:rsidR="005725D6" w:rsidRPr="00220FCB">
        <w:rPr>
          <w:noProof/>
        </w:rPr>
        <w:t xml:space="preserve"> du règlement (UE, Euratom) 2020/2093</w:t>
      </w:r>
      <w:r w:rsidR="005725D6" w:rsidRPr="00220FCB">
        <w:rPr>
          <w:rStyle w:val="FootnoteReference"/>
          <w:b/>
          <w:bCs/>
          <w:noProof/>
          <w:u w:val="single"/>
        </w:rPr>
        <w:footnoteReference w:id="8"/>
      </w:r>
      <w:r w:rsidR="005725D6" w:rsidRPr="00220FCB">
        <w:rPr>
          <w:noProof/>
        </w:rPr>
        <w:t xml:space="preserve"> du Conseil, des priorités, d’une budgétisation prudente et d’une bonne gestion financière, lors de la mobilisation de l’instrument de prêt de soutien à l’Ukraine dans le cadre de la procédure budgétaire. </w:t>
      </w:r>
    </w:p>
    <w:p w:rsidR="001C37C4" w:rsidRPr="00220FCB" w:rsidRDefault="00422650" w:rsidP="00422650">
      <w:pPr>
        <w:pStyle w:val="ManualConsidrant"/>
        <w:rPr>
          <w:noProof/>
        </w:rPr>
      </w:pPr>
      <w:r w:rsidRPr="00422650">
        <w:rPr>
          <w:noProof/>
        </w:rPr>
        <w:t>(7)</w:t>
      </w:r>
      <w:r w:rsidRPr="00422650">
        <w:rPr>
          <w:noProof/>
        </w:rPr>
        <w:tab/>
      </w:r>
      <w:r w:rsidR="001C37C4" w:rsidRPr="00220FCB">
        <w:rPr>
          <w:noProof/>
        </w:rPr>
        <w:t>Compte tenu de l’urgence résultant des besoins exceptionnels de l’Ukraine dans le cadre de la guerre d’agression non provoquée et injustifiée menée par la Russie, il s’avère approprié d’invoquer l’exception au délai de huit semaines prévue à l’article 4 du protocole nº 1 sur le rôle des parlements nationaux dans l’Union européenne, annexé au traité sur l’Union européenne, au traité sur le fonctionnement de l’Union européenne et au traité instituant la Communauté européenne de l’énergie atomique.</w:t>
      </w:r>
    </w:p>
    <w:p w:rsidR="004120AF" w:rsidRPr="00220FCB" w:rsidRDefault="00422650" w:rsidP="00422650">
      <w:pPr>
        <w:pStyle w:val="ManualConsidrant"/>
        <w:rPr>
          <w:noProof/>
        </w:rPr>
      </w:pPr>
      <w:r w:rsidRPr="00422650">
        <w:rPr>
          <w:noProof/>
        </w:rPr>
        <w:t>(8)</w:t>
      </w:r>
      <w:r w:rsidRPr="00422650">
        <w:rPr>
          <w:noProof/>
        </w:rPr>
        <w:tab/>
      </w:r>
      <w:r w:rsidR="004120AF" w:rsidRPr="00220FCB">
        <w:rPr>
          <w:noProof/>
        </w:rPr>
        <w:t xml:space="preserve">Il convient dès lors de modifier le règlement (UE, Euratom) 2020/2093 </w:t>
      </w:r>
      <w:r w:rsidR="004120AF" w:rsidRPr="00220FCB">
        <w:rPr>
          <w:strike/>
          <w:noProof/>
        </w:rPr>
        <w:t>du Conseil</w:t>
      </w:r>
      <w:r w:rsidR="004120AF" w:rsidRPr="00220FCB">
        <w:rPr>
          <w:noProof/>
        </w:rPr>
        <w:t xml:space="preserve"> en conséquence.</w:t>
      </w:r>
    </w:p>
    <w:p w:rsidR="00C94138" w:rsidRPr="00220FCB" w:rsidRDefault="00422650" w:rsidP="00422650">
      <w:pPr>
        <w:pStyle w:val="ManualConsidrant"/>
        <w:rPr>
          <w:noProof/>
        </w:rPr>
      </w:pPr>
      <w:r w:rsidRPr="00422650">
        <w:rPr>
          <w:noProof/>
        </w:rPr>
        <w:t>(9)</w:t>
      </w:r>
      <w:r w:rsidRPr="00422650">
        <w:rPr>
          <w:noProof/>
        </w:rPr>
        <w:tab/>
      </w:r>
      <w:r w:rsidR="001C37C4" w:rsidRPr="00220FCB">
        <w:rPr>
          <w:noProof/>
        </w:rPr>
        <w:t xml:space="preserve">Eu égard à la situation en Ukraine et afin de permettre l’application rapide des mesures prévues dans le présent règlement, celui-ci devrait entrer en vigueur d’urgence, le jour suivant celui de sa publication au </w:t>
      </w:r>
      <w:r w:rsidR="001C37C4" w:rsidRPr="00220FCB">
        <w:rPr>
          <w:i/>
          <w:noProof/>
        </w:rPr>
        <w:t>Journal officiel de l’Union européenne</w:t>
      </w:r>
      <w:r w:rsidR="001C37C4" w:rsidRPr="00220FCB">
        <w:rPr>
          <w:noProof/>
        </w:rPr>
        <w:t>,</w:t>
      </w:r>
    </w:p>
    <w:p w:rsidR="00C94138" w:rsidRPr="00220FCB" w:rsidRDefault="00C94138">
      <w:pPr>
        <w:pStyle w:val="Formuledadoption"/>
        <w:rPr>
          <w:noProof/>
        </w:rPr>
      </w:pPr>
      <w:r w:rsidRPr="00220FCB">
        <w:rPr>
          <w:noProof/>
        </w:rPr>
        <w:t>A ADOPTÉ LE PRÉSENT RÈGLEMENT:</w:t>
      </w:r>
    </w:p>
    <w:p w:rsidR="00C94138" w:rsidRPr="00220FCB" w:rsidRDefault="00C94138">
      <w:pPr>
        <w:pStyle w:val="Titrearticle"/>
        <w:rPr>
          <w:noProof/>
        </w:rPr>
      </w:pPr>
      <w:r w:rsidRPr="00220FCB">
        <w:rPr>
          <w:noProof/>
        </w:rPr>
        <w:t>Article premier</w:t>
      </w:r>
    </w:p>
    <w:p w:rsidR="001C37C4" w:rsidRPr="00220FCB" w:rsidRDefault="001C37C4" w:rsidP="001C37C4">
      <w:pPr>
        <w:rPr>
          <w:rStyle w:val="Added"/>
          <w:noProof/>
        </w:rPr>
      </w:pPr>
      <w:r w:rsidRPr="00220FCB">
        <w:rPr>
          <w:rStyle w:val="Added"/>
          <w:noProof/>
        </w:rPr>
        <w:t>Le règlement (UE, Euratom) 2020/2093 est modifié comme suit:</w:t>
      </w:r>
    </w:p>
    <w:p w:rsidR="00875B9C" w:rsidRPr="00220FCB" w:rsidRDefault="00875B9C" w:rsidP="00B732BB">
      <w:pPr>
        <w:pStyle w:val="ListNumber"/>
        <w:rPr>
          <w:rStyle w:val="Added"/>
          <w:noProof/>
        </w:rPr>
      </w:pPr>
      <w:r w:rsidRPr="00220FCB">
        <w:rPr>
          <w:rStyle w:val="Added"/>
          <w:noProof/>
        </w:rPr>
        <w:t>l’article 2 est modifié comme suit:</w:t>
      </w:r>
    </w:p>
    <w:p w:rsidR="003A1F62" w:rsidRPr="00220FCB" w:rsidRDefault="004E2C95" w:rsidP="00CB2D01">
      <w:pPr>
        <w:pStyle w:val="ListNumberLevel2"/>
        <w:rPr>
          <w:rStyle w:val="Added"/>
          <w:noProof/>
        </w:rPr>
      </w:pPr>
      <w:r w:rsidRPr="00220FCB">
        <w:rPr>
          <w:rStyle w:val="Added"/>
          <w:noProof/>
        </w:rPr>
        <w:t>au paragraphe 2, le premier alinéa est remplacé par le texte suivant:</w:t>
      </w:r>
    </w:p>
    <w:p w:rsidR="00C02873" w:rsidRPr="00220FCB" w:rsidRDefault="009C0ECD" w:rsidP="006E1540">
      <w:pPr>
        <w:pStyle w:val="Text2"/>
        <w:rPr>
          <w:rStyle w:val="Added"/>
          <w:noProof/>
        </w:rPr>
      </w:pPr>
      <w:r w:rsidRPr="00220FCB">
        <w:rPr>
          <w:rStyle w:val="Added"/>
          <w:noProof/>
        </w:rPr>
        <w:t>«2. Lorsqu’il est nécessaire d’utiliser les ressources des instruments spéciaux prévus aux articles 8, 9, 10, 10 </w:t>
      </w:r>
      <w:r w:rsidRPr="00220FCB">
        <w:rPr>
          <w:rStyle w:val="Added"/>
          <w:i/>
          <w:noProof/>
        </w:rPr>
        <w:t>bis</w:t>
      </w:r>
      <w:r w:rsidRPr="00220FCB">
        <w:rPr>
          <w:rStyle w:val="Added"/>
          <w:noProof/>
        </w:rPr>
        <w:t>, 10 </w:t>
      </w:r>
      <w:r w:rsidRPr="00220FCB">
        <w:rPr>
          <w:rStyle w:val="Added"/>
          <w:i/>
          <w:noProof/>
        </w:rPr>
        <w:t>ter</w:t>
      </w:r>
      <w:r w:rsidRPr="00220FCB">
        <w:rPr>
          <w:rStyle w:val="Added"/>
          <w:noProof/>
        </w:rPr>
        <w:t>, 10 </w:t>
      </w:r>
      <w:r w:rsidRPr="00220FCB">
        <w:rPr>
          <w:rStyle w:val="Added"/>
          <w:i/>
          <w:noProof/>
        </w:rPr>
        <w:t>quater</w:t>
      </w:r>
      <w:r w:rsidRPr="00220FCB">
        <w:rPr>
          <w:rStyle w:val="Added"/>
          <w:noProof/>
        </w:rPr>
        <w:t xml:space="preserve"> et 12, les crédits d’engagement et les crédits de paiement correspondants sont inscrits au budget au-delà des plafonds du CFP concernés.</w:t>
      </w:r>
      <w:r w:rsidRPr="00220FCB">
        <w:rPr>
          <w:noProof/>
        </w:rPr>
        <w:t>»;</w:t>
      </w:r>
    </w:p>
    <w:p w:rsidR="001C37C4" w:rsidRPr="00220FCB" w:rsidRDefault="009C0ECD" w:rsidP="001275D5">
      <w:pPr>
        <w:pStyle w:val="ListNumberLevel2"/>
        <w:rPr>
          <w:noProof/>
        </w:rPr>
      </w:pPr>
      <w:r w:rsidRPr="00220FCB">
        <w:rPr>
          <w:rStyle w:val="Added"/>
          <w:noProof/>
        </w:rPr>
        <w:t>au paragraphe 3</w:t>
      </w:r>
      <w:r w:rsidRPr="00220FCB">
        <w:rPr>
          <w:rStyle w:val="Deleted"/>
          <w:noProof/>
        </w:rPr>
        <w:t>à l’article 2, paragraphe 3 du règlement (UE, Euratom) 2020/2093</w:t>
      </w:r>
      <w:r w:rsidRPr="00220FCB">
        <w:rPr>
          <w:noProof/>
        </w:rPr>
        <w:t>, l’alinéa suivant est ajouté:</w:t>
      </w:r>
    </w:p>
    <w:p w:rsidR="00B732BB" w:rsidRPr="00220FCB" w:rsidRDefault="00B732BB" w:rsidP="001275D5">
      <w:pPr>
        <w:pStyle w:val="Text2"/>
        <w:rPr>
          <w:noProof/>
        </w:rPr>
      </w:pPr>
      <w:r w:rsidRPr="00220FCB">
        <w:rPr>
          <w:noProof/>
        </w:rPr>
        <w:t xml:space="preserve">«Lorsqu’il est nécessaire de faire intervenir une garantie pour une assistance financière </w:t>
      </w:r>
      <w:r w:rsidRPr="00220FCB">
        <w:rPr>
          <w:b/>
          <w:bCs/>
          <w:noProof/>
          <w:u w:val="single"/>
        </w:rPr>
        <w:t>sous forme de prêt</w:t>
      </w:r>
      <w:r w:rsidRPr="00220FCB">
        <w:rPr>
          <w:noProof/>
        </w:rPr>
        <w:t xml:space="preserve"> à l’Ukraine </w:t>
      </w:r>
      <w:r w:rsidRPr="00220FCB">
        <w:rPr>
          <w:b/>
          <w:bCs/>
          <w:noProof/>
          <w:u w:val="single"/>
        </w:rPr>
        <w:t>à</w:t>
      </w:r>
      <w:r w:rsidRPr="00220FCB">
        <w:rPr>
          <w:noProof/>
        </w:rPr>
        <w:t xml:space="preserve"> </w:t>
      </w:r>
      <w:r w:rsidRPr="00220FCB">
        <w:rPr>
          <w:rStyle w:val="Added"/>
          <w:noProof/>
        </w:rPr>
        <w:t>mettre en œuvre dans le cadre d’une coopération renforcée</w:t>
      </w:r>
      <w:r w:rsidRPr="00220FCB">
        <w:rPr>
          <w:rStyle w:val="Deleted"/>
          <w:noProof/>
        </w:rPr>
        <w:t xml:space="preserve"> </w:t>
      </w:r>
      <w:bookmarkStart w:id="2" w:name="_Hlk219061353"/>
      <w:r w:rsidRPr="00220FCB">
        <w:rPr>
          <w:rStyle w:val="Deleted"/>
          <w:strike w:val="0"/>
          <w:noProof/>
        </w:rPr>
        <w:t>au titre du règlement (UE) XXX/XXX du Parlement européen et du Conseil</w:t>
      </w:r>
      <w:bookmarkEnd w:id="2"/>
      <w:r w:rsidRPr="00220FCB">
        <w:rPr>
          <w:rStyle w:val="Added"/>
          <w:b w:val="0"/>
          <w:noProof/>
          <w:u w:val="none"/>
        </w:rPr>
        <w:t xml:space="preserve"> </w:t>
      </w:r>
      <w:r w:rsidRPr="00220FCB">
        <w:rPr>
          <w:noProof/>
        </w:rPr>
        <w:t>et autorisée conformément à l’article 223, paragraphe 1, du règlement (UE, Euratom) 2024/2509 du Parlement européen et du Conseil, le montant nécessaire est mobilisé au-delà des plafonds du CFP. »;</w:t>
      </w:r>
    </w:p>
    <w:p w:rsidR="00B732BB" w:rsidRPr="00220FCB" w:rsidRDefault="007C53D8" w:rsidP="00B732BB">
      <w:pPr>
        <w:pStyle w:val="ListNumber"/>
        <w:rPr>
          <w:rStyle w:val="Added"/>
          <w:noProof/>
        </w:rPr>
      </w:pPr>
      <w:r w:rsidRPr="00220FCB">
        <w:rPr>
          <w:rStyle w:val="Added"/>
          <w:noProof/>
        </w:rPr>
        <w:t xml:space="preserve">l’article 10 </w:t>
      </w:r>
      <w:r w:rsidRPr="00220FCB">
        <w:rPr>
          <w:rStyle w:val="Added"/>
          <w:i/>
          <w:noProof/>
        </w:rPr>
        <w:t>quater</w:t>
      </w:r>
      <w:r w:rsidRPr="00220FCB">
        <w:rPr>
          <w:rStyle w:val="Added"/>
          <w:noProof/>
        </w:rPr>
        <w:t xml:space="preserve"> suivant est inséré:</w:t>
      </w:r>
    </w:p>
    <w:p w:rsidR="007C53D8" w:rsidRPr="00220FCB" w:rsidRDefault="007C53D8" w:rsidP="007C53D8">
      <w:pPr>
        <w:pStyle w:val="Text1"/>
        <w:rPr>
          <w:rStyle w:val="Added"/>
          <w:noProof/>
        </w:rPr>
      </w:pPr>
      <w:r w:rsidRPr="00220FCB">
        <w:rPr>
          <w:rStyle w:val="Added"/>
          <w:noProof/>
        </w:rPr>
        <w:t>«</w:t>
      </w:r>
      <w:r w:rsidRPr="00220FCB">
        <w:rPr>
          <w:rStyle w:val="Added"/>
          <w:i/>
          <w:noProof/>
        </w:rPr>
        <w:t>Article 10</w:t>
      </w:r>
      <w:r w:rsidRPr="00220FCB">
        <w:rPr>
          <w:rStyle w:val="Added"/>
          <w:noProof/>
        </w:rPr>
        <w:t> quater</w:t>
      </w:r>
    </w:p>
    <w:p w:rsidR="007C53D8" w:rsidRPr="00220FCB" w:rsidRDefault="007C53D8" w:rsidP="007C53D8">
      <w:pPr>
        <w:pStyle w:val="Text1"/>
        <w:rPr>
          <w:rStyle w:val="Added"/>
          <w:noProof/>
        </w:rPr>
      </w:pPr>
      <w:r w:rsidRPr="00220FCB">
        <w:rPr>
          <w:rStyle w:val="Added"/>
          <w:noProof/>
        </w:rPr>
        <w:t>Instrument de prêt de soutien à l’Ukraine</w:t>
      </w:r>
    </w:p>
    <w:p w:rsidR="00C94138" w:rsidRPr="00220FCB" w:rsidRDefault="007C53D8" w:rsidP="007C53D8">
      <w:pPr>
        <w:pStyle w:val="Text1"/>
        <w:rPr>
          <w:b/>
          <w:noProof/>
          <w:u w:val="single"/>
        </w:rPr>
      </w:pPr>
      <w:r w:rsidRPr="00220FCB">
        <w:rPr>
          <w:rStyle w:val="Added"/>
          <w:noProof/>
        </w:rPr>
        <w:t>L’instrument de prêt de soutien à l’Ukraine peut être utilisé uniquement aux fins du financement des coûts du service de la dette d’un prêt à l’Ukraine à mettre en œuvre dans le cadre d’une coopération renforcée. L’instrument de prêt de soutien à l’Ukraine peut être mobilisé par le Parlement européen et le Conseil dans le cadre de la procédure budgétaire prévue à l’article 314 du TFUE.».</w:t>
      </w:r>
    </w:p>
    <w:p w:rsidR="00C94138" w:rsidRPr="00220FCB" w:rsidRDefault="00C94138">
      <w:pPr>
        <w:pStyle w:val="Titrearticle"/>
        <w:rPr>
          <w:noProof/>
        </w:rPr>
      </w:pPr>
      <w:r w:rsidRPr="00220FCB">
        <w:rPr>
          <w:noProof/>
        </w:rPr>
        <w:t xml:space="preserve">Article 2 </w:t>
      </w:r>
    </w:p>
    <w:p w:rsidR="00C94138" w:rsidRPr="00220FCB" w:rsidRDefault="00C94138">
      <w:pPr>
        <w:rPr>
          <w:noProof/>
        </w:rPr>
      </w:pPr>
      <w:r w:rsidRPr="00220FCB">
        <w:rPr>
          <w:noProof/>
        </w:rPr>
        <w:t xml:space="preserve">Le présent règlement entre en vigueur le jour suivant celui de sa publication au </w:t>
      </w:r>
      <w:r w:rsidRPr="00220FCB">
        <w:rPr>
          <w:i/>
          <w:noProof/>
        </w:rPr>
        <w:t>Journal officiel de l’Union européenne</w:t>
      </w:r>
      <w:r w:rsidRPr="00220FCB">
        <w:rPr>
          <w:noProof/>
        </w:rPr>
        <w:t>.</w:t>
      </w:r>
    </w:p>
    <w:p w:rsidR="00C94138" w:rsidRPr="00220FCB" w:rsidRDefault="00C94138">
      <w:pPr>
        <w:pStyle w:val="Applicationdirecte"/>
        <w:rPr>
          <w:noProof/>
        </w:rPr>
      </w:pPr>
      <w:r w:rsidRPr="00220FCB">
        <w:rPr>
          <w:noProof/>
        </w:rPr>
        <w:t>Le présent règlement est obligatoire dans tous ses éléments et directement applicable dans tout État membre.</w:t>
      </w:r>
    </w:p>
    <w:p w:rsidR="00C94138" w:rsidRPr="00220FCB" w:rsidRDefault="00220FCB" w:rsidP="00B37C12">
      <w:pPr>
        <w:pStyle w:val="Fait"/>
        <w:rPr>
          <w:noProof/>
        </w:rPr>
      </w:pPr>
      <w:r>
        <w:rPr>
          <w:noProof/>
        </w:rPr>
        <w:t>Fait à Bruxelles, le</w:t>
      </w:r>
    </w:p>
    <w:p w:rsidR="00C94138" w:rsidRPr="00220FCB" w:rsidRDefault="00C94138" w:rsidP="00B37C12">
      <w:pPr>
        <w:pStyle w:val="Institutionquisigne"/>
        <w:rPr>
          <w:noProof/>
        </w:rPr>
      </w:pPr>
      <w:r w:rsidRPr="00220FCB">
        <w:rPr>
          <w:noProof/>
        </w:rPr>
        <w:tab/>
        <w:t>Par le Conseil</w:t>
      </w:r>
    </w:p>
    <w:p w:rsidR="00C94138" w:rsidRPr="00220FCB" w:rsidRDefault="00C94138" w:rsidP="0071238F">
      <w:pPr>
        <w:pStyle w:val="Personnequisigne"/>
        <w:rPr>
          <w:noProof/>
          <w:color w:val="008000"/>
        </w:rPr>
      </w:pPr>
      <w:r w:rsidRPr="00220FCB">
        <w:rPr>
          <w:noProof/>
        </w:rPr>
        <w:tab/>
        <w:t>Le président/La présidente</w:t>
      </w:r>
    </w:p>
    <w:sectPr w:rsidR="00C94138" w:rsidRPr="00220FCB" w:rsidSect="00F94E5B">
      <w:pgSz w:w="11907" w:h="16839"/>
      <w:pgMar w:top="1134" w:right="1417" w:bottom="1134" w:left="156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17D" w:rsidRDefault="0043117D" w:rsidP="00C94138">
      <w:pPr>
        <w:spacing w:before="0" w:after="0"/>
      </w:pPr>
      <w:r>
        <w:separator/>
      </w:r>
    </w:p>
  </w:endnote>
  <w:endnote w:type="continuationSeparator" w:id="0">
    <w:p w:rsidR="0043117D" w:rsidRDefault="0043117D" w:rsidP="00C94138">
      <w:pPr>
        <w:spacing w:before="0" w:after="0"/>
      </w:pPr>
      <w:r>
        <w:continuationSeparator/>
      </w:r>
    </w:p>
  </w:endnote>
  <w:endnote w:type="continuationNotice" w:id="1">
    <w:p w:rsidR="0043117D" w:rsidRDefault="004311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Pr="00F94E5B" w:rsidRDefault="00F94E5B" w:rsidP="00F94E5B">
    <w:pPr>
      <w:pStyle w:val="Footer"/>
      <w:rPr>
        <w:rFonts w:ascii="Arial" w:hAnsi="Arial" w:cs="Arial"/>
        <w:b/>
        <w:sz w:val="48"/>
      </w:rPr>
    </w:pPr>
    <w:r w:rsidRPr="00F94E5B">
      <w:rPr>
        <w:rFonts w:ascii="Arial" w:hAnsi="Arial" w:cs="Arial"/>
        <w:b/>
        <w:sz w:val="48"/>
      </w:rPr>
      <w:t>FR</w:t>
    </w:r>
    <w:r w:rsidRPr="00F94E5B">
      <w:rPr>
        <w:rFonts w:ascii="Arial" w:hAnsi="Arial" w:cs="Arial"/>
        <w:b/>
        <w:sz w:val="48"/>
      </w:rPr>
      <w:tab/>
    </w:r>
    <w:r w:rsidRPr="00F94E5B">
      <w:rPr>
        <w:rFonts w:ascii="Arial" w:hAnsi="Arial" w:cs="Arial"/>
        <w:b/>
        <w:sz w:val="48"/>
      </w:rPr>
      <w:tab/>
    </w:r>
    <w:r w:rsidRPr="00F94E5B">
      <w:tab/>
    </w:r>
    <w:r w:rsidRPr="00F94E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Pr="00F94E5B" w:rsidRDefault="00F94E5B" w:rsidP="00F94E5B">
    <w:pPr>
      <w:pStyle w:val="Footer"/>
      <w:rPr>
        <w:rFonts w:ascii="Arial" w:hAnsi="Arial" w:cs="Arial"/>
        <w:b/>
        <w:sz w:val="48"/>
      </w:rPr>
    </w:pPr>
    <w:r w:rsidRPr="00F94E5B">
      <w:rPr>
        <w:rFonts w:ascii="Arial" w:hAnsi="Arial" w:cs="Arial"/>
        <w:b/>
        <w:sz w:val="48"/>
      </w:rPr>
      <w:t>FR</w:t>
    </w:r>
    <w:r w:rsidRPr="00F94E5B">
      <w:rPr>
        <w:rFonts w:ascii="Arial" w:hAnsi="Arial" w:cs="Arial"/>
        <w:b/>
        <w:sz w:val="48"/>
      </w:rPr>
      <w:tab/>
    </w:r>
    <w:r w:rsidRPr="00F94E5B">
      <w:rPr>
        <w:rFonts w:ascii="Arial" w:hAnsi="Arial" w:cs="Arial"/>
        <w:b/>
        <w:sz w:val="48"/>
      </w:rPr>
      <w:tab/>
    </w:r>
    <w:r w:rsidRPr="00F94E5B">
      <w:tab/>
    </w:r>
    <w:r w:rsidRPr="00F94E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Default="00F94E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Pr="00F94E5B" w:rsidRDefault="00F94E5B" w:rsidP="00F94E5B">
    <w:pPr>
      <w:pStyle w:val="Footer"/>
      <w:rPr>
        <w:rFonts w:ascii="Arial" w:hAnsi="Arial" w:cs="Arial"/>
        <w:b/>
        <w:sz w:val="48"/>
      </w:rPr>
    </w:pPr>
    <w:r w:rsidRPr="00F94E5B">
      <w:rPr>
        <w:rFonts w:ascii="Arial" w:hAnsi="Arial" w:cs="Arial"/>
        <w:b/>
        <w:sz w:val="48"/>
      </w:rPr>
      <w:t>FR</w:t>
    </w:r>
    <w:r w:rsidRPr="00F94E5B">
      <w:rPr>
        <w:rFonts w:ascii="Arial" w:hAnsi="Arial" w:cs="Arial"/>
        <w:b/>
        <w:sz w:val="48"/>
      </w:rPr>
      <w:tab/>
    </w:r>
    <w:r>
      <w:fldChar w:fldCharType="begin"/>
    </w:r>
    <w:r>
      <w:instrText xml:space="preserve"> PAGE  \* MERGEFORMAT </w:instrText>
    </w:r>
    <w:r>
      <w:fldChar w:fldCharType="separate"/>
    </w:r>
    <w:r w:rsidR="00B37C12">
      <w:rPr>
        <w:noProof/>
      </w:rPr>
      <w:t>6</w:t>
    </w:r>
    <w:r>
      <w:fldChar w:fldCharType="end"/>
    </w:r>
    <w:r>
      <w:tab/>
    </w:r>
    <w:r w:rsidRPr="00F94E5B">
      <w:tab/>
    </w:r>
    <w:r w:rsidRPr="00F94E5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Default="00F94E5B" w:rsidP="00F94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17D" w:rsidRDefault="0043117D" w:rsidP="00C94138">
      <w:pPr>
        <w:spacing w:before="0" w:after="0"/>
      </w:pPr>
      <w:r>
        <w:separator/>
      </w:r>
    </w:p>
  </w:footnote>
  <w:footnote w:type="continuationSeparator" w:id="0">
    <w:p w:rsidR="0043117D" w:rsidRDefault="0043117D" w:rsidP="00C94138">
      <w:pPr>
        <w:spacing w:before="0" w:after="0"/>
      </w:pPr>
      <w:r>
        <w:continuationSeparator/>
      </w:r>
    </w:p>
  </w:footnote>
  <w:footnote w:type="continuationNotice" w:id="1">
    <w:p w:rsidR="0043117D" w:rsidRDefault="0043117D">
      <w:pPr>
        <w:spacing w:before="0" w:after="0"/>
      </w:pPr>
    </w:p>
  </w:footnote>
  <w:footnote w:id="2">
    <w:p w:rsidR="006514F1" w:rsidRPr="00437448" w:rsidRDefault="006514F1" w:rsidP="006514F1">
      <w:pPr>
        <w:pStyle w:val="FootnoteText"/>
        <w:ind w:left="709" w:hanging="709"/>
        <w:jc w:val="left"/>
        <w:rPr>
          <w:b/>
          <w:bCs/>
        </w:rPr>
      </w:pPr>
      <w:r>
        <w:rPr>
          <w:rStyle w:val="FootnoteReference"/>
        </w:rPr>
        <w:footnoteRef/>
      </w:r>
      <w:r>
        <w:tab/>
        <w:t xml:space="preserve">Règlement (UE, Euratom) 2020/2093 du Conseil du 17 décembre 2020 fixant le cadre financier pluriannuel pour les années 2021 à 2027, </w:t>
      </w:r>
      <w:r>
        <w:rPr>
          <w:rStyle w:val="Emphasis"/>
          <w:color w:val="333333"/>
          <w:shd w:val="clear" w:color="auto" w:fill="FFFFFF"/>
        </w:rPr>
        <w:t>JO L 433I du 22.12.2020, p. 11</w:t>
      </w:r>
      <w:r>
        <w:t>.</w:t>
      </w:r>
    </w:p>
  </w:footnote>
  <w:footnote w:id="3">
    <w:p w:rsidR="006514F1" w:rsidRPr="00652EEA" w:rsidRDefault="006514F1" w:rsidP="006514F1">
      <w:pPr>
        <w:pStyle w:val="FootnoteText"/>
      </w:pPr>
      <w:r>
        <w:rPr>
          <w:rStyle w:val="FootnoteReference"/>
        </w:rPr>
        <w:footnoteRef/>
      </w:r>
      <w:r>
        <w:tab/>
        <w:t>Règlement (UE) XXX/XXX du Parlement européen et du Conseil du XXX établissant le prêt à recours limité en faveur de l’Ukraine (JO XXX).</w:t>
      </w:r>
    </w:p>
  </w:footnote>
  <w:footnote w:id="4">
    <w:p w:rsidR="006514F1" w:rsidRPr="00362F8C" w:rsidRDefault="006514F1" w:rsidP="006514F1">
      <w:pPr>
        <w:pStyle w:val="FootnoteText"/>
      </w:pPr>
      <w:r>
        <w:rPr>
          <w:rStyle w:val="FootnoteReference"/>
        </w:rPr>
        <w:footnoteRef/>
      </w:r>
      <w:r>
        <w:tab/>
        <w:t xml:space="preserve">Règlement (UE) 2022/2463 du Parlement européen et du Conseil du 14 décembre 2022 établissant un instrument de soutien à l’Ukraine pour 2023 (assistance macrofinancière +) (JO L 322 du 16.12.2022, p. 1, ELI: </w:t>
      </w:r>
      <w:hyperlink r:id="rId1" w:history="1">
        <w:r>
          <w:rPr>
            <w:rStyle w:val="Hyperlink"/>
          </w:rPr>
          <w:t>http://data.europa.eu/eli/reg/2022/2463/oj</w:t>
        </w:r>
      </w:hyperlink>
      <w:r>
        <w:t>).</w:t>
      </w:r>
    </w:p>
  </w:footnote>
  <w:footnote w:id="5">
    <w:p w:rsidR="006514F1" w:rsidRPr="00057DD4" w:rsidRDefault="006514F1" w:rsidP="006514F1">
      <w:pPr>
        <w:pStyle w:val="FootnoteText"/>
      </w:pPr>
      <w:r>
        <w:rPr>
          <w:rStyle w:val="FootnoteReference"/>
        </w:rPr>
        <w:footnoteRef/>
      </w:r>
      <w:r>
        <w:tab/>
        <w:t xml:space="preserve">Règlement (UE) 2024/792 du Parlement européen et du Conseil du 29 février 2024 établissant la facilité pour l’Ukraine (JO L, 2024/792, 29.2.2024, ELI: </w:t>
      </w:r>
      <w:hyperlink r:id="rId2" w:history="1">
        <w:r>
          <w:rPr>
            <w:rStyle w:val="Hyperlink"/>
          </w:rPr>
          <w:t>http://data.europa.eu/eli/reg/2024/792/oj</w:t>
        </w:r>
      </w:hyperlink>
      <w:r>
        <w:t>).</w:t>
      </w:r>
    </w:p>
  </w:footnote>
  <w:footnote w:id="6">
    <w:p w:rsidR="006514F1" w:rsidRPr="00362F8C" w:rsidRDefault="006514F1" w:rsidP="006514F1">
      <w:pPr>
        <w:pStyle w:val="FootnoteText"/>
      </w:pPr>
      <w:r>
        <w:rPr>
          <w:rStyle w:val="FootnoteReference"/>
        </w:rPr>
        <w:footnoteRef/>
      </w:r>
      <w:r>
        <w:tab/>
        <w:t xml:space="preserve">Règlement (UE) 2022/2463 du Parlement européen et du Conseil du 14 décembre 2022 établissant un instrument de soutien à l’Ukraine pour 2023 (assistance macrofinancière +) (JO L 322 du 16.12.2022, p. 1, ELI: </w:t>
      </w:r>
      <w:hyperlink r:id="rId3" w:history="1">
        <w:r>
          <w:rPr>
            <w:rStyle w:val="Hyperlink"/>
          </w:rPr>
          <w:t>http://data.europa.eu/eli/reg/2022/2463/oj</w:t>
        </w:r>
      </w:hyperlink>
      <w:r>
        <w:t>).</w:t>
      </w:r>
    </w:p>
  </w:footnote>
  <w:footnote w:id="7">
    <w:p w:rsidR="004E2C95" w:rsidRPr="004E2C95" w:rsidRDefault="004E2C95">
      <w:pPr>
        <w:pStyle w:val="FootnoteText"/>
      </w:pPr>
      <w:r>
        <w:rPr>
          <w:rStyle w:val="FootnoteReference"/>
        </w:rPr>
        <w:footnoteRef/>
      </w:r>
      <w:r>
        <w:tab/>
      </w:r>
      <w:r>
        <w:rPr>
          <w:sz w:val="24"/>
        </w:rPr>
        <w:t>Décision (UE) 2026/</w:t>
      </w:r>
      <w:r>
        <w:rPr>
          <w:sz w:val="24"/>
          <w:highlight w:val="yellow"/>
        </w:rPr>
        <w:t>…</w:t>
      </w:r>
      <w:r>
        <w:rPr>
          <w:sz w:val="24"/>
        </w:rPr>
        <w:t xml:space="preserve"> du Conseil (JO L …, ELI: …).</w:t>
      </w:r>
    </w:p>
  </w:footnote>
  <w:footnote w:id="8">
    <w:p w:rsidR="00880BAE" w:rsidRPr="001275D5" w:rsidRDefault="00880BAE" w:rsidP="001275D5">
      <w:pPr>
        <w:pStyle w:val="FootnoteText"/>
        <w:ind w:left="0" w:firstLine="0"/>
      </w:pPr>
      <w:r>
        <w:rPr>
          <w:rStyle w:val="FootnoteReference"/>
        </w:rPr>
        <w:footnoteRef/>
      </w:r>
      <w:r>
        <w:tab/>
        <w:t>Règlement (UE, Euratom) 2020/2093 du Conseil du 17 décembre 2020 fixant le cadre financier pluriannuel pour les années 2021 à 2027 (</w:t>
      </w:r>
      <w:hyperlink r:id="rId4" w:history="1">
        <w:r>
          <w:rPr>
            <w:rStyle w:val="Hyperlink"/>
          </w:rPr>
          <w:t>JO L 433I du 22.12.2020, p. 11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Default="00F94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B" w:rsidRDefault="00F94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8004160"/>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3:44: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2641631-B9BE-44EA-B685-6619A579E8DD"/>
    <w:docVar w:name="LW_COVERPAGE_TYPE" w:val="1"/>
    <w:docVar w:name="LW_CreatedUtc" w:val="2026-01-06T11:22:27.1667516Z"/>
    <w:docVar w:name="LW_CROSSREFERENCE" w:val="&lt;UNUSED&gt;"/>
    <w:docVar w:name="LW_DocType" w:val="COM"/>
    <w:docVar w:name="LW_EMISSION" w:val="14.1.2026"/>
    <w:docVar w:name="LW_EMISSION_ISODATE" w:val="2026-01-14"/>
    <w:docVar w:name="LW_EMISSION_LOCATION" w:val="BRX"/>
    <w:docVar w:name="LW_EMISSION_PREFIX" w:val="Bruxelles, le "/>
    <w:docVar w:name="LW_EMISSION_SUFFIX" w:val=" "/>
    <w:docVar w:name="LW_ID_DOCMODEL" w:val="SJ-016"/>
    <w:docVar w:name="LW_ID_DOCSIGNATURE" w:val="SJ-016"/>
    <w:docVar w:name="LW_ID_DOCSTRUCTURE" w:val="COM/PL/MOD"/>
    <w:docVar w:name="LW_ID_DOCTYPE" w:val="SG-006"/>
    <w:docVar w:name="LW_ID_STATUT" w:val="SG-00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APP"/>
    <w:docVar w:name="LW_REF.II.NEW.CP_NUMBER" w:val="3500"/>
    <w:docVar w:name="LW_REF.II.NEW.CP_YEAR" w:val="2025"/>
    <w:docVar w:name="LW_REF.INST.NEW" w:val="COM"/>
    <w:docVar w:name="LW_REF.INST.NEW_ADOPTED" w:val="final"/>
    <w:docVar w:name="LW_REF.INST.NEW_TEXT" w:val="(2026) 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modifiée de"/>
    <w:docVar w:name="LW_SUPERTITRE" w:val="&lt;UNUSED&gt;"/>
    <w:docVar w:name="LW_TITRE.OBJ.CP" w:val="modifiant le règlement (UE, Euratom) 2020/2093 fixant le cadre financier pluriannuel pour les années 2021 à 2027"/>
    <w:docVar w:name="LW_TYPE.DOC.CP" w:val="RÈGLEMENT DU CONSEIL"/>
    <w:docVar w:name="LwApiVersions" w:val="LW4CoDe 1.24.5.0; LW 9.2, Build 20251112"/>
  </w:docVars>
  <w:rsids>
    <w:rsidRoot w:val="00C94138"/>
    <w:rsid w:val="00000DB4"/>
    <w:rsid w:val="000011CE"/>
    <w:rsid w:val="0000127C"/>
    <w:rsid w:val="00001765"/>
    <w:rsid w:val="000018C3"/>
    <w:rsid w:val="000019E1"/>
    <w:rsid w:val="0000205F"/>
    <w:rsid w:val="000036BD"/>
    <w:rsid w:val="000044AD"/>
    <w:rsid w:val="00004C61"/>
    <w:rsid w:val="00004F0A"/>
    <w:rsid w:val="00004FEB"/>
    <w:rsid w:val="00007C85"/>
    <w:rsid w:val="00007E60"/>
    <w:rsid w:val="000105D3"/>
    <w:rsid w:val="00011027"/>
    <w:rsid w:val="00011B7A"/>
    <w:rsid w:val="000124FC"/>
    <w:rsid w:val="00012E8C"/>
    <w:rsid w:val="00013C30"/>
    <w:rsid w:val="000152B3"/>
    <w:rsid w:val="00015C82"/>
    <w:rsid w:val="000166EA"/>
    <w:rsid w:val="00017A19"/>
    <w:rsid w:val="00017CD7"/>
    <w:rsid w:val="000206A2"/>
    <w:rsid w:val="00020FA6"/>
    <w:rsid w:val="000214D2"/>
    <w:rsid w:val="000218FA"/>
    <w:rsid w:val="000233B7"/>
    <w:rsid w:val="00023FB6"/>
    <w:rsid w:val="00024705"/>
    <w:rsid w:val="00025B1F"/>
    <w:rsid w:val="00026BB6"/>
    <w:rsid w:val="000275AF"/>
    <w:rsid w:val="00030794"/>
    <w:rsid w:val="00030BA0"/>
    <w:rsid w:val="00030C29"/>
    <w:rsid w:val="00031521"/>
    <w:rsid w:val="000327F7"/>
    <w:rsid w:val="00033269"/>
    <w:rsid w:val="0003409C"/>
    <w:rsid w:val="000341C9"/>
    <w:rsid w:val="00034B56"/>
    <w:rsid w:val="00035311"/>
    <w:rsid w:val="00035823"/>
    <w:rsid w:val="00035D35"/>
    <w:rsid w:val="0003608F"/>
    <w:rsid w:val="00036212"/>
    <w:rsid w:val="00037009"/>
    <w:rsid w:val="00037FD9"/>
    <w:rsid w:val="00040A65"/>
    <w:rsid w:val="000421B7"/>
    <w:rsid w:val="00043BFF"/>
    <w:rsid w:val="00043EA3"/>
    <w:rsid w:val="00044961"/>
    <w:rsid w:val="00046020"/>
    <w:rsid w:val="00046755"/>
    <w:rsid w:val="000474F9"/>
    <w:rsid w:val="000477AC"/>
    <w:rsid w:val="00047A57"/>
    <w:rsid w:val="000519EA"/>
    <w:rsid w:val="00051EE4"/>
    <w:rsid w:val="00052AAF"/>
    <w:rsid w:val="00053EAA"/>
    <w:rsid w:val="00054331"/>
    <w:rsid w:val="00055F01"/>
    <w:rsid w:val="00056245"/>
    <w:rsid w:val="00056E45"/>
    <w:rsid w:val="00057E1A"/>
    <w:rsid w:val="00060DB9"/>
    <w:rsid w:val="000619C6"/>
    <w:rsid w:val="000632FB"/>
    <w:rsid w:val="00063321"/>
    <w:rsid w:val="00064436"/>
    <w:rsid w:val="00064AEC"/>
    <w:rsid w:val="000650D0"/>
    <w:rsid w:val="000655D4"/>
    <w:rsid w:val="00065987"/>
    <w:rsid w:val="000659DC"/>
    <w:rsid w:val="00065A6B"/>
    <w:rsid w:val="000662E3"/>
    <w:rsid w:val="000664EF"/>
    <w:rsid w:val="000677F9"/>
    <w:rsid w:val="00067D0F"/>
    <w:rsid w:val="0007060F"/>
    <w:rsid w:val="0007094A"/>
    <w:rsid w:val="00071041"/>
    <w:rsid w:val="00071B73"/>
    <w:rsid w:val="00072EC8"/>
    <w:rsid w:val="00073008"/>
    <w:rsid w:val="0007339A"/>
    <w:rsid w:val="00074EFB"/>
    <w:rsid w:val="0007570B"/>
    <w:rsid w:val="00080CF8"/>
    <w:rsid w:val="00081031"/>
    <w:rsid w:val="0008239D"/>
    <w:rsid w:val="000823E7"/>
    <w:rsid w:val="00083139"/>
    <w:rsid w:val="000833D8"/>
    <w:rsid w:val="00083415"/>
    <w:rsid w:val="00084365"/>
    <w:rsid w:val="0008496D"/>
    <w:rsid w:val="00084C0C"/>
    <w:rsid w:val="00085523"/>
    <w:rsid w:val="0008669E"/>
    <w:rsid w:val="00087E6A"/>
    <w:rsid w:val="00090238"/>
    <w:rsid w:val="00090CDA"/>
    <w:rsid w:val="00090E68"/>
    <w:rsid w:val="00091097"/>
    <w:rsid w:val="000910E9"/>
    <w:rsid w:val="00091712"/>
    <w:rsid w:val="00091BF6"/>
    <w:rsid w:val="00092355"/>
    <w:rsid w:val="00092377"/>
    <w:rsid w:val="0009269F"/>
    <w:rsid w:val="0009482E"/>
    <w:rsid w:val="00094E86"/>
    <w:rsid w:val="00095722"/>
    <w:rsid w:val="00095940"/>
    <w:rsid w:val="00096589"/>
    <w:rsid w:val="00096E7E"/>
    <w:rsid w:val="00097091"/>
    <w:rsid w:val="000A09F5"/>
    <w:rsid w:val="000A1D0E"/>
    <w:rsid w:val="000A2214"/>
    <w:rsid w:val="000A359F"/>
    <w:rsid w:val="000A41BA"/>
    <w:rsid w:val="000A5075"/>
    <w:rsid w:val="000A5145"/>
    <w:rsid w:val="000A522A"/>
    <w:rsid w:val="000A584D"/>
    <w:rsid w:val="000A6A6B"/>
    <w:rsid w:val="000A76B8"/>
    <w:rsid w:val="000A7740"/>
    <w:rsid w:val="000B0C63"/>
    <w:rsid w:val="000B0C7D"/>
    <w:rsid w:val="000B0D22"/>
    <w:rsid w:val="000B0FC5"/>
    <w:rsid w:val="000B1580"/>
    <w:rsid w:val="000B1584"/>
    <w:rsid w:val="000B24EB"/>
    <w:rsid w:val="000B28B0"/>
    <w:rsid w:val="000B2CE1"/>
    <w:rsid w:val="000B33EC"/>
    <w:rsid w:val="000B3AAA"/>
    <w:rsid w:val="000B4046"/>
    <w:rsid w:val="000B4993"/>
    <w:rsid w:val="000B4E6C"/>
    <w:rsid w:val="000B5070"/>
    <w:rsid w:val="000B50E5"/>
    <w:rsid w:val="000B5BFB"/>
    <w:rsid w:val="000B60F6"/>
    <w:rsid w:val="000C1BDE"/>
    <w:rsid w:val="000C1E1A"/>
    <w:rsid w:val="000C1F37"/>
    <w:rsid w:val="000C26E7"/>
    <w:rsid w:val="000C2AF5"/>
    <w:rsid w:val="000C3D81"/>
    <w:rsid w:val="000C4052"/>
    <w:rsid w:val="000C4945"/>
    <w:rsid w:val="000C51E4"/>
    <w:rsid w:val="000C65CA"/>
    <w:rsid w:val="000C68EA"/>
    <w:rsid w:val="000D077C"/>
    <w:rsid w:val="000D0AD2"/>
    <w:rsid w:val="000D2A00"/>
    <w:rsid w:val="000D3B5E"/>
    <w:rsid w:val="000D3FB8"/>
    <w:rsid w:val="000D4D4F"/>
    <w:rsid w:val="000D4F45"/>
    <w:rsid w:val="000D5E8F"/>
    <w:rsid w:val="000D65C3"/>
    <w:rsid w:val="000D7C70"/>
    <w:rsid w:val="000E043A"/>
    <w:rsid w:val="000E2353"/>
    <w:rsid w:val="000E2636"/>
    <w:rsid w:val="000E3EBE"/>
    <w:rsid w:val="000E3F6A"/>
    <w:rsid w:val="000E4184"/>
    <w:rsid w:val="000E47A2"/>
    <w:rsid w:val="000E5CD1"/>
    <w:rsid w:val="000E6C15"/>
    <w:rsid w:val="000F075C"/>
    <w:rsid w:val="000F1E88"/>
    <w:rsid w:val="000F2BAF"/>
    <w:rsid w:val="000F43C7"/>
    <w:rsid w:val="000F45D7"/>
    <w:rsid w:val="000F4A85"/>
    <w:rsid w:val="000F544A"/>
    <w:rsid w:val="000F5612"/>
    <w:rsid w:val="000F58BA"/>
    <w:rsid w:val="000F6A5D"/>
    <w:rsid w:val="000F741B"/>
    <w:rsid w:val="00100797"/>
    <w:rsid w:val="00100F2B"/>
    <w:rsid w:val="00102D88"/>
    <w:rsid w:val="0010353F"/>
    <w:rsid w:val="0010407B"/>
    <w:rsid w:val="00105273"/>
    <w:rsid w:val="001065DF"/>
    <w:rsid w:val="001065F5"/>
    <w:rsid w:val="00107ABD"/>
    <w:rsid w:val="00110A1D"/>
    <w:rsid w:val="00110ADB"/>
    <w:rsid w:val="001112DE"/>
    <w:rsid w:val="001115D0"/>
    <w:rsid w:val="00113575"/>
    <w:rsid w:val="00113F6E"/>
    <w:rsid w:val="001143A3"/>
    <w:rsid w:val="00114C91"/>
    <w:rsid w:val="00114F3D"/>
    <w:rsid w:val="00115259"/>
    <w:rsid w:val="0011537D"/>
    <w:rsid w:val="00115582"/>
    <w:rsid w:val="00116C2E"/>
    <w:rsid w:val="00117CC4"/>
    <w:rsid w:val="00117D2E"/>
    <w:rsid w:val="00120CE2"/>
    <w:rsid w:val="00120DC7"/>
    <w:rsid w:val="001216E4"/>
    <w:rsid w:val="001228AE"/>
    <w:rsid w:val="0012291F"/>
    <w:rsid w:val="00122EA7"/>
    <w:rsid w:val="001238EF"/>
    <w:rsid w:val="00123CF8"/>
    <w:rsid w:val="00123FD4"/>
    <w:rsid w:val="00124701"/>
    <w:rsid w:val="00126206"/>
    <w:rsid w:val="00126BA5"/>
    <w:rsid w:val="001275CE"/>
    <w:rsid w:val="001275D5"/>
    <w:rsid w:val="00127690"/>
    <w:rsid w:val="00130322"/>
    <w:rsid w:val="001305A7"/>
    <w:rsid w:val="001314B4"/>
    <w:rsid w:val="001315D5"/>
    <w:rsid w:val="00131C68"/>
    <w:rsid w:val="00131C9F"/>
    <w:rsid w:val="00131FB9"/>
    <w:rsid w:val="00132191"/>
    <w:rsid w:val="001322FA"/>
    <w:rsid w:val="00134019"/>
    <w:rsid w:val="001343B8"/>
    <w:rsid w:val="001348D0"/>
    <w:rsid w:val="00134B14"/>
    <w:rsid w:val="0013584A"/>
    <w:rsid w:val="001363C9"/>
    <w:rsid w:val="00136B95"/>
    <w:rsid w:val="00136F2C"/>
    <w:rsid w:val="001408C3"/>
    <w:rsid w:val="00140D9F"/>
    <w:rsid w:val="00142583"/>
    <w:rsid w:val="00142D4D"/>
    <w:rsid w:val="00142F1A"/>
    <w:rsid w:val="00143A7C"/>
    <w:rsid w:val="001442B4"/>
    <w:rsid w:val="001445AC"/>
    <w:rsid w:val="0014491B"/>
    <w:rsid w:val="001455A8"/>
    <w:rsid w:val="0014586D"/>
    <w:rsid w:val="001471EC"/>
    <w:rsid w:val="00151EAE"/>
    <w:rsid w:val="00151F3B"/>
    <w:rsid w:val="00153D7B"/>
    <w:rsid w:val="001546E2"/>
    <w:rsid w:val="001549FE"/>
    <w:rsid w:val="001552AA"/>
    <w:rsid w:val="00155F31"/>
    <w:rsid w:val="00156763"/>
    <w:rsid w:val="0015719F"/>
    <w:rsid w:val="00160116"/>
    <w:rsid w:val="0016178B"/>
    <w:rsid w:val="0016224D"/>
    <w:rsid w:val="001641BA"/>
    <w:rsid w:val="00165034"/>
    <w:rsid w:val="0017168F"/>
    <w:rsid w:val="001716EE"/>
    <w:rsid w:val="00171D11"/>
    <w:rsid w:val="001723F4"/>
    <w:rsid w:val="00172B5B"/>
    <w:rsid w:val="00173909"/>
    <w:rsid w:val="00174A31"/>
    <w:rsid w:val="00174E00"/>
    <w:rsid w:val="00174EFF"/>
    <w:rsid w:val="00175CA8"/>
    <w:rsid w:val="00175E51"/>
    <w:rsid w:val="00176178"/>
    <w:rsid w:val="00177A11"/>
    <w:rsid w:val="0018065A"/>
    <w:rsid w:val="00181DE5"/>
    <w:rsid w:val="0018201C"/>
    <w:rsid w:val="001827E5"/>
    <w:rsid w:val="00183A23"/>
    <w:rsid w:val="00183D92"/>
    <w:rsid w:val="00185E83"/>
    <w:rsid w:val="00187DC5"/>
    <w:rsid w:val="00190995"/>
    <w:rsid w:val="00190EBE"/>
    <w:rsid w:val="0019126C"/>
    <w:rsid w:val="00191B57"/>
    <w:rsid w:val="00191C16"/>
    <w:rsid w:val="00191C37"/>
    <w:rsid w:val="00191C9A"/>
    <w:rsid w:val="00192462"/>
    <w:rsid w:val="00192940"/>
    <w:rsid w:val="00192EDE"/>
    <w:rsid w:val="0019328E"/>
    <w:rsid w:val="001937C3"/>
    <w:rsid w:val="001945F7"/>
    <w:rsid w:val="00194610"/>
    <w:rsid w:val="00196215"/>
    <w:rsid w:val="00196F88"/>
    <w:rsid w:val="00197613"/>
    <w:rsid w:val="0019770D"/>
    <w:rsid w:val="0019776D"/>
    <w:rsid w:val="0019781D"/>
    <w:rsid w:val="00197DB3"/>
    <w:rsid w:val="001A012E"/>
    <w:rsid w:val="001A0AFC"/>
    <w:rsid w:val="001A1265"/>
    <w:rsid w:val="001A13BD"/>
    <w:rsid w:val="001A24C3"/>
    <w:rsid w:val="001A2611"/>
    <w:rsid w:val="001A2DDC"/>
    <w:rsid w:val="001A416F"/>
    <w:rsid w:val="001A4446"/>
    <w:rsid w:val="001A4EA0"/>
    <w:rsid w:val="001A4F32"/>
    <w:rsid w:val="001A57B5"/>
    <w:rsid w:val="001A6BB9"/>
    <w:rsid w:val="001A721E"/>
    <w:rsid w:val="001B0FA5"/>
    <w:rsid w:val="001B124C"/>
    <w:rsid w:val="001B19FD"/>
    <w:rsid w:val="001B2612"/>
    <w:rsid w:val="001B263D"/>
    <w:rsid w:val="001B2F14"/>
    <w:rsid w:val="001B333E"/>
    <w:rsid w:val="001B3E69"/>
    <w:rsid w:val="001B3EEA"/>
    <w:rsid w:val="001B4055"/>
    <w:rsid w:val="001B4B1C"/>
    <w:rsid w:val="001B5636"/>
    <w:rsid w:val="001B5C4E"/>
    <w:rsid w:val="001B6EA5"/>
    <w:rsid w:val="001B7102"/>
    <w:rsid w:val="001C0237"/>
    <w:rsid w:val="001C05F4"/>
    <w:rsid w:val="001C0E54"/>
    <w:rsid w:val="001C1357"/>
    <w:rsid w:val="001C2A23"/>
    <w:rsid w:val="001C2FBC"/>
    <w:rsid w:val="001C3062"/>
    <w:rsid w:val="001C37C4"/>
    <w:rsid w:val="001C4A3F"/>
    <w:rsid w:val="001C4C5F"/>
    <w:rsid w:val="001C51BB"/>
    <w:rsid w:val="001C594F"/>
    <w:rsid w:val="001C5EF1"/>
    <w:rsid w:val="001C6E7A"/>
    <w:rsid w:val="001C735D"/>
    <w:rsid w:val="001C74DA"/>
    <w:rsid w:val="001D0297"/>
    <w:rsid w:val="001D0CDF"/>
    <w:rsid w:val="001D2A27"/>
    <w:rsid w:val="001D3172"/>
    <w:rsid w:val="001D38AC"/>
    <w:rsid w:val="001D3E65"/>
    <w:rsid w:val="001D4B05"/>
    <w:rsid w:val="001D5CFF"/>
    <w:rsid w:val="001D748B"/>
    <w:rsid w:val="001D778D"/>
    <w:rsid w:val="001E0C3D"/>
    <w:rsid w:val="001E1725"/>
    <w:rsid w:val="001E2F56"/>
    <w:rsid w:val="001E4014"/>
    <w:rsid w:val="001E41AE"/>
    <w:rsid w:val="001E4BC4"/>
    <w:rsid w:val="001E4E4B"/>
    <w:rsid w:val="001E6447"/>
    <w:rsid w:val="001E695F"/>
    <w:rsid w:val="001E6A94"/>
    <w:rsid w:val="001E708C"/>
    <w:rsid w:val="001E70D8"/>
    <w:rsid w:val="001E768E"/>
    <w:rsid w:val="001F0C80"/>
    <w:rsid w:val="001F33CA"/>
    <w:rsid w:val="001F33FB"/>
    <w:rsid w:val="001F3536"/>
    <w:rsid w:val="001F366F"/>
    <w:rsid w:val="001F40A0"/>
    <w:rsid w:val="001F5A8C"/>
    <w:rsid w:val="001F6139"/>
    <w:rsid w:val="001F70BE"/>
    <w:rsid w:val="00202257"/>
    <w:rsid w:val="00203D79"/>
    <w:rsid w:val="002045B0"/>
    <w:rsid w:val="002051C7"/>
    <w:rsid w:val="00206F20"/>
    <w:rsid w:val="002071F3"/>
    <w:rsid w:val="00207FCA"/>
    <w:rsid w:val="002100AC"/>
    <w:rsid w:val="002101C4"/>
    <w:rsid w:val="002103DB"/>
    <w:rsid w:val="002110C4"/>
    <w:rsid w:val="00211136"/>
    <w:rsid w:val="0021128C"/>
    <w:rsid w:val="0021190A"/>
    <w:rsid w:val="00211EAF"/>
    <w:rsid w:val="00211F51"/>
    <w:rsid w:val="00212219"/>
    <w:rsid w:val="00212581"/>
    <w:rsid w:val="00212B01"/>
    <w:rsid w:val="00212FD9"/>
    <w:rsid w:val="0021340A"/>
    <w:rsid w:val="002134C3"/>
    <w:rsid w:val="00215285"/>
    <w:rsid w:val="0021657C"/>
    <w:rsid w:val="00216E62"/>
    <w:rsid w:val="00220C5C"/>
    <w:rsid w:val="00220C86"/>
    <w:rsid w:val="00220CFE"/>
    <w:rsid w:val="00220FCB"/>
    <w:rsid w:val="002216A7"/>
    <w:rsid w:val="00221993"/>
    <w:rsid w:val="00223749"/>
    <w:rsid w:val="00223EB3"/>
    <w:rsid w:val="002243BD"/>
    <w:rsid w:val="002248E7"/>
    <w:rsid w:val="00226007"/>
    <w:rsid w:val="00226038"/>
    <w:rsid w:val="002262E8"/>
    <w:rsid w:val="002270EF"/>
    <w:rsid w:val="002277B3"/>
    <w:rsid w:val="00227B4A"/>
    <w:rsid w:val="00227FDC"/>
    <w:rsid w:val="00230AA0"/>
    <w:rsid w:val="0023172D"/>
    <w:rsid w:val="00231FCD"/>
    <w:rsid w:val="00232EB7"/>
    <w:rsid w:val="00233651"/>
    <w:rsid w:val="00233891"/>
    <w:rsid w:val="00233DC7"/>
    <w:rsid w:val="00235331"/>
    <w:rsid w:val="00236041"/>
    <w:rsid w:val="0023658A"/>
    <w:rsid w:val="002367DA"/>
    <w:rsid w:val="00236CA8"/>
    <w:rsid w:val="002405F2"/>
    <w:rsid w:val="002406DC"/>
    <w:rsid w:val="0024127B"/>
    <w:rsid w:val="002425CF"/>
    <w:rsid w:val="002426D2"/>
    <w:rsid w:val="00242DB7"/>
    <w:rsid w:val="00243881"/>
    <w:rsid w:val="00243A8C"/>
    <w:rsid w:val="00243D5F"/>
    <w:rsid w:val="002445C9"/>
    <w:rsid w:val="00244F16"/>
    <w:rsid w:val="002452AE"/>
    <w:rsid w:val="00246AD0"/>
    <w:rsid w:val="002475C8"/>
    <w:rsid w:val="00247779"/>
    <w:rsid w:val="002478CF"/>
    <w:rsid w:val="00247BCB"/>
    <w:rsid w:val="00247FAF"/>
    <w:rsid w:val="002505E4"/>
    <w:rsid w:val="00250741"/>
    <w:rsid w:val="00250A07"/>
    <w:rsid w:val="002530C3"/>
    <w:rsid w:val="00254565"/>
    <w:rsid w:val="0025497D"/>
    <w:rsid w:val="00255786"/>
    <w:rsid w:val="00256640"/>
    <w:rsid w:val="00256660"/>
    <w:rsid w:val="00256672"/>
    <w:rsid w:val="0025732A"/>
    <w:rsid w:val="002576AE"/>
    <w:rsid w:val="00257D54"/>
    <w:rsid w:val="00260F04"/>
    <w:rsid w:val="002612A3"/>
    <w:rsid w:val="002615D3"/>
    <w:rsid w:val="00264DD4"/>
    <w:rsid w:val="00266395"/>
    <w:rsid w:val="00266916"/>
    <w:rsid w:val="00266D6F"/>
    <w:rsid w:val="00266EC7"/>
    <w:rsid w:val="00270029"/>
    <w:rsid w:val="002708D6"/>
    <w:rsid w:val="00270D29"/>
    <w:rsid w:val="00271E8C"/>
    <w:rsid w:val="00272C59"/>
    <w:rsid w:val="00273B2D"/>
    <w:rsid w:val="00274160"/>
    <w:rsid w:val="002744D7"/>
    <w:rsid w:val="00274DE2"/>
    <w:rsid w:val="002758A8"/>
    <w:rsid w:val="00275F8E"/>
    <w:rsid w:val="00275FD2"/>
    <w:rsid w:val="00276088"/>
    <w:rsid w:val="00276EF5"/>
    <w:rsid w:val="0027754A"/>
    <w:rsid w:val="00277BCF"/>
    <w:rsid w:val="00277CBA"/>
    <w:rsid w:val="00277E80"/>
    <w:rsid w:val="0028084B"/>
    <w:rsid w:val="00280DD1"/>
    <w:rsid w:val="0028182C"/>
    <w:rsid w:val="002818B2"/>
    <w:rsid w:val="002818E9"/>
    <w:rsid w:val="00281E1A"/>
    <w:rsid w:val="00282BB0"/>
    <w:rsid w:val="00283C30"/>
    <w:rsid w:val="00284BEF"/>
    <w:rsid w:val="0028503E"/>
    <w:rsid w:val="00285086"/>
    <w:rsid w:val="0028593C"/>
    <w:rsid w:val="00285BEE"/>
    <w:rsid w:val="002867FB"/>
    <w:rsid w:val="00286A97"/>
    <w:rsid w:val="00286F34"/>
    <w:rsid w:val="00287D58"/>
    <w:rsid w:val="00287FD3"/>
    <w:rsid w:val="00290204"/>
    <w:rsid w:val="00290C03"/>
    <w:rsid w:val="00291943"/>
    <w:rsid w:val="0029384A"/>
    <w:rsid w:val="002940A3"/>
    <w:rsid w:val="00294FC9"/>
    <w:rsid w:val="0029533F"/>
    <w:rsid w:val="00295BF6"/>
    <w:rsid w:val="0029734F"/>
    <w:rsid w:val="002A0865"/>
    <w:rsid w:val="002A1514"/>
    <w:rsid w:val="002A18F2"/>
    <w:rsid w:val="002A249A"/>
    <w:rsid w:val="002A2D88"/>
    <w:rsid w:val="002A2F96"/>
    <w:rsid w:val="002A4CBE"/>
    <w:rsid w:val="002A6A5B"/>
    <w:rsid w:val="002A6DC5"/>
    <w:rsid w:val="002A6E37"/>
    <w:rsid w:val="002A704A"/>
    <w:rsid w:val="002A729E"/>
    <w:rsid w:val="002B0A36"/>
    <w:rsid w:val="002B1461"/>
    <w:rsid w:val="002B1A6B"/>
    <w:rsid w:val="002B30AF"/>
    <w:rsid w:val="002B374E"/>
    <w:rsid w:val="002B3841"/>
    <w:rsid w:val="002B3BFB"/>
    <w:rsid w:val="002B5956"/>
    <w:rsid w:val="002B5F6F"/>
    <w:rsid w:val="002B7A20"/>
    <w:rsid w:val="002C12EC"/>
    <w:rsid w:val="002C24B1"/>
    <w:rsid w:val="002C2821"/>
    <w:rsid w:val="002C2FA6"/>
    <w:rsid w:val="002C3973"/>
    <w:rsid w:val="002C3DB5"/>
    <w:rsid w:val="002C46C3"/>
    <w:rsid w:val="002C4705"/>
    <w:rsid w:val="002C4792"/>
    <w:rsid w:val="002C4F9D"/>
    <w:rsid w:val="002C5568"/>
    <w:rsid w:val="002C5728"/>
    <w:rsid w:val="002C618A"/>
    <w:rsid w:val="002C64A5"/>
    <w:rsid w:val="002D1B12"/>
    <w:rsid w:val="002D3402"/>
    <w:rsid w:val="002D3D5E"/>
    <w:rsid w:val="002D4682"/>
    <w:rsid w:val="002D52F8"/>
    <w:rsid w:val="002D53F8"/>
    <w:rsid w:val="002D5E16"/>
    <w:rsid w:val="002D6665"/>
    <w:rsid w:val="002D6962"/>
    <w:rsid w:val="002D71A1"/>
    <w:rsid w:val="002D76DF"/>
    <w:rsid w:val="002E01DF"/>
    <w:rsid w:val="002E0E8B"/>
    <w:rsid w:val="002E1EE1"/>
    <w:rsid w:val="002E3902"/>
    <w:rsid w:val="002E5C8F"/>
    <w:rsid w:val="002E605D"/>
    <w:rsid w:val="002E6FD6"/>
    <w:rsid w:val="002F02F4"/>
    <w:rsid w:val="002F05D7"/>
    <w:rsid w:val="002F172D"/>
    <w:rsid w:val="002F1CA5"/>
    <w:rsid w:val="002F1CCB"/>
    <w:rsid w:val="002F28D1"/>
    <w:rsid w:val="002F2F94"/>
    <w:rsid w:val="002F3303"/>
    <w:rsid w:val="002F41CE"/>
    <w:rsid w:val="002F64E0"/>
    <w:rsid w:val="002F714B"/>
    <w:rsid w:val="002F7460"/>
    <w:rsid w:val="00301A73"/>
    <w:rsid w:val="003029AD"/>
    <w:rsid w:val="003030FA"/>
    <w:rsid w:val="00303D51"/>
    <w:rsid w:val="003046BD"/>
    <w:rsid w:val="00304A29"/>
    <w:rsid w:val="00306CD4"/>
    <w:rsid w:val="0030723A"/>
    <w:rsid w:val="003076EB"/>
    <w:rsid w:val="003079E1"/>
    <w:rsid w:val="003100C3"/>
    <w:rsid w:val="003104E4"/>
    <w:rsid w:val="00310C61"/>
    <w:rsid w:val="003123F1"/>
    <w:rsid w:val="00312D5A"/>
    <w:rsid w:val="003134BD"/>
    <w:rsid w:val="00313B26"/>
    <w:rsid w:val="00314302"/>
    <w:rsid w:val="003143DD"/>
    <w:rsid w:val="00315561"/>
    <w:rsid w:val="003163B4"/>
    <w:rsid w:val="00317CF2"/>
    <w:rsid w:val="003206C9"/>
    <w:rsid w:val="003213C7"/>
    <w:rsid w:val="00321D4D"/>
    <w:rsid w:val="0032345E"/>
    <w:rsid w:val="0032411E"/>
    <w:rsid w:val="003241FA"/>
    <w:rsid w:val="003242EE"/>
    <w:rsid w:val="00324B1C"/>
    <w:rsid w:val="00324DCA"/>
    <w:rsid w:val="00324F0A"/>
    <w:rsid w:val="00325497"/>
    <w:rsid w:val="00325AB8"/>
    <w:rsid w:val="00325DCC"/>
    <w:rsid w:val="0032670B"/>
    <w:rsid w:val="00327A04"/>
    <w:rsid w:val="00330294"/>
    <w:rsid w:val="003319F0"/>
    <w:rsid w:val="00331E6D"/>
    <w:rsid w:val="00331FB3"/>
    <w:rsid w:val="00333049"/>
    <w:rsid w:val="0033344A"/>
    <w:rsid w:val="00333885"/>
    <w:rsid w:val="00333FB7"/>
    <w:rsid w:val="00334591"/>
    <w:rsid w:val="00335027"/>
    <w:rsid w:val="0033515B"/>
    <w:rsid w:val="0033634A"/>
    <w:rsid w:val="00336434"/>
    <w:rsid w:val="00336D55"/>
    <w:rsid w:val="0033714B"/>
    <w:rsid w:val="00337878"/>
    <w:rsid w:val="00340279"/>
    <w:rsid w:val="00340AE0"/>
    <w:rsid w:val="003413FE"/>
    <w:rsid w:val="003428F7"/>
    <w:rsid w:val="0034346F"/>
    <w:rsid w:val="00345972"/>
    <w:rsid w:val="00345CC1"/>
    <w:rsid w:val="00346666"/>
    <w:rsid w:val="00346C21"/>
    <w:rsid w:val="00347AEC"/>
    <w:rsid w:val="00350B0B"/>
    <w:rsid w:val="00350B3D"/>
    <w:rsid w:val="00350DE0"/>
    <w:rsid w:val="003510D4"/>
    <w:rsid w:val="00351874"/>
    <w:rsid w:val="00352BEA"/>
    <w:rsid w:val="0035333E"/>
    <w:rsid w:val="00353610"/>
    <w:rsid w:val="00353A05"/>
    <w:rsid w:val="00353BDB"/>
    <w:rsid w:val="00353E56"/>
    <w:rsid w:val="003540F3"/>
    <w:rsid w:val="0035489D"/>
    <w:rsid w:val="00354B28"/>
    <w:rsid w:val="003569DD"/>
    <w:rsid w:val="0035724A"/>
    <w:rsid w:val="003572B4"/>
    <w:rsid w:val="00357F3F"/>
    <w:rsid w:val="003620DD"/>
    <w:rsid w:val="003622D1"/>
    <w:rsid w:val="00362836"/>
    <w:rsid w:val="003629DE"/>
    <w:rsid w:val="00362C97"/>
    <w:rsid w:val="0036395C"/>
    <w:rsid w:val="0036546C"/>
    <w:rsid w:val="00365745"/>
    <w:rsid w:val="00365B7E"/>
    <w:rsid w:val="00365EAE"/>
    <w:rsid w:val="00366626"/>
    <w:rsid w:val="003668A6"/>
    <w:rsid w:val="003674B7"/>
    <w:rsid w:val="0037016B"/>
    <w:rsid w:val="0037075F"/>
    <w:rsid w:val="003708CE"/>
    <w:rsid w:val="003709DE"/>
    <w:rsid w:val="00371805"/>
    <w:rsid w:val="00374FFA"/>
    <w:rsid w:val="00375506"/>
    <w:rsid w:val="00375BB9"/>
    <w:rsid w:val="0037625A"/>
    <w:rsid w:val="003763B5"/>
    <w:rsid w:val="00377126"/>
    <w:rsid w:val="00377980"/>
    <w:rsid w:val="00381496"/>
    <w:rsid w:val="003819BC"/>
    <w:rsid w:val="00382BE0"/>
    <w:rsid w:val="00382FF7"/>
    <w:rsid w:val="00383BC1"/>
    <w:rsid w:val="003857C8"/>
    <w:rsid w:val="003866AA"/>
    <w:rsid w:val="00386D95"/>
    <w:rsid w:val="00387352"/>
    <w:rsid w:val="00387A14"/>
    <w:rsid w:val="003909F0"/>
    <w:rsid w:val="00390B86"/>
    <w:rsid w:val="00390F22"/>
    <w:rsid w:val="0039151F"/>
    <w:rsid w:val="00392071"/>
    <w:rsid w:val="0039239B"/>
    <w:rsid w:val="003927E0"/>
    <w:rsid w:val="00395B6C"/>
    <w:rsid w:val="00395D48"/>
    <w:rsid w:val="00397514"/>
    <w:rsid w:val="003979C2"/>
    <w:rsid w:val="003A1F62"/>
    <w:rsid w:val="003A2487"/>
    <w:rsid w:val="003A29EA"/>
    <w:rsid w:val="003A37E8"/>
    <w:rsid w:val="003A5961"/>
    <w:rsid w:val="003A5FDB"/>
    <w:rsid w:val="003A6AE6"/>
    <w:rsid w:val="003B02F4"/>
    <w:rsid w:val="003B04C3"/>
    <w:rsid w:val="003B07F2"/>
    <w:rsid w:val="003B0FAF"/>
    <w:rsid w:val="003B12D3"/>
    <w:rsid w:val="003B2623"/>
    <w:rsid w:val="003B286E"/>
    <w:rsid w:val="003B2B1A"/>
    <w:rsid w:val="003B303A"/>
    <w:rsid w:val="003B411E"/>
    <w:rsid w:val="003B54E8"/>
    <w:rsid w:val="003B56BC"/>
    <w:rsid w:val="003B62B4"/>
    <w:rsid w:val="003B6577"/>
    <w:rsid w:val="003B65EC"/>
    <w:rsid w:val="003B66F8"/>
    <w:rsid w:val="003B6F8E"/>
    <w:rsid w:val="003C0271"/>
    <w:rsid w:val="003C04EF"/>
    <w:rsid w:val="003C139D"/>
    <w:rsid w:val="003C1600"/>
    <w:rsid w:val="003C1F90"/>
    <w:rsid w:val="003C24F5"/>
    <w:rsid w:val="003C29A3"/>
    <w:rsid w:val="003C2F53"/>
    <w:rsid w:val="003C3841"/>
    <w:rsid w:val="003C3B7D"/>
    <w:rsid w:val="003C4D5F"/>
    <w:rsid w:val="003C4FF6"/>
    <w:rsid w:val="003C557C"/>
    <w:rsid w:val="003C56D1"/>
    <w:rsid w:val="003C598A"/>
    <w:rsid w:val="003C7839"/>
    <w:rsid w:val="003C7EF5"/>
    <w:rsid w:val="003D06D8"/>
    <w:rsid w:val="003D10D2"/>
    <w:rsid w:val="003D1A34"/>
    <w:rsid w:val="003D1A40"/>
    <w:rsid w:val="003D21BD"/>
    <w:rsid w:val="003D336E"/>
    <w:rsid w:val="003D4FA0"/>
    <w:rsid w:val="003D5B56"/>
    <w:rsid w:val="003D6629"/>
    <w:rsid w:val="003D6998"/>
    <w:rsid w:val="003D6E48"/>
    <w:rsid w:val="003D7031"/>
    <w:rsid w:val="003E167E"/>
    <w:rsid w:val="003E17D5"/>
    <w:rsid w:val="003E1904"/>
    <w:rsid w:val="003E2195"/>
    <w:rsid w:val="003E2BC3"/>
    <w:rsid w:val="003E3B95"/>
    <w:rsid w:val="003E4284"/>
    <w:rsid w:val="003E4781"/>
    <w:rsid w:val="003E487D"/>
    <w:rsid w:val="003E54A8"/>
    <w:rsid w:val="003E5FC6"/>
    <w:rsid w:val="003E68C8"/>
    <w:rsid w:val="003E6FA9"/>
    <w:rsid w:val="003E71AF"/>
    <w:rsid w:val="003E7CB1"/>
    <w:rsid w:val="003F00D8"/>
    <w:rsid w:val="003F112B"/>
    <w:rsid w:val="003F1646"/>
    <w:rsid w:val="003F1D49"/>
    <w:rsid w:val="003F1D9D"/>
    <w:rsid w:val="003F22C6"/>
    <w:rsid w:val="003F24F5"/>
    <w:rsid w:val="003F295F"/>
    <w:rsid w:val="003F2D19"/>
    <w:rsid w:val="003F30FF"/>
    <w:rsid w:val="003F61FE"/>
    <w:rsid w:val="003F7012"/>
    <w:rsid w:val="003F7622"/>
    <w:rsid w:val="003F7B8B"/>
    <w:rsid w:val="0040117A"/>
    <w:rsid w:val="00401A78"/>
    <w:rsid w:val="00401C3B"/>
    <w:rsid w:val="00401D23"/>
    <w:rsid w:val="004029F2"/>
    <w:rsid w:val="00403280"/>
    <w:rsid w:val="00405FDC"/>
    <w:rsid w:val="00407438"/>
    <w:rsid w:val="00407594"/>
    <w:rsid w:val="00410168"/>
    <w:rsid w:val="004101DA"/>
    <w:rsid w:val="00411F6F"/>
    <w:rsid w:val="004120AF"/>
    <w:rsid w:val="00412498"/>
    <w:rsid w:val="00413B09"/>
    <w:rsid w:val="00414474"/>
    <w:rsid w:val="00414C00"/>
    <w:rsid w:val="00414DD1"/>
    <w:rsid w:val="00415E59"/>
    <w:rsid w:val="00417C26"/>
    <w:rsid w:val="00421AA3"/>
    <w:rsid w:val="00421B7F"/>
    <w:rsid w:val="00421CF6"/>
    <w:rsid w:val="00422299"/>
    <w:rsid w:val="00422650"/>
    <w:rsid w:val="00422D1B"/>
    <w:rsid w:val="00424487"/>
    <w:rsid w:val="004251FD"/>
    <w:rsid w:val="004258B1"/>
    <w:rsid w:val="00425DDE"/>
    <w:rsid w:val="00426411"/>
    <w:rsid w:val="0042648E"/>
    <w:rsid w:val="0042688C"/>
    <w:rsid w:val="00427E06"/>
    <w:rsid w:val="0043037E"/>
    <w:rsid w:val="004303E5"/>
    <w:rsid w:val="004308A7"/>
    <w:rsid w:val="00430A83"/>
    <w:rsid w:val="00430E49"/>
    <w:rsid w:val="00431044"/>
    <w:rsid w:val="0043117D"/>
    <w:rsid w:val="00431626"/>
    <w:rsid w:val="00432519"/>
    <w:rsid w:val="004331A9"/>
    <w:rsid w:val="00434570"/>
    <w:rsid w:val="00435231"/>
    <w:rsid w:val="004352AA"/>
    <w:rsid w:val="004404DC"/>
    <w:rsid w:val="00440D26"/>
    <w:rsid w:val="00442662"/>
    <w:rsid w:val="0044387F"/>
    <w:rsid w:val="00444537"/>
    <w:rsid w:val="004462BD"/>
    <w:rsid w:val="0045031A"/>
    <w:rsid w:val="0045080D"/>
    <w:rsid w:val="004517B5"/>
    <w:rsid w:val="00451E5D"/>
    <w:rsid w:val="004522DF"/>
    <w:rsid w:val="00452386"/>
    <w:rsid w:val="004531B3"/>
    <w:rsid w:val="00453EFF"/>
    <w:rsid w:val="00454604"/>
    <w:rsid w:val="00454D3E"/>
    <w:rsid w:val="00455108"/>
    <w:rsid w:val="00455BB1"/>
    <w:rsid w:val="00455F56"/>
    <w:rsid w:val="00456118"/>
    <w:rsid w:val="004562BC"/>
    <w:rsid w:val="004563F1"/>
    <w:rsid w:val="00456912"/>
    <w:rsid w:val="00457CBB"/>
    <w:rsid w:val="00457EBD"/>
    <w:rsid w:val="00460790"/>
    <w:rsid w:val="00460E86"/>
    <w:rsid w:val="004610D4"/>
    <w:rsid w:val="004616D2"/>
    <w:rsid w:val="00462973"/>
    <w:rsid w:val="004629E5"/>
    <w:rsid w:val="00465347"/>
    <w:rsid w:val="004662F0"/>
    <w:rsid w:val="004664F9"/>
    <w:rsid w:val="0046717D"/>
    <w:rsid w:val="00467180"/>
    <w:rsid w:val="0047033F"/>
    <w:rsid w:val="00470B37"/>
    <w:rsid w:val="0047274F"/>
    <w:rsid w:val="00472D64"/>
    <w:rsid w:val="00474DD8"/>
    <w:rsid w:val="004753D6"/>
    <w:rsid w:val="00475768"/>
    <w:rsid w:val="00475868"/>
    <w:rsid w:val="004763B6"/>
    <w:rsid w:val="00476A3A"/>
    <w:rsid w:val="0047763C"/>
    <w:rsid w:val="00477C7F"/>
    <w:rsid w:val="004821E5"/>
    <w:rsid w:val="004840A7"/>
    <w:rsid w:val="00485118"/>
    <w:rsid w:val="00485393"/>
    <w:rsid w:val="004864E3"/>
    <w:rsid w:val="0048657C"/>
    <w:rsid w:val="00486937"/>
    <w:rsid w:val="00487E73"/>
    <w:rsid w:val="0049033E"/>
    <w:rsid w:val="00490919"/>
    <w:rsid w:val="00490AC1"/>
    <w:rsid w:val="0049132D"/>
    <w:rsid w:val="004929DC"/>
    <w:rsid w:val="00492CF2"/>
    <w:rsid w:val="00492E19"/>
    <w:rsid w:val="004936D2"/>
    <w:rsid w:val="00493F22"/>
    <w:rsid w:val="004943BF"/>
    <w:rsid w:val="0049537A"/>
    <w:rsid w:val="004956C2"/>
    <w:rsid w:val="00495840"/>
    <w:rsid w:val="004958D8"/>
    <w:rsid w:val="00495CF4"/>
    <w:rsid w:val="00495DD8"/>
    <w:rsid w:val="00496581"/>
    <w:rsid w:val="00496B2D"/>
    <w:rsid w:val="004A1E75"/>
    <w:rsid w:val="004A2615"/>
    <w:rsid w:val="004A4A55"/>
    <w:rsid w:val="004A59DC"/>
    <w:rsid w:val="004A6C36"/>
    <w:rsid w:val="004A76CE"/>
    <w:rsid w:val="004A7A42"/>
    <w:rsid w:val="004A7DD6"/>
    <w:rsid w:val="004B0A2A"/>
    <w:rsid w:val="004B3509"/>
    <w:rsid w:val="004B36F4"/>
    <w:rsid w:val="004B5A20"/>
    <w:rsid w:val="004B6B42"/>
    <w:rsid w:val="004B7499"/>
    <w:rsid w:val="004C036E"/>
    <w:rsid w:val="004C0637"/>
    <w:rsid w:val="004C08B0"/>
    <w:rsid w:val="004C0F4D"/>
    <w:rsid w:val="004C1225"/>
    <w:rsid w:val="004C19DC"/>
    <w:rsid w:val="004C1D2C"/>
    <w:rsid w:val="004C2B5D"/>
    <w:rsid w:val="004C3DA0"/>
    <w:rsid w:val="004C42DB"/>
    <w:rsid w:val="004C4878"/>
    <w:rsid w:val="004C4D62"/>
    <w:rsid w:val="004C6ABD"/>
    <w:rsid w:val="004C78DD"/>
    <w:rsid w:val="004D0551"/>
    <w:rsid w:val="004D064C"/>
    <w:rsid w:val="004D0658"/>
    <w:rsid w:val="004D1D52"/>
    <w:rsid w:val="004D3FA5"/>
    <w:rsid w:val="004D41B5"/>
    <w:rsid w:val="004D4AED"/>
    <w:rsid w:val="004D4B1A"/>
    <w:rsid w:val="004D6166"/>
    <w:rsid w:val="004D69B8"/>
    <w:rsid w:val="004D72F8"/>
    <w:rsid w:val="004D7AC7"/>
    <w:rsid w:val="004D7B37"/>
    <w:rsid w:val="004D7C59"/>
    <w:rsid w:val="004D7FB4"/>
    <w:rsid w:val="004E11F7"/>
    <w:rsid w:val="004E1956"/>
    <w:rsid w:val="004E2C95"/>
    <w:rsid w:val="004E2D2C"/>
    <w:rsid w:val="004E3275"/>
    <w:rsid w:val="004E39FC"/>
    <w:rsid w:val="004E4452"/>
    <w:rsid w:val="004E627A"/>
    <w:rsid w:val="004E7012"/>
    <w:rsid w:val="004E769B"/>
    <w:rsid w:val="004F0499"/>
    <w:rsid w:val="004F0E44"/>
    <w:rsid w:val="004F0E70"/>
    <w:rsid w:val="004F1776"/>
    <w:rsid w:val="004F2744"/>
    <w:rsid w:val="004F2A07"/>
    <w:rsid w:val="004F3C5A"/>
    <w:rsid w:val="004F48E5"/>
    <w:rsid w:val="004F5F04"/>
    <w:rsid w:val="004F62A0"/>
    <w:rsid w:val="004F6312"/>
    <w:rsid w:val="004F6E08"/>
    <w:rsid w:val="00500CEF"/>
    <w:rsid w:val="0050187D"/>
    <w:rsid w:val="00501B2E"/>
    <w:rsid w:val="0050205D"/>
    <w:rsid w:val="00502FEF"/>
    <w:rsid w:val="00503A93"/>
    <w:rsid w:val="0050484E"/>
    <w:rsid w:val="005048C4"/>
    <w:rsid w:val="00505AD9"/>
    <w:rsid w:val="00505D2F"/>
    <w:rsid w:val="00506392"/>
    <w:rsid w:val="0050725B"/>
    <w:rsid w:val="00507471"/>
    <w:rsid w:val="005116F8"/>
    <w:rsid w:val="0051196B"/>
    <w:rsid w:val="0051309D"/>
    <w:rsid w:val="00513BD4"/>
    <w:rsid w:val="0051439B"/>
    <w:rsid w:val="00515493"/>
    <w:rsid w:val="00515B31"/>
    <w:rsid w:val="00515FDC"/>
    <w:rsid w:val="0051640E"/>
    <w:rsid w:val="00520C11"/>
    <w:rsid w:val="00520EEE"/>
    <w:rsid w:val="00521130"/>
    <w:rsid w:val="00521D16"/>
    <w:rsid w:val="00521ED9"/>
    <w:rsid w:val="00522468"/>
    <w:rsid w:val="00523BC6"/>
    <w:rsid w:val="00523D52"/>
    <w:rsid w:val="0052439C"/>
    <w:rsid w:val="005251D6"/>
    <w:rsid w:val="0052798E"/>
    <w:rsid w:val="0053033A"/>
    <w:rsid w:val="00530B24"/>
    <w:rsid w:val="005310D2"/>
    <w:rsid w:val="0053298F"/>
    <w:rsid w:val="00532B37"/>
    <w:rsid w:val="00532E60"/>
    <w:rsid w:val="0053529C"/>
    <w:rsid w:val="00535D0C"/>
    <w:rsid w:val="0053627E"/>
    <w:rsid w:val="00536A6F"/>
    <w:rsid w:val="00537C60"/>
    <w:rsid w:val="0054094C"/>
    <w:rsid w:val="0054175E"/>
    <w:rsid w:val="005429C6"/>
    <w:rsid w:val="00542C5D"/>
    <w:rsid w:val="00542D3F"/>
    <w:rsid w:val="00543A82"/>
    <w:rsid w:val="00543B4C"/>
    <w:rsid w:val="0054414A"/>
    <w:rsid w:val="00544739"/>
    <w:rsid w:val="00544A88"/>
    <w:rsid w:val="00545A3A"/>
    <w:rsid w:val="005470CF"/>
    <w:rsid w:val="00547901"/>
    <w:rsid w:val="00550B4D"/>
    <w:rsid w:val="00550FFB"/>
    <w:rsid w:val="005527A7"/>
    <w:rsid w:val="005531C2"/>
    <w:rsid w:val="00553FAF"/>
    <w:rsid w:val="00554405"/>
    <w:rsid w:val="005545EA"/>
    <w:rsid w:val="00554B23"/>
    <w:rsid w:val="00556A18"/>
    <w:rsid w:val="0055735E"/>
    <w:rsid w:val="00557BBA"/>
    <w:rsid w:val="00557F5D"/>
    <w:rsid w:val="005602A6"/>
    <w:rsid w:val="00560531"/>
    <w:rsid w:val="00560842"/>
    <w:rsid w:val="005617FD"/>
    <w:rsid w:val="00561996"/>
    <w:rsid w:val="00564C13"/>
    <w:rsid w:val="00564D80"/>
    <w:rsid w:val="0056522E"/>
    <w:rsid w:val="00565655"/>
    <w:rsid w:val="00565D18"/>
    <w:rsid w:val="00565F3A"/>
    <w:rsid w:val="00567620"/>
    <w:rsid w:val="00571A17"/>
    <w:rsid w:val="00571A1B"/>
    <w:rsid w:val="00572435"/>
    <w:rsid w:val="005725D6"/>
    <w:rsid w:val="00572DB2"/>
    <w:rsid w:val="00573082"/>
    <w:rsid w:val="00573319"/>
    <w:rsid w:val="00575089"/>
    <w:rsid w:val="005752AB"/>
    <w:rsid w:val="005760E1"/>
    <w:rsid w:val="00576B90"/>
    <w:rsid w:val="00580754"/>
    <w:rsid w:val="00580814"/>
    <w:rsid w:val="0058124A"/>
    <w:rsid w:val="00581764"/>
    <w:rsid w:val="00582046"/>
    <w:rsid w:val="005820D9"/>
    <w:rsid w:val="00583809"/>
    <w:rsid w:val="00583F9F"/>
    <w:rsid w:val="005843DD"/>
    <w:rsid w:val="005853BE"/>
    <w:rsid w:val="00586053"/>
    <w:rsid w:val="0058707B"/>
    <w:rsid w:val="005876D3"/>
    <w:rsid w:val="005879DC"/>
    <w:rsid w:val="00587AC3"/>
    <w:rsid w:val="00590BEF"/>
    <w:rsid w:val="00590C95"/>
    <w:rsid w:val="00591094"/>
    <w:rsid w:val="00591ADF"/>
    <w:rsid w:val="00591B1D"/>
    <w:rsid w:val="0059254F"/>
    <w:rsid w:val="00592788"/>
    <w:rsid w:val="00592FF0"/>
    <w:rsid w:val="00593F89"/>
    <w:rsid w:val="00594C9D"/>
    <w:rsid w:val="0059531D"/>
    <w:rsid w:val="00596163"/>
    <w:rsid w:val="005968E3"/>
    <w:rsid w:val="0059704C"/>
    <w:rsid w:val="005A1147"/>
    <w:rsid w:val="005A17D9"/>
    <w:rsid w:val="005A1E2C"/>
    <w:rsid w:val="005A317E"/>
    <w:rsid w:val="005A489F"/>
    <w:rsid w:val="005A529F"/>
    <w:rsid w:val="005A53DA"/>
    <w:rsid w:val="005A5963"/>
    <w:rsid w:val="005A5A34"/>
    <w:rsid w:val="005A67E3"/>
    <w:rsid w:val="005A6C9A"/>
    <w:rsid w:val="005B1001"/>
    <w:rsid w:val="005B1180"/>
    <w:rsid w:val="005B1522"/>
    <w:rsid w:val="005B1670"/>
    <w:rsid w:val="005B1EB6"/>
    <w:rsid w:val="005B2538"/>
    <w:rsid w:val="005B279C"/>
    <w:rsid w:val="005B38E2"/>
    <w:rsid w:val="005B40A9"/>
    <w:rsid w:val="005B5507"/>
    <w:rsid w:val="005B58D0"/>
    <w:rsid w:val="005B6309"/>
    <w:rsid w:val="005C004B"/>
    <w:rsid w:val="005C1636"/>
    <w:rsid w:val="005C1EC3"/>
    <w:rsid w:val="005C222F"/>
    <w:rsid w:val="005C2433"/>
    <w:rsid w:val="005C2A7B"/>
    <w:rsid w:val="005C31FE"/>
    <w:rsid w:val="005C33CC"/>
    <w:rsid w:val="005C37FC"/>
    <w:rsid w:val="005C3E3B"/>
    <w:rsid w:val="005C466E"/>
    <w:rsid w:val="005C5AAC"/>
    <w:rsid w:val="005C5DF0"/>
    <w:rsid w:val="005C68A7"/>
    <w:rsid w:val="005C69A0"/>
    <w:rsid w:val="005C703C"/>
    <w:rsid w:val="005D012C"/>
    <w:rsid w:val="005D0A89"/>
    <w:rsid w:val="005D1470"/>
    <w:rsid w:val="005D1737"/>
    <w:rsid w:val="005D1F90"/>
    <w:rsid w:val="005D26FA"/>
    <w:rsid w:val="005D284A"/>
    <w:rsid w:val="005D28A6"/>
    <w:rsid w:val="005D2B82"/>
    <w:rsid w:val="005D2C8F"/>
    <w:rsid w:val="005D3C0D"/>
    <w:rsid w:val="005D4032"/>
    <w:rsid w:val="005D4682"/>
    <w:rsid w:val="005D47F0"/>
    <w:rsid w:val="005D4E9F"/>
    <w:rsid w:val="005D501C"/>
    <w:rsid w:val="005D53DB"/>
    <w:rsid w:val="005D6800"/>
    <w:rsid w:val="005D7239"/>
    <w:rsid w:val="005E2738"/>
    <w:rsid w:val="005E3BD0"/>
    <w:rsid w:val="005E4DEC"/>
    <w:rsid w:val="005E50A7"/>
    <w:rsid w:val="005E5BBB"/>
    <w:rsid w:val="005E7CE1"/>
    <w:rsid w:val="005E7CFD"/>
    <w:rsid w:val="005E7FEA"/>
    <w:rsid w:val="005F02D0"/>
    <w:rsid w:val="005F12FB"/>
    <w:rsid w:val="005F18A0"/>
    <w:rsid w:val="005F20F4"/>
    <w:rsid w:val="005F2911"/>
    <w:rsid w:val="005F298B"/>
    <w:rsid w:val="005F2B6C"/>
    <w:rsid w:val="005F2B84"/>
    <w:rsid w:val="005F35A2"/>
    <w:rsid w:val="005F410C"/>
    <w:rsid w:val="005F500D"/>
    <w:rsid w:val="005F5B96"/>
    <w:rsid w:val="005F5E1A"/>
    <w:rsid w:val="005F7187"/>
    <w:rsid w:val="005F7E4D"/>
    <w:rsid w:val="006019FC"/>
    <w:rsid w:val="00601DB4"/>
    <w:rsid w:val="00602AE5"/>
    <w:rsid w:val="00602F97"/>
    <w:rsid w:val="0060328C"/>
    <w:rsid w:val="006033D4"/>
    <w:rsid w:val="00604B6D"/>
    <w:rsid w:val="00604DE7"/>
    <w:rsid w:val="006078B2"/>
    <w:rsid w:val="00610983"/>
    <w:rsid w:val="00610AD6"/>
    <w:rsid w:val="00611F32"/>
    <w:rsid w:val="00611FC6"/>
    <w:rsid w:val="006120A0"/>
    <w:rsid w:val="006123D6"/>
    <w:rsid w:val="0061421B"/>
    <w:rsid w:val="00614B65"/>
    <w:rsid w:val="00616568"/>
    <w:rsid w:val="0061658C"/>
    <w:rsid w:val="00620BB8"/>
    <w:rsid w:val="0062116B"/>
    <w:rsid w:val="00623146"/>
    <w:rsid w:val="006243D5"/>
    <w:rsid w:val="00624B9A"/>
    <w:rsid w:val="006250C7"/>
    <w:rsid w:val="00625274"/>
    <w:rsid w:val="006257DE"/>
    <w:rsid w:val="006263DD"/>
    <w:rsid w:val="006264B1"/>
    <w:rsid w:val="00626EA7"/>
    <w:rsid w:val="00627716"/>
    <w:rsid w:val="00630B80"/>
    <w:rsid w:val="00631695"/>
    <w:rsid w:val="0063211E"/>
    <w:rsid w:val="0063306F"/>
    <w:rsid w:val="00635847"/>
    <w:rsid w:val="00635A74"/>
    <w:rsid w:val="0063623A"/>
    <w:rsid w:val="00637C7E"/>
    <w:rsid w:val="0064147D"/>
    <w:rsid w:val="006420F9"/>
    <w:rsid w:val="00642878"/>
    <w:rsid w:val="0064326C"/>
    <w:rsid w:val="0064343C"/>
    <w:rsid w:val="00643F34"/>
    <w:rsid w:val="00647AB1"/>
    <w:rsid w:val="00647B74"/>
    <w:rsid w:val="0065076F"/>
    <w:rsid w:val="00650BF8"/>
    <w:rsid w:val="00650EFD"/>
    <w:rsid w:val="006514F1"/>
    <w:rsid w:val="00651B0B"/>
    <w:rsid w:val="00652904"/>
    <w:rsid w:val="00653855"/>
    <w:rsid w:val="00653D25"/>
    <w:rsid w:val="00654E08"/>
    <w:rsid w:val="00654EE6"/>
    <w:rsid w:val="00655ECC"/>
    <w:rsid w:val="0065609D"/>
    <w:rsid w:val="006560F8"/>
    <w:rsid w:val="00656B98"/>
    <w:rsid w:val="00657BE0"/>
    <w:rsid w:val="00657C4C"/>
    <w:rsid w:val="00661B1B"/>
    <w:rsid w:val="00661E7F"/>
    <w:rsid w:val="006625F1"/>
    <w:rsid w:val="0066311A"/>
    <w:rsid w:val="006638A1"/>
    <w:rsid w:val="006643F8"/>
    <w:rsid w:val="0066464B"/>
    <w:rsid w:val="00664889"/>
    <w:rsid w:val="0066567A"/>
    <w:rsid w:val="00665A63"/>
    <w:rsid w:val="00665AF2"/>
    <w:rsid w:val="00666356"/>
    <w:rsid w:val="006664CB"/>
    <w:rsid w:val="006665B6"/>
    <w:rsid w:val="006665CC"/>
    <w:rsid w:val="00667FCC"/>
    <w:rsid w:val="006706BA"/>
    <w:rsid w:val="00671061"/>
    <w:rsid w:val="0067136B"/>
    <w:rsid w:val="00671F8B"/>
    <w:rsid w:val="0067323D"/>
    <w:rsid w:val="0067359D"/>
    <w:rsid w:val="006742EF"/>
    <w:rsid w:val="00674FA1"/>
    <w:rsid w:val="00675BF2"/>
    <w:rsid w:val="00675BFA"/>
    <w:rsid w:val="0067799B"/>
    <w:rsid w:val="006809B6"/>
    <w:rsid w:val="00682501"/>
    <w:rsid w:val="0068375A"/>
    <w:rsid w:val="00683768"/>
    <w:rsid w:val="00684D58"/>
    <w:rsid w:val="006857AD"/>
    <w:rsid w:val="00687160"/>
    <w:rsid w:val="00687A7B"/>
    <w:rsid w:val="00690ACD"/>
    <w:rsid w:val="00690B21"/>
    <w:rsid w:val="00690B64"/>
    <w:rsid w:val="00691113"/>
    <w:rsid w:val="006916AD"/>
    <w:rsid w:val="00691FD8"/>
    <w:rsid w:val="006933DE"/>
    <w:rsid w:val="006944A1"/>
    <w:rsid w:val="0069492C"/>
    <w:rsid w:val="00695685"/>
    <w:rsid w:val="00695C96"/>
    <w:rsid w:val="00695FF6"/>
    <w:rsid w:val="006975C8"/>
    <w:rsid w:val="006976E9"/>
    <w:rsid w:val="006978A1"/>
    <w:rsid w:val="00697EC4"/>
    <w:rsid w:val="006A0BB0"/>
    <w:rsid w:val="006A0CD7"/>
    <w:rsid w:val="006A1D91"/>
    <w:rsid w:val="006A2166"/>
    <w:rsid w:val="006A4577"/>
    <w:rsid w:val="006A46E3"/>
    <w:rsid w:val="006A75DB"/>
    <w:rsid w:val="006A7998"/>
    <w:rsid w:val="006B04C2"/>
    <w:rsid w:val="006B1484"/>
    <w:rsid w:val="006B21D9"/>
    <w:rsid w:val="006B25DB"/>
    <w:rsid w:val="006B2F55"/>
    <w:rsid w:val="006B3C0E"/>
    <w:rsid w:val="006B48F6"/>
    <w:rsid w:val="006B51B7"/>
    <w:rsid w:val="006B57C9"/>
    <w:rsid w:val="006B6925"/>
    <w:rsid w:val="006B6D3A"/>
    <w:rsid w:val="006B77CD"/>
    <w:rsid w:val="006C0BF0"/>
    <w:rsid w:val="006C0E93"/>
    <w:rsid w:val="006C1F9B"/>
    <w:rsid w:val="006C2F87"/>
    <w:rsid w:val="006C4171"/>
    <w:rsid w:val="006C55A1"/>
    <w:rsid w:val="006C5F77"/>
    <w:rsid w:val="006C6A63"/>
    <w:rsid w:val="006D1D9B"/>
    <w:rsid w:val="006D264B"/>
    <w:rsid w:val="006D2A3A"/>
    <w:rsid w:val="006D34C5"/>
    <w:rsid w:val="006D4652"/>
    <w:rsid w:val="006D4B98"/>
    <w:rsid w:val="006D62CE"/>
    <w:rsid w:val="006D74A3"/>
    <w:rsid w:val="006D794D"/>
    <w:rsid w:val="006D7FD3"/>
    <w:rsid w:val="006E000A"/>
    <w:rsid w:val="006E0743"/>
    <w:rsid w:val="006E0841"/>
    <w:rsid w:val="006E1540"/>
    <w:rsid w:val="006E1A5A"/>
    <w:rsid w:val="006E2682"/>
    <w:rsid w:val="006E2DE6"/>
    <w:rsid w:val="006E2FBA"/>
    <w:rsid w:val="006E49B3"/>
    <w:rsid w:val="006E4D49"/>
    <w:rsid w:val="006E58A1"/>
    <w:rsid w:val="006E6202"/>
    <w:rsid w:val="006F0150"/>
    <w:rsid w:val="006F059B"/>
    <w:rsid w:val="006F34BD"/>
    <w:rsid w:val="006F3670"/>
    <w:rsid w:val="006F40FC"/>
    <w:rsid w:val="006F467D"/>
    <w:rsid w:val="006F56B0"/>
    <w:rsid w:val="006F5A68"/>
    <w:rsid w:val="006F63C5"/>
    <w:rsid w:val="006F6CE1"/>
    <w:rsid w:val="006F7F5F"/>
    <w:rsid w:val="00700AF6"/>
    <w:rsid w:val="007017C6"/>
    <w:rsid w:val="007022DA"/>
    <w:rsid w:val="00704032"/>
    <w:rsid w:val="007076D2"/>
    <w:rsid w:val="00711E47"/>
    <w:rsid w:val="0071238F"/>
    <w:rsid w:val="00712EF8"/>
    <w:rsid w:val="007139DD"/>
    <w:rsid w:val="00713B7B"/>
    <w:rsid w:val="0071451A"/>
    <w:rsid w:val="00714FC4"/>
    <w:rsid w:val="0071541E"/>
    <w:rsid w:val="00716B10"/>
    <w:rsid w:val="007170D0"/>
    <w:rsid w:val="007171CB"/>
    <w:rsid w:val="007171FA"/>
    <w:rsid w:val="00720160"/>
    <w:rsid w:val="00720492"/>
    <w:rsid w:val="007219BF"/>
    <w:rsid w:val="00721D03"/>
    <w:rsid w:val="00721FB9"/>
    <w:rsid w:val="00722ECA"/>
    <w:rsid w:val="00723CD2"/>
    <w:rsid w:val="00723ED2"/>
    <w:rsid w:val="0072536E"/>
    <w:rsid w:val="00725AC0"/>
    <w:rsid w:val="00725B87"/>
    <w:rsid w:val="00725E5C"/>
    <w:rsid w:val="00726469"/>
    <w:rsid w:val="007274A7"/>
    <w:rsid w:val="00730376"/>
    <w:rsid w:val="00730591"/>
    <w:rsid w:val="00730D3D"/>
    <w:rsid w:val="00730E9D"/>
    <w:rsid w:val="00731FFB"/>
    <w:rsid w:val="00732486"/>
    <w:rsid w:val="00732C6F"/>
    <w:rsid w:val="007331E1"/>
    <w:rsid w:val="007344A1"/>
    <w:rsid w:val="00734663"/>
    <w:rsid w:val="00734987"/>
    <w:rsid w:val="00734B8B"/>
    <w:rsid w:val="00734FEC"/>
    <w:rsid w:val="007356BE"/>
    <w:rsid w:val="00735BB4"/>
    <w:rsid w:val="007362BF"/>
    <w:rsid w:val="00736411"/>
    <w:rsid w:val="00736AFC"/>
    <w:rsid w:val="00741002"/>
    <w:rsid w:val="0074142F"/>
    <w:rsid w:val="00741EF3"/>
    <w:rsid w:val="00742CDD"/>
    <w:rsid w:val="0074459A"/>
    <w:rsid w:val="00745FF9"/>
    <w:rsid w:val="0074610E"/>
    <w:rsid w:val="0074687E"/>
    <w:rsid w:val="0074773E"/>
    <w:rsid w:val="007500CE"/>
    <w:rsid w:val="0075041F"/>
    <w:rsid w:val="00751112"/>
    <w:rsid w:val="0075127B"/>
    <w:rsid w:val="00751687"/>
    <w:rsid w:val="00751A93"/>
    <w:rsid w:val="007521C3"/>
    <w:rsid w:val="00752457"/>
    <w:rsid w:val="00753120"/>
    <w:rsid w:val="007539B0"/>
    <w:rsid w:val="00753F78"/>
    <w:rsid w:val="007540D6"/>
    <w:rsid w:val="00754373"/>
    <w:rsid w:val="007545C8"/>
    <w:rsid w:val="00754A84"/>
    <w:rsid w:val="00755072"/>
    <w:rsid w:val="007553B2"/>
    <w:rsid w:val="0075564C"/>
    <w:rsid w:val="00755B90"/>
    <w:rsid w:val="00756480"/>
    <w:rsid w:val="007573E1"/>
    <w:rsid w:val="00760052"/>
    <w:rsid w:val="00760BCA"/>
    <w:rsid w:val="00761BBF"/>
    <w:rsid w:val="00761E18"/>
    <w:rsid w:val="007626DC"/>
    <w:rsid w:val="0076287C"/>
    <w:rsid w:val="0076324C"/>
    <w:rsid w:val="00763699"/>
    <w:rsid w:val="007677E7"/>
    <w:rsid w:val="007679FE"/>
    <w:rsid w:val="00767A8C"/>
    <w:rsid w:val="007712E7"/>
    <w:rsid w:val="0077241D"/>
    <w:rsid w:val="00773331"/>
    <w:rsid w:val="00773A36"/>
    <w:rsid w:val="00774A42"/>
    <w:rsid w:val="00774C7D"/>
    <w:rsid w:val="007769DC"/>
    <w:rsid w:val="00776F93"/>
    <w:rsid w:val="00777223"/>
    <w:rsid w:val="00780AA5"/>
    <w:rsid w:val="00781E15"/>
    <w:rsid w:val="00784763"/>
    <w:rsid w:val="00784846"/>
    <w:rsid w:val="00786976"/>
    <w:rsid w:val="00787FA6"/>
    <w:rsid w:val="00790017"/>
    <w:rsid w:val="0079074E"/>
    <w:rsid w:val="00793025"/>
    <w:rsid w:val="007932EF"/>
    <w:rsid w:val="00794637"/>
    <w:rsid w:val="00795244"/>
    <w:rsid w:val="00795B9E"/>
    <w:rsid w:val="007964CA"/>
    <w:rsid w:val="007968A8"/>
    <w:rsid w:val="00796F73"/>
    <w:rsid w:val="0079734D"/>
    <w:rsid w:val="00797ADB"/>
    <w:rsid w:val="007A0554"/>
    <w:rsid w:val="007A0D40"/>
    <w:rsid w:val="007A1895"/>
    <w:rsid w:val="007A1CD7"/>
    <w:rsid w:val="007A27BE"/>
    <w:rsid w:val="007A3716"/>
    <w:rsid w:val="007A4D2B"/>
    <w:rsid w:val="007A6CFF"/>
    <w:rsid w:val="007A7580"/>
    <w:rsid w:val="007B0CCF"/>
    <w:rsid w:val="007B2432"/>
    <w:rsid w:val="007B436A"/>
    <w:rsid w:val="007B5674"/>
    <w:rsid w:val="007B6FD7"/>
    <w:rsid w:val="007B77E2"/>
    <w:rsid w:val="007B7C56"/>
    <w:rsid w:val="007C095B"/>
    <w:rsid w:val="007C1AD0"/>
    <w:rsid w:val="007C1B0C"/>
    <w:rsid w:val="007C1CDC"/>
    <w:rsid w:val="007C1E90"/>
    <w:rsid w:val="007C3674"/>
    <w:rsid w:val="007C44FE"/>
    <w:rsid w:val="007C53D8"/>
    <w:rsid w:val="007C5CAB"/>
    <w:rsid w:val="007C5D24"/>
    <w:rsid w:val="007C63B8"/>
    <w:rsid w:val="007C660D"/>
    <w:rsid w:val="007C7514"/>
    <w:rsid w:val="007D0C74"/>
    <w:rsid w:val="007D20A9"/>
    <w:rsid w:val="007D3373"/>
    <w:rsid w:val="007D3EDA"/>
    <w:rsid w:val="007D485A"/>
    <w:rsid w:val="007E05B0"/>
    <w:rsid w:val="007E0ABB"/>
    <w:rsid w:val="007E1656"/>
    <w:rsid w:val="007E1B2B"/>
    <w:rsid w:val="007E1E37"/>
    <w:rsid w:val="007E23DE"/>
    <w:rsid w:val="007E241B"/>
    <w:rsid w:val="007E24F3"/>
    <w:rsid w:val="007E3E93"/>
    <w:rsid w:val="007E59E6"/>
    <w:rsid w:val="007E7AED"/>
    <w:rsid w:val="007E7DC7"/>
    <w:rsid w:val="007F052D"/>
    <w:rsid w:val="007F0E08"/>
    <w:rsid w:val="007F1A7C"/>
    <w:rsid w:val="007F1BF7"/>
    <w:rsid w:val="007F3271"/>
    <w:rsid w:val="007F3421"/>
    <w:rsid w:val="007F3A87"/>
    <w:rsid w:val="007F3D61"/>
    <w:rsid w:val="007F4649"/>
    <w:rsid w:val="007F471A"/>
    <w:rsid w:val="007F5979"/>
    <w:rsid w:val="007F5E89"/>
    <w:rsid w:val="007F70BF"/>
    <w:rsid w:val="007F73A6"/>
    <w:rsid w:val="007F7E56"/>
    <w:rsid w:val="00800AFE"/>
    <w:rsid w:val="00801009"/>
    <w:rsid w:val="008028C4"/>
    <w:rsid w:val="00802D46"/>
    <w:rsid w:val="00802E25"/>
    <w:rsid w:val="00803AAC"/>
    <w:rsid w:val="00803CE7"/>
    <w:rsid w:val="00805297"/>
    <w:rsid w:val="008055CE"/>
    <w:rsid w:val="008059E0"/>
    <w:rsid w:val="00805B40"/>
    <w:rsid w:val="00805DDC"/>
    <w:rsid w:val="00805F26"/>
    <w:rsid w:val="0080750D"/>
    <w:rsid w:val="00807586"/>
    <w:rsid w:val="00812CAE"/>
    <w:rsid w:val="008149DD"/>
    <w:rsid w:val="00816310"/>
    <w:rsid w:val="00816333"/>
    <w:rsid w:val="00816926"/>
    <w:rsid w:val="00817162"/>
    <w:rsid w:val="008176D3"/>
    <w:rsid w:val="0082001F"/>
    <w:rsid w:val="00821623"/>
    <w:rsid w:val="00821634"/>
    <w:rsid w:val="0082306B"/>
    <w:rsid w:val="0082369D"/>
    <w:rsid w:val="00824217"/>
    <w:rsid w:val="008243B6"/>
    <w:rsid w:val="0082460A"/>
    <w:rsid w:val="00825409"/>
    <w:rsid w:val="00825842"/>
    <w:rsid w:val="008261C1"/>
    <w:rsid w:val="008265B0"/>
    <w:rsid w:val="00826E28"/>
    <w:rsid w:val="00827794"/>
    <w:rsid w:val="008278B4"/>
    <w:rsid w:val="00830E6C"/>
    <w:rsid w:val="00831449"/>
    <w:rsid w:val="00831DFD"/>
    <w:rsid w:val="008335E0"/>
    <w:rsid w:val="008339F7"/>
    <w:rsid w:val="00833BC2"/>
    <w:rsid w:val="0083421E"/>
    <w:rsid w:val="0083557E"/>
    <w:rsid w:val="00836063"/>
    <w:rsid w:val="00836342"/>
    <w:rsid w:val="008367CD"/>
    <w:rsid w:val="00836A55"/>
    <w:rsid w:val="00836F06"/>
    <w:rsid w:val="008372CD"/>
    <w:rsid w:val="0083747B"/>
    <w:rsid w:val="0083779C"/>
    <w:rsid w:val="00837AFD"/>
    <w:rsid w:val="00837FE7"/>
    <w:rsid w:val="00840A5D"/>
    <w:rsid w:val="0084117A"/>
    <w:rsid w:val="0084118A"/>
    <w:rsid w:val="00841D4F"/>
    <w:rsid w:val="00842B0F"/>
    <w:rsid w:val="00843BAF"/>
    <w:rsid w:val="008449BA"/>
    <w:rsid w:val="00844EB9"/>
    <w:rsid w:val="0084587F"/>
    <w:rsid w:val="00845D58"/>
    <w:rsid w:val="008468FF"/>
    <w:rsid w:val="0084697D"/>
    <w:rsid w:val="008506E5"/>
    <w:rsid w:val="0085144F"/>
    <w:rsid w:val="0085148B"/>
    <w:rsid w:val="008517FE"/>
    <w:rsid w:val="00851AAB"/>
    <w:rsid w:val="00851B2F"/>
    <w:rsid w:val="008524F4"/>
    <w:rsid w:val="00852672"/>
    <w:rsid w:val="00852B4E"/>
    <w:rsid w:val="00853A60"/>
    <w:rsid w:val="00853F2F"/>
    <w:rsid w:val="00854085"/>
    <w:rsid w:val="008545A2"/>
    <w:rsid w:val="00854F59"/>
    <w:rsid w:val="00855933"/>
    <w:rsid w:val="0085597C"/>
    <w:rsid w:val="00856801"/>
    <w:rsid w:val="00856C27"/>
    <w:rsid w:val="008573A9"/>
    <w:rsid w:val="0085774C"/>
    <w:rsid w:val="008607C7"/>
    <w:rsid w:val="008621B5"/>
    <w:rsid w:val="00863DEF"/>
    <w:rsid w:val="00864D7E"/>
    <w:rsid w:val="0086574D"/>
    <w:rsid w:val="00865DED"/>
    <w:rsid w:val="00866181"/>
    <w:rsid w:val="00866C93"/>
    <w:rsid w:val="00870231"/>
    <w:rsid w:val="00870394"/>
    <w:rsid w:val="0087288A"/>
    <w:rsid w:val="00873380"/>
    <w:rsid w:val="0087362A"/>
    <w:rsid w:val="00873EEE"/>
    <w:rsid w:val="00874D22"/>
    <w:rsid w:val="00875339"/>
    <w:rsid w:val="00875B9C"/>
    <w:rsid w:val="00876982"/>
    <w:rsid w:val="0087700D"/>
    <w:rsid w:val="0087705D"/>
    <w:rsid w:val="00880BAE"/>
    <w:rsid w:val="00882138"/>
    <w:rsid w:val="00882362"/>
    <w:rsid w:val="00884A6C"/>
    <w:rsid w:val="00884DA1"/>
    <w:rsid w:val="00885FC6"/>
    <w:rsid w:val="0088610C"/>
    <w:rsid w:val="008869B6"/>
    <w:rsid w:val="00887557"/>
    <w:rsid w:val="00891249"/>
    <w:rsid w:val="00892BD1"/>
    <w:rsid w:val="008930C0"/>
    <w:rsid w:val="00893707"/>
    <w:rsid w:val="00893B92"/>
    <w:rsid w:val="00893F0D"/>
    <w:rsid w:val="008948CB"/>
    <w:rsid w:val="008958D5"/>
    <w:rsid w:val="008960E0"/>
    <w:rsid w:val="00896100"/>
    <w:rsid w:val="00896146"/>
    <w:rsid w:val="008966E8"/>
    <w:rsid w:val="00896796"/>
    <w:rsid w:val="00896A67"/>
    <w:rsid w:val="00896E3A"/>
    <w:rsid w:val="008A0E96"/>
    <w:rsid w:val="008A1164"/>
    <w:rsid w:val="008A1927"/>
    <w:rsid w:val="008A26CE"/>
    <w:rsid w:val="008A2914"/>
    <w:rsid w:val="008A29F9"/>
    <w:rsid w:val="008A3274"/>
    <w:rsid w:val="008A3A38"/>
    <w:rsid w:val="008A3BE1"/>
    <w:rsid w:val="008A3E75"/>
    <w:rsid w:val="008A4988"/>
    <w:rsid w:val="008A51B1"/>
    <w:rsid w:val="008A52EE"/>
    <w:rsid w:val="008A535A"/>
    <w:rsid w:val="008A55D2"/>
    <w:rsid w:val="008A576C"/>
    <w:rsid w:val="008A6511"/>
    <w:rsid w:val="008A688D"/>
    <w:rsid w:val="008A6B6A"/>
    <w:rsid w:val="008A7CFF"/>
    <w:rsid w:val="008B0535"/>
    <w:rsid w:val="008B1052"/>
    <w:rsid w:val="008B29D8"/>
    <w:rsid w:val="008B2C4E"/>
    <w:rsid w:val="008B3416"/>
    <w:rsid w:val="008B3BD2"/>
    <w:rsid w:val="008B5600"/>
    <w:rsid w:val="008B5A69"/>
    <w:rsid w:val="008B758E"/>
    <w:rsid w:val="008B7A6A"/>
    <w:rsid w:val="008B7ED5"/>
    <w:rsid w:val="008C0795"/>
    <w:rsid w:val="008C144A"/>
    <w:rsid w:val="008C1714"/>
    <w:rsid w:val="008C1EF6"/>
    <w:rsid w:val="008C2732"/>
    <w:rsid w:val="008C3CAE"/>
    <w:rsid w:val="008C44B2"/>
    <w:rsid w:val="008C45A0"/>
    <w:rsid w:val="008C4F38"/>
    <w:rsid w:val="008C5480"/>
    <w:rsid w:val="008C5AD5"/>
    <w:rsid w:val="008C5B42"/>
    <w:rsid w:val="008C6334"/>
    <w:rsid w:val="008C67CA"/>
    <w:rsid w:val="008C6B3D"/>
    <w:rsid w:val="008C6C0A"/>
    <w:rsid w:val="008C7F59"/>
    <w:rsid w:val="008D03E0"/>
    <w:rsid w:val="008D053F"/>
    <w:rsid w:val="008D0C91"/>
    <w:rsid w:val="008D28BB"/>
    <w:rsid w:val="008D2C48"/>
    <w:rsid w:val="008D3751"/>
    <w:rsid w:val="008D3887"/>
    <w:rsid w:val="008D3C34"/>
    <w:rsid w:val="008D3F3C"/>
    <w:rsid w:val="008D402A"/>
    <w:rsid w:val="008D71D8"/>
    <w:rsid w:val="008E1B12"/>
    <w:rsid w:val="008E24A4"/>
    <w:rsid w:val="008E4D8E"/>
    <w:rsid w:val="008E5DB7"/>
    <w:rsid w:val="008E5F9E"/>
    <w:rsid w:val="008E625E"/>
    <w:rsid w:val="008E67BA"/>
    <w:rsid w:val="008E6837"/>
    <w:rsid w:val="008E7F10"/>
    <w:rsid w:val="008F0839"/>
    <w:rsid w:val="008F0CFF"/>
    <w:rsid w:val="008F2420"/>
    <w:rsid w:val="008F2534"/>
    <w:rsid w:val="008F3618"/>
    <w:rsid w:val="008F3D23"/>
    <w:rsid w:val="008F4122"/>
    <w:rsid w:val="008F4D0C"/>
    <w:rsid w:val="008F4EF3"/>
    <w:rsid w:val="008F531A"/>
    <w:rsid w:val="008F5EED"/>
    <w:rsid w:val="008F67FC"/>
    <w:rsid w:val="008F691B"/>
    <w:rsid w:val="008F70A1"/>
    <w:rsid w:val="008F715A"/>
    <w:rsid w:val="008F7D1A"/>
    <w:rsid w:val="0090084B"/>
    <w:rsid w:val="00900EAF"/>
    <w:rsid w:val="00900F9E"/>
    <w:rsid w:val="009012DA"/>
    <w:rsid w:val="00901A04"/>
    <w:rsid w:val="00902DF9"/>
    <w:rsid w:val="00903279"/>
    <w:rsid w:val="00906123"/>
    <w:rsid w:val="00906216"/>
    <w:rsid w:val="00906DAE"/>
    <w:rsid w:val="009078F9"/>
    <w:rsid w:val="00910382"/>
    <w:rsid w:val="00910A0A"/>
    <w:rsid w:val="00911132"/>
    <w:rsid w:val="00911E5A"/>
    <w:rsid w:val="0091323D"/>
    <w:rsid w:val="00916740"/>
    <w:rsid w:val="0091714C"/>
    <w:rsid w:val="009205B1"/>
    <w:rsid w:val="0092070D"/>
    <w:rsid w:val="00921A47"/>
    <w:rsid w:val="009227DE"/>
    <w:rsid w:val="0092287F"/>
    <w:rsid w:val="009228B4"/>
    <w:rsid w:val="00922984"/>
    <w:rsid w:val="009236C1"/>
    <w:rsid w:val="00924644"/>
    <w:rsid w:val="00926381"/>
    <w:rsid w:val="00926E3B"/>
    <w:rsid w:val="00927332"/>
    <w:rsid w:val="009302CE"/>
    <w:rsid w:val="009304F4"/>
    <w:rsid w:val="00930DED"/>
    <w:rsid w:val="00930E45"/>
    <w:rsid w:val="0093145C"/>
    <w:rsid w:val="00932290"/>
    <w:rsid w:val="00932657"/>
    <w:rsid w:val="00933A6F"/>
    <w:rsid w:val="00933F21"/>
    <w:rsid w:val="00934084"/>
    <w:rsid w:val="00934CD9"/>
    <w:rsid w:val="00935BA1"/>
    <w:rsid w:val="00935D68"/>
    <w:rsid w:val="0094037E"/>
    <w:rsid w:val="00941E25"/>
    <w:rsid w:val="009426D3"/>
    <w:rsid w:val="009436AC"/>
    <w:rsid w:val="00943A3A"/>
    <w:rsid w:val="00943AE2"/>
    <w:rsid w:val="00943AFE"/>
    <w:rsid w:val="009446A4"/>
    <w:rsid w:val="009459E1"/>
    <w:rsid w:val="00945CAE"/>
    <w:rsid w:val="00946D99"/>
    <w:rsid w:val="00947170"/>
    <w:rsid w:val="00947811"/>
    <w:rsid w:val="0095100E"/>
    <w:rsid w:val="009514BD"/>
    <w:rsid w:val="00951CAC"/>
    <w:rsid w:val="0095301E"/>
    <w:rsid w:val="0095467E"/>
    <w:rsid w:val="009551D1"/>
    <w:rsid w:val="0095615A"/>
    <w:rsid w:val="009561CF"/>
    <w:rsid w:val="009565BD"/>
    <w:rsid w:val="009571AA"/>
    <w:rsid w:val="00957F3F"/>
    <w:rsid w:val="00960137"/>
    <w:rsid w:val="009601B5"/>
    <w:rsid w:val="009602F4"/>
    <w:rsid w:val="00960CC7"/>
    <w:rsid w:val="009611D0"/>
    <w:rsid w:val="00961AB1"/>
    <w:rsid w:val="00961CE9"/>
    <w:rsid w:val="00962976"/>
    <w:rsid w:val="00962D04"/>
    <w:rsid w:val="00963C42"/>
    <w:rsid w:val="00965D85"/>
    <w:rsid w:val="00966470"/>
    <w:rsid w:val="009664D4"/>
    <w:rsid w:val="009665EC"/>
    <w:rsid w:val="0096677D"/>
    <w:rsid w:val="0096695A"/>
    <w:rsid w:val="00966A59"/>
    <w:rsid w:val="009674BC"/>
    <w:rsid w:val="009679EA"/>
    <w:rsid w:val="00967A72"/>
    <w:rsid w:val="0097010B"/>
    <w:rsid w:val="00971406"/>
    <w:rsid w:val="0097223F"/>
    <w:rsid w:val="00973293"/>
    <w:rsid w:val="00974D72"/>
    <w:rsid w:val="00974DA2"/>
    <w:rsid w:val="00975661"/>
    <w:rsid w:val="009767AB"/>
    <w:rsid w:val="00976F14"/>
    <w:rsid w:val="00977350"/>
    <w:rsid w:val="00977DCB"/>
    <w:rsid w:val="009818DD"/>
    <w:rsid w:val="009819F6"/>
    <w:rsid w:val="00981FB6"/>
    <w:rsid w:val="0098351B"/>
    <w:rsid w:val="0098352B"/>
    <w:rsid w:val="00983E03"/>
    <w:rsid w:val="00984A1A"/>
    <w:rsid w:val="00985CBC"/>
    <w:rsid w:val="00985F74"/>
    <w:rsid w:val="00986D6E"/>
    <w:rsid w:val="009905ED"/>
    <w:rsid w:val="0099187E"/>
    <w:rsid w:val="00991BA8"/>
    <w:rsid w:val="009924A2"/>
    <w:rsid w:val="009929F8"/>
    <w:rsid w:val="00992EE3"/>
    <w:rsid w:val="00993AC8"/>
    <w:rsid w:val="009947B7"/>
    <w:rsid w:val="00994D99"/>
    <w:rsid w:val="00995117"/>
    <w:rsid w:val="00996C22"/>
    <w:rsid w:val="00997A42"/>
    <w:rsid w:val="009A0191"/>
    <w:rsid w:val="009A030F"/>
    <w:rsid w:val="009A1515"/>
    <w:rsid w:val="009A3241"/>
    <w:rsid w:val="009A3B02"/>
    <w:rsid w:val="009A4C2A"/>
    <w:rsid w:val="009A504B"/>
    <w:rsid w:val="009A6A86"/>
    <w:rsid w:val="009B1CAC"/>
    <w:rsid w:val="009B1D71"/>
    <w:rsid w:val="009B2861"/>
    <w:rsid w:val="009B30E3"/>
    <w:rsid w:val="009B48E4"/>
    <w:rsid w:val="009B5636"/>
    <w:rsid w:val="009B5779"/>
    <w:rsid w:val="009B7F9E"/>
    <w:rsid w:val="009C0094"/>
    <w:rsid w:val="009C0ECD"/>
    <w:rsid w:val="009C18B7"/>
    <w:rsid w:val="009C1978"/>
    <w:rsid w:val="009C206C"/>
    <w:rsid w:val="009C242B"/>
    <w:rsid w:val="009C414C"/>
    <w:rsid w:val="009C41F2"/>
    <w:rsid w:val="009C4ABC"/>
    <w:rsid w:val="009C4C5F"/>
    <w:rsid w:val="009C4CAB"/>
    <w:rsid w:val="009C5426"/>
    <w:rsid w:val="009C6534"/>
    <w:rsid w:val="009C6BDA"/>
    <w:rsid w:val="009D07C6"/>
    <w:rsid w:val="009D0ACF"/>
    <w:rsid w:val="009D1F9E"/>
    <w:rsid w:val="009D40C5"/>
    <w:rsid w:val="009D4293"/>
    <w:rsid w:val="009D42C5"/>
    <w:rsid w:val="009D4F62"/>
    <w:rsid w:val="009D509A"/>
    <w:rsid w:val="009D53E4"/>
    <w:rsid w:val="009D67AB"/>
    <w:rsid w:val="009D7A6D"/>
    <w:rsid w:val="009E0039"/>
    <w:rsid w:val="009E0798"/>
    <w:rsid w:val="009E1153"/>
    <w:rsid w:val="009E2FDC"/>
    <w:rsid w:val="009E3628"/>
    <w:rsid w:val="009E3854"/>
    <w:rsid w:val="009E4592"/>
    <w:rsid w:val="009E60E0"/>
    <w:rsid w:val="009F086D"/>
    <w:rsid w:val="009F152C"/>
    <w:rsid w:val="009F196F"/>
    <w:rsid w:val="009F1D3D"/>
    <w:rsid w:val="009F2352"/>
    <w:rsid w:val="009F4160"/>
    <w:rsid w:val="009F5CDD"/>
    <w:rsid w:val="009F652E"/>
    <w:rsid w:val="009F7432"/>
    <w:rsid w:val="009F7EF4"/>
    <w:rsid w:val="00A00250"/>
    <w:rsid w:val="00A01563"/>
    <w:rsid w:val="00A027C4"/>
    <w:rsid w:val="00A030A5"/>
    <w:rsid w:val="00A0428C"/>
    <w:rsid w:val="00A045FF"/>
    <w:rsid w:val="00A04A31"/>
    <w:rsid w:val="00A04BB2"/>
    <w:rsid w:val="00A0500A"/>
    <w:rsid w:val="00A0517F"/>
    <w:rsid w:val="00A0561C"/>
    <w:rsid w:val="00A05833"/>
    <w:rsid w:val="00A05FAC"/>
    <w:rsid w:val="00A0686E"/>
    <w:rsid w:val="00A07159"/>
    <w:rsid w:val="00A072EA"/>
    <w:rsid w:val="00A07E2F"/>
    <w:rsid w:val="00A07F6D"/>
    <w:rsid w:val="00A10043"/>
    <w:rsid w:val="00A12C46"/>
    <w:rsid w:val="00A14A69"/>
    <w:rsid w:val="00A1537D"/>
    <w:rsid w:val="00A167D0"/>
    <w:rsid w:val="00A17595"/>
    <w:rsid w:val="00A17744"/>
    <w:rsid w:val="00A17A1B"/>
    <w:rsid w:val="00A20C20"/>
    <w:rsid w:val="00A215F9"/>
    <w:rsid w:val="00A21711"/>
    <w:rsid w:val="00A2183D"/>
    <w:rsid w:val="00A22A3E"/>
    <w:rsid w:val="00A23254"/>
    <w:rsid w:val="00A2419A"/>
    <w:rsid w:val="00A2569D"/>
    <w:rsid w:val="00A257E5"/>
    <w:rsid w:val="00A2607E"/>
    <w:rsid w:val="00A26238"/>
    <w:rsid w:val="00A26384"/>
    <w:rsid w:val="00A266CD"/>
    <w:rsid w:val="00A26BEF"/>
    <w:rsid w:val="00A26E90"/>
    <w:rsid w:val="00A30ECE"/>
    <w:rsid w:val="00A31004"/>
    <w:rsid w:val="00A335CF"/>
    <w:rsid w:val="00A33B3F"/>
    <w:rsid w:val="00A33D3A"/>
    <w:rsid w:val="00A34169"/>
    <w:rsid w:val="00A349A8"/>
    <w:rsid w:val="00A35606"/>
    <w:rsid w:val="00A35EB9"/>
    <w:rsid w:val="00A3706B"/>
    <w:rsid w:val="00A37F10"/>
    <w:rsid w:val="00A40B2C"/>
    <w:rsid w:val="00A40F56"/>
    <w:rsid w:val="00A40F72"/>
    <w:rsid w:val="00A4160A"/>
    <w:rsid w:val="00A4185A"/>
    <w:rsid w:val="00A420DB"/>
    <w:rsid w:val="00A427B6"/>
    <w:rsid w:val="00A4495E"/>
    <w:rsid w:val="00A44AA1"/>
    <w:rsid w:val="00A45318"/>
    <w:rsid w:val="00A46DBD"/>
    <w:rsid w:val="00A47A60"/>
    <w:rsid w:val="00A47BC4"/>
    <w:rsid w:val="00A50124"/>
    <w:rsid w:val="00A50AAD"/>
    <w:rsid w:val="00A5138D"/>
    <w:rsid w:val="00A515E7"/>
    <w:rsid w:val="00A522CD"/>
    <w:rsid w:val="00A52984"/>
    <w:rsid w:val="00A54409"/>
    <w:rsid w:val="00A56AFC"/>
    <w:rsid w:val="00A56BF1"/>
    <w:rsid w:val="00A56D52"/>
    <w:rsid w:val="00A56E8E"/>
    <w:rsid w:val="00A5707A"/>
    <w:rsid w:val="00A5769A"/>
    <w:rsid w:val="00A57B49"/>
    <w:rsid w:val="00A57B5F"/>
    <w:rsid w:val="00A57F90"/>
    <w:rsid w:val="00A61D21"/>
    <w:rsid w:val="00A6330F"/>
    <w:rsid w:val="00A63A64"/>
    <w:rsid w:val="00A64406"/>
    <w:rsid w:val="00A6528C"/>
    <w:rsid w:val="00A65CC7"/>
    <w:rsid w:val="00A65DF3"/>
    <w:rsid w:val="00A6777A"/>
    <w:rsid w:val="00A701D9"/>
    <w:rsid w:val="00A703EF"/>
    <w:rsid w:val="00A70AB3"/>
    <w:rsid w:val="00A7132B"/>
    <w:rsid w:val="00A71973"/>
    <w:rsid w:val="00A7250E"/>
    <w:rsid w:val="00A72DC3"/>
    <w:rsid w:val="00A7303F"/>
    <w:rsid w:val="00A739F3"/>
    <w:rsid w:val="00A75BC5"/>
    <w:rsid w:val="00A773F3"/>
    <w:rsid w:val="00A7746B"/>
    <w:rsid w:val="00A80E93"/>
    <w:rsid w:val="00A80FAE"/>
    <w:rsid w:val="00A811BF"/>
    <w:rsid w:val="00A815A0"/>
    <w:rsid w:val="00A82C69"/>
    <w:rsid w:val="00A83673"/>
    <w:rsid w:val="00A855AE"/>
    <w:rsid w:val="00A860FB"/>
    <w:rsid w:val="00A86990"/>
    <w:rsid w:val="00A86D52"/>
    <w:rsid w:val="00A904E3"/>
    <w:rsid w:val="00A90533"/>
    <w:rsid w:val="00A90C49"/>
    <w:rsid w:val="00A91923"/>
    <w:rsid w:val="00A91D90"/>
    <w:rsid w:val="00A92311"/>
    <w:rsid w:val="00A92345"/>
    <w:rsid w:val="00A9239B"/>
    <w:rsid w:val="00A923A5"/>
    <w:rsid w:val="00A927D4"/>
    <w:rsid w:val="00A934B7"/>
    <w:rsid w:val="00A93B7A"/>
    <w:rsid w:val="00A94F4F"/>
    <w:rsid w:val="00A96365"/>
    <w:rsid w:val="00A96DF4"/>
    <w:rsid w:val="00A970B6"/>
    <w:rsid w:val="00AA01E6"/>
    <w:rsid w:val="00AA08E7"/>
    <w:rsid w:val="00AA11FA"/>
    <w:rsid w:val="00AA16E7"/>
    <w:rsid w:val="00AA1812"/>
    <w:rsid w:val="00AA1CAF"/>
    <w:rsid w:val="00AA1E46"/>
    <w:rsid w:val="00AA28A7"/>
    <w:rsid w:val="00AA4170"/>
    <w:rsid w:val="00AA4D13"/>
    <w:rsid w:val="00AA5E88"/>
    <w:rsid w:val="00AA6594"/>
    <w:rsid w:val="00AA6637"/>
    <w:rsid w:val="00AA7A98"/>
    <w:rsid w:val="00AB09AC"/>
    <w:rsid w:val="00AB12F6"/>
    <w:rsid w:val="00AB357F"/>
    <w:rsid w:val="00AB3E0A"/>
    <w:rsid w:val="00AB450F"/>
    <w:rsid w:val="00AB48B8"/>
    <w:rsid w:val="00AB505B"/>
    <w:rsid w:val="00AB5987"/>
    <w:rsid w:val="00AB62E8"/>
    <w:rsid w:val="00AB6869"/>
    <w:rsid w:val="00AB6A65"/>
    <w:rsid w:val="00AB7585"/>
    <w:rsid w:val="00AB75AB"/>
    <w:rsid w:val="00AC007A"/>
    <w:rsid w:val="00AC1A70"/>
    <w:rsid w:val="00AC1B22"/>
    <w:rsid w:val="00AC1F14"/>
    <w:rsid w:val="00AC24E3"/>
    <w:rsid w:val="00AC26C5"/>
    <w:rsid w:val="00AC35C9"/>
    <w:rsid w:val="00AC36DD"/>
    <w:rsid w:val="00AC3BDE"/>
    <w:rsid w:val="00AC41BA"/>
    <w:rsid w:val="00AC4427"/>
    <w:rsid w:val="00AC475C"/>
    <w:rsid w:val="00AC4CE7"/>
    <w:rsid w:val="00AC4D6E"/>
    <w:rsid w:val="00AC554F"/>
    <w:rsid w:val="00AC6195"/>
    <w:rsid w:val="00AC620E"/>
    <w:rsid w:val="00AC6263"/>
    <w:rsid w:val="00AC7C67"/>
    <w:rsid w:val="00AD1828"/>
    <w:rsid w:val="00AD2254"/>
    <w:rsid w:val="00AD3B4A"/>
    <w:rsid w:val="00AD3F6D"/>
    <w:rsid w:val="00AD4149"/>
    <w:rsid w:val="00AD4C89"/>
    <w:rsid w:val="00AD5AFA"/>
    <w:rsid w:val="00AD68EF"/>
    <w:rsid w:val="00AD69A2"/>
    <w:rsid w:val="00AE008B"/>
    <w:rsid w:val="00AE0306"/>
    <w:rsid w:val="00AE2BA2"/>
    <w:rsid w:val="00AE3085"/>
    <w:rsid w:val="00AE30BD"/>
    <w:rsid w:val="00AE3B96"/>
    <w:rsid w:val="00AE5452"/>
    <w:rsid w:val="00AE57B9"/>
    <w:rsid w:val="00AE5944"/>
    <w:rsid w:val="00AE5AAD"/>
    <w:rsid w:val="00AE5AC0"/>
    <w:rsid w:val="00AE5D4F"/>
    <w:rsid w:val="00AE6B28"/>
    <w:rsid w:val="00AE77D1"/>
    <w:rsid w:val="00AE7DC8"/>
    <w:rsid w:val="00AE7EB8"/>
    <w:rsid w:val="00AF0590"/>
    <w:rsid w:val="00AF1562"/>
    <w:rsid w:val="00AF1644"/>
    <w:rsid w:val="00AF281C"/>
    <w:rsid w:val="00AF35F2"/>
    <w:rsid w:val="00AF41E3"/>
    <w:rsid w:val="00AF42B4"/>
    <w:rsid w:val="00AF434D"/>
    <w:rsid w:val="00AF4869"/>
    <w:rsid w:val="00AF4A4B"/>
    <w:rsid w:val="00AF4F0E"/>
    <w:rsid w:val="00AF6E86"/>
    <w:rsid w:val="00AF74A1"/>
    <w:rsid w:val="00AF7F82"/>
    <w:rsid w:val="00B00BCD"/>
    <w:rsid w:val="00B01473"/>
    <w:rsid w:val="00B02165"/>
    <w:rsid w:val="00B028A1"/>
    <w:rsid w:val="00B033A6"/>
    <w:rsid w:val="00B03640"/>
    <w:rsid w:val="00B03816"/>
    <w:rsid w:val="00B03D67"/>
    <w:rsid w:val="00B04745"/>
    <w:rsid w:val="00B05A8C"/>
    <w:rsid w:val="00B10BCB"/>
    <w:rsid w:val="00B10D14"/>
    <w:rsid w:val="00B11552"/>
    <w:rsid w:val="00B115A8"/>
    <w:rsid w:val="00B115ED"/>
    <w:rsid w:val="00B119B1"/>
    <w:rsid w:val="00B11DCC"/>
    <w:rsid w:val="00B11F7E"/>
    <w:rsid w:val="00B12219"/>
    <w:rsid w:val="00B12270"/>
    <w:rsid w:val="00B12EE7"/>
    <w:rsid w:val="00B1325F"/>
    <w:rsid w:val="00B13BDD"/>
    <w:rsid w:val="00B13EA5"/>
    <w:rsid w:val="00B143EC"/>
    <w:rsid w:val="00B1452D"/>
    <w:rsid w:val="00B14FB1"/>
    <w:rsid w:val="00B15111"/>
    <w:rsid w:val="00B153A0"/>
    <w:rsid w:val="00B16485"/>
    <w:rsid w:val="00B178D6"/>
    <w:rsid w:val="00B21213"/>
    <w:rsid w:val="00B21378"/>
    <w:rsid w:val="00B228B8"/>
    <w:rsid w:val="00B2693A"/>
    <w:rsid w:val="00B30024"/>
    <w:rsid w:val="00B301EF"/>
    <w:rsid w:val="00B311D2"/>
    <w:rsid w:val="00B31918"/>
    <w:rsid w:val="00B31AFA"/>
    <w:rsid w:val="00B31DC6"/>
    <w:rsid w:val="00B332F1"/>
    <w:rsid w:val="00B33825"/>
    <w:rsid w:val="00B343AA"/>
    <w:rsid w:val="00B353E2"/>
    <w:rsid w:val="00B354AA"/>
    <w:rsid w:val="00B35B6F"/>
    <w:rsid w:val="00B36E19"/>
    <w:rsid w:val="00B3735B"/>
    <w:rsid w:val="00B37C12"/>
    <w:rsid w:val="00B37F88"/>
    <w:rsid w:val="00B401B7"/>
    <w:rsid w:val="00B40A84"/>
    <w:rsid w:val="00B40B2D"/>
    <w:rsid w:val="00B40F47"/>
    <w:rsid w:val="00B428EB"/>
    <w:rsid w:val="00B4299A"/>
    <w:rsid w:val="00B42B0A"/>
    <w:rsid w:val="00B4358E"/>
    <w:rsid w:val="00B43597"/>
    <w:rsid w:val="00B45156"/>
    <w:rsid w:val="00B45384"/>
    <w:rsid w:val="00B473B7"/>
    <w:rsid w:val="00B47932"/>
    <w:rsid w:val="00B47CD4"/>
    <w:rsid w:val="00B50B8E"/>
    <w:rsid w:val="00B513B0"/>
    <w:rsid w:val="00B51B47"/>
    <w:rsid w:val="00B51DB1"/>
    <w:rsid w:val="00B520E6"/>
    <w:rsid w:val="00B52CE1"/>
    <w:rsid w:val="00B53300"/>
    <w:rsid w:val="00B541D0"/>
    <w:rsid w:val="00B5480B"/>
    <w:rsid w:val="00B555B2"/>
    <w:rsid w:val="00B5612A"/>
    <w:rsid w:val="00B56A28"/>
    <w:rsid w:val="00B56A5F"/>
    <w:rsid w:val="00B56B6F"/>
    <w:rsid w:val="00B5727B"/>
    <w:rsid w:val="00B579D1"/>
    <w:rsid w:val="00B57C15"/>
    <w:rsid w:val="00B6111C"/>
    <w:rsid w:val="00B614BF"/>
    <w:rsid w:val="00B6249F"/>
    <w:rsid w:val="00B625DD"/>
    <w:rsid w:val="00B6311A"/>
    <w:rsid w:val="00B63CBD"/>
    <w:rsid w:val="00B63D98"/>
    <w:rsid w:val="00B6403A"/>
    <w:rsid w:val="00B6492A"/>
    <w:rsid w:val="00B64CCE"/>
    <w:rsid w:val="00B64DAE"/>
    <w:rsid w:val="00B6537A"/>
    <w:rsid w:val="00B654F6"/>
    <w:rsid w:val="00B65529"/>
    <w:rsid w:val="00B6599B"/>
    <w:rsid w:val="00B6634F"/>
    <w:rsid w:val="00B67A60"/>
    <w:rsid w:val="00B712CB"/>
    <w:rsid w:val="00B72443"/>
    <w:rsid w:val="00B732BB"/>
    <w:rsid w:val="00B73BAB"/>
    <w:rsid w:val="00B73BDD"/>
    <w:rsid w:val="00B73DBD"/>
    <w:rsid w:val="00B744BB"/>
    <w:rsid w:val="00B74A93"/>
    <w:rsid w:val="00B759EA"/>
    <w:rsid w:val="00B75D27"/>
    <w:rsid w:val="00B761E7"/>
    <w:rsid w:val="00B7629D"/>
    <w:rsid w:val="00B76F4F"/>
    <w:rsid w:val="00B7722E"/>
    <w:rsid w:val="00B77E3D"/>
    <w:rsid w:val="00B77E5E"/>
    <w:rsid w:val="00B801A4"/>
    <w:rsid w:val="00B80FB7"/>
    <w:rsid w:val="00B81F17"/>
    <w:rsid w:val="00B82271"/>
    <w:rsid w:val="00B82431"/>
    <w:rsid w:val="00B82822"/>
    <w:rsid w:val="00B82DF6"/>
    <w:rsid w:val="00B82F28"/>
    <w:rsid w:val="00B8365B"/>
    <w:rsid w:val="00B838A1"/>
    <w:rsid w:val="00B84F09"/>
    <w:rsid w:val="00B85038"/>
    <w:rsid w:val="00B85E9C"/>
    <w:rsid w:val="00B86855"/>
    <w:rsid w:val="00B877C5"/>
    <w:rsid w:val="00B8791A"/>
    <w:rsid w:val="00B90089"/>
    <w:rsid w:val="00B905C9"/>
    <w:rsid w:val="00B90DE1"/>
    <w:rsid w:val="00B910C4"/>
    <w:rsid w:val="00B93386"/>
    <w:rsid w:val="00B93CFE"/>
    <w:rsid w:val="00B94803"/>
    <w:rsid w:val="00B94BBD"/>
    <w:rsid w:val="00B9509B"/>
    <w:rsid w:val="00B953EE"/>
    <w:rsid w:val="00B95535"/>
    <w:rsid w:val="00B95E7E"/>
    <w:rsid w:val="00B97061"/>
    <w:rsid w:val="00B97331"/>
    <w:rsid w:val="00B97C85"/>
    <w:rsid w:val="00BA1B43"/>
    <w:rsid w:val="00BA1D99"/>
    <w:rsid w:val="00BA3080"/>
    <w:rsid w:val="00BA3461"/>
    <w:rsid w:val="00BA3C02"/>
    <w:rsid w:val="00BA47B5"/>
    <w:rsid w:val="00BA51E6"/>
    <w:rsid w:val="00BA583B"/>
    <w:rsid w:val="00BA595C"/>
    <w:rsid w:val="00BA5BDB"/>
    <w:rsid w:val="00BA620B"/>
    <w:rsid w:val="00BA6EA6"/>
    <w:rsid w:val="00BB008D"/>
    <w:rsid w:val="00BB0FCA"/>
    <w:rsid w:val="00BB152B"/>
    <w:rsid w:val="00BB16DB"/>
    <w:rsid w:val="00BB1B4A"/>
    <w:rsid w:val="00BB22C1"/>
    <w:rsid w:val="00BB2CEF"/>
    <w:rsid w:val="00BB355D"/>
    <w:rsid w:val="00BB4C04"/>
    <w:rsid w:val="00BB70AF"/>
    <w:rsid w:val="00BB7203"/>
    <w:rsid w:val="00BB7598"/>
    <w:rsid w:val="00BB7A2C"/>
    <w:rsid w:val="00BC0A3D"/>
    <w:rsid w:val="00BC1896"/>
    <w:rsid w:val="00BC2198"/>
    <w:rsid w:val="00BC4107"/>
    <w:rsid w:val="00BC4824"/>
    <w:rsid w:val="00BC4A77"/>
    <w:rsid w:val="00BC5276"/>
    <w:rsid w:val="00BC619C"/>
    <w:rsid w:val="00BC64C6"/>
    <w:rsid w:val="00BC727B"/>
    <w:rsid w:val="00BC79B0"/>
    <w:rsid w:val="00BD031A"/>
    <w:rsid w:val="00BD10CB"/>
    <w:rsid w:val="00BD1C10"/>
    <w:rsid w:val="00BD1E53"/>
    <w:rsid w:val="00BD33C2"/>
    <w:rsid w:val="00BD3F38"/>
    <w:rsid w:val="00BD4289"/>
    <w:rsid w:val="00BD4387"/>
    <w:rsid w:val="00BD44F6"/>
    <w:rsid w:val="00BD45AC"/>
    <w:rsid w:val="00BD4D6E"/>
    <w:rsid w:val="00BD4E29"/>
    <w:rsid w:val="00BD4F66"/>
    <w:rsid w:val="00BD517F"/>
    <w:rsid w:val="00BD6155"/>
    <w:rsid w:val="00BE0A6A"/>
    <w:rsid w:val="00BE0DF1"/>
    <w:rsid w:val="00BE1DD5"/>
    <w:rsid w:val="00BE1E5E"/>
    <w:rsid w:val="00BE2C34"/>
    <w:rsid w:val="00BE3579"/>
    <w:rsid w:val="00BE5060"/>
    <w:rsid w:val="00BE53EE"/>
    <w:rsid w:val="00BE5C14"/>
    <w:rsid w:val="00BE6296"/>
    <w:rsid w:val="00BE6FA8"/>
    <w:rsid w:val="00BE7EB0"/>
    <w:rsid w:val="00BE7F19"/>
    <w:rsid w:val="00BF0F4B"/>
    <w:rsid w:val="00BF1236"/>
    <w:rsid w:val="00BF17F1"/>
    <w:rsid w:val="00BF1C09"/>
    <w:rsid w:val="00BF20A5"/>
    <w:rsid w:val="00BF2301"/>
    <w:rsid w:val="00BF279C"/>
    <w:rsid w:val="00BF2D28"/>
    <w:rsid w:val="00BF401A"/>
    <w:rsid w:val="00BF47E9"/>
    <w:rsid w:val="00BF52CB"/>
    <w:rsid w:val="00BF53EC"/>
    <w:rsid w:val="00BF5937"/>
    <w:rsid w:val="00BF59E6"/>
    <w:rsid w:val="00BF5EB9"/>
    <w:rsid w:val="00BF6434"/>
    <w:rsid w:val="00BF73BE"/>
    <w:rsid w:val="00BF7DA2"/>
    <w:rsid w:val="00BF7EC1"/>
    <w:rsid w:val="00C000B9"/>
    <w:rsid w:val="00C004EB"/>
    <w:rsid w:val="00C00920"/>
    <w:rsid w:val="00C00F18"/>
    <w:rsid w:val="00C02873"/>
    <w:rsid w:val="00C03270"/>
    <w:rsid w:val="00C03F54"/>
    <w:rsid w:val="00C04FDB"/>
    <w:rsid w:val="00C069CE"/>
    <w:rsid w:val="00C07044"/>
    <w:rsid w:val="00C074BE"/>
    <w:rsid w:val="00C07D43"/>
    <w:rsid w:val="00C07F2B"/>
    <w:rsid w:val="00C10C04"/>
    <w:rsid w:val="00C11DF5"/>
    <w:rsid w:val="00C11F82"/>
    <w:rsid w:val="00C122AC"/>
    <w:rsid w:val="00C12301"/>
    <w:rsid w:val="00C12EC7"/>
    <w:rsid w:val="00C1467D"/>
    <w:rsid w:val="00C1479D"/>
    <w:rsid w:val="00C14A75"/>
    <w:rsid w:val="00C14E35"/>
    <w:rsid w:val="00C15D07"/>
    <w:rsid w:val="00C16420"/>
    <w:rsid w:val="00C166F6"/>
    <w:rsid w:val="00C170BC"/>
    <w:rsid w:val="00C17DA2"/>
    <w:rsid w:val="00C21BC7"/>
    <w:rsid w:val="00C2285E"/>
    <w:rsid w:val="00C22F8A"/>
    <w:rsid w:val="00C246F7"/>
    <w:rsid w:val="00C25569"/>
    <w:rsid w:val="00C26560"/>
    <w:rsid w:val="00C26EC2"/>
    <w:rsid w:val="00C272C8"/>
    <w:rsid w:val="00C27612"/>
    <w:rsid w:val="00C30970"/>
    <w:rsid w:val="00C313AF"/>
    <w:rsid w:val="00C31AD1"/>
    <w:rsid w:val="00C32016"/>
    <w:rsid w:val="00C324FA"/>
    <w:rsid w:val="00C32BFC"/>
    <w:rsid w:val="00C333F6"/>
    <w:rsid w:val="00C34093"/>
    <w:rsid w:val="00C3751A"/>
    <w:rsid w:val="00C3780E"/>
    <w:rsid w:val="00C37EDB"/>
    <w:rsid w:val="00C41A46"/>
    <w:rsid w:val="00C41C77"/>
    <w:rsid w:val="00C41DDC"/>
    <w:rsid w:val="00C42C8D"/>
    <w:rsid w:val="00C42CBC"/>
    <w:rsid w:val="00C445D1"/>
    <w:rsid w:val="00C45331"/>
    <w:rsid w:val="00C46467"/>
    <w:rsid w:val="00C47581"/>
    <w:rsid w:val="00C518E1"/>
    <w:rsid w:val="00C51B3B"/>
    <w:rsid w:val="00C526FC"/>
    <w:rsid w:val="00C5298C"/>
    <w:rsid w:val="00C5414A"/>
    <w:rsid w:val="00C552A0"/>
    <w:rsid w:val="00C5613D"/>
    <w:rsid w:val="00C575EE"/>
    <w:rsid w:val="00C57F39"/>
    <w:rsid w:val="00C6083F"/>
    <w:rsid w:val="00C6095F"/>
    <w:rsid w:val="00C61B11"/>
    <w:rsid w:val="00C6298F"/>
    <w:rsid w:val="00C62B17"/>
    <w:rsid w:val="00C6394A"/>
    <w:rsid w:val="00C645D1"/>
    <w:rsid w:val="00C64A6A"/>
    <w:rsid w:val="00C64FDC"/>
    <w:rsid w:val="00C65301"/>
    <w:rsid w:val="00C66388"/>
    <w:rsid w:val="00C6783E"/>
    <w:rsid w:val="00C707A1"/>
    <w:rsid w:val="00C707B8"/>
    <w:rsid w:val="00C7101E"/>
    <w:rsid w:val="00C71876"/>
    <w:rsid w:val="00C73384"/>
    <w:rsid w:val="00C73FD1"/>
    <w:rsid w:val="00C75653"/>
    <w:rsid w:val="00C76878"/>
    <w:rsid w:val="00C7774F"/>
    <w:rsid w:val="00C77EF9"/>
    <w:rsid w:val="00C8029B"/>
    <w:rsid w:val="00C80306"/>
    <w:rsid w:val="00C81178"/>
    <w:rsid w:val="00C843D5"/>
    <w:rsid w:val="00C84F35"/>
    <w:rsid w:val="00C85A2F"/>
    <w:rsid w:val="00C867EE"/>
    <w:rsid w:val="00C8741D"/>
    <w:rsid w:val="00C876A6"/>
    <w:rsid w:val="00C8799E"/>
    <w:rsid w:val="00C908A5"/>
    <w:rsid w:val="00C9173C"/>
    <w:rsid w:val="00C92BAD"/>
    <w:rsid w:val="00C93511"/>
    <w:rsid w:val="00C9359C"/>
    <w:rsid w:val="00C94138"/>
    <w:rsid w:val="00C9634B"/>
    <w:rsid w:val="00C9672B"/>
    <w:rsid w:val="00C96BD8"/>
    <w:rsid w:val="00C97121"/>
    <w:rsid w:val="00CA02E8"/>
    <w:rsid w:val="00CA2F57"/>
    <w:rsid w:val="00CA3587"/>
    <w:rsid w:val="00CA4309"/>
    <w:rsid w:val="00CA4F18"/>
    <w:rsid w:val="00CA5B7E"/>
    <w:rsid w:val="00CA6E0C"/>
    <w:rsid w:val="00CA7465"/>
    <w:rsid w:val="00CA7708"/>
    <w:rsid w:val="00CB2D01"/>
    <w:rsid w:val="00CB30DF"/>
    <w:rsid w:val="00CB3952"/>
    <w:rsid w:val="00CB3EE5"/>
    <w:rsid w:val="00CB3F1E"/>
    <w:rsid w:val="00CB443D"/>
    <w:rsid w:val="00CB5544"/>
    <w:rsid w:val="00CB642D"/>
    <w:rsid w:val="00CC018B"/>
    <w:rsid w:val="00CC036D"/>
    <w:rsid w:val="00CC091E"/>
    <w:rsid w:val="00CC0B17"/>
    <w:rsid w:val="00CC0E0D"/>
    <w:rsid w:val="00CC151B"/>
    <w:rsid w:val="00CC2243"/>
    <w:rsid w:val="00CC2DFB"/>
    <w:rsid w:val="00CC2F3F"/>
    <w:rsid w:val="00CC453A"/>
    <w:rsid w:val="00CC4CE8"/>
    <w:rsid w:val="00CC5753"/>
    <w:rsid w:val="00CC5AB8"/>
    <w:rsid w:val="00CC5F3A"/>
    <w:rsid w:val="00CC63EE"/>
    <w:rsid w:val="00CC702D"/>
    <w:rsid w:val="00CC7718"/>
    <w:rsid w:val="00CD015D"/>
    <w:rsid w:val="00CD07C1"/>
    <w:rsid w:val="00CD2205"/>
    <w:rsid w:val="00CD23CD"/>
    <w:rsid w:val="00CD267F"/>
    <w:rsid w:val="00CD3053"/>
    <w:rsid w:val="00CD3814"/>
    <w:rsid w:val="00CD468A"/>
    <w:rsid w:val="00CD4FAD"/>
    <w:rsid w:val="00CD54A7"/>
    <w:rsid w:val="00CD55BE"/>
    <w:rsid w:val="00CD60E1"/>
    <w:rsid w:val="00CD698B"/>
    <w:rsid w:val="00CD6ED4"/>
    <w:rsid w:val="00CD6F12"/>
    <w:rsid w:val="00CD76AD"/>
    <w:rsid w:val="00CE0105"/>
    <w:rsid w:val="00CE0457"/>
    <w:rsid w:val="00CE12ED"/>
    <w:rsid w:val="00CE16BC"/>
    <w:rsid w:val="00CE1F8E"/>
    <w:rsid w:val="00CE216C"/>
    <w:rsid w:val="00CE32C2"/>
    <w:rsid w:val="00CE5429"/>
    <w:rsid w:val="00CE5B50"/>
    <w:rsid w:val="00CE640E"/>
    <w:rsid w:val="00CE66B9"/>
    <w:rsid w:val="00CE7806"/>
    <w:rsid w:val="00CE78FA"/>
    <w:rsid w:val="00CE7D33"/>
    <w:rsid w:val="00CF0270"/>
    <w:rsid w:val="00CF05F8"/>
    <w:rsid w:val="00CF0CC3"/>
    <w:rsid w:val="00CF13D4"/>
    <w:rsid w:val="00CF1645"/>
    <w:rsid w:val="00CF1C0B"/>
    <w:rsid w:val="00CF2222"/>
    <w:rsid w:val="00CF4342"/>
    <w:rsid w:val="00CF51D1"/>
    <w:rsid w:val="00CF533A"/>
    <w:rsid w:val="00CF61B2"/>
    <w:rsid w:val="00CF6DB4"/>
    <w:rsid w:val="00CF79E1"/>
    <w:rsid w:val="00D01922"/>
    <w:rsid w:val="00D01B26"/>
    <w:rsid w:val="00D01D9C"/>
    <w:rsid w:val="00D03758"/>
    <w:rsid w:val="00D03B4A"/>
    <w:rsid w:val="00D0423B"/>
    <w:rsid w:val="00D04B52"/>
    <w:rsid w:val="00D065A1"/>
    <w:rsid w:val="00D07033"/>
    <w:rsid w:val="00D075D4"/>
    <w:rsid w:val="00D077B6"/>
    <w:rsid w:val="00D07A08"/>
    <w:rsid w:val="00D11C4D"/>
    <w:rsid w:val="00D123CB"/>
    <w:rsid w:val="00D1299D"/>
    <w:rsid w:val="00D1351A"/>
    <w:rsid w:val="00D13541"/>
    <w:rsid w:val="00D13B0A"/>
    <w:rsid w:val="00D13C32"/>
    <w:rsid w:val="00D14A9D"/>
    <w:rsid w:val="00D14D0B"/>
    <w:rsid w:val="00D14DB7"/>
    <w:rsid w:val="00D15107"/>
    <w:rsid w:val="00D16BBF"/>
    <w:rsid w:val="00D177A6"/>
    <w:rsid w:val="00D2025B"/>
    <w:rsid w:val="00D20381"/>
    <w:rsid w:val="00D206A5"/>
    <w:rsid w:val="00D21224"/>
    <w:rsid w:val="00D21C46"/>
    <w:rsid w:val="00D21DD6"/>
    <w:rsid w:val="00D22707"/>
    <w:rsid w:val="00D232CB"/>
    <w:rsid w:val="00D2426A"/>
    <w:rsid w:val="00D24521"/>
    <w:rsid w:val="00D24AFF"/>
    <w:rsid w:val="00D25095"/>
    <w:rsid w:val="00D27A42"/>
    <w:rsid w:val="00D3104B"/>
    <w:rsid w:val="00D31C04"/>
    <w:rsid w:val="00D3269A"/>
    <w:rsid w:val="00D362F0"/>
    <w:rsid w:val="00D3641B"/>
    <w:rsid w:val="00D36C4C"/>
    <w:rsid w:val="00D3713B"/>
    <w:rsid w:val="00D40330"/>
    <w:rsid w:val="00D419FD"/>
    <w:rsid w:val="00D432C1"/>
    <w:rsid w:val="00D445ED"/>
    <w:rsid w:val="00D45219"/>
    <w:rsid w:val="00D45FC7"/>
    <w:rsid w:val="00D463BB"/>
    <w:rsid w:val="00D46837"/>
    <w:rsid w:val="00D4778F"/>
    <w:rsid w:val="00D5027B"/>
    <w:rsid w:val="00D50ADF"/>
    <w:rsid w:val="00D513A0"/>
    <w:rsid w:val="00D51617"/>
    <w:rsid w:val="00D53748"/>
    <w:rsid w:val="00D55477"/>
    <w:rsid w:val="00D57F6C"/>
    <w:rsid w:val="00D600F6"/>
    <w:rsid w:val="00D6315B"/>
    <w:rsid w:val="00D63CBB"/>
    <w:rsid w:val="00D64B22"/>
    <w:rsid w:val="00D659B7"/>
    <w:rsid w:val="00D671C0"/>
    <w:rsid w:val="00D672BB"/>
    <w:rsid w:val="00D67807"/>
    <w:rsid w:val="00D67874"/>
    <w:rsid w:val="00D702BD"/>
    <w:rsid w:val="00D70F5A"/>
    <w:rsid w:val="00D710EB"/>
    <w:rsid w:val="00D72C45"/>
    <w:rsid w:val="00D72F00"/>
    <w:rsid w:val="00D7364C"/>
    <w:rsid w:val="00D738C0"/>
    <w:rsid w:val="00D748AA"/>
    <w:rsid w:val="00D749EF"/>
    <w:rsid w:val="00D75C30"/>
    <w:rsid w:val="00D76769"/>
    <w:rsid w:val="00D76AE5"/>
    <w:rsid w:val="00D76D3F"/>
    <w:rsid w:val="00D7771E"/>
    <w:rsid w:val="00D778C0"/>
    <w:rsid w:val="00D77970"/>
    <w:rsid w:val="00D8019D"/>
    <w:rsid w:val="00D802FA"/>
    <w:rsid w:val="00D82223"/>
    <w:rsid w:val="00D823EA"/>
    <w:rsid w:val="00D82465"/>
    <w:rsid w:val="00D828DA"/>
    <w:rsid w:val="00D82E52"/>
    <w:rsid w:val="00D83111"/>
    <w:rsid w:val="00D8348A"/>
    <w:rsid w:val="00D865CA"/>
    <w:rsid w:val="00D869C6"/>
    <w:rsid w:val="00D8716B"/>
    <w:rsid w:val="00D931F9"/>
    <w:rsid w:val="00D936A1"/>
    <w:rsid w:val="00D94204"/>
    <w:rsid w:val="00D94600"/>
    <w:rsid w:val="00D95106"/>
    <w:rsid w:val="00D954C6"/>
    <w:rsid w:val="00D968DE"/>
    <w:rsid w:val="00D96F31"/>
    <w:rsid w:val="00D97CB8"/>
    <w:rsid w:val="00DA0258"/>
    <w:rsid w:val="00DA10BD"/>
    <w:rsid w:val="00DA1642"/>
    <w:rsid w:val="00DA1C22"/>
    <w:rsid w:val="00DA1F7C"/>
    <w:rsid w:val="00DA1FF9"/>
    <w:rsid w:val="00DA321D"/>
    <w:rsid w:val="00DA39CA"/>
    <w:rsid w:val="00DA4213"/>
    <w:rsid w:val="00DA42A9"/>
    <w:rsid w:val="00DA5601"/>
    <w:rsid w:val="00DA5E06"/>
    <w:rsid w:val="00DA6167"/>
    <w:rsid w:val="00DA75BD"/>
    <w:rsid w:val="00DA79DC"/>
    <w:rsid w:val="00DB22DC"/>
    <w:rsid w:val="00DB2920"/>
    <w:rsid w:val="00DB2ED9"/>
    <w:rsid w:val="00DB3B28"/>
    <w:rsid w:val="00DB3B5B"/>
    <w:rsid w:val="00DB3EFA"/>
    <w:rsid w:val="00DB41FE"/>
    <w:rsid w:val="00DB4ED4"/>
    <w:rsid w:val="00DB5648"/>
    <w:rsid w:val="00DB5B56"/>
    <w:rsid w:val="00DB7D09"/>
    <w:rsid w:val="00DC0344"/>
    <w:rsid w:val="00DC119C"/>
    <w:rsid w:val="00DC16F2"/>
    <w:rsid w:val="00DC2311"/>
    <w:rsid w:val="00DC2A62"/>
    <w:rsid w:val="00DC33FB"/>
    <w:rsid w:val="00DC3D5F"/>
    <w:rsid w:val="00DC40CF"/>
    <w:rsid w:val="00DC483E"/>
    <w:rsid w:val="00DC4AC7"/>
    <w:rsid w:val="00DC4FD4"/>
    <w:rsid w:val="00DC55B3"/>
    <w:rsid w:val="00DC588C"/>
    <w:rsid w:val="00DC5A4E"/>
    <w:rsid w:val="00DC5C2A"/>
    <w:rsid w:val="00DC6E2B"/>
    <w:rsid w:val="00DC764F"/>
    <w:rsid w:val="00DC7CEF"/>
    <w:rsid w:val="00DD1C1C"/>
    <w:rsid w:val="00DD2898"/>
    <w:rsid w:val="00DD2DB5"/>
    <w:rsid w:val="00DD2ED8"/>
    <w:rsid w:val="00DD30E4"/>
    <w:rsid w:val="00DD393C"/>
    <w:rsid w:val="00DD397E"/>
    <w:rsid w:val="00DD3B64"/>
    <w:rsid w:val="00DD40FE"/>
    <w:rsid w:val="00DD4D52"/>
    <w:rsid w:val="00DD5752"/>
    <w:rsid w:val="00DD58F3"/>
    <w:rsid w:val="00DD62A5"/>
    <w:rsid w:val="00DE046B"/>
    <w:rsid w:val="00DE18B9"/>
    <w:rsid w:val="00DE1EDD"/>
    <w:rsid w:val="00DE1F55"/>
    <w:rsid w:val="00DE2499"/>
    <w:rsid w:val="00DE3050"/>
    <w:rsid w:val="00DE3DE5"/>
    <w:rsid w:val="00DE45A6"/>
    <w:rsid w:val="00DE4C4D"/>
    <w:rsid w:val="00DE4E4A"/>
    <w:rsid w:val="00DE5B63"/>
    <w:rsid w:val="00DE602F"/>
    <w:rsid w:val="00DE720A"/>
    <w:rsid w:val="00DE72A8"/>
    <w:rsid w:val="00DE7B7A"/>
    <w:rsid w:val="00DF0E84"/>
    <w:rsid w:val="00DF1E3D"/>
    <w:rsid w:val="00DF307B"/>
    <w:rsid w:val="00DF4B38"/>
    <w:rsid w:val="00DF4D30"/>
    <w:rsid w:val="00DF4EF7"/>
    <w:rsid w:val="00DF5182"/>
    <w:rsid w:val="00DF5D0F"/>
    <w:rsid w:val="00DF5F6C"/>
    <w:rsid w:val="00DF613F"/>
    <w:rsid w:val="00DF63D4"/>
    <w:rsid w:val="00DF69F0"/>
    <w:rsid w:val="00DF7023"/>
    <w:rsid w:val="00DF74F4"/>
    <w:rsid w:val="00DF78DA"/>
    <w:rsid w:val="00DF7F50"/>
    <w:rsid w:val="00E000A2"/>
    <w:rsid w:val="00E009A3"/>
    <w:rsid w:val="00E00CB4"/>
    <w:rsid w:val="00E00F9F"/>
    <w:rsid w:val="00E01E1C"/>
    <w:rsid w:val="00E01E53"/>
    <w:rsid w:val="00E02401"/>
    <w:rsid w:val="00E02BFD"/>
    <w:rsid w:val="00E03D13"/>
    <w:rsid w:val="00E04334"/>
    <w:rsid w:val="00E04B6A"/>
    <w:rsid w:val="00E0624B"/>
    <w:rsid w:val="00E06316"/>
    <w:rsid w:val="00E064AC"/>
    <w:rsid w:val="00E064F3"/>
    <w:rsid w:val="00E06B4C"/>
    <w:rsid w:val="00E06C5E"/>
    <w:rsid w:val="00E0763D"/>
    <w:rsid w:val="00E102B2"/>
    <w:rsid w:val="00E114CB"/>
    <w:rsid w:val="00E11EAF"/>
    <w:rsid w:val="00E15EAB"/>
    <w:rsid w:val="00E17659"/>
    <w:rsid w:val="00E17CCC"/>
    <w:rsid w:val="00E209B6"/>
    <w:rsid w:val="00E214AA"/>
    <w:rsid w:val="00E214BC"/>
    <w:rsid w:val="00E21A1C"/>
    <w:rsid w:val="00E21BE0"/>
    <w:rsid w:val="00E22641"/>
    <w:rsid w:val="00E23713"/>
    <w:rsid w:val="00E23994"/>
    <w:rsid w:val="00E2490A"/>
    <w:rsid w:val="00E24C47"/>
    <w:rsid w:val="00E25C1B"/>
    <w:rsid w:val="00E25EEB"/>
    <w:rsid w:val="00E2606C"/>
    <w:rsid w:val="00E2758B"/>
    <w:rsid w:val="00E27CC3"/>
    <w:rsid w:val="00E27F80"/>
    <w:rsid w:val="00E3103B"/>
    <w:rsid w:val="00E313DC"/>
    <w:rsid w:val="00E3309B"/>
    <w:rsid w:val="00E330EC"/>
    <w:rsid w:val="00E34A6C"/>
    <w:rsid w:val="00E34C97"/>
    <w:rsid w:val="00E35248"/>
    <w:rsid w:val="00E35CB9"/>
    <w:rsid w:val="00E36681"/>
    <w:rsid w:val="00E370B1"/>
    <w:rsid w:val="00E37AB1"/>
    <w:rsid w:val="00E40EFB"/>
    <w:rsid w:val="00E41A31"/>
    <w:rsid w:val="00E443AF"/>
    <w:rsid w:val="00E461E7"/>
    <w:rsid w:val="00E4651A"/>
    <w:rsid w:val="00E4735B"/>
    <w:rsid w:val="00E47A43"/>
    <w:rsid w:val="00E47C35"/>
    <w:rsid w:val="00E47D79"/>
    <w:rsid w:val="00E50CDE"/>
    <w:rsid w:val="00E51DE3"/>
    <w:rsid w:val="00E5228B"/>
    <w:rsid w:val="00E52EE7"/>
    <w:rsid w:val="00E53302"/>
    <w:rsid w:val="00E5344B"/>
    <w:rsid w:val="00E53BED"/>
    <w:rsid w:val="00E54060"/>
    <w:rsid w:val="00E548FE"/>
    <w:rsid w:val="00E54ADD"/>
    <w:rsid w:val="00E552A6"/>
    <w:rsid w:val="00E556E6"/>
    <w:rsid w:val="00E5600F"/>
    <w:rsid w:val="00E56A20"/>
    <w:rsid w:val="00E57AC6"/>
    <w:rsid w:val="00E60308"/>
    <w:rsid w:val="00E60C94"/>
    <w:rsid w:val="00E60F09"/>
    <w:rsid w:val="00E614AD"/>
    <w:rsid w:val="00E6159A"/>
    <w:rsid w:val="00E61649"/>
    <w:rsid w:val="00E624D1"/>
    <w:rsid w:val="00E627EE"/>
    <w:rsid w:val="00E63C7F"/>
    <w:rsid w:val="00E64F7F"/>
    <w:rsid w:val="00E659FF"/>
    <w:rsid w:val="00E661CC"/>
    <w:rsid w:val="00E66325"/>
    <w:rsid w:val="00E66383"/>
    <w:rsid w:val="00E664ED"/>
    <w:rsid w:val="00E67CCF"/>
    <w:rsid w:val="00E7005E"/>
    <w:rsid w:val="00E710C6"/>
    <w:rsid w:val="00E71B37"/>
    <w:rsid w:val="00E71F28"/>
    <w:rsid w:val="00E733F1"/>
    <w:rsid w:val="00E74918"/>
    <w:rsid w:val="00E74BEC"/>
    <w:rsid w:val="00E75035"/>
    <w:rsid w:val="00E75A59"/>
    <w:rsid w:val="00E760F8"/>
    <w:rsid w:val="00E765A0"/>
    <w:rsid w:val="00E771DF"/>
    <w:rsid w:val="00E77586"/>
    <w:rsid w:val="00E801E7"/>
    <w:rsid w:val="00E80263"/>
    <w:rsid w:val="00E813F7"/>
    <w:rsid w:val="00E81844"/>
    <w:rsid w:val="00E8355D"/>
    <w:rsid w:val="00E83CDD"/>
    <w:rsid w:val="00E83EA1"/>
    <w:rsid w:val="00E85233"/>
    <w:rsid w:val="00E854DB"/>
    <w:rsid w:val="00E85639"/>
    <w:rsid w:val="00E86146"/>
    <w:rsid w:val="00E861A6"/>
    <w:rsid w:val="00E8650E"/>
    <w:rsid w:val="00E91242"/>
    <w:rsid w:val="00E92057"/>
    <w:rsid w:val="00E9266F"/>
    <w:rsid w:val="00E9280D"/>
    <w:rsid w:val="00E929B0"/>
    <w:rsid w:val="00E94B7C"/>
    <w:rsid w:val="00E9686F"/>
    <w:rsid w:val="00EA0AF9"/>
    <w:rsid w:val="00EA112C"/>
    <w:rsid w:val="00EA113D"/>
    <w:rsid w:val="00EA14B2"/>
    <w:rsid w:val="00EA245F"/>
    <w:rsid w:val="00EA2C1C"/>
    <w:rsid w:val="00EA2EB5"/>
    <w:rsid w:val="00EA314A"/>
    <w:rsid w:val="00EA3215"/>
    <w:rsid w:val="00EA3CCA"/>
    <w:rsid w:val="00EA507E"/>
    <w:rsid w:val="00EA5F3A"/>
    <w:rsid w:val="00EA5FB9"/>
    <w:rsid w:val="00EA60D1"/>
    <w:rsid w:val="00EA660E"/>
    <w:rsid w:val="00EA78E4"/>
    <w:rsid w:val="00EB26C9"/>
    <w:rsid w:val="00EB32B2"/>
    <w:rsid w:val="00EB350E"/>
    <w:rsid w:val="00EB422B"/>
    <w:rsid w:val="00EB4ABE"/>
    <w:rsid w:val="00EB4BDE"/>
    <w:rsid w:val="00EB4EB7"/>
    <w:rsid w:val="00EB6354"/>
    <w:rsid w:val="00EB6848"/>
    <w:rsid w:val="00EB6E9B"/>
    <w:rsid w:val="00EB71C8"/>
    <w:rsid w:val="00EB7A07"/>
    <w:rsid w:val="00EC05E2"/>
    <w:rsid w:val="00EC1601"/>
    <w:rsid w:val="00EC2277"/>
    <w:rsid w:val="00EC28DF"/>
    <w:rsid w:val="00EC36F2"/>
    <w:rsid w:val="00EC4109"/>
    <w:rsid w:val="00EC43B7"/>
    <w:rsid w:val="00EC5075"/>
    <w:rsid w:val="00EC5198"/>
    <w:rsid w:val="00EC617E"/>
    <w:rsid w:val="00EC68DE"/>
    <w:rsid w:val="00EC7FE3"/>
    <w:rsid w:val="00ED0914"/>
    <w:rsid w:val="00ED0FA6"/>
    <w:rsid w:val="00ED104C"/>
    <w:rsid w:val="00ED11DE"/>
    <w:rsid w:val="00ED1C2E"/>
    <w:rsid w:val="00ED1F7D"/>
    <w:rsid w:val="00ED20B1"/>
    <w:rsid w:val="00ED21A0"/>
    <w:rsid w:val="00ED2ADA"/>
    <w:rsid w:val="00ED3115"/>
    <w:rsid w:val="00ED3885"/>
    <w:rsid w:val="00ED390F"/>
    <w:rsid w:val="00ED3DB8"/>
    <w:rsid w:val="00ED4BCC"/>
    <w:rsid w:val="00ED5057"/>
    <w:rsid w:val="00ED52B9"/>
    <w:rsid w:val="00ED580A"/>
    <w:rsid w:val="00ED58CB"/>
    <w:rsid w:val="00EE22A6"/>
    <w:rsid w:val="00EE2792"/>
    <w:rsid w:val="00EE2E2D"/>
    <w:rsid w:val="00EE3039"/>
    <w:rsid w:val="00EE30E6"/>
    <w:rsid w:val="00EE4E73"/>
    <w:rsid w:val="00EE50AE"/>
    <w:rsid w:val="00EE54AE"/>
    <w:rsid w:val="00EE555B"/>
    <w:rsid w:val="00EE5877"/>
    <w:rsid w:val="00EE6307"/>
    <w:rsid w:val="00EE6465"/>
    <w:rsid w:val="00EE7801"/>
    <w:rsid w:val="00EE7855"/>
    <w:rsid w:val="00EE7BDC"/>
    <w:rsid w:val="00EF042A"/>
    <w:rsid w:val="00EF1770"/>
    <w:rsid w:val="00EF1E48"/>
    <w:rsid w:val="00EF1E49"/>
    <w:rsid w:val="00EF2086"/>
    <w:rsid w:val="00EF28BD"/>
    <w:rsid w:val="00EF2B84"/>
    <w:rsid w:val="00EF2E05"/>
    <w:rsid w:val="00EF3338"/>
    <w:rsid w:val="00EF38DF"/>
    <w:rsid w:val="00EF3D7E"/>
    <w:rsid w:val="00EF3FCC"/>
    <w:rsid w:val="00EF4520"/>
    <w:rsid w:val="00EF4DE4"/>
    <w:rsid w:val="00EF6261"/>
    <w:rsid w:val="00EF6BC7"/>
    <w:rsid w:val="00EF6BE6"/>
    <w:rsid w:val="00EF7B8C"/>
    <w:rsid w:val="00F00FE3"/>
    <w:rsid w:val="00F017A4"/>
    <w:rsid w:val="00F0220A"/>
    <w:rsid w:val="00F032AB"/>
    <w:rsid w:val="00F044A0"/>
    <w:rsid w:val="00F046DE"/>
    <w:rsid w:val="00F0497D"/>
    <w:rsid w:val="00F050A1"/>
    <w:rsid w:val="00F058C8"/>
    <w:rsid w:val="00F06AF3"/>
    <w:rsid w:val="00F113C7"/>
    <w:rsid w:val="00F11F30"/>
    <w:rsid w:val="00F12086"/>
    <w:rsid w:val="00F1379C"/>
    <w:rsid w:val="00F13D09"/>
    <w:rsid w:val="00F1482C"/>
    <w:rsid w:val="00F14CCA"/>
    <w:rsid w:val="00F151D5"/>
    <w:rsid w:val="00F1686F"/>
    <w:rsid w:val="00F16999"/>
    <w:rsid w:val="00F169A5"/>
    <w:rsid w:val="00F171B5"/>
    <w:rsid w:val="00F1754E"/>
    <w:rsid w:val="00F177D8"/>
    <w:rsid w:val="00F2048F"/>
    <w:rsid w:val="00F211CE"/>
    <w:rsid w:val="00F220DC"/>
    <w:rsid w:val="00F22AE3"/>
    <w:rsid w:val="00F22BBE"/>
    <w:rsid w:val="00F23093"/>
    <w:rsid w:val="00F233A6"/>
    <w:rsid w:val="00F2353A"/>
    <w:rsid w:val="00F2617B"/>
    <w:rsid w:val="00F2636B"/>
    <w:rsid w:val="00F302A7"/>
    <w:rsid w:val="00F30807"/>
    <w:rsid w:val="00F3101F"/>
    <w:rsid w:val="00F31276"/>
    <w:rsid w:val="00F32AD3"/>
    <w:rsid w:val="00F34121"/>
    <w:rsid w:val="00F3419B"/>
    <w:rsid w:val="00F34A68"/>
    <w:rsid w:val="00F35B3B"/>
    <w:rsid w:val="00F35C02"/>
    <w:rsid w:val="00F36049"/>
    <w:rsid w:val="00F37506"/>
    <w:rsid w:val="00F3771E"/>
    <w:rsid w:val="00F409F6"/>
    <w:rsid w:val="00F417FC"/>
    <w:rsid w:val="00F41830"/>
    <w:rsid w:val="00F42BA6"/>
    <w:rsid w:val="00F43A18"/>
    <w:rsid w:val="00F44DA4"/>
    <w:rsid w:val="00F46360"/>
    <w:rsid w:val="00F46B52"/>
    <w:rsid w:val="00F50FA5"/>
    <w:rsid w:val="00F51192"/>
    <w:rsid w:val="00F513E5"/>
    <w:rsid w:val="00F519E7"/>
    <w:rsid w:val="00F521D4"/>
    <w:rsid w:val="00F53AA6"/>
    <w:rsid w:val="00F54649"/>
    <w:rsid w:val="00F54C33"/>
    <w:rsid w:val="00F554A2"/>
    <w:rsid w:val="00F56303"/>
    <w:rsid w:val="00F56DAD"/>
    <w:rsid w:val="00F57716"/>
    <w:rsid w:val="00F60CC9"/>
    <w:rsid w:val="00F60F0A"/>
    <w:rsid w:val="00F60FFC"/>
    <w:rsid w:val="00F62165"/>
    <w:rsid w:val="00F626B0"/>
    <w:rsid w:val="00F6586A"/>
    <w:rsid w:val="00F65F2F"/>
    <w:rsid w:val="00F66008"/>
    <w:rsid w:val="00F666BD"/>
    <w:rsid w:val="00F66C73"/>
    <w:rsid w:val="00F66F7D"/>
    <w:rsid w:val="00F672FA"/>
    <w:rsid w:val="00F67954"/>
    <w:rsid w:val="00F67C61"/>
    <w:rsid w:val="00F714AC"/>
    <w:rsid w:val="00F7227D"/>
    <w:rsid w:val="00F72675"/>
    <w:rsid w:val="00F72A12"/>
    <w:rsid w:val="00F72A34"/>
    <w:rsid w:val="00F73215"/>
    <w:rsid w:val="00F735CD"/>
    <w:rsid w:val="00F7401A"/>
    <w:rsid w:val="00F74C29"/>
    <w:rsid w:val="00F758CA"/>
    <w:rsid w:val="00F75A25"/>
    <w:rsid w:val="00F75CE0"/>
    <w:rsid w:val="00F76517"/>
    <w:rsid w:val="00F765A1"/>
    <w:rsid w:val="00F773BF"/>
    <w:rsid w:val="00F774BD"/>
    <w:rsid w:val="00F77A7B"/>
    <w:rsid w:val="00F81B05"/>
    <w:rsid w:val="00F81B4A"/>
    <w:rsid w:val="00F823F1"/>
    <w:rsid w:val="00F828B3"/>
    <w:rsid w:val="00F82FCF"/>
    <w:rsid w:val="00F8325A"/>
    <w:rsid w:val="00F84ADE"/>
    <w:rsid w:val="00F850DE"/>
    <w:rsid w:val="00F855CA"/>
    <w:rsid w:val="00F86B26"/>
    <w:rsid w:val="00F874C5"/>
    <w:rsid w:val="00F87C25"/>
    <w:rsid w:val="00F90D76"/>
    <w:rsid w:val="00F914DF"/>
    <w:rsid w:val="00F91BC5"/>
    <w:rsid w:val="00F93AEA"/>
    <w:rsid w:val="00F93EAF"/>
    <w:rsid w:val="00F94974"/>
    <w:rsid w:val="00F94A62"/>
    <w:rsid w:val="00F94BFD"/>
    <w:rsid w:val="00F94C25"/>
    <w:rsid w:val="00F94E5B"/>
    <w:rsid w:val="00F94FF8"/>
    <w:rsid w:val="00F961D4"/>
    <w:rsid w:val="00F968F2"/>
    <w:rsid w:val="00F96FCC"/>
    <w:rsid w:val="00F97478"/>
    <w:rsid w:val="00FA00B2"/>
    <w:rsid w:val="00FA09CE"/>
    <w:rsid w:val="00FA0C22"/>
    <w:rsid w:val="00FA1436"/>
    <w:rsid w:val="00FA18E8"/>
    <w:rsid w:val="00FA370A"/>
    <w:rsid w:val="00FA3C29"/>
    <w:rsid w:val="00FA3F3A"/>
    <w:rsid w:val="00FA55BF"/>
    <w:rsid w:val="00FA623C"/>
    <w:rsid w:val="00FA6505"/>
    <w:rsid w:val="00FA7003"/>
    <w:rsid w:val="00FA7AE7"/>
    <w:rsid w:val="00FA7DF6"/>
    <w:rsid w:val="00FB02E3"/>
    <w:rsid w:val="00FB0316"/>
    <w:rsid w:val="00FB0723"/>
    <w:rsid w:val="00FB1E93"/>
    <w:rsid w:val="00FB2BA2"/>
    <w:rsid w:val="00FB3387"/>
    <w:rsid w:val="00FB4646"/>
    <w:rsid w:val="00FB47EE"/>
    <w:rsid w:val="00FB4BED"/>
    <w:rsid w:val="00FB520F"/>
    <w:rsid w:val="00FB5DC6"/>
    <w:rsid w:val="00FB654F"/>
    <w:rsid w:val="00FB659B"/>
    <w:rsid w:val="00FB6AF6"/>
    <w:rsid w:val="00FB6CC0"/>
    <w:rsid w:val="00FB79E0"/>
    <w:rsid w:val="00FB7D19"/>
    <w:rsid w:val="00FC04E6"/>
    <w:rsid w:val="00FC0B6E"/>
    <w:rsid w:val="00FC0E78"/>
    <w:rsid w:val="00FC1048"/>
    <w:rsid w:val="00FC1758"/>
    <w:rsid w:val="00FC38F8"/>
    <w:rsid w:val="00FC479D"/>
    <w:rsid w:val="00FC5BD1"/>
    <w:rsid w:val="00FC6717"/>
    <w:rsid w:val="00FC7997"/>
    <w:rsid w:val="00FD02FE"/>
    <w:rsid w:val="00FD0580"/>
    <w:rsid w:val="00FD1DC1"/>
    <w:rsid w:val="00FD37DA"/>
    <w:rsid w:val="00FD399F"/>
    <w:rsid w:val="00FD3F46"/>
    <w:rsid w:val="00FD5AA5"/>
    <w:rsid w:val="00FD73EB"/>
    <w:rsid w:val="00FD7538"/>
    <w:rsid w:val="00FD7F97"/>
    <w:rsid w:val="00FE0E80"/>
    <w:rsid w:val="00FE1529"/>
    <w:rsid w:val="00FE167B"/>
    <w:rsid w:val="00FE2E1E"/>
    <w:rsid w:val="00FE3553"/>
    <w:rsid w:val="00FE4D80"/>
    <w:rsid w:val="00FE5211"/>
    <w:rsid w:val="00FE5D18"/>
    <w:rsid w:val="00FE7543"/>
    <w:rsid w:val="00FF072A"/>
    <w:rsid w:val="00FF1A70"/>
    <w:rsid w:val="00FF3BAD"/>
    <w:rsid w:val="00FF3DEF"/>
    <w:rsid w:val="00FF4E71"/>
    <w:rsid w:val="00FF51B2"/>
    <w:rsid w:val="00FF5A8D"/>
    <w:rsid w:val="00FF66FE"/>
    <w:rsid w:val="0808C82F"/>
    <w:rsid w:val="08C94164"/>
    <w:rsid w:val="0A0D5F18"/>
    <w:rsid w:val="0A5F940F"/>
    <w:rsid w:val="0CF45FD5"/>
    <w:rsid w:val="10BEA1E2"/>
    <w:rsid w:val="1140045B"/>
    <w:rsid w:val="207802EC"/>
    <w:rsid w:val="20B2AE5E"/>
    <w:rsid w:val="211FF8A6"/>
    <w:rsid w:val="214EF355"/>
    <w:rsid w:val="220399CB"/>
    <w:rsid w:val="222B6223"/>
    <w:rsid w:val="28B6BCD8"/>
    <w:rsid w:val="371F8508"/>
    <w:rsid w:val="3BD9FC67"/>
    <w:rsid w:val="46FA8B02"/>
    <w:rsid w:val="47BF2AB2"/>
    <w:rsid w:val="4B65EB56"/>
    <w:rsid w:val="4BFBEB43"/>
    <w:rsid w:val="52337CA9"/>
    <w:rsid w:val="52973EBA"/>
    <w:rsid w:val="5418064C"/>
    <w:rsid w:val="5A1C519C"/>
    <w:rsid w:val="64BE2EAB"/>
    <w:rsid w:val="6959788A"/>
    <w:rsid w:val="6EB057E4"/>
    <w:rsid w:val="74B10694"/>
    <w:rsid w:val="7FE31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5248E3-F57A-45E1-92EC-ADC1A664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94138"/>
    <w:pPr>
      <w:numPr>
        <w:numId w:val="2"/>
      </w:numPr>
      <w:tabs>
        <w:tab w:val="num" w:pos="360"/>
      </w:tabs>
      <w:ind w:left="0" w:firstLine="0"/>
    </w:pPr>
    <w:rPr>
      <w:rFonts w:eastAsia="Times New Roman"/>
      <w:lang w:eastAsia="de-DE"/>
    </w:rPr>
  </w:style>
  <w:style w:type="paragraph" w:styleId="ListNumber">
    <w:name w:val="List Number"/>
    <w:basedOn w:val="Normal"/>
    <w:rsid w:val="00C94138"/>
    <w:pPr>
      <w:numPr>
        <w:numId w:val="6"/>
      </w:numPr>
    </w:pPr>
    <w:rPr>
      <w:rFonts w:eastAsia="Times New Roman"/>
      <w:lang w:eastAsia="de-DE"/>
    </w:rPr>
  </w:style>
  <w:style w:type="paragraph" w:customStyle="1" w:styleId="ListBullet1">
    <w:name w:val="List Bullet 1"/>
    <w:basedOn w:val="Normal"/>
    <w:rsid w:val="00C94138"/>
    <w:pPr>
      <w:numPr>
        <w:numId w:val="1"/>
      </w:numPr>
    </w:pPr>
    <w:rPr>
      <w:rFonts w:eastAsia="Times New Roman"/>
      <w:lang w:eastAsia="de-DE"/>
    </w:rPr>
  </w:style>
  <w:style w:type="paragraph" w:customStyle="1" w:styleId="ListDash">
    <w:name w:val="List Dash"/>
    <w:basedOn w:val="Normal"/>
    <w:rsid w:val="00C94138"/>
    <w:pPr>
      <w:numPr>
        <w:numId w:val="3"/>
      </w:numPr>
    </w:pPr>
    <w:rPr>
      <w:rFonts w:eastAsia="Times New Roman"/>
      <w:lang w:eastAsia="de-DE"/>
    </w:rPr>
  </w:style>
  <w:style w:type="paragraph" w:customStyle="1" w:styleId="ListDash1">
    <w:name w:val="List Dash 1"/>
    <w:basedOn w:val="Normal"/>
    <w:rsid w:val="00C94138"/>
    <w:pPr>
      <w:numPr>
        <w:numId w:val="4"/>
      </w:numPr>
    </w:pPr>
    <w:rPr>
      <w:rFonts w:eastAsia="Times New Roman"/>
      <w:lang w:eastAsia="de-DE"/>
    </w:rPr>
  </w:style>
  <w:style w:type="paragraph" w:customStyle="1" w:styleId="ListDash2">
    <w:name w:val="List Dash 2"/>
    <w:basedOn w:val="Normal"/>
    <w:rsid w:val="00C94138"/>
    <w:pPr>
      <w:numPr>
        <w:numId w:val="5"/>
      </w:numPr>
    </w:pPr>
    <w:rPr>
      <w:rFonts w:eastAsia="Times New Roman"/>
      <w:lang w:eastAsia="de-DE"/>
    </w:rPr>
  </w:style>
  <w:style w:type="paragraph" w:customStyle="1" w:styleId="ListNumberLevel2">
    <w:name w:val="List Number (Level 2)"/>
    <w:basedOn w:val="Normal"/>
    <w:rsid w:val="00C94138"/>
    <w:pPr>
      <w:numPr>
        <w:ilvl w:val="1"/>
        <w:numId w:val="6"/>
      </w:numPr>
    </w:pPr>
    <w:rPr>
      <w:rFonts w:eastAsia="Times New Roman"/>
      <w:lang w:eastAsia="de-DE"/>
    </w:rPr>
  </w:style>
  <w:style w:type="paragraph" w:customStyle="1" w:styleId="ListNumberLevel3">
    <w:name w:val="List Number (Level 3)"/>
    <w:basedOn w:val="Normal"/>
    <w:rsid w:val="00C94138"/>
    <w:pPr>
      <w:numPr>
        <w:ilvl w:val="2"/>
        <w:numId w:val="6"/>
      </w:numPr>
    </w:pPr>
    <w:rPr>
      <w:rFonts w:eastAsia="Times New Roman"/>
      <w:lang w:eastAsia="de-DE"/>
    </w:rPr>
  </w:style>
  <w:style w:type="paragraph" w:customStyle="1" w:styleId="ListNumberLevel4">
    <w:name w:val="List Number (Level 4)"/>
    <w:basedOn w:val="Normal"/>
    <w:rsid w:val="00C94138"/>
    <w:pPr>
      <w:numPr>
        <w:ilvl w:val="3"/>
        <w:numId w:val="6"/>
      </w:numPr>
    </w:pPr>
    <w:rPr>
      <w:rFonts w:eastAsia="Times New Roman"/>
      <w:lang w:eastAsia="de-DE"/>
    </w:rPr>
  </w:style>
  <w:style w:type="table" w:styleId="TableGrid">
    <w:name w:val="Table Grid"/>
    <w:basedOn w:val="TableNormal"/>
    <w:rsid w:val="00C94138"/>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94138"/>
    <w:rPr>
      <w:color w:val="0000FF"/>
      <w:u w:val="single"/>
    </w:rPr>
  </w:style>
  <w:style w:type="paragraph" w:styleId="ListBullet">
    <w:name w:val="List Bullet"/>
    <w:basedOn w:val="Normal"/>
    <w:rsid w:val="00C94138"/>
    <w:pPr>
      <w:numPr>
        <w:numId w:val="7"/>
      </w:numPr>
    </w:pPr>
    <w:rPr>
      <w:rFonts w:eastAsia="Times New Roman"/>
      <w:lang w:eastAsia="en-GB"/>
    </w:rPr>
  </w:style>
  <w:style w:type="paragraph" w:styleId="ListBullet2">
    <w:name w:val="List Bullet 2"/>
    <w:basedOn w:val="Normal"/>
    <w:rsid w:val="00C94138"/>
    <w:pPr>
      <w:numPr>
        <w:numId w:val="8"/>
      </w:numPr>
    </w:pPr>
    <w:rPr>
      <w:rFonts w:eastAsia="Times New Roman"/>
      <w:lang w:eastAsia="en-GB"/>
    </w:rPr>
  </w:style>
  <w:style w:type="paragraph" w:styleId="ListBullet3">
    <w:name w:val="List Bullet 3"/>
    <w:basedOn w:val="Normal"/>
    <w:rsid w:val="00C94138"/>
    <w:pPr>
      <w:numPr>
        <w:numId w:val="9"/>
      </w:numPr>
    </w:pPr>
    <w:rPr>
      <w:rFonts w:eastAsia="Times New Roman"/>
      <w:lang w:eastAsia="en-GB"/>
    </w:rPr>
  </w:style>
  <w:style w:type="paragraph" w:styleId="ListNumber2">
    <w:name w:val="List Number 2"/>
    <w:basedOn w:val="Normal"/>
    <w:rsid w:val="00C94138"/>
    <w:pPr>
      <w:numPr>
        <w:numId w:val="13"/>
      </w:numPr>
    </w:pPr>
    <w:rPr>
      <w:rFonts w:eastAsia="Times New Roman"/>
      <w:lang w:eastAsia="en-GB"/>
    </w:rPr>
  </w:style>
  <w:style w:type="paragraph" w:styleId="ListNumber3">
    <w:name w:val="List Number 3"/>
    <w:basedOn w:val="Normal"/>
    <w:rsid w:val="00C94138"/>
    <w:pPr>
      <w:numPr>
        <w:numId w:val="14"/>
      </w:numPr>
    </w:pPr>
    <w:rPr>
      <w:rFonts w:eastAsia="Times New Roman"/>
      <w:lang w:eastAsia="en-GB"/>
    </w:rPr>
  </w:style>
  <w:style w:type="paragraph" w:styleId="ListNumber4">
    <w:name w:val="List Number 4"/>
    <w:basedOn w:val="Normal"/>
    <w:rsid w:val="00C94138"/>
    <w:pPr>
      <w:numPr>
        <w:numId w:val="15"/>
      </w:numPr>
    </w:pPr>
    <w:rPr>
      <w:rFonts w:eastAsia="Times New Roman"/>
      <w:lang w:eastAsia="en-GB"/>
    </w:rPr>
  </w:style>
  <w:style w:type="paragraph" w:customStyle="1" w:styleId="ListDash3">
    <w:name w:val="List Dash 3"/>
    <w:basedOn w:val="Normal"/>
    <w:rsid w:val="00C94138"/>
    <w:pPr>
      <w:numPr>
        <w:numId w:val="10"/>
      </w:numPr>
    </w:pPr>
    <w:rPr>
      <w:rFonts w:eastAsia="Times New Roman"/>
      <w:lang w:eastAsia="en-GB"/>
    </w:rPr>
  </w:style>
  <w:style w:type="paragraph" w:customStyle="1" w:styleId="ListDash4">
    <w:name w:val="List Dash 4"/>
    <w:basedOn w:val="Normal"/>
    <w:rsid w:val="00C94138"/>
    <w:pPr>
      <w:numPr>
        <w:numId w:val="11"/>
      </w:numPr>
    </w:pPr>
    <w:rPr>
      <w:rFonts w:eastAsia="Times New Roman"/>
      <w:lang w:eastAsia="en-GB"/>
    </w:rPr>
  </w:style>
  <w:style w:type="paragraph" w:customStyle="1" w:styleId="ListNumber1">
    <w:name w:val="List Number 1"/>
    <w:basedOn w:val="Text1"/>
    <w:rsid w:val="00C94138"/>
    <w:pPr>
      <w:numPr>
        <w:numId w:val="12"/>
      </w:numPr>
    </w:pPr>
    <w:rPr>
      <w:rFonts w:eastAsia="Times New Roman"/>
      <w:lang w:eastAsia="en-GB"/>
    </w:rPr>
  </w:style>
  <w:style w:type="paragraph" w:customStyle="1" w:styleId="ListNumber1Level2">
    <w:name w:val="List Number 1 (Level 2)"/>
    <w:basedOn w:val="Text1"/>
    <w:rsid w:val="00C94138"/>
    <w:pPr>
      <w:numPr>
        <w:ilvl w:val="1"/>
        <w:numId w:val="12"/>
      </w:numPr>
    </w:pPr>
    <w:rPr>
      <w:rFonts w:eastAsia="Times New Roman"/>
      <w:lang w:eastAsia="en-GB"/>
    </w:rPr>
  </w:style>
  <w:style w:type="paragraph" w:customStyle="1" w:styleId="ListNumber2Level2">
    <w:name w:val="List Number 2 (Level 2)"/>
    <w:basedOn w:val="Text2"/>
    <w:rsid w:val="00C94138"/>
    <w:pPr>
      <w:numPr>
        <w:ilvl w:val="1"/>
        <w:numId w:val="13"/>
      </w:numPr>
    </w:pPr>
    <w:rPr>
      <w:rFonts w:eastAsia="Times New Roman"/>
      <w:lang w:eastAsia="en-GB"/>
    </w:rPr>
  </w:style>
  <w:style w:type="paragraph" w:customStyle="1" w:styleId="ListNumber3Level2">
    <w:name w:val="List Number 3 (Level 2)"/>
    <w:basedOn w:val="Text3"/>
    <w:rsid w:val="00C94138"/>
    <w:pPr>
      <w:numPr>
        <w:ilvl w:val="1"/>
        <w:numId w:val="14"/>
      </w:numPr>
    </w:pPr>
    <w:rPr>
      <w:rFonts w:eastAsia="Times New Roman"/>
      <w:lang w:eastAsia="en-GB"/>
    </w:rPr>
  </w:style>
  <w:style w:type="paragraph" w:customStyle="1" w:styleId="ListNumber4Level2">
    <w:name w:val="List Number 4 (Level 2)"/>
    <w:basedOn w:val="Text4"/>
    <w:rsid w:val="00C94138"/>
    <w:pPr>
      <w:numPr>
        <w:ilvl w:val="1"/>
        <w:numId w:val="15"/>
      </w:numPr>
    </w:pPr>
    <w:rPr>
      <w:rFonts w:eastAsia="Times New Roman"/>
      <w:lang w:eastAsia="en-GB"/>
    </w:rPr>
  </w:style>
  <w:style w:type="paragraph" w:customStyle="1" w:styleId="ListNumber1Level3">
    <w:name w:val="List Number 1 (Level 3)"/>
    <w:basedOn w:val="Text1"/>
    <w:rsid w:val="00C94138"/>
    <w:pPr>
      <w:numPr>
        <w:ilvl w:val="2"/>
        <w:numId w:val="12"/>
      </w:numPr>
    </w:pPr>
    <w:rPr>
      <w:rFonts w:eastAsia="Times New Roman"/>
      <w:lang w:eastAsia="en-GB"/>
    </w:rPr>
  </w:style>
  <w:style w:type="paragraph" w:customStyle="1" w:styleId="ListNumber2Level3">
    <w:name w:val="List Number 2 (Level 3)"/>
    <w:basedOn w:val="Text2"/>
    <w:rsid w:val="00C94138"/>
    <w:pPr>
      <w:numPr>
        <w:ilvl w:val="2"/>
        <w:numId w:val="13"/>
      </w:numPr>
    </w:pPr>
    <w:rPr>
      <w:rFonts w:eastAsia="Times New Roman"/>
      <w:lang w:eastAsia="en-GB"/>
    </w:rPr>
  </w:style>
  <w:style w:type="paragraph" w:customStyle="1" w:styleId="ListNumber3Level3">
    <w:name w:val="List Number 3 (Level 3)"/>
    <w:basedOn w:val="Text3"/>
    <w:rsid w:val="00C94138"/>
    <w:pPr>
      <w:numPr>
        <w:ilvl w:val="2"/>
        <w:numId w:val="14"/>
      </w:numPr>
    </w:pPr>
    <w:rPr>
      <w:rFonts w:eastAsia="Times New Roman"/>
      <w:lang w:eastAsia="en-GB"/>
    </w:rPr>
  </w:style>
  <w:style w:type="paragraph" w:customStyle="1" w:styleId="ListNumber4Level3">
    <w:name w:val="List Number 4 (Level 3)"/>
    <w:basedOn w:val="Text4"/>
    <w:rsid w:val="00C94138"/>
    <w:pPr>
      <w:numPr>
        <w:ilvl w:val="2"/>
        <w:numId w:val="15"/>
      </w:numPr>
    </w:pPr>
    <w:rPr>
      <w:rFonts w:eastAsia="Times New Roman"/>
      <w:lang w:eastAsia="en-GB"/>
    </w:rPr>
  </w:style>
  <w:style w:type="paragraph" w:customStyle="1" w:styleId="ListNumber1Level4">
    <w:name w:val="List Number 1 (Level 4)"/>
    <w:basedOn w:val="Text1"/>
    <w:rsid w:val="00C94138"/>
    <w:pPr>
      <w:numPr>
        <w:ilvl w:val="3"/>
        <w:numId w:val="12"/>
      </w:numPr>
    </w:pPr>
    <w:rPr>
      <w:rFonts w:eastAsia="Times New Roman"/>
      <w:lang w:eastAsia="en-GB"/>
    </w:rPr>
  </w:style>
  <w:style w:type="paragraph" w:customStyle="1" w:styleId="ListNumber2Level4">
    <w:name w:val="List Number 2 (Level 4)"/>
    <w:basedOn w:val="Text2"/>
    <w:rsid w:val="00C94138"/>
    <w:pPr>
      <w:numPr>
        <w:ilvl w:val="3"/>
        <w:numId w:val="13"/>
      </w:numPr>
    </w:pPr>
    <w:rPr>
      <w:rFonts w:eastAsia="Times New Roman"/>
      <w:lang w:eastAsia="en-GB"/>
    </w:rPr>
  </w:style>
  <w:style w:type="paragraph" w:customStyle="1" w:styleId="ListNumber3Level4">
    <w:name w:val="List Number 3 (Level 4)"/>
    <w:basedOn w:val="Text3"/>
    <w:rsid w:val="00C94138"/>
    <w:pPr>
      <w:numPr>
        <w:ilvl w:val="3"/>
        <w:numId w:val="14"/>
      </w:numPr>
    </w:pPr>
    <w:rPr>
      <w:rFonts w:eastAsia="Times New Roman"/>
      <w:lang w:eastAsia="en-GB"/>
    </w:rPr>
  </w:style>
  <w:style w:type="paragraph" w:customStyle="1" w:styleId="ListNumber4Level4">
    <w:name w:val="List Number 4 (Level 4)"/>
    <w:basedOn w:val="Text4"/>
    <w:rsid w:val="00C94138"/>
    <w:pPr>
      <w:numPr>
        <w:ilvl w:val="3"/>
        <w:numId w:val="15"/>
      </w:numPr>
    </w:pPr>
    <w:rPr>
      <w:rFonts w:eastAsia="Times New Roman"/>
      <w:lang w:eastAsia="en-GB"/>
    </w:rPr>
  </w:style>
  <w:style w:type="paragraph" w:customStyle="1" w:styleId="Annexetitreacte">
    <w:name w:val="Annexe titre (acte)"/>
    <w:basedOn w:val="Normal"/>
    <w:next w:val="Normal"/>
    <w:rsid w:val="00C94138"/>
    <w:pPr>
      <w:jc w:val="center"/>
    </w:pPr>
    <w:rPr>
      <w:rFonts w:eastAsia="Times New Roman"/>
      <w:b/>
      <w:u w:val="single"/>
      <w:lang w:eastAsia="en-GB"/>
    </w:rPr>
  </w:style>
  <w:style w:type="paragraph" w:customStyle="1" w:styleId="Annexetitreexposglobal">
    <w:name w:val="Annexe titre (exposé global)"/>
    <w:basedOn w:val="Normal"/>
    <w:next w:val="Normal"/>
    <w:rsid w:val="00C94138"/>
    <w:pPr>
      <w:jc w:val="center"/>
    </w:pPr>
    <w:rPr>
      <w:rFonts w:eastAsia="Times New Roman"/>
      <w:b/>
      <w:u w:val="single"/>
      <w:lang w:eastAsia="en-GB"/>
    </w:rPr>
  </w:style>
  <w:style w:type="paragraph" w:customStyle="1" w:styleId="Annexetitrefichefinacte">
    <w:name w:val="Annexe titre (fiche fin. acte)"/>
    <w:basedOn w:val="Normal"/>
    <w:next w:val="Normal"/>
    <w:rsid w:val="00C94138"/>
    <w:pPr>
      <w:jc w:val="center"/>
    </w:pPr>
    <w:rPr>
      <w:rFonts w:eastAsia="Times New Roman"/>
      <w:b/>
      <w:u w:val="single"/>
      <w:lang w:eastAsia="en-GB"/>
    </w:rPr>
  </w:style>
  <w:style w:type="paragraph" w:customStyle="1" w:styleId="Annexetitrefichefinglobale">
    <w:name w:val="Annexe titre (fiche fin. globale)"/>
    <w:basedOn w:val="Normal"/>
    <w:next w:val="Normal"/>
    <w:rsid w:val="00C94138"/>
    <w:pPr>
      <w:jc w:val="center"/>
    </w:pPr>
    <w:rPr>
      <w:rFonts w:eastAsia="Times New Roman"/>
      <w:b/>
      <w:u w:val="single"/>
      <w:lang w:eastAsia="en-GB"/>
    </w:rPr>
  </w:style>
  <w:style w:type="paragraph" w:customStyle="1" w:styleId="Annexetitreglobale">
    <w:name w:val="Annexe titre (globale)"/>
    <w:basedOn w:val="Normal"/>
    <w:next w:val="Normal"/>
    <w:rsid w:val="00C94138"/>
    <w:pPr>
      <w:jc w:val="center"/>
    </w:pPr>
    <w:rPr>
      <w:rFonts w:eastAsia="Times New Roman"/>
      <w:b/>
      <w:u w:val="single"/>
      <w:lang w:eastAsia="en-GB"/>
    </w:rPr>
  </w:style>
  <w:style w:type="paragraph" w:customStyle="1" w:styleId="Exposdesmotifstitreglobal">
    <w:name w:val="Exposé des motifs titre (global)"/>
    <w:basedOn w:val="Normal"/>
    <w:next w:val="Normal"/>
    <w:rsid w:val="00C94138"/>
    <w:pPr>
      <w:jc w:val="center"/>
    </w:pPr>
    <w:rPr>
      <w:rFonts w:eastAsia="Times New Roman"/>
      <w:b/>
      <w:u w:val="single"/>
      <w:lang w:eastAsia="en-GB"/>
    </w:rPr>
  </w:style>
  <w:style w:type="paragraph" w:customStyle="1" w:styleId="Langueoriginale">
    <w:name w:val="Langue originale"/>
    <w:basedOn w:val="Normal"/>
    <w:rsid w:val="00C94138"/>
    <w:pPr>
      <w:spacing w:before="360"/>
      <w:jc w:val="center"/>
    </w:pPr>
    <w:rPr>
      <w:rFonts w:eastAsia="Times New Roman"/>
      <w:caps/>
      <w:lang w:eastAsia="en-GB"/>
    </w:rPr>
  </w:style>
  <w:style w:type="paragraph" w:customStyle="1" w:styleId="Phrasefinale">
    <w:name w:val="Phrase finale"/>
    <w:basedOn w:val="Normal"/>
    <w:next w:val="Normal"/>
    <w:rsid w:val="00C94138"/>
    <w:pPr>
      <w:spacing w:before="360" w:after="0"/>
      <w:jc w:val="center"/>
    </w:pPr>
    <w:rPr>
      <w:rFonts w:eastAsia="Times New Roman"/>
      <w:lang w:eastAsia="en-GB"/>
    </w:rPr>
  </w:style>
  <w:style w:type="paragraph" w:customStyle="1" w:styleId="Prliminairetitre">
    <w:name w:val="Préliminaire titre"/>
    <w:basedOn w:val="Normal"/>
    <w:next w:val="Normal"/>
    <w:rsid w:val="00C94138"/>
    <w:pPr>
      <w:spacing w:before="360" w:after="360"/>
      <w:jc w:val="center"/>
    </w:pPr>
    <w:rPr>
      <w:rFonts w:eastAsia="Times New Roman"/>
      <w:b/>
      <w:lang w:eastAsia="en-GB"/>
    </w:rPr>
  </w:style>
  <w:style w:type="paragraph" w:customStyle="1" w:styleId="Prliminairetype">
    <w:name w:val="Préliminaire type"/>
    <w:basedOn w:val="Normal"/>
    <w:next w:val="Normal"/>
    <w:rsid w:val="00C94138"/>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C94138"/>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C94138"/>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C94138"/>
    <w:pPr>
      <w:spacing w:before="0" w:after="0"/>
      <w:ind w:left="5103"/>
      <w:jc w:val="left"/>
    </w:pPr>
    <w:rPr>
      <w:rFonts w:eastAsia="Times New Roman"/>
      <w:lang w:eastAsia="en-GB"/>
    </w:rPr>
  </w:style>
  <w:style w:type="paragraph" w:customStyle="1" w:styleId="Sous-titreobjetprliminaire">
    <w:name w:val="Sous-titre objet (préliminaire)"/>
    <w:basedOn w:val="Normal"/>
    <w:rsid w:val="00C94138"/>
    <w:pPr>
      <w:spacing w:before="0" w:after="0"/>
      <w:jc w:val="center"/>
    </w:pPr>
    <w:rPr>
      <w:rFonts w:eastAsia="Times New Roman"/>
      <w:b/>
      <w:lang w:eastAsia="en-GB"/>
    </w:rPr>
  </w:style>
  <w:style w:type="paragraph" w:customStyle="1" w:styleId="Statutprliminaire">
    <w:name w:val="Statut (préliminaire)"/>
    <w:basedOn w:val="Normal"/>
    <w:next w:val="Normal"/>
    <w:rsid w:val="00C94138"/>
    <w:pPr>
      <w:spacing w:before="360" w:after="0"/>
      <w:jc w:val="center"/>
    </w:pPr>
    <w:rPr>
      <w:rFonts w:eastAsia="Times New Roman"/>
      <w:lang w:eastAsia="en-GB"/>
    </w:rPr>
  </w:style>
  <w:style w:type="paragraph" w:customStyle="1" w:styleId="Titreobjetprliminaire">
    <w:name w:val="Titre objet (préliminaire)"/>
    <w:basedOn w:val="Normal"/>
    <w:next w:val="Normal"/>
    <w:rsid w:val="00C94138"/>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C94138"/>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C94138"/>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C94138"/>
    <w:pPr>
      <w:jc w:val="center"/>
    </w:pPr>
    <w:rPr>
      <w:rFonts w:eastAsia="Times New Roman"/>
      <w:b/>
      <w:u w:val="single"/>
      <w:lang w:eastAsia="en-GB"/>
    </w:rPr>
  </w:style>
  <w:style w:type="paragraph" w:customStyle="1" w:styleId="Fichefinanciretravailtitre">
    <w:name w:val="Fiche financière (travail) titre"/>
    <w:basedOn w:val="Normal"/>
    <w:next w:val="Normal"/>
    <w:rsid w:val="00C94138"/>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C94138"/>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C94138"/>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C94138"/>
    <w:pPr>
      <w:jc w:val="center"/>
    </w:pPr>
    <w:rPr>
      <w:rFonts w:eastAsia="Times New Roman"/>
      <w:b/>
      <w:u w:val="single"/>
      <w:lang w:eastAsia="en-GB"/>
    </w:rPr>
  </w:style>
  <w:style w:type="character" w:styleId="CommentReference">
    <w:name w:val="annotation reference"/>
    <w:rsid w:val="00C94138"/>
    <w:rPr>
      <w:rFonts w:cs="Times New Roman"/>
      <w:sz w:val="16"/>
      <w:szCs w:val="16"/>
    </w:rPr>
  </w:style>
  <w:style w:type="paragraph" w:styleId="CommentText">
    <w:name w:val="annotation text"/>
    <w:basedOn w:val="Normal"/>
    <w:link w:val="CommentTextChar"/>
    <w:rsid w:val="00C94138"/>
    <w:rPr>
      <w:rFonts w:eastAsia="Times New Roman"/>
      <w:sz w:val="20"/>
      <w:szCs w:val="20"/>
      <w:lang w:eastAsia="en-GB"/>
    </w:rPr>
  </w:style>
  <w:style w:type="character" w:customStyle="1" w:styleId="CommentTextChar">
    <w:name w:val="Comment Text Char"/>
    <w:basedOn w:val="DefaultParagraphFont"/>
    <w:link w:val="CommentText"/>
    <w:rsid w:val="00C9413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C94138"/>
    <w:rPr>
      <w:b/>
      <w:bCs/>
    </w:rPr>
  </w:style>
  <w:style w:type="character" w:customStyle="1" w:styleId="CommentSubjectChar">
    <w:name w:val="Comment Subject Char"/>
    <w:basedOn w:val="CommentTextChar"/>
    <w:link w:val="CommentSubject"/>
    <w:rsid w:val="00C9413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C94138"/>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C94138"/>
    <w:rPr>
      <w:rFonts w:ascii="Tahoma" w:eastAsia="Times New Roman" w:hAnsi="Tahoma" w:cs="Tahoma"/>
      <w:sz w:val="16"/>
      <w:szCs w:val="16"/>
      <w:lang w:val="fr-FR" w:eastAsia="en-GB"/>
    </w:rPr>
  </w:style>
  <w:style w:type="paragraph" w:styleId="Caption">
    <w:name w:val="caption"/>
    <w:basedOn w:val="Normal"/>
    <w:next w:val="Normal"/>
    <w:qFormat/>
    <w:rsid w:val="00C94138"/>
    <w:rPr>
      <w:rFonts w:eastAsia="Times New Roman"/>
      <w:b/>
      <w:bCs/>
      <w:sz w:val="20"/>
      <w:szCs w:val="20"/>
      <w:lang w:eastAsia="en-GB"/>
    </w:rPr>
  </w:style>
  <w:style w:type="paragraph" w:styleId="TableofFigures">
    <w:name w:val="table of figures"/>
    <w:basedOn w:val="Normal"/>
    <w:next w:val="Normal"/>
    <w:rsid w:val="00C94138"/>
    <w:rPr>
      <w:rFonts w:eastAsia="Times New Roman"/>
      <w:lang w:eastAsia="en-GB"/>
    </w:rPr>
  </w:style>
  <w:style w:type="character" w:styleId="PageNumber">
    <w:name w:val="page number"/>
    <w:rsid w:val="00C94138"/>
  </w:style>
  <w:style w:type="character" w:customStyle="1" w:styleId="tw4winMark">
    <w:name w:val="tw4winMark"/>
    <w:rsid w:val="00C94138"/>
    <w:rPr>
      <w:vanish/>
      <w:color w:val="800080"/>
      <w:vertAlign w:val="subscript"/>
    </w:rPr>
  </w:style>
  <w:style w:type="character" w:styleId="FollowedHyperlink">
    <w:name w:val="FollowedHyperlink"/>
    <w:rsid w:val="00C94138"/>
    <w:rPr>
      <w:color w:val="800080"/>
      <w:u w:val="single"/>
    </w:rPr>
  </w:style>
  <w:style w:type="paragraph" w:customStyle="1" w:styleId="Sous-titreobjet">
    <w:name w:val="Sous-titre objet"/>
    <w:basedOn w:val="Normal"/>
    <w:rsid w:val="00C94138"/>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C94138"/>
  </w:style>
  <w:style w:type="paragraph" w:styleId="Revision">
    <w:name w:val="Revision"/>
    <w:hidden/>
    <w:uiPriority w:val="99"/>
    <w:semiHidden/>
    <w:rsid w:val="00C94138"/>
    <w:rPr>
      <w:rFonts w:ascii="Calibri" w:eastAsia="Calibri" w:hAnsi="Calibri" w:cs="Times New Roman"/>
      <w:sz w:val="24"/>
      <w:lang w:eastAsia="en-GB"/>
    </w:rPr>
  </w:style>
  <w:style w:type="paragraph" w:customStyle="1" w:styleId="FooterCoverPage">
    <w:name w:val="Footer Cover Page"/>
    <w:basedOn w:val="Normal"/>
    <w:link w:val="FooterCoverPageChar"/>
    <w:rsid w:val="00C94138"/>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C94138"/>
    <w:rPr>
      <w:rFonts w:ascii="Times New Roman" w:hAnsi="Times New Roman" w:cs="Times New Roman"/>
      <w:b/>
      <w:sz w:val="28"/>
      <w:lang w:val="fr-FR"/>
    </w:rPr>
  </w:style>
  <w:style w:type="character" w:customStyle="1" w:styleId="FooterCoverPageChar">
    <w:name w:val="Footer Cover Page Char"/>
    <w:link w:val="FooterCoverPage"/>
    <w:rsid w:val="00C94138"/>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C94138"/>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C94138"/>
    <w:rPr>
      <w:rFonts w:ascii="Times New Roman" w:eastAsia="Calibri" w:hAnsi="Times New Roman" w:cs="Times New Roman"/>
      <w:sz w:val="24"/>
      <w:lang w:val="fr-FR" w:eastAsia="en-GB"/>
    </w:rPr>
  </w:style>
  <w:style w:type="character" w:customStyle="1" w:styleId="FooterSensitivityChar">
    <w:name w:val="Footer Sensitivity Char"/>
    <w:rsid w:val="00C94138"/>
    <w:rPr>
      <w:rFonts w:ascii="Times New Roman" w:hAnsi="Times New Roman" w:cs="Times New Roman"/>
      <w:b/>
      <w:sz w:val="32"/>
      <w:lang w:val="fr-FR"/>
    </w:rPr>
  </w:style>
  <w:style w:type="character" w:customStyle="1" w:styleId="HeaderSensitivityChar">
    <w:name w:val="Header Sensitivity Char"/>
    <w:rsid w:val="00C94138"/>
    <w:rPr>
      <w:rFonts w:ascii="Times New Roman" w:hAnsi="Times New Roman" w:cs="Times New Roman"/>
      <w:b/>
      <w:sz w:val="32"/>
      <w:lang w:val="fr-FR"/>
    </w:rPr>
  </w:style>
  <w:style w:type="character" w:customStyle="1" w:styleId="HeaderSensitivityRightChar">
    <w:name w:val="Header Sensitivity Right Char"/>
    <w:rsid w:val="00C94138"/>
    <w:rPr>
      <w:rFonts w:ascii="Times New Roman" w:hAnsi="Times New Roman" w:cs="Times New Roman"/>
      <w:sz w:val="28"/>
      <w:lang w:val="fr-FR"/>
    </w:rPr>
  </w:style>
  <w:style w:type="paragraph" w:customStyle="1" w:styleId="LegalNumPar">
    <w:name w:val="LegalNumPar"/>
    <w:basedOn w:val="Normal"/>
    <w:rsid w:val="00C94138"/>
    <w:pPr>
      <w:numPr>
        <w:numId w:val="16"/>
      </w:numPr>
      <w:spacing w:line="360" w:lineRule="auto"/>
    </w:pPr>
    <w:rPr>
      <w:rFonts w:eastAsia="Times New Roman"/>
      <w:lang w:eastAsia="en-GB"/>
    </w:rPr>
  </w:style>
  <w:style w:type="paragraph" w:customStyle="1" w:styleId="LegalNumPar2">
    <w:name w:val="LegalNumPar2"/>
    <w:basedOn w:val="Normal"/>
    <w:rsid w:val="00C94138"/>
    <w:pPr>
      <w:spacing w:line="360" w:lineRule="auto"/>
      <w:ind w:left="953" w:hanging="477"/>
    </w:pPr>
    <w:rPr>
      <w:rFonts w:eastAsia="Times New Roman"/>
      <w:lang w:eastAsia="en-GB"/>
    </w:rPr>
  </w:style>
  <w:style w:type="paragraph" w:customStyle="1" w:styleId="LegalNumPar3">
    <w:name w:val="LegalNumPar3"/>
    <w:basedOn w:val="Normal"/>
    <w:rsid w:val="00C94138"/>
    <w:pPr>
      <w:spacing w:line="360" w:lineRule="auto"/>
      <w:ind w:left="1429" w:hanging="476"/>
    </w:pPr>
    <w:rPr>
      <w:rFonts w:eastAsia="Times New Roman"/>
      <w:lang w:eastAsia="en-GB"/>
    </w:rPr>
  </w:style>
  <w:style w:type="paragraph" w:styleId="ListParagraph">
    <w:name w:val="List Paragraph"/>
    <w:basedOn w:val="Normal"/>
    <w:uiPriority w:val="34"/>
    <w:qFormat/>
    <w:rsid w:val="00C94138"/>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C94138"/>
    <w:rPr>
      <w:color w:val="605E5C"/>
      <w:shd w:val="clear" w:color="auto" w:fill="E1DFDD"/>
    </w:rPr>
  </w:style>
  <w:style w:type="character" w:styleId="Strong">
    <w:name w:val="Strong"/>
    <w:basedOn w:val="DefaultParagraphFont"/>
    <w:qFormat/>
    <w:rsid w:val="00C94138"/>
    <w:rPr>
      <w:b/>
      <w:bCs/>
    </w:rPr>
  </w:style>
  <w:style w:type="character" w:styleId="Emphasis">
    <w:name w:val="Emphasis"/>
    <w:basedOn w:val="DefaultParagraphFont"/>
    <w:uiPriority w:val="20"/>
    <w:qFormat/>
    <w:rsid w:val="00C94138"/>
    <w:rPr>
      <w:i/>
      <w:iCs/>
    </w:rPr>
  </w:style>
  <w:style w:type="character" w:customStyle="1" w:styleId="Mention1">
    <w:name w:val="Mention1"/>
    <w:basedOn w:val="DefaultParagraphFont"/>
    <w:uiPriority w:val="99"/>
    <w:unhideWhenUsed/>
    <w:rsid w:val="00C94138"/>
    <w:rPr>
      <w:color w:val="2B579A"/>
      <w:shd w:val="clear" w:color="auto" w:fill="E1DFDD"/>
    </w:rPr>
  </w:style>
  <w:style w:type="character" w:customStyle="1" w:styleId="normaltextrun">
    <w:name w:val="normaltextrun"/>
    <w:basedOn w:val="DefaultParagraphFont"/>
    <w:rsid w:val="00C94138"/>
  </w:style>
  <w:style w:type="character" w:customStyle="1" w:styleId="eop">
    <w:name w:val="eop"/>
    <w:basedOn w:val="DefaultParagraphFont"/>
    <w:rsid w:val="00C94138"/>
  </w:style>
  <w:style w:type="character" w:customStyle="1" w:styleId="HeaderChar">
    <w:name w:val="Header Char"/>
    <w:basedOn w:val="DefaultParagraphFont"/>
    <w:link w:val="Header"/>
    <w:uiPriority w:val="99"/>
    <w:rsid w:val="00F94E5B"/>
    <w:rPr>
      <w:rFonts w:ascii="Times New Roman" w:hAnsi="Times New Roman" w:cs="Times New Roman"/>
      <w:sz w:val="24"/>
      <w:lang w:val="fr-FR"/>
    </w:rPr>
  </w:style>
  <w:style w:type="character" w:customStyle="1" w:styleId="FooterChar">
    <w:name w:val="Footer Char"/>
    <w:basedOn w:val="DefaultParagraphFont"/>
    <w:link w:val="Footer"/>
    <w:uiPriority w:val="99"/>
    <w:rsid w:val="00F94E5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94E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94E5B"/>
    <w:pPr>
      <w:spacing w:before="0"/>
      <w:jc w:val="right"/>
    </w:pPr>
    <w:rPr>
      <w:sz w:val="28"/>
    </w:rPr>
  </w:style>
  <w:style w:type="paragraph" w:customStyle="1" w:styleId="FooterSensitivity">
    <w:name w:val="Footer Sensitivity"/>
    <w:basedOn w:val="Normal"/>
    <w:rsid w:val="00F94E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94E5B"/>
    <w:pPr>
      <w:tabs>
        <w:tab w:val="center" w:pos="4535"/>
        <w:tab w:val="right" w:pos="9071"/>
      </w:tabs>
      <w:spacing w:before="0"/>
    </w:pPr>
  </w:style>
  <w:style w:type="paragraph" w:customStyle="1" w:styleId="HeaderLandscape">
    <w:name w:val="HeaderLandscape"/>
    <w:basedOn w:val="Normal"/>
    <w:rsid w:val="00F94E5B"/>
    <w:pPr>
      <w:tabs>
        <w:tab w:val="center" w:pos="7285"/>
        <w:tab w:val="right" w:pos="14003"/>
      </w:tabs>
      <w:spacing w:before="0"/>
    </w:pPr>
  </w:style>
  <w:style w:type="paragraph" w:styleId="Footer">
    <w:name w:val="footer"/>
    <w:basedOn w:val="Normal"/>
    <w:link w:val="FooterChar"/>
    <w:uiPriority w:val="99"/>
    <w:unhideWhenUsed/>
    <w:rsid w:val="00F94E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94E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46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reg/2022/2463/oj" TargetMode="External"/><Relationship Id="rId4" Type="http://schemas.openxmlformats.org/officeDocument/2006/relationships/hyperlink" Target="https://eur-lex.europa.eu/legal-content/FR/AUTO/?uri=OJ:L:2020:433I: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C7C941575C2545AF116990E854B5C4" ma:contentTypeVersion="6" ma:contentTypeDescription="Create a new document." ma:contentTypeScope="" ma:versionID="3213f0b9b0488fee1ddb722ace8479b0">
  <xsd:schema xmlns:xsd="http://www.w3.org/2001/XMLSchema" xmlns:xs="http://www.w3.org/2001/XMLSchema" xmlns:p="http://schemas.microsoft.com/office/2006/metadata/properties" xmlns:ns2="9bc74308-a4e2-4ca5-8c11-2fd9f3a3f294" xmlns:ns3="dd2bd6db-d22a-4909-bda6-7740b4056914" targetNamespace="http://schemas.microsoft.com/office/2006/metadata/properties" ma:root="true" ma:fieldsID="ac533d230821f927771a06569944e9e1" ns2:_="" ns3:_="">
    <xsd:import namespace="9bc74308-a4e2-4ca5-8c11-2fd9f3a3f294"/>
    <xsd:import namespace="dd2bd6db-d22a-4909-bda6-7740b40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74308-a4e2-4ca5-8c11-2fd9f3a3f2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2bd6db-d22a-4909-bda6-7740b40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9590C-C093-4C5F-ACD7-77D2DF4098F4}">
  <ds:schemaRefs>
    <ds:schemaRef ds:uri="http://schemas.microsoft.com/sharepoint/v3/contenttype/forms"/>
  </ds:schemaRefs>
</ds:datastoreItem>
</file>

<file path=customXml/itemProps2.xml><?xml version="1.0" encoding="utf-8"?>
<ds:datastoreItem xmlns:ds="http://schemas.openxmlformats.org/officeDocument/2006/customXml" ds:itemID="{0BB27926-B216-4926-861B-C4A88D61E0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AC2CF9-9BCA-4A52-9461-DAE69E095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74308-a4e2-4ca5-8c11-2fd9f3a3f294"/>
    <ds:schemaRef ds:uri="dd2bd6db-d22a-4909-bda6-7740b40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4F896-1F3F-4CE8-9DF0-B1DF1EF229BF}">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6</TotalTime>
  <Pages>7</Pages>
  <Words>2114</Words>
  <Characters>12052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14138</CharactersWithSpaces>
  <SharedDoc>false</SharedDoc>
  <HLinks>
    <vt:vector size="24" baseType="variant">
      <vt:variant>
        <vt:i4>3473462</vt:i4>
      </vt:variant>
      <vt:variant>
        <vt:i4>9</vt:i4>
      </vt:variant>
      <vt:variant>
        <vt:i4>0</vt:i4>
      </vt:variant>
      <vt:variant>
        <vt:i4>5</vt:i4>
      </vt:variant>
      <vt:variant>
        <vt:lpwstr>https://eur-lex.europa.eu/legal-content/EN/AUTO/?uri=OJ:L:2020:433I:TOC</vt:lpwstr>
      </vt:variant>
      <vt:variant>
        <vt:lpwstr/>
      </vt:variant>
      <vt:variant>
        <vt:i4>7209067</vt:i4>
      </vt:variant>
      <vt:variant>
        <vt:i4>6</vt:i4>
      </vt:variant>
      <vt:variant>
        <vt:i4>0</vt:i4>
      </vt:variant>
      <vt:variant>
        <vt:i4>5</vt:i4>
      </vt:variant>
      <vt:variant>
        <vt:lpwstr>http://data.europa.eu/eli/reg/2022/2463/oj</vt:lpwstr>
      </vt:variant>
      <vt:variant>
        <vt:lpwstr/>
      </vt:variant>
      <vt:variant>
        <vt:i4>4390933</vt:i4>
      </vt:variant>
      <vt:variant>
        <vt:i4>3</vt:i4>
      </vt:variant>
      <vt:variant>
        <vt:i4>0</vt:i4>
      </vt:variant>
      <vt:variant>
        <vt:i4>5</vt:i4>
      </vt:variant>
      <vt:variant>
        <vt:lpwstr>http://data.europa.eu/eli/reg/2024/792/oj</vt:lpwstr>
      </vt:variant>
      <vt:variant>
        <vt:lpwstr/>
      </vt:variant>
      <vt:variant>
        <vt:i4>7209067</vt:i4>
      </vt:variant>
      <vt:variant>
        <vt:i4>0</vt:i4>
      </vt:variant>
      <vt:variant>
        <vt:i4>0</vt:i4>
      </vt:variant>
      <vt:variant>
        <vt:i4>5</vt:i4>
      </vt:variant>
      <vt:variant>
        <vt:lpwstr>http://data.europa.eu/eli/reg/2022/2463/oj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2026-01-13T20:52:00Z</dcterms:created>
  <dcterms:modified xsi:type="dcterms:W3CDTF">2026-01-16T12:44:00Z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2026-01-06T12:23:13Z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5d7110c7-a32c-4263-b5b8-8a2555287a2f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0x01010063C7C941575C2545AF116990E854B5C4</vt:lpwstr>
  </property>
  <property fmtid="{D5CDD505-2E9C-101B-9397-08002B2CF9AE}" pid="19" name="DQCStatus">
    <vt:lpwstr>Green (DQC version 03)</vt:lpwstr>
  </property>
</Properties>
</file>