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138" w:rsidRPr="009B6C61" w:rsidRDefault="00E16285" w:rsidP="00E1628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39F2F10-7975-4D49-B385-05AD323DA206" style="width:455.25pt;height:342.75pt">
            <v:imagedata r:id="rId11" o:title=""/>
          </v:shape>
        </w:pict>
      </w:r>
    </w:p>
    <w:p w:rsidR="00C94138" w:rsidRPr="009B6C61" w:rsidRDefault="00C94138" w:rsidP="00C94138">
      <w:pPr>
        <w:rPr>
          <w:noProof/>
        </w:rPr>
        <w:sectPr w:rsidR="00C94138" w:rsidRPr="009B6C61" w:rsidSect="00E16285">
          <w:footerReference w:type="even" r:id="rId12"/>
          <w:footerReference w:type="default" r:id="rId13"/>
          <w:pgSz w:w="11907" w:h="16839"/>
          <w:pgMar w:top="1134" w:right="1417" w:bottom="1134" w:left="1417" w:header="709" w:footer="709" w:gutter="0"/>
          <w:pgNumType w:start="0"/>
          <w:cols w:space="720"/>
          <w:docGrid w:linePitch="360"/>
        </w:sectPr>
      </w:pPr>
    </w:p>
    <w:p w:rsidR="00C94138" w:rsidRPr="009B6C61" w:rsidRDefault="00C94138">
      <w:pPr>
        <w:pStyle w:val="Exposdesmotifstitre"/>
        <w:rPr>
          <w:noProof/>
        </w:rPr>
      </w:pPr>
      <w:bookmarkStart w:id="0" w:name="_GoBack"/>
      <w:bookmarkEnd w:id="0"/>
      <w:r w:rsidRPr="009B6C61">
        <w:rPr>
          <w:noProof/>
        </w:rPr>
        <w:lastRenderedPageBreak/>
        <w:t>EXPUNERE DE MOTIVE</w:t>
      </w:r>
    </w:p>
    <w:p w:rsidR="00071B73" w:rsidRPr="009B6C61" w:rsidRDefault="00071B73" w:rsidP="00071B73">
      <w:pPr>
        <w:rPr>
          <w:noProof/>
        </w:rPr>
      </w:pPr>
    </w:p>
    <w:p w:rsidR="00C94138" w:rsidRPr="009B6C61" w:rsidRDefault="00C94138">
      <w:pPr>
        <w:pStyle w:val="ManualHeading1"/>
        <w:rPr>
          <w:noProof/>
        </w:rPr>
      </w:pPr>
      <w:r w:rsidRPr="009B6C61">
        <w:rPr>
          <w:noProof/>
        </w:rPr>
        <w:t>1.</w:t>
      </w:r>
      <w:r w:rsidRPr="009B6C61">
        <w:rPr>
          <w:noProof/>
        </w:rPr>
        <w:tab/>
        <w:t>CONTEXTUL PROPUNERII</w:t>
      </w:r>
    </w:p>
    <w:p w:rsidR="00C94138" w:rsidRPr="009B6C61" w:rsidRDefault="00C94138">
      <w:pPr>
        <w:pStyle w:val="ManualHeading2"/>
        <w:rPr>
          <w:rFonts w:eastAsia="Arial Unicode MS"/>
          <w:noProof/>
        </w:rPr>
      </w:pPr>
      <w:r w:rsidRPr="009B6C61">
        <w:rPr>
          <w:noProof/>
          <w:color w:val="000000"/>
          <w:u w:color="000000"/>
          <w:bdr w:val="nil"/>
        </w:rPr>
        <w:t>•</w:t>
      </w:r>
      <w:r w:rsidRPr="009B6C61">
        <w:rPr>
          <w:noProof/>
        </w:rPr>
        <w:tab/>
        <w:t>Motivele și obiectivele propunerii</w:t>
      </w:r>
    </w:p>
    <w:p w:rsidR="006514F1" w:rsidRPr="009B6C61" w:rsidRDefault="006514F1" w:rsidP="006514F1">
      <w:pPr>
        <w:pBdr>
          <w:top w:val="nil"/>
          <w:left w:val="nil"/>
          <w:bottom w:val="nil"/>
          <w:right w:val="nil"/>
          <w:between w:val="nil"/>
          <w:bar w:val="nil"/>
        </w:pBdr>
        <w:spacing w:before="0" w:after="240"/>
        <w:rPr>
          <w:noProof/>
        </w:rPr>
      </w:pPr>
      <w:r w:rsidRPr="009B6C61">
        <w:rPr>
          <w:noProof/>
        </w:rPr>
        <w:t>Prezenta propunere de modificare a Regulamentului (UE, Euratom) 2020/2093</w:t>
      </w:r>
      <w:r w:rsidRPr="009B6C61">
        <w:rPr>
          <w:rStyle w:val="FootnoteReference"/>
          <w:rFonts w:eastAsia="Arial Unicode MS"/>
          <w:noProof/>
        </w:rPr>
        <w:footnoteReference w:id="2"/>
      </w:r>
      <w:r w:rsidRPr="009B6C61">
        <w:rPr>
          <w:noProof/>
        </w:rPr>
        <w:t xml:space="preserve"> este înaintată împreună cu Propunerea de regulament de instituire a Împrumutului pentru </w:t>
      </w:r>
      <w:r w:rsidRPr="009B6C61">
        <w:rPr>
          <w:rStyle w:val="Added"/>
          <w:b w:val="0"/>
          <w:noProof/>
          <w:u w:val="none"/>
        </w:rPr>
        <w:t>sprijinirea Ucrainei</w:t>
      </w:r>
      <w:r w:rsidRPr="009B6C61">
        <w:rPr>
          <w:noProof/>
        </w:rPr>
        <w:t xml:space="preserve"> și de modificare a Regulamentului (UE) 2024/792 de instituire a Mecanismului pentru Ucraina</w:t>
      </w:r>
      <w:r w:rsidRPr="009B6C61">
        <w:rPr>
          <w:rStyle w:val="FootnoteReference"/>
          <w:rFonts w:eastAsia="Arial Unicode MS"/>
          <w:noProof/>
        </w:rPr>
        <w:footnoteReference w:id="3"/>
      </w:r>
      <w:r w:rsidRPr="009B6C61">
        <w:rPr>
          <w:noProof/>
        </w:rPr>
        <w:t>.</w:t>
      </w:r>
    </w:p>
    <w:p w:rsidR="006514F1" w:rsidRPr="009B6C61" w:rsidRDefault="006514F1" w:rsidP="006514F1">
      <w:pPr>
        <w:pBdr>
          <w:top w:val="nil"/>
          <w:left w:val="nil"/>
          <w:bottom w:val="nil"/>
          <w:right w:val="nil"/>
          <w:between w:val="nil"/>
          <w:bar w:val="nil"/>
        </w:pBdr>
        <w:spacing w:before="0" w:after="240"/>
        <w:rPr>
          <w:noProof/>
        </w:rPr>
      </w:pPr>
      <w:r w:rsidRPr="009B6C61">
        <w:rPr>
          <w:noProof/>
        </w:rPr>
        <w:t>În urma invadării neprovocate și nejustificate a Ucrainei de către Rusia, Uniunea a oferit un sprijin substanțial Ucrainei printr-o serie de măsuri financiare. Ucraina va avea nevoie de asistență continuă, care ar trebui furnizată în temeiul</w:t>
      </w:r>
      <w:r w:rsidR="00A817CB">
        <w:rPr>
          <w:noProof/>
        </w:rPr>
        <w:t xml:space="preserve"> </w:t>
      </w:r>
      <w:r w:rsidRPr="009B6C61">
        <w:rPr>
          <w:noProof/>
        </w:rPr>
        <w:t xml:space="preserve">noului regulament propus de instituire a Împrumutului </w:t>
      </w:r>
      <w:r w:rsidRPr="009B6C61">
        <w:rPr>
          <w:rStyle w:val="Added"/>
          <w:b w:val="0"/>
          <w:noProof/>
          <w:u w:val="none"/>
        </w:rPr>
        <w:t>pentru sprijinirea Ucrainei</w:t>
      </w:r>
      <w:r w:rsidRPr="009B6C61">
        <w:rPr>
          <w:noProof/>
        </w:rPr>
        <w:t>.</w:t>
      </w:r>
    </w:p>
    <w:p w:rsidR="006514F1" w:rsidRPr="009B6C61" w:rsidRDefault="006514F1" w:rsidP="006514F1">
      <w:pPr>
        <w:pBdr>
          <w:top w:val="nil"/>
          <w:left w:val="nil"/>
          <w:bottom w:val="nil"/>
          <w:right w:val="nil"/>
          <w:between w:val="nil"/>
          <w:bar w:val="nil"/>
        </w:pBdr>
        <w:spacing w:before="0" w:after="240"/>
        <w:rPr>
          <w:noProof/>
        </w:rPr>
      </w:pPr>
      <w:r w:rsidRPr="009B6C61">
        <w:rPr>
          <w:noProof/>
        </w:rPr>
        <w:t>Modificarea Regulamentului (UE, Euratom) 2020/2093, care va extinde garanția bugetară care se aplică, de regulă, în prezent împrumuturilor acordate Ucrainei în cadrul instrumentului AMF+</w:t>
      </w:r>
      <w:r w:rsidRPr="009B6C61">
        <w:rPr>
          <w:rStyle w:val="FootnoteReference"/>
          <w:noProof/>
        </w:rPr>
        <w:footnoteReference w:id="4"/>
      </w:r>
      <w:r w:rsidRPr="009B6C61">
        <w:rPr>
          <w:noProof/>
        </w:rPr>
        <w:t>, al Mecanismului pentru Ucraina</w:t>
      </w:r>
      <w:r w:rsidRPr="009B6C61">
        <w:rPr>
          <w:rStyle w:val="FootnoteReference"/>
          <w:noProof/>
        </w:rPr>
        <w:footnoteReference w:id="5"/>
      </w:r>
      <w:r w:rsidRPr="009B6C61">
        <w:rPr>
          <w:noProof/>
        </w:rPr>
        <w:t xml:space="preserve"> și al AMF acordate Ucrainei în cadrul Mecanismului de cooperare în materie de împrumuturi pentru Ucraina</w:t>
      </w:r>
      <w:r w:rsidRPr="009B6C61">
        <w:rPr>
          <w:rStyle w:val="FootnoteReference"/>
          <w:noProof/>
        </w:rPr>
        <w:footnoteReference w:id="6"/>
      </w:r>
      <w:r w:rsidRPr="009B6C61">
        <w:rPr>
          <w:noProof/>
        </w:rPr>
        <w:t>, acoperă, de asemenea, asistența financiară acordată Ucrainei în temeiul Regulamentului (UE) XXX/XXX al Parlamentului European și al Consiliului. Garanția respectivă ar trebui să asigure faptul că resursele necesare sunt întotdeauna disponibile în timp util, astfel încât Uniunea să își îndeplinească toate obligațiile financiare pe care le are față de creditorii săi. În consecință, dacă Uniunea trebuie să își onoreze obligațiile de rambursare din resursele disponibile în bugetul Uniunii – în cazul în care un stat beneficiar nu efectuează la timp plata datorată – sumele necesare vor fi mobilizate peste plafoanele din CFM până la limitele plafonului resurselor proprii (din așa-numita „marjă de manevră”).</w:t>
      </w:r>
    </w:p>
    <w:p w:rsidR="00ED104C" w:rsidRPr="009B6C61" w:rsidRDefault="006514F1" w:rsidP="006514F1">
      <w:pPr>
        <w:pBdr>
          <w:top w:val="nil"/>
          <w:left w:val="nil"/>
          <w:bottom w:val="nil"/>
          <w:right w:val="nil"/>
          <w:between w:val="nil"/>
          <w:bar w:val="nil"/>
        </w:pBdr>
        <w:spacing w:before="0" w:after="240"/>
        <w:rPr>
          <w:rStyle w:val="Added"/>
          <w:b w:val="0"/>
          <w:noProof/>
          <w:u w:val="none"/>
        </w:rPr>
      </w:pPr>
      <w:r w:rsidRPr="009B6C61">
        <w:rPr>
          <w:noProof/>
        </w:rPr>
        <w:t xml:space="preserve">Acoperirea bugetară din marja de manevră ar trebui să se aplice asistenței financiare acordată Ucrainei sub forma unui împrumut </w:t>
      </w:r>
      <w:r w:rsidRPr="009B6C61">
        <w:rPr>
          <w:rStyle w:val="Added"/>
          <w:b w:val="0"/>
          <w:noProof/>
          <w:u w:val="none"/>
        </w:rPr>
        <w:t>în valoare de 90 000 000 000 EUR</w:t>
      </w:r>
      <w:r w:rsidRPr="009B6C61">
        <w:rPr>
          <w:noProof/>
        </w:rPr>
        <w:t xml:space="preserve">, care urmează </w:t>
      </w:r>
      <w:r w:rsidRPr="009B6C61">
        <w:rPr>
          <w:rStyle w:val="Added"/>
          <w:b w:val="0"/>
          <w:noProof/>
          <w:u w:val="none"/>
        </w:rPr>
        <w:t xml:space="preserve">să fie pus în aplicare în cadrul cooperării consolidate. </w:t>
      </w:r>
    </w:p>
    <w:p w:rsidR="006514F1" w:rsidRPr="009B6C61" w:rsidRDefault="47BF2AB2" w:rsidP="74B10694">
      <w:pPr>
        <w:spacing w:before="0" w:after="240"/>
        <w:rPr>
          <w:rStyle w:val="Added"/>
          <w:b w:val="0"/>
          <w:noProof/>
          <w:u w:val="none"/>
        </w:rPr>
      </w:pPr>
      <w:r w:rsidRPr="009B6C61">
        <w:rPr>
          <w:rStyle w:val="Added"/>
          <w:b w:val="0"/>
          <w:noProof/>
          <w:u w:val="none"/>
        </w:rPr>
        <w:t>Sprijin preferențial pentru Ucraina</w:t>
      </w:r>
    </w:p>
    <w:p w:rsidR="006514F1" w:rsidRPr="009B6C61" w:rsidRDefault="006514F1" w:rsidP="006514F1">
      <w:pPr>
        <w:spacing w:before="0" w:after="240"/>
        <w:rPr>
          <w:rStyle w:val="Added"/>
          <w:b w:val="0"/>
          <w:noProof/>
          <w:u w:val="none"/>
        </w:rPr>
      </w:pPr>
      <w:r w:rsidRPr="009B6C61">
        <w:rPr>
          <w:rStyle w:val="Added"/>
          <w:b w:val="0"/>
          <w:noProof/>
          <w:u w:val="none"/>
        </w:rPr>
        <w:t>Pentru a oferi sprijin preferențial Ucrainei și pentru a evita creșterea presiunilor asupra finanțelor publice ale Ucrainei, bugetul Uniunii va acoperi costurile îndatorării care decurg din contractarea unui</w:t>
      </w:r>
      <w:r w:rsidR="00A817CB">
        <w:rPr>
          <w:rStyle w:val="Added"/>
          <w:b w:val="0"/>
          <w:noProof/>
          <w:u w:val="none"/>
        </w:rPr>
        <w:t xml:space="preserve"> </w:t>
      </w:r>
      <w:r w:rsidRPr="009B6C61">
        <w:rPr>
          <w:rStyle w:val="Added"/>
          <w:b w:val="0"/>
          <w:noProof/>
          <w:u w:val="none"/>
        </w:rPr>
        <w:t xml:space="preserve">împrumut, prin acordarea unei subvenții pentru costurile îndatorării. Aceste costuri includ costurile cu serviciul datoriei </w:t>
      </w:r>
      <w:r w:rsidRPr="009B6C61">
        <w:rPr>
          <w:noProof/>
        </w:rPr>
        <w:t xml:space="preserve">(costul finanțării și costurile de emitere și gestionare a lichidităților) și costurile administrative aferente. </w:t>
      </w:r>
      <w:r w:rsidRPr="009B6C61">
        <w:rPr>
          <w:rStyle w:val="Added"/>
          <w:b w:val="0"/>
          <w:noProof/>
          <w:u w:val="none"/>
        </w:rPr>
        <w:t>Costurile cu serviciul datoriei vor fi finanțate în cadrul unui nou instrument special tematic, „Împrumutul pentru sprijinirea Ucrainei”, peste plafoanele CFM. Atunci când se mobilizează instrumentul „Împrumutul pentru sprijinirea Ucrainei” în cadrul procedurii bugetare, vor fi luate în considerare disponibilitățile bugetare din alte instrumente speciale, normele sectoriale aplicabile, orice obligație juridică sau de altă natură, inclusiv în cadrul instrumentului EURI, prioritățile, prudența bugetară și buna gestiune financiară.</w:t>
      </w:r>
      <w:r w:rsidR="00A817CB">
        <w:rPr>
          <w:rStyle w:val="Added"/>
          <w:b w:val="0"/>
          <w:noProof/>
          <w:u w:val="none"/>
        </w:rPr>
        <w:t xml:space="preserve"> </w:t>
      </w:r>
    </w:p>
    <w:p w:rsidR="009B30E3" w:rsidRPr="009B6C61" w:rsidRDefault="009B30E3" w:rsidP="006514F1">
      <w:pPr>
        <w:spacing w:before="0" w:after="240"/>
        <w:rPr>
          <w:rStyle w:val="Added"/>
          <w:noProof/>
        </w:rPr>
      </w:pPr>
    </w:p>
    <w:p w:rsidR="00C94138" w:rsidRPr="009B6C61" w:rsidRDefault="00C94138">
      <w:pPr>
        <w:pStyle w:val="ManualHeading1"/>
        <w:rPr>
          <w:noProof/>
        </w:rPr>
      </w:pPr>
      <w:r w:rsidRPr="009B6C61">
        <w:rPr>
          <w:noProof/>
        </w:rPr>
        <w:t>2.</w:t>
      </w:r>
      <w:r w:rsidRPr="009B6C61">
        <w:rPr>
          <w:noProof/>
        </w:rPr>
        <w:tab/>
        <w:t>TEMEI JURIDIC, SUBSIDIARITATE ȘI PROPORȚIONALITATE</w:t>
      </w:r>
    </w:p>
    <w:p w:rsidR="00C94138" w:rsidRPr="009B6C61" w:rsidRDefault="00C94138">
      <w:pPr>
        <w:pStyle w:val="ManualHeading2"/>
        <w:rPr>
          <w:rFonts w:eastAsia="Arial Unicode MS"/>
          <w:noProof/>
          <w:u w:color="000000"/>
          <w:bdr w:val="nil"/>
        </w:rPr>
      </w:pPr>
      <w:r w:rsidRPr="009B6C61">
        <w:rPr>
          <w:noProof/>
          <w:u w:color="000000"/>
          <w:bdr w:val="nil"/>
        </w:rPr>
        <w:t>•</w:t>
      </w:r>
      <w:r w:rsidRPr="009B6C61">
        <w:rPr>
          <w:noProof/>
        </w:rPr>
        <w:tab/>
      </w:r>
      <w:r w:rsidRPr="009B6C61">
        <w:rPr>
          <w:noProof/>
          <w:u w:color="000000"/>
          <w:bdr w:val="nil"/>
        </w:rPr>
        <w:t>Temeiul juridic</w:t>
      </w:r>
    </w:p>
    <w:p w:rsidR="00C94138" w:rsidRPr="009B6C61" w:rsidRDefault="006514F1">
      <w:pPr>
        <w:pBdr>
          <w:top w:val="nil"/>
          <w:left w:val="nil"/>
          <w:bottom w:val="nil"/>
          <w:right w:val="nil"/>
          <w:between w:val="nil"/>
          <w:bar w:val="nil"/>
        </w:pBdr>
        <w:spacing w:before="0" w:after="240"/>
        <w:rPr>
          <w:rFonts w:eastAsia="Arial Unicode MS"/>
          <w:noProof/>
        </w:rPr>
      </w:pPr>
      <w:r w:rsidRPr="009B6C61">
        <w:rPr>
          <w:noProof/>
        </w:rPr>
        <w:t>Articolul 312 din TFUE constituie temeiul juridic pentru adoptarea cadrului financiar multianual.</w:t>
      </w:r>
    </w:p>
    <w:p w:rsidR="00C94138" w:rsidRPr="009B6C61" w:rsidRDefault="00C94138">
      <w:pPr>
        <w:pStyle w:val="ManualHeading2"/>
        <w:rPr>
          <w:rFonts w:eastAsia="Arial Unicode MS"/>
          <w:noProof/>
          <w:u w:color="000000"/>
          <w:bdr w:val="nil"/>
        </w:rPr>
      </w:pPr>
      <w:r w:rsidRPr="009B6C61">
        <w:rPr>
          <w:noProof/>
          <w:u w:color="000000"/>
          <w:bdr w:val="nil"/>
        </w:rPr>
        <w:t>•</w:t>
      </w:r>
      <w:r w:rsidRPr="009B6C61">
        <w:rPr>
          <w:noProof/>
        </w:rPr>
        <w:tab/>
      </w:r>
      <w:r w:rsidRPr="009B6C61">
        <w:rPr>
          <w:noProof/>
          <w:u w:color="000000"/>
          <w:bdr w:val="nil"/>
        </w:rPr>
        <w:t xml:space="preserve">Subsidiaritatea (în cazul competențelor neexclusive) </w:t>
      </w:r>
    </w:p>
    <w:p w:rsidR="00C94138" w:rsidRPr="009B6C61" w:rsidRDefault="006514F1">
      <w:pPr>
        <w:pBdr>
          <w:top w:val="nil"/>
          <w:left w:val="nil"/>
          <w:bottom w:val="nil"/>
          <w:right w:val="nil"/>
          <w:between w:val="nil"/>
          <w:bar w:val="nil"/>
        </w:pBdr>
        <w:spacing w:before="0" w:after="240"/>
        <w:rPr>
          <w:noProof/>
        </w:rPr>
      </w:pPr>
      <w:r w:rsidRPr="009B6C61">
        <w:rPr>
          <w:noProof/>
        </w:rPr>
        <w:t>Inițiativa se înscrie într-un domeniu de politică în care UE are competențe exclusive (în temeiul articolului 312 din TFUE). În consecință, principiul subsidiarității nu se aplică.</w:t>
      </w:r>
    </w:p>
    <w:p w:rsidR="00C94138" w:rsidRPr="009B6C61" w:rsidRDefault="00C94138">
      <w:pPr>
        <w:pStyle w:val="ManualHeading2"/>
        <w:rPr>
          <w:rFonts w:eastAsia="Arial Unicode MS"/>
          <w:noProof/>
          <w:u w:color="000000"/>
          <w:bdr w:val="nil"/>
        </w:rPr>
      </w:pPr>
      <w:r w:rsidRPr="009B6C61">
        <w:rPr>
          <w:noProof/>
          <w:u w:color="000000"/>
          <w:bdr w:val="nil"/>
        </w:rPr>
        <w:t>•</w:t>
      </w:r>
      <w:r w:rsidRPr="009B6C61">
        <w:rPr>
          <w:noProof/>
        </w:rPr>
        <w:tab/>
      </w:r>
      <w:r w:rsidRPr="009B6C61">
        <w:rPr>
          <w:noProof/>
          <w:u w:color="000000"/>
          <w:bdr w:val="nil"/>
        </w:rPr>
        <w:t>Proporționalitatea</w:t>
      </w:r>
    </w:p>
    <w:p w:rsidR="006514F1" w:rsidRPr="009B6C61" w:rsidRDefault="006514F1" w:rsidP="006514F1">
      <w:pPr>
        <w:pBdr>
          <w:top w:val="nil"/>
          <w:left w:val="nil"/>
          <w:bottom w:val="nil"/>
          <w:right w:val="nil"/>
          <w:between w:val="nil"/>
          <w:bar w:val="nil"/>
        </w:pBdr>
        <w:spacing w:before="0" w:after="240"/>
        <w:rPr>
          <w:noProof/>
        </w:rPr>
      </w:pPr>
      <w:r w:rsidRPr="009B6C61">
        <w:rPr>
          <w:noProof/>
        </w:rPr>
        <w:t>Modificările sunt proporționale cu nevoia urgentă de a institui un instrument pentru acordarea de sprijin Ucrainei, care poate fi pus în aplicare numai după ce se stabilește acoperirea bugetară a împrumuturilor acordate Ucrainei.</w:t>
      </w:r>
    </w:p>
    <w:p w:rsidR="006514F1" w:rsidRPr="009B6C61" w:rsidRDefault="006514F1" w:rsidP="006514F1">
      <w:pPr>
        <w:pStyle w:val="ManualHeading2"/>
        <w:rPr>
          <w:rFonts w:eastAsia="Arial Unicode MS"/>
          <w:noProof/>
          <w:u w:color="000000"/>
          <w:bdr w:val="nil"/>
        </w:rPr>
      </w:pPr>
      <w:r w:rsidRPr="009B6C61">
        <w:rPr>
          <w:noProof/>
          <w:u w:color="000000"/>
          <w:bdr w:val="nil"/>
        </w:rPr>
        <w:t>•</w:t>
      </w:r>
      <w:r w:rsidRPr="009B6C61">
        <w:rPr>
          <w:noProof/>
        </w:rPr>
        <w:tab/>
      </w:r>
      <w:r w:rsidRPr="009B6C61">
        <w:rPr>
          <w:noProof/>
          <w:u w:color="000000"/>
          <w:bdr w:val="nil"/>
        </w:rPr>
        <w:t>Explicarea detaliată a dispozițiilor specifice ale propunerii</w:t>
      </w:r>
    </w:p>
    <w:p w:rsidR="006514F1" w:rsidRPr="009B6C61" w:rsidRDefault="006514F1" w:rsidP="006514F1">
      <w:pPr>
        <w:pBdr>
          <w:top w:val="nil"/>
          <w:left w:val="nil"/>
          <w:bottom w:val="nil"/>
          <w:right w:val="nil"/>
          <w:between w:val="nil"/>
          <w:bar w:val="nil"/>
        </w:pBdr>
        <w:spacing w:before="0" w:after="240"/>
        <w:rPr>
          <w:rStyle w:val="Added"/>
          <w:noProof/>
        </w:rPr>
      </w:pPr>
      <w:r w:rsidRPr="009B6C61">
        <w:rPr>
          <w:rStyle w:val="Added"/>
          <w:noProof/>
        </w:rPr>
        <w:t>Capitolul I – Dispoziții generale</w:t>
      </w:r>
    </w:p>
    <w:p w:rsidR="006514F1" w:rsidRPr="009B6C61" w:rsidRDefault="006514F1" w:rsidP="006514F1">
      <w:pPr>
        <w:pBdr>
          <w:top w:val="nil"/>
          <w:left w:val="nil"/>
          <w:bottom w:val="nil"/>
          <w:right w:val="nil"/>
          <w:between w:val="nil"/>
          <w:bar w:val="nil"/>
        </w:pBdr>
        <w:spacing w:before="0" w:after="240"/>
        <w:rPr>
          <w:rStyle w:val="Added"/>
          <w:noProof/>
        </w:rPr>
      </w:pPr>
      <w:r w:rsidRPr="009B6C61">
        <w:rPr>
          <w:rStyle w:val="Added"/>
          <w:noProof/>
        </w:rPr>
        <w:t>Articolul 2 – Respectarea plafoanelor din CFM</w:t>
      </w:r>
    </w:p>
    <w:p w:rsidR="006514F1" w:rsidRPr="009B6C61" w:rsidRDefault="006514F1" w:rsidP="006514F1">
      <w:pPr>
        <w:pBdr>
          <w:top w:val="nil"/>
          <w:left w:val="nil"/>
          <w:bottom w:val="nil"/>
          <w:right w:val="nil"/>
          <w:between w:val="nil"/>
          <w:bar w:val="nil"/>
        </w:pBdr>
        <w:spacing w:before="0" w:after="240"/>
        <w:rPr>
          <w:noProof/>
        </w:rPr>
      </w:pPr>
      <w:r w:rsidRPr="009B6C61">
        <w:rPr>
          <w:noProof/>
        </w:rPr>
        <w:t>În temeiul dispozițiilor existente ale articolului 2 alineatul (3)</w:t>
      </w:r>
      <w:r w:rsidR="00A817CB">
        <w:rPr>
          <w:noProof/>
        </w:rPr>
        <w:t xml:space="preserve"> </w:t>
      </w:r>
      <w:r w:rsidRPr="009B6C61">
        <w:rPr>
          <w:noProof/>
        </w:rPr>
        <w:t xml:space="preserve">din Regulamentul (UE, Euratom) 2020/2093, cuantumurile necesare pentru onorarea obligațiilor de rambursare ale Uniunii în cadrul operațiunilor de împrumut și de credit în cazul în care Uniunea nu primește de la statul beneficiar plata la timp (și anume, mobilizarea unei garanții pentru asistență financiară acordată statelor membre și Ucrainei) vor fi mobilizate peste plafoanele din CFM. </w:t>
      </w:r>
    </w:p>
    <w:p w:rsidR="006514F1" w:rsidRPr="009B6C61" w:rsidRDefault="006514F1" w:rsidP="006514F1">
      <w:pPr>
        <w:pBdr>
          <w:top w:val="nil"/>
          <w:left w:val="nil"/>
          <w:bottom w:val="nil"/>
          <w:right w:val="nil"/>
          <w:between w:val="nil"/>
          <w:bar w:val="nil"/>
        </w:pBdr>
        <w:spacing w:before="0" w:after="240"/>
        <w:rPr>
          <w:noProof/>
        </w:rPr>
      </w:pPr>
      <w:r w:rsidRPr="009B6C61">
        <w:rPr>
          <w:noProof/>
        </w:rPr>
        <w:t xml:space="preserve">Cuantumul mobilizat nu poate antrena depășirea limitelor plafonului aferent resurselor proprii. Dispoziția care extinde acoperirea bugetară de la marja de manevră la garanția pentru asistența financiară acordată Ucrainei în temeiul Regulamentului privind Împrumutul pentru </w:t>
      </w:r>
      <w:r w:rsidRPr="009B6C61">
        <w:rPr>
          <w:rStyle w:val="Added"/>
          <w:b w:val="0"/>
          <w:noProof/>
          <w:u w:val="none"/>
        </w:rPr>
        <w:t>sprijinirea Ucrainei</w:t>
      </w:r>
      <w:r w:rsidRPr="009B6C61">
        <w:rPr>
          <w:noProof/>
        </w:rPr>
        <w:t xml:space="preserve"> este, prin urmare, compatibilă cu alineatele (1) și (3) din articolul 312 din TFUE, în temeiul cărora CFM „</w:t>
      </w:r>
      <w:r w:rsidRPr="009B6C61">
        <w:rPr>
          <w:i/>
          <w:iCs/>
          <w:noProof/>
        </w:rPr>
        <w:t>vizează asigurarea evoluției ordonate a cheltuielilor Uniunii în limita resurselor proprii</w:t>
      </w:r>
      <w:r w:rsidRPr="009B6C61">
        <w:rPr>
          <w:noProof/>
        </w:rPr>
        <w:t>” și „</w:t>
      </w:r>
      <w:r w:rsidRPr="009B6C61">
        <w:rPr>
          <w:i/>
          <w:iCs/>
          <w:noProof/>
        </w:rPr>
        <w:t>prevede orice alte dispoziții utile bunei desfășurări a procedurii bugetare anuale</w:t>
      </w:r>
      <w:r w:rsidRPr="009B6C61">
        <w:rPr>
          <w:noProof/>
        </w:rPr>
        <w:t>”.</w:t>
      </w:r>
    </w:p>
    <w:p w:rsidR="006514F1" w:rsidRPr="009B6C61" w:rsidRDefault="006514F1" w:rsidP="006514F1">
      <w:pPr>
        <w:pBdr>
          <w:top w:val="nil"/>
          <w:left w:val="nil"/>
          <w:bottom w:val="nil"/>
          <w:right w:val="nil"/>
          <w:between w:val="nil"/>
          <w:bar w:val="nil"/>
        </w:pBdr>
        <w:spacing w:before="0" w:after="240"/>
        <w:rPr>
          <w:rStyle w:val="Added"/>
          <w:noProof/>
        </w:rPr>
      </w:pPr>
      <w:r w:rsidRPr="009B6C61">
        <w:rPr>
          <w:rStyle w:val="Added"/>
          <w:noProof/>
        </w:rPr>
        <w:t>Capitolul 3 – Instrumente speciale</w:t>
      </w:r>
    </w:p>
    <w:p w:rsidR="006514F1" w:rsidRPr="009B6C61" w:rsidRDefault="006514F1" w:rsidP="006514F1">
      <w:pPr>
        <w:pBdr>
          <w:top w:val="nil"/>
          <w:left w:val="nil"/>
          <w:bottom w:val="nil"/>
          <w:right w:val="nil"/>
          <w:between w:val="nil"/>
          <w:bar w:val="nil"/>
        </w:pBdr>
        <w:spacing w:before="0" w:after="240"/>
        <w:rPr>
          <w:rStyle w:val="Added"/>
          <w:noProof/>
        </w:rPr>
      </w:pPr>
      <w:r w:rsidRPr="009B6C61">
        <w:rPr>
          <w:rStyle w:val="Added"/>
          <w:noProof/>
        </w:rPr>
        <w:t>Secțiunea 1 – Instrumente speciale tematice</w:t>
      </w:r>
    </w:p>
    <w:p w:rsidR="006514F1" w:rsidRPr="009B6C61" w:rsidRDefault="006514F1" w:rsidP="006514F1">
      <w:pPr>
        <w:pBdr>
          <w:top w:val="nil"/>
          <w:left w:val="nil"/>
          <w:bottom w:val="nil"/>
          <w:right w:val="nil"/>
          <w:between w:val="nil"/>
          <w:bar w:val="nil"/>
        </w:pBdr>
        <w:spacing w:before="0" w:after="240"/>
        <w:rPr>
          <w:rStyle w:val="Added"/>
          <w:noProof/>
        </w:rPr>
      </w:pPr>
      <w:r w:rsidRPr="009B6C61">
        <w:rPr>
          <w:rStyle w:val="Added"/>
          <w:noProof/>
        </w:rPr>
        <w:t>Articolul 10c – Instrumentul „Împrumutul pentru sprijinirea Ucrainei”</w:t>
      </w:r>
    </w:p>
    <w:p w:rsidR="006514F1" w:rsidRPr="009B6C61" w:rsidRDefault="006514F1" w:rsidP="006514F1">
      <w:pPr>
        <w:pBdr>
          <w:top w:val="nil"/>
          <w:left w:val="nil"/>
          <w:bottom w:val="nil"/>
          <w:right w:val="nil"/>
          <w:between w:val="nil"/>
          <w:bar w:val="nil"/>
        </w:pBdr>
        <w:spacing w:before="0" w:after="240"/>
        <w:rPr>
          <w:rStyle w:val="Added"/>
          <w:b w:val="0"/>
          <w:bCs/>
          <w:noProof/>
          <w:u w:val="none"/>
        </w:rPr>
      </w:pPr>
      <w:r w:rsidRPr="009B6C61">
        <w:rPr>
          <w:rStyle w:val="Added"/>
          <w:b w:val="0"/>
          <w:noProof/>
          <w:u w:val="none"/>
        </w:rPr>
        <w:t xml:space="preserve">Acest nou articol este introdus pentru a institui instrumentul „Împrumutul pentru sprijinirea Ucrainei”, un nou instrument special tematic. </w:t>
      </w:r>
    </w:p>
    <w:p w:rsidR="006514F1" w:rsidRPr="009B6C61" w:rsidRDefault="006514F1" w:rsidP="006514F1">
      <w:pPr>
        <w:pBdr>
          <w:top w:val="nil"/>
          <w:left w:val="nil"/>
          <w:bottom w:val="nil"/>
          <w:right w:val="nil"/>
          <w:between w:val="nil"/>
          <w:bar w:val="nil"/>
        </w:pBdr>
        <w:spacing w:before="0" w:after="240"/>
        <w:rPr>
          <w:b/>
          <w:bCs/>
          <w:noProof/>
        </w:rPr>
      </w:pPr>
      <w:r w:rsidRPr="009B6C61">
        <w:rPr>
          <w:rStyle w:val="Added"/>
          <w:b w:val="0"/>
          <w:noProof/>
          <w:u w:val="none"/>
        </w:rPr>
        <w:t xml:space="preserve">Elementele specifice de cheltuieli pentru care poate fi utilizat instrumentul „Împrumutul pentru sprijinirea Ucrainei” sunt costurile cu serviciul datoriei, care cuprind </w:t>
      </w:r>
      <w:r w:rsidRPr="009B6C61">
        <w:rPr>
          <w:noProof/>
        </w:rPr>
        <w:t>costurile de finanțare și costurile de emitere și gestionare a lichidităților,</w:t>
      </w:r>
      <w:r w:rsidRPr="009B6C61">
        <w:rPr>
          <w:rStyle w:val="Added"/>
          <w:b w:val="0"/>
          <w:noProof/>
          <w:u w:val="none"/>
        </w:rPr>
        <w:t xml:space="preserve"> datorate în ceea ce privește fondurile împrumutate de pe piețele de capital pentru un împrumut acordat Ucrainei care urmează să fie pus în aplicare în cadrul cooperării consolidate.</w:t>
      </w:r>
    </w:p>
    <w:p w:rsidR="00C94138" w:rsidRPr="009B6C61" w:rsidRDefault="00C94138">
      <w:pPr>
        <w:pStyle w:val="ManualHeading1"/>
        <w:rPr>
          <w:noProof/>
        </w:rPr>
      </w:pPr>
      <w:r w:rsidRPr="009B6C61">
        <w:rPr>
          <w:noProof/>
        </w:rPr>
        <w:t>4.</w:t>
      </w:r>
      <w:r w:rsidRPr="009B6C61">
        <w:rPr>
          <w:noProof/>
        </w:rPr>
        <w:tab/>
        <w:t>IMPLICAȚII BUGETARE</w:t>
      </w:r>
    </w:p>
    <w:p w:rsidR="005725D6" w:rsidRPr="009B6C61" w:rsidRDefault="005725D6" w:rsidP="005725D6">
      <w:pPr>
        <w:pBdr>
          <w:top w:val="nil"/>
          <w:left w:val="nil"/>
          <w:bottom w:val="nil"/>
          <w:right w:val="nil"/>
          <w:between w:val="nil"/>
          <w:bar w:val="nil"/>
        </w:pBdr>
        <w:spacing w:before="0" w:after="240"/>
        <w:rPr>
          <w:noProof/>
        </w:rPr>
      </w:pPr>
      <w:r w:rsidRPr="009B6C61">
        <w:rPr>
          <w:noProof/>
        </w:rPr>
        <w:t xml:space="preserve">Prin extinderea mobilizării unei garanții pentru asistență financiară peste plafoanele din CFM pentru Ucraina pentru asistența financiară propusă, în plus față de asistența financiară acordată statelor membre ale UE și Ucrainei în cadrul instrumentului AMF+, al Mecanismului pentru Ucraina și al AMF acordate Ucrainei în cadrul Mecanismului de cooperare în materie de împrumuturi pentru Ucraina, propunerea va permite o utilizare mai eficientă a resurselor bugetare în cadrul plafoanelor din CFM. Posibilitatea de a mobiliza garanția peste plafoanele din CFM ar oferi o acoperire completă a asistenței financiare disponibile pentru Ucraina în conformitate cu Regulamentul (UE) XXX/XXX al Parlamentului European și al Consiliului în următorii ani, în conformitate cu principiul bunei gestiuni financiare. </w:t>
      </w:r>
    </w:p>
    <w:p w:rsidR="008D402A" w:rsidRPr="009B6C61" w:rsidRDefault="005725D6" w:rsidP="008D402A">
      <w:pPr>
        <w:pBdr>
          <w:top w:val="nil"/>
          <w:left w:val="nil"/>
          <w:bottom w:val="nil"/>
          <w:right w:val="nil"/>
          <w:between w:val="nil"/>
          <w:bar w:val="nil"/>
        </w:pBdr>
        <w:spacing w:before="0" w:after="240"/>
        <w:rPr>
          <w:rStyle w:val="Added"/>
          <w:b w:val="0"/>
          <w:bCs/>
          <w:noProof/>
          <w:u w:val="none"/>
        </w:rPr>
      </w:pPr>
      <w:r w:rsidRPr="009B6C61">
        <w:rPr>
          <w:rStyle w:val="Added"/>
          <w:b w:val="0"/>
          <w:noProof/>
          <w:u w:val="none"/>
        </w:rPr>
        <w:t>Instrumentul special „Împrumutul pentru sprijinirea Ucrainei” inclus în prezenta propunere va fi mobilizat în cadrul procedurii bugetare prevăzute la articolul 314 din TFUE, pentru sumele stabilite în conformitate cu procedurile aplicabile prevăzute în actele de bază relevante. În cursul actualei perioade a CFM, se preconizează că fondurile împrumutate pentru finanțarea împrumutului acordat Ucrainei vor genera costuri cu serviciul datoriei, facturate în 2027, a căror acoperire ar putea necesita mobilizarea instrumentului special „Împrumutul pentru sprijinirea Ucrainei”. Atunci când se mobilizează instrumentul „Împrumutul pentru sprijinirea Ucrainei” în cadrul procedurii bugetare anuale, vor fi luate în considerare disponibilitățile bugetare din alte instrumente speciale, normele sectoriale aplicabile, orice obligație juridică sau de altă natură, inclusiv în cadrul instrumentului EURI, prioritățile, prudența bugetară și buna gestiune financiară.</w:t>
      </w:r>
      <w:r w:rsidR="00A817CB">
        <w:rPr>
          <w:rStyle w:val="Added"/>
          <w:b w:val="0"/>
          <w:noProof/>
          <w:u w:val="none"/>
        </w:rPr>
        <w:t xml:space="preserve"> </w:t>
      </w:r>
    </w:p>
    <w:p w:rsidR="005725D6" w:rsidRPr="009B6C61" w:rsidRDefault="005725D6" w:rsidP="005725D6">
      <w:pPr>
        <w:pBdr>
          <w:top w:val="nil"/>
          <w:left w:val="nil"/>
          <w:bottom w:val="nil"/>
          <w:right w:val="nil"/>
          <w:between w:val="nil"/>
          <w:bar w:val="nil"/>
        </w:pBdr>
        <w:spacing w:before="0" w:after="240"/>
        <w:rPr>
          <w:rStyle w:val="Added"/>
          <w:b w:val="0"/>
          <w:bCs/>
          <w:noProof/>
          <w:u w:val="none"/>
        </w:rPr>
      </w:pPr>
      <w:r w:rsidRPr="009B6C61">
        <w:rPr>
          <w:rStyle w:val="Added"/>
          <w:b w:val="0"/>
          <w:noProof/>
          <w:u w:val="none"/>
        </w:rPr>
        <w:t>Întrucât cheltuielile legate de instrumentele speciale sunt înscrise în buget „peste” plafoanele relevante din CFM, prezenta propunere nu are un impact asupra plafoanelor CFM.</w:t>
      </w:r>
    </w:p>
    <w:p w:rsidR="00C94138" w:rsidRPr="009B6C61" w:rsidRDefault="00C94138">
      <w:pPr>
        <w:pBdr>
          <w:top w:val="nil"/>
          <w:left w:val="nil"/>
          <w:bottom w:val="nil"/>
          <w:right w:val="nil"/>
          <w:between w:val="nil"/>
          <w:bar w:val="nil"/>
        </w:pBdr>
        <w:spacing w:before="0" w:after="240"/>
        <w:rPr>
          <w:rFonts w:eastAsia="Arial Unicode MS"/>
          <w:noProof/>
        </w:rPr>
      </w:pPr>
    </w:p>
    <w:p w:rsidR="00C94138" w:rsidRPr="009B6C61" w:rsidRDefault="00C94138">
      <w:pPr>
        <w:rPr>
          <w:noProof/>
        </w:rPr>
        <w:sectPr w:rsidR="00C94138" w:rsidRPr="009B6C61" w:rsidSect="00E1628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F32B56" w:rsidRDefault="008F55C4">
      <w:pPr>
        <w:pStyle w:val="Rfrenceinterinstitutionnelle"/>
        <w:rPr>
          <w:noProof/>
        </w:rPr>
      </w:pPr>
      <w:r>
        <w:rPr>
          <w:noProof/>
        </w:rPr>
        <w:t>2025/3500 (APP)</w:t>
      </w:r>
    </w:p>
    <w:p w:rsidR="00C94138" w:rsidRPr="009B6C61" w:rsidRDefault="009B6C61" w:rsidP="009B6C61">
      <w:pPr>
        <w:pStyle w:val="Statut"/>
        <w:rPr>
          <w:noProof/>
        </w:rPr>
      </w:pPr>
      <w:bookmarkStart w:id="1" w:name="_Hlk219125933"/>
      <w:r w:rsidRPr="009B6C61">
        <w:rPr>
          <w:noProof/>
        </w:rPr>
        <w:t>Propunere modificată de</w:t>
      </w:r>
    </w:p>
    <w:p w:rsidR="00C94138" w:rsidRPr="009B6C61" w:rsidRDefault="009B6C61" w:rsidP="009B6C61">
      <w:pPr>
        <w:pStyle w:val="Typedudocument"/>
        <w:rPr>
          <w:noProof/>
        </w:rPr>
      </w:pPr>
      <w:r w:rsidRPr="009B6C61">
        <w:rPr>
          <w:noProof/>
        </w:rPr>
        <w:t>REGULAMENT AL CONSILIULUI</w:t>
      </w:r>
    </w:p>
    <w:p w:rsidR="00C94138" w:rsidRPr="009B6C61" w:rsidRDefault="009B6C61" w:rsidP="009B6C61">
      <w:pPr>
        <w:pStyle w:val="Titreobjet"/>
        <w:rPr>
          <w:noProof/>
        </w:rPr>
      </w:pPr>
      <w:r w:rsidRPr="009B6C61">
        <w:rPr>
          <w:noProof/>
        </w:rPr>
        <w:t>de modificare a Regulamentului (UE, Euratom) nr. 2020/2093 de stabilire a cadrului financiar multianual pentru perioada 2021-2027</w:t>
      </w:r>
    </w:p>
    <w:bookmarkEnd w:id="1"/>
    <w:p w:rsidR="005725D6" w:rsidRPr="009B6C61" w:rsidRDefault="005725D6" w:rsidP="005725D6">
      <w:pPr>
        <w:pStyle w:val="Institutionquiagit"/>
        <w:rPr>
          <w:noProof/>
        </w:rPr>
      </w:pPr>
      <w:r w:rsidRPr="009B6C61">
        <w:rPr>
          <w:noProof/>
        </w:rPr>
        <w:t>CONSILIUL UNIUNII EUROPENE,</w:t>
      </w:r>
    </w:p>
    <w:p w:rsidR="005725D6" w:rsidRPr="009B6C61" w:rsidRDefault="005725D6" w:rsidP="005725D6">
      <w:pPr>
        <w:rPr>
          <w:noProof/>
        </w:rPr>
      </w:pPr>
      <w:r w:rsidRPr="009B6C61">
        <w:rPr>
          <w:noProof/>
        </w:rPr>
        <w:t>având în vedere Tratatul privind funcționarea Uniunii Europene, în special articolul 312,</w:t>
      </w:r>
    </w:p>
    <w:p w:rsidR="005725D6" w:rsidRPr="009B6C61" w:rsidRDefault="005725D6" w:rsidP="005725D6">
      <w:pPr>
        <w:rPr>
          <w:noProof/>
        </w:rPr>
      </w:pPr>
      <w:r w:rsidRPr="009B6C61">
        <w:rPr>
          <w:noProof/>
        </w:rPr>
        <w:t xml:space="preserve">având în vedere Tratatul de instituire a Comunității Europene a Energiei Atomice, în special articolul 106a, </w:t>
      </w:r>
    </w:p>
    <w:p w:rsidR="005725D6" w:rsidRPr="009B6C61" w:rsidRDefault="005725D6" w:rsidP="005725D6">
      <w:pPr>
        <w:rPr>
          <w:noProof/>
        </w:rPr>
      </w:pPr>
      <w:r w:rsidRPr="009B6C61">
        <w:rPr>
          <w:noProof/>
        </w:rPr>
        <w:t xml:space="preserve">având în vedere propunerea Comisiei Europene, </w:t>
      </w:r>
    </w:p>
    <w:p w:rsidR="005725D6" w:rsidRPr="009B6C61" w:rsidRDefault="005725D6" w:rsidP="005725D6">
      <w:pPr>
        <w:rPr>
          <w:noProof/>
        </w:rPr>
      </w:pPr>
      <w:r w:rsidRPr="009B6C61">
        <w:rPr>
          <w:noProof/>
        </w:rPr>
        <w:t>având în vedere aprobarea Parlamentului European</w:t>
      </w:r>
      <w:r w:rsidRPr="009B6C61">
        <w:rPr>
          <w:noProof/>
          <w:vertAlign w:val="superscript"/>
        </w:rPr>
        <w:t>6</w:t>
      </w:r>
      <w:r w:rsidRPr="009B6C61">
        <w:rPr>
          <w:noProof/>
        </w:rPr>
        <w:t>,</w:t>
      </w:r>
      <w:r w:rsidR="00A817CB">
        <w:rPr>
          <w:noProof/>
        </w:rPr>
        <w:t xml:space="preserve"> </w:t>
      </w:r>
    </w:p>
    <w:p w:rsidR="005725D6" w:rsidRPr="009B6C61" w:rsidRDefault="005725D6" w:rsidP="005725D6">
      <w:pPr>
        <w:rPr>
          <w:noProof/>
        </w:rPr>
      </w:pPr>
      <w:r w:rsidRPr="009B6C61">
        <w:rPr>
          <w:noProof/>
        </w:rPr>
        <w:t>hotărând în conformitate cu o procedură legislativă specială,</w:t>
      </w:r>
    </w:p>
    <w:p w:rsidR="00C94138" w:rsidRPr="009B6C61" w:rsidRDefault="00C94138">
      <w:pPr>
        <w:rPr>
          <w:noProof/>
        </w:rPr>
      </w:pPr>
      <w:r w:rsidRPr="009B6C61">
        <w:rPr>
          <w:noProof/>
        </w:rPr>
        <w:t>întrucât:</w:t>
      </w:r>
    </w:p>
    <w:p w:rsidR="00C94138" w:rsidRPr="009B6C61" w:rsidRDefault="00382EAE" w:rsidP="00382EAE">
      <w:pPr>
        <w:pStyle w:val="ManualConsidrant"/>
        <w:rPr>
          <w:noProof/>
        </w:rPr>
      </w:pPr>
      <w:r w:rsidRPr="00382EAE">
        <w:rPr>
          <w:noProof/>
        </w:rPr>
        <w:t>(1)</w:t>
      </w:r>
      <w:r w:rsidRPr="00382EAE">
        <w:rPr>
          <w:noProof/>
        </w:rPr>
        <w:tab/>
      </w:r>
      <w:r w:rsidR="005725D6" w:rsidRPr="009B6C61">
        <w:rPr>
          <w:noProof/>
        </w:rPr>
        <w:t>În urma războiului de agresiune neprovocat și nejustificat al Rusiei împotriva Ucrainei, Uniunea a sprijinit Ucraina printr-o serie de măsuri financiare.</w:t>
      </w:r>
    </w:p>
    <w:p w:rsidR="005725D6" w:rsidRPr="009B6C61" w:rsidRDefault="00382EAE" w:rsidP="00382EAE">
      <w:pPr>
        <w:pStyle w:val="ManualConsidrant"/>
        <w:rPr>
          <w:noProof/>
        </w:rPr>
      </w:pPr>
      <w:r w:rsidRPr="00382EAE">
        <w:rPr>
          <w:noProof/>
        </w:rPr>
        <w:t>(2)</w:t>
      </w:r>
      <w:r w:rsidRPr="00382EAE">
        <w:rPr>
          <w:noProof/>
        </w:rPr>
        <w:tab/>
      </w:r>
      <w:r w:rsidR="005725D6" w:rsidRPr="009B6C61">
        <w:rPr>
          <w:noProof/>
        </w:rPr>
        <w:t xml:space="preserve">Ucraina va avea nevoie de asistență financiară și economică continuă într-un mod previzibil, continuu, ordonat, flexibil și în timp util pentru a-și acoperi nevoile de finanțare, în special cele generate de războiul de agresiune al Rusiei. </w:t>
      </w:r>
      <w:r w:rsidR="005725D6" w:rsidRPr="009B6C61">
        <w:rPr>
          <w:rStyle w:val="Deleted"/>
          <w:noProof/>
        </w:rPr>
        <w:t>În acest scop, Uniunea a instituit un nou instrument în temeiul Regulamentului (UE) XXX/XXX al Parlamentului European și al Consiliului. În temeiul respectivului instrument, asistența financiară preconizată urmează să fie furnizată sub formă de împrumuturi.</w:t>
      </w:r>
      <w:r w:rsidR="005725D6" w:rsidRPr="009B6C61">
        <w:rPr>
          <w:noProof/>
        </w:rPr>
        <w:t xml:space="preserve"> </w:t>
      </w:r>
    </w:p>
    <w:p w:rsidR="00083139" w:rsidRPr="009B6C61" w:rsidRDefault="00382EAE" w:rsidP="00382EAE">
      <w:pPr>
        <w:pStyle w:val="ManualConsidrant"/>
        <w:rPr>
          <w:rStyle w:val="Added"/>
          <w:noProof/>
        </w:rPr>
      </w:pPr>
      <w:r w:rsidRPr="00382EAE">
        <w:rPr>
          <w:rStyle w:val="Added"/>
          <w:noProof/>
        </w:rPr>
        <w:t>(3)</w:t>
      </w:r>
      <w:r w:rsidRPr="00382EAE">
        <w:rPr>
          <w:rStyle w:val="Added"/>
          <w:noProof/>
        </w:rPr>
        <w:tab/>
      </w:r>
      <w:r w:rsidR="00083139" w:rsidRPr="009B6C61">
        <w:rPr>
          <w:rStyle w:val="Added"/>
          <w:noProof/>
        </w:rPr>
        <w:t>Decizia (UE) XXX a Consiliului</w:t>
      </w:r>
      <w:r w:rsidR="00083139" w:rsidRPr="009B6C61">
        <w:rPr>
          <w:rStyle w:val="FootnoteReference"/>
          <w:b/>
          <w:noProof/>
          <w:u w:val="single"/>
        </w:rPr>
        <w:footnoteReference w:id="7"/>
      </w:r>
      <w:r w:rsidR="00083139" w:rsidRPr="009B6C61">
        <w:rPr>
          <w:rStyle w:val="Added"/>
          <w:noProof/>
        </w:rPr>
        <w:t xml:space="preserve"> a autorizat </w:t>
      </w:r>
      <w:r w:rsidR="00083139" w:rsidRPr="009B6C61">
        <w:rPr>
          <w:noProof/>
        </w:rPr>
        <w:t xml:space="preserve">cooperarea consolidată pentru instituirea </w:t>
      </w:r>
      <w:r w:rsidR="00083139" w:rsidRPr="009B6C61">
        <w:rPr>
          <w:rStyle w:val="Added"/>
          <w:noProof/>
        </w:rPr>
        <w:t>unui Împrumut pentru sprijinirea Ucrainei în valoare de 90 000 000 000 EUR</w:t>
      </w:r>
      <w:r w:rsidR="00083139" w:rsidRPr="009B6C61">
        <w:rPr>
          <w:noProof/>
        </w:rPr>
        <w:t>.</w:t>
      </w:r>
      <w:r w:rsidR="00083139" w:rsidRPr="009B6C61">
        <w:rPr>
          <w:rStyle w:val="Added"/>
          <w:noProof/>
        </w:rPr>
        <w:t xml:space="preserve"> . În temeiul articolului 332 din TFUE, cheltuielile care rezultă din punerea în aplicare a cooperării consolidate urmează să fie suportate de statele membre participante. Costurile administrative legate de punerea în aplicare a oricărei cooperări consolidate ar trebui să fie suportate din bugetul Uniunii. </w:t>
      </w:r>
    </w:p>
    <w:p w:rsidR="005725D6" w:rsidRPr="009B6C61" w:rsidRDefault="00382EAE" w:rsidP="00382EAE">
      <w:pPr>
        <w:pStyle w:val="ManualConsidrant"/>
        <w:rPr>
          <w:noProof/>
        </w:rPr>
      </w:pPr>
      <w:r w:rsidRPr="00382EAE">
        <w:rPr>
          <w:noProof/>
        </w:rPr>
        <w:t>(4)</w:t>
      </w:r>
      <w:r w:rsidRPr="00382EAE">
        <w:rPr>
          <w:noProof/>
        </w:rPr>
        <w:tab/>
      </w:r>
      <w:r w:rsidR="005725D6" w:rsidRPr="009B6C61">
        <w:rPr>
          <w:rStyle w:val="Deleted"/>
          <w:noProof/>
        </w:rPr>
        <w:t>În acest scop, g</w:t>
      </w:r>
      <w:r w:rsidR="005725D6" w:rsidRPr="009B6C61">
        <w:rPr>
          <w:rStyle w:val="Added"/>
          <w:noProof/>
        </w:rPr>
        <w:t>G</w:t>
      </w:r>
      <w:r w:rsidR="005725D6" w:rsidRPr="009B6C61">
        <w:rPr>
          <w:noProof/>
        </w:rPr>
        <w:t xml:space="preserve">aranția din bugetul Uniunii ar trebui extinsă pentru a acoperi asistența financiară acordată Ucrainei </w:t>
      </w:r>
      <w:r w:rsidR="005725D6" w:rsidRPr="009B6C61">
        <w:rPr>
          <w:b/>
          <w:noProof/>
          <w:u w:val="single"/>
        </w:rPr>
        <w:t>sub forma unui împrumut</w:t>
      </w:r>
      <w:r w:rsidR="005725D6" w:rsidRPr="009B6C61">
        <w:rPr>
          <w:noProof/>
        </w:rPr>
        <w:t xml:space="preserve"> </w:t>
      </w:r>
      <w:r w:rsidR="005725D6" w:rsidRPr="009B6C61">
        <w:rPr>
          <w:rStyle w:val="Added"/>
          <w:noProof/>
        </w:rPr>
        <w:t>în valoare de 90 000 000 000 EUR</w:t>
      </w:r>
      <w:r w:rsidR="005725D6" w:rsidRPr="009B6C61">
        <w:rPr>
          <w:noProof/>
        </w:rPr>
        <w:t xml:space="preserve"> </w:t>
      </w:r>
      <w:r w:rsidR="005725D6" w:rsidRPr="009B6C61">
        <w:rPr>
          <w:b/>
          <w:noProof/>
          <w:u w:val="single"/>
        </w:rPr>
        <w:t>pus în aplicare în cadrul cooperării consolidate</w:t>
      </w:r>
      <w:r w:rsidR="005725D6" w:rsidRPr="009B6C61">
        <w:rPr>
          <w:rStyle w:val="Deleted"/>
          <w:strike w:val="0"/>
          <w:noProof/>
        </w:rPr>
        <w:t>Regulamentului (UE) XXX/XXX ale Parlamentului European și al Consiliului</w:t>
      </w:r>
      <w:r w:rsidR="005725D6" w:rsidRPr="009B6C61">
        <w:rPr>
          <w:noProof/>
        </w:rPr>
        <w:t>. Garanția respectivă ar trebui să asigure faptul că resursele necesare sunt întotdeauna disponibile în timp util, astfel încât Uniunea să își îndeplinească toate obligațiile financiare pe care le are față de creditorii săi.</w:t>
      </w:r>
    </w:p>
    <w:p w:rsidR="005725D6" w:rsidRPr="009B6C61" w:rsidRDefault="00382EAE" w:rsidP="00382EAE">
      <w:pPr>
        <w:pStyle w:val="ManualConsidrant"/>
        <w:rPr>
          <w:noProof/>
        </w:rPr>
      </w:pPr>
      <w:r w:rsidRPr="00382EAE">
        <w:rPr>
          <w:noProof/>
        </w:rPr>
        <w:t>(5)</w:t>
      </w:r>
      <w:r w:rsidRPr="00382EAE">
        <w:rPr>
          <w:noProof/>
        </w:rPr>
        <w:tab/>
      </w:r>
      <w:r w:rsidR="005725D6" w:rsidRPr="009B6C61">
        <w:rPr>
          <w:noProof/>
        </w:rPr>
        <w:t>Ar trebui să fie posibilă mobilizarea creditelor necesare în bugetul Uniunii peste plafoanele cadrului financiar multianual pentru asistența financiară suplimentară acordată Ucrainei</w:t>
      </w:r>
      <w:r w:rsidR="005725D6" w:rsidRPr="009B6C61">
        <w:rPr>
          <w:rStyle w:val="Added"/>
          <w:noProof/>
        </w:rPr>
        <w:t>.</w:t>
      </w:r>
      <w:r w:rsidR="005725D6" w:rsidRPr="009B6C61">
        <w:rPr>
          <w:noProof/>
        </w:rPr>
        <w:t xml:space="preserve"> Respectiva posibilitate nu ar trebui să aducă atingere obligației de a respecta plafonul resurselor proprii prevăzut la articolul 3 alineatul (1) din Decizia (UE, Euratom) 2020/2053 a Consiliului.</w:t>
      </w:r>
    </w:p>
    <w:p w:rsidR="00906123" w:rsidRPr="009B6C61" w:rsidRDefault="00382EAE" w:rsidP="00382EAE">
      <w:pPr>
        <w:pStyle w:val="ManualConsidrant"/>
        <w:rPr>
          <w:rStyle w:val="Added"/>
          <w:noProof/>
        </w:rPr>
      </w:pPr>
      <w:r w:rsidRPr="00382EAE">
        <w:rPr>
          <w:rStyle w:val="Added"/>
          <w:noProof/>
        </w:rPr>
        <w:t>(6)</w:t>
      </w:r>
      <w:r w:rsidRPr="00382EAE">
        <w:rPr>
          <w:rStyle w:val="Added"/>
          <w:noProof/>
        </w:rPr>
        <w:tab/>
      </w:r>
      <w:r w:rsidR="005725D6" w:rsidRPr="009B6C61">
        <w:rPr>
          <w:rStyle w:val="Added"/>
          <w:noProof/>
        </w:rPr>
        <w:t xml:space="preserve">În vederea acordării de sprijin Ucrainei în condiții foarte avantajoase, este oportun să se instituie un nou instrument special tematic – instrumentul „Împrumutul pentru sprijinirea Ucrainei”, care să permită finanțarea costurilor cu serviciul datoriei. Costurile cu serviciul datoriei cuprind </w:t>
      </w:r>
      <w:r w:rsidR="005725D6" w:rsidRPr="009B6C61">
        <w:rPr>
          <w:noProof/>
        </w:rPr>
        <w:t>costurile de finanțare și costurile de emitere și gestionare a lichidităților,</w:t>
      </w:r>
      <w:r w:rsidR="005725D6" w:rsidRPr="009B6C61">
        <w:rPr>
          <w:rStyle w:val="Added"/>
          <w:noProof/>
        </w:rPr>
        <w:t xml:space="preserve"> datorate în ceea ce privește fondurile împrumutate de pe piețele de capital pentru un împrumut acordat Ucrainei care urmează să fie pus în aplicare în cadrul cooperării consolidate. </w:t>
      </w:r>
      <w:r w:rsidR="005725D6" w:rsidRPr="009B6C61">
        <w:rPr>
          <w:noProof/>
        </w:rPr>
        <w:t>Având în vedere că se preconizează că aceste costuri cu serviciul datoriei legate de împrumutul acordat Ucrainei vor începe să fie facturate în ultimul an al cadrului financiar multianual pentru perioada 2021-2027, este oportun să se ia în considerare disponibilitățile bugetare din alte instrumente speciale, ținând seama, în același timp, de normele sectoriale aplicabile, de orice obligație juridică sau de altă natură, inclusiv în temeiul articolului 10a din Regulamentul (UE, Euratom) 2020/2093 al Consiliului</w:t>
      </w:r>
      <w:r w:rsidR="005725D6" w:rsidRPr="009B6C61">
        <w:rPr>
          <w:rStyle w:val="FootnoteReference"/>
          <w:b/>
          <w:bCs/>
          <w:noProof/>
          <w:u w:val="single"/>
        </w:rPr>
        <w:footnoteReference w:id="8"/>
      </w:r>
      <w:r w:rsidR="005725D6" w:rsidRPr="009B6C61">
        <w:rPr>
          <w:noProof/>
        </w:rPr>
        <w:t>, de priorități, de o gestiune bugetară prudentă și de buna gestiune financiară, atunci când se mobilizează instrumentul „Împrumutul pentru sprijinirea Ucrainei în cadrul procedurii bugetare. </w:t>
      </w:r>
    </w:p>
    <w:p w:rsidR="001C37C4" w:rsidRPr="009B6C61" w:rsidRDefault="00382EAE" w:rsidP="00382EAE">
      <w:pPr>
        <w:pStyle w:val="ManualConsidrant"/>
        <w:rPr>
          <w:noProof/>
        </w:rPr>
      </w:pPr>
      <w:r w:rsidRPr="00382EAE">
        <w:rPr>
          <w:noProof/>
        </w:rPr>
        <w:t>(7)</w:t>
      </w:r>
      <w:r w:rsidRPr="00382EAE">
        <w:rPr>
          <w:noProof/>
        </w:rPr>
        <w:tab/>
      </w:r>
      <w:r w:rsidR="001C37C4" w:rsidRPr="009B6C61">
        <w:rPr>
          <w:noProof/>
        </w:rPr>
        <w:t>Având în vedere urgența impusă de nevoile excepționale ale Ucrainei în contextul războiului de agresiune neprovocat și nejustificat al Rusiei, se consideră oportun să se invoce excepția de la termenul de opt săptămâni prevăzută la articolul 4 din Protocolul nr. 1 privind rolul parlamentelor naționale în Uniunea Europeană, anexat la Tratatul privind Uniunea Europeană, la Tratatul privind funcționarea Uniunii Europene și la Tratatul de instituire a Comunității Europene a Energiei Atomice.</w:t>
      </w:r>
    </w:p>
    <w:p w:rsidR="004120AF" w:rsidRPr="009B6C61" w:rsidRDefault="00382EAE" w:rsidP="00382EAE">
      <w:pPr>
        <w:pStyle w:val="ManualConsidrant"/>
        <w:rPr>
          <w:noProof/>
        </w:rPr>
      </w:pPr>
      <w:r w:rsidRPr="00382EAE">
        <w:rPr>
          <w:noProof/>
        </w:rPr>
        <w:t>(8)</w:t>
      </w:r>
      <w:r w:rsidRPr="00382EAE">
        <w:rPr>
          <w:noProof/>
        </w:rPr>
        <w:tab/>
      </w:r>
      <w:r w:rsidR="004120AF" w:rsidRPr="009B6C61">
        <w:rPr>
          <w:noProof/>
        </w:rPr>
        <w:t xml:space="preserve">Prin urmare, Regulamentul (UE, Euratom) 2020/2093 </w:t>
      </w:r>
      <w:r w:rsidR="004120AF" w:rsidRPr="009B6C61">
        <w:rPr>
          <w:strike/>
          <w:noProof/>
        </w:rPr>
        <w:t>al Consiliului</w:t>
      </w:r>
      <w:r w:rsidR="00A817CB" w:rsidRPr="00A817CB">
        <w:rPr>
          <w:noProof/>
        </w:rPr>
        <w:t xml:space="preserve"> </w:t>
      </w:r>
      <w:r w:rsidR="004120AF" w:rsidRPr="009B6C61">
        <w:rPr>
          <w:noProof/>
        </w:rPr>
        <w:t>ar trebui să fie modificat în consecință.</w:t>
      </w:r>
    </w:p>
    <w:p w:rsidR="00C94138" w:rsidRPr="009B6C61" w:rsidRDefault="00382EAE" w:rsidP="00382EAE">
      <w:pPr>
        <w:pStyle w:val="ManualConsidrant"/>
        <w:rPr>
          <w:noProof/>
        </w:rPr>
      </w:pPr>
      <w:r w:rsidRPr="00382EAE">
        <w:rPr>
          <w:noProof/>
        </w:rPr>
        <w:t>(9)</w:t>
      </w:r>
      <w:r w:rsidRPr="00382EAE">
        <w:rPr>
          <w:noProof/>
        </w:rPr>
        <w:tab/>
      </w:r>
      <w:r w:rsidR="001C37C4" w:rsidRPr="009B6C61">
        <w:rPr>
          <w:noProof/>
        </w:rPr>
        <w:t xml:space="preserve">Având în vedere situația din Ucraina și pentru a permite aplicarea promptă a măsurilor prevăzute în prezentul regulament, acesta ar trebui să intre în vigoare în regim de urgență în ziua următoare datei publicării în </w:t>
      </w:r>
      <w:r w:rsidR="001C37C4" w:rsidRPr="009B6C61">
        <w:rPr>
          <w:i/>
          <w:noProof/>
        </w:rPr>
        <w:t>Jurnalul Oficial al Uniunii Europene</w:t>
      </w:r>
      <w:r w:rsidR="001C37C4" w:rsidRPr="009B6C61">
        <w:rPr>
          <w:noProof/>
        </w:rPr>
        <w:t>,</w:t>
      </w:r>
    </w:p>
    <w:p w:rsidR="00C94138" w:rsidRPr="009B6C61" w:rsidRDefault="00C94138">
      <w:pPr>
        <w:pStyle w:val="Formuledadoption"/>
        <w:rPr>
          <w:noProof/>
        </w:rPr>
      </w:pPr>
      <w:r w:rsidRPr="009B6C61">
        <w:rPr>
          <w:noProof/>
        </w:rPr>
        <w:t>ADOPTĂ PREZENTUL REGULAMENT:</w:t>
      </w:r>
    </w:p>
    <w:p w:rsidR="00C94138" w:rsidRPr="009B6C61" w:rsidRDefault="00C94138">
      <w:pPr>
        <w:pStyle w:val="Titrearticle"/>
        <w:rPr>
          <w:noProof/>
        </w:rPr>
      </w:pPr>
      <w:r w:rsidRPr="009B6C61">
        <w:rPr>
          <w:noProof/>
        </w:rPr>
        <w:t>Articolul 1</w:t>
      </w:r>
    </w:p>
    <w:p w:rsidR="001C37C4" w:rsidRPr="009B6C61" w:rsidRDefault="001C37C4" w:rsidP="001C37C4">
      <w:pPr>
        <w:rPr>
          <w:rStyle w:val="Added"/>
          <w:noProof/>
        </w:rPr>
      </w:pPr>
      <w:r w:rsidRPr="009B6C61">
        <w:rPr>
          <w:rStyle w:val="Added"/>
          <w:noProof/>
        </w:rPr>
        <w:t>Regulamentul (UE, Euratom) 2020/2093 se modifică după cum urmează:</w:t>
      </w:r>
    </w:p>
    <w:p w:rsidR="00875B9C" w:rsidRPr="009B6C61" w:rsidRDefault="00875B9C" w:rsidP="00B732BB">
      <w:pPr>
        <w:pStyle w:val="ListNumber"/>
        <w:rPr>
          <w:rStyle w:val="Added"/>
          <w:noProof/>
        </w:rPr>
      </w:pPr>
      <w:r w:rsidRPr="009B6C61">
        <w:rPr>
          <w:rStyle w:val="Added"/>
          <w:noProof/>
        </w:rPr>
        <w:t>Articolul 2 se modifică după cum urmează:</w:t>
      </w:r>
    </w:p>
    <w:p w:rsidR="003A1F62" w:rsidRPr="009B6C61" w:rsidRDefault="004E2C95" w:rsidP="00CB2D01">
      <w:pPr>
        <w:pStyle w:val="ListNumberLevel2"/>
        <w:rPr>
          <w:rStyle w:val="Added"/>
          <w:noProof/>
        </w:rPr>
      </w:pPr>
      <w:r w:rsidRPr="009B6C61">
        <w:rPr>
          <w:rStyle w:val="Added"/>
          <w:noProof/>
        </w:rPr>
        <w:t>la alineatul (2), primul paragraf se înlocuiește cu următorul text:</w:t>
      </w:r>
    </w:p>
    <w:p w:rsidR="00C02873" w:rsidRPr="009B6C61" w:rsidRDefault="009C0ECD" w:rsidP="006E1540">
      <w:pPr>
        <w:pStyle w:val="Text2"/>
        <w:rPr>
          <w:rStyle w:val="Added"/>
          <w:noProof/>
        </w:rPr>
      </w:pPr>
      <w:r w:rsidRPr="009B6C61">
        <w:rPr>
          <w:rStyle w:val="Added"/>
          <w:noProof/>
        </w:rPr>
        <w:t>„(2) În cazul în care este necesară utilizarea resurselor din instrumentele speciale prevăzute la articolele 8, 9, 10, 10a, 10b. 10c și 12, creditele de angajament și creditele de plată corespunzătoare se înscriu în buget peste plafoanele relevante din CFM.</w:t>
      </w:r>
      <w:r w:rsidRPr="009B6C61">
        <w:rPr>
          <w:noProof/>
        </w:rPr>
        <w:t>”</w:t>
      </w:r>
    </w:p>
    <w:p w:rsidR="001C37C4" w:rsidRPr="009B6C61" w:rsidRDefault="009C0ECD" w:rsidP="001275D5">
      <w:pPr>
        <w:pStyle w:val="ListNumberLevel2"/>
        <w:rPr>
          <w:noProof/>
        </w:rPr>
      </w:pPr>
      <w:r w:rsidRPr="009B6C61">
        <w:rPr>
          <w:rStyle w:val="Added"/>
          <w:noProof/>
        </w:rPr>
        <w:t>la alineatul (3)</w:t>
      </w:r>
      <w:r w:rsidRPr="009B6C61">
        <w:rPr>
          <w:rStyle w:val="Deleted"/>
          <w:noProof/>
        </w:rPr>
        <w:t>al articolului 2 alineatul (3) din Regulamentul (UE, Euratom) 2020/2093</w:t>
      </w:r>
      <w:r w:rsidRPr="009B6C61">
        <w:rPr>
          <w:noProof/>
        </w:rPr>
        <w:t xml:space="preserve"> se adaugă următorul paragraf:</w:t>
      </w:r>
    </w:p>
    <w:p w:rsidR="00B732BB" w:rsidRPr="009B6C61" w:rsidRDefault="00B732BB" w:rsidP="001275D5">
      <w:pPr>
        <w:pStyle w:val="Text2"/>
        <w:rPr>
          <w:noProof/>
        </w:rPr>
      </w:pPr>
      <w:r w:rsidRPr="009B6C61">
        <w:rPr>
          <w:noProof/>
        </w:rPr>
        <w:t xml:space="preserve">„În cazul în care este necesar să se mobilizeze o garanție pentru asistența financiară acordată Ucrainei </w:t>
      </w:r>
      <w:r w:rsidRPr="009B6C61">
        <w:rPr>
          <w:b/>
          <w:noProof/>
          <w:u w:val="single"/>
        </w:rPr>
        <w:t xml:space="preserve">care urmează să fie </w:t>
      </w:r>
      <w:r w:rsidRPr="009B6C61">
        <w:rPr>
          <w:rStyle w:val="Added"/>
          <w:noProof/>
        </w:rPr>
        <w:t>pus în aplicare în cadrul cooperării consolidatei</w:t>
      </w:r>
      <w:r w:rsidRPr="009B6C61">
        <w:rPr>
          <w:rStyle w:val="Deleted"/>
          <w:noProof/>
        </w:rPr>
        <w:t xml:space="preserve"> </w:t>
      </w:r>
      <w:bookmarkStart w:id="2" w:name="_Hlk219061353"/>
      <w:r w:rsidRPr="009B6C61">
        <w:rPr>
          <w:rStyle w:val="Deleted"/>
          <w:strike w:val="0"/>
          <w:noProof/>
        </w:rPr>
        <w:t>în temeiul Regulamentului (UE) XXX/XXX al Parlamentului European și al Consiliului</w:t>
      </w:r>
      <w:bookmarkEnd w:id="2"/>
      <w:r w:rsidR="00A817CB">
        <w:rPr>
          <w:rStyle w:val="Deleted"/>
          <w:strike w:val="0"/>
          <w:noProof/>
        </w:rPr>
        <w:t xml:space="preserve"> </w:t>
      </w:r>
      <w:r w:rsidRPr="009B6C61">
        <w:rPr>
          <w:noProof/>
        </w:rPr>
        <w:t>și autorizat în conformitate cu articolul 223 alineatul (1) din Regulamentul (UE, Euratom) 2024/2509 al Parlamentului European și al Consiliului, cuantumul necesar se mobilizează peste plafoanele din CFM. ”</w:t>
      </w:r>
    </w:p>
    <w:p w:rsidR="00B732BB" w:rsidRPr="009B6C61" w:rsidRDefault="007C53D8" w:rsidP="00B732BB">
      <w:pPr>
        <w:pStyle w:val="ListNumber"/>
        <w:rPr>
          <w:rStyle w:val="Added"/>
          <w:noProof/>
        </w:rPr>
      </w:pPr>
      <w:r w:rsidRPr="009B6C61">
        <w:rPr>
          <w:rStyle w:val="Added"/>
          <w:noProof/>
        </w:rPr>
        <w:t>se introduce următorul articol 10c:</w:t>
      </w:r>
    </w:p>
    <w:p w:rsidR="007C53D8" w:rsidRPr="009B6C61" w:rsidRDefault="007C53D8" w:rsidP="007C53D8">
      <w:pPr>
        <w:pStyle w:val="Text1"/>
        <w:rPr>
          <w:rStyle w:val="Added"/>
          <w:noProof/>
        </w:rPr>
      </w:pPr>
      <w:r w:rsidRPr="009B6C61">
        <w:rPr>
          <w:rStyle w:val="Added"/>
          <w:noProof/>
        </w:rPr>
        <w:t>„</w:t>
      </w:r>
      <w:r w:rsidRPr="009B6C61">
        <w:rPr>
          <w:rStyle w:val="Added"/>
          <w:i/>
          <w:iCs/>
          <w:noProof/>
        </w:rPr>
        <w:t>Articolul 10c</w:t>
      </w:r>
    </w:p>
    <w:p w:rsidR="007C53D8" w:rsidRPr="009B6C61" w:rsidRDefault="007C53D8" w:rsidP="007C53D8">
      <w:pPr>
        <w:pStyle w:val="Text1"/>
        <w:rPr>
          <w:rStyle w:val="Added"/>
          <w:noProof/>
        </w:rPr>
      </w:pPr>
      <w:r w:rsidRPr="009B6C61">
        <w:rPr>
          <w:rStyle w:val="Added"/>
          <w:noProof/>
        </w:rPr>
        <w:t>Instrumentul «Împrumutul pentru sprijinirea Ucrainei»</w:t>
      </w:r>
    </w:p>
    <w:p w:rsidR="00C94138" w:rsidRPr="009B6C61" w:rsidRDefault="007C53D8" w:rsidP="007C53D8">
      <w:pPr>
        <w:pStyle w:val="Text1"/>
        <w:rPr>
          <w:b/>
          <w:noProof/>
          <w:u w:val="single"/>
        </w:rPr>
      </w:pPr>
      <w:r w:rsidRPr="009B6C61">
        <w:rPr>
          <w:rStyle w:val="Added"/>
          <w:noProof/>
        </w:rPr>
        <w:t>Instrumentul «Împrumutul pentru sprijinirea Ucrainei» poate fi utilizat exclusiv în scopul finanțării costurilor cu serviciul datoriei aferente unui împrumut acordat Ucrainei care urmează să fie pus în aplicare în cadrul cooperării consolidate. Instrumentul «Împrumutul pentru sprijinirea Ucrainei» poate fi mobilizat de către Parlamentul European și Consiliu în cadrul procedurii bugetare prevăzute la articolul 314 din TFUE.”</w:t>
      </w:r>
    </w:p>
    <w:p w:rsidR="00C94138" w:rsidRPr="009B6C61" w:rsidRDefault="00C94138">
      <w:pPr>
        <w:pStyle w:val="Titrearticle"/>
        <w:rPr>
          <w:noProof/>
        </w:rPr>
      </w:pPr>
      <w:r w:rsidRPr="009B6C61">
        <w:rPr>
          <w:noProof/>
        </w:rPr>
        <w:t xml:space="preserve">Articolul 2 </w:t>
      </w:r>
    </w:p>
    <w:p w:rsidR="00C94138" w:rsidRPr="009B6C61" w:rsidRDefault="00C94138">
      <w:pPr>
        <w:rPr>
          <w:noProof/>
        </w:rPr>
      </w:pPr>
      <w:r w:rsidRPr="009B6C61">
        <w:rPr>
          <w:noProof/>
        </w:rPr>
        <w:t xml:space="preserve">Prezentul regulament intră în vigoare în ziua următoare datei publicării în </w:t>
      </w:r>
      <w:r w:rsidRPr="009B6C61">
        <w:rPr>
          <w:i/>
          <w:noProof/>
        </w:rPr>
        <w:t>Jurnalul Oficial al Uniunii Europene</w:t>
      </w:r>
      <w:r w:rsidRPr="009B6C61">
        <w:rPr>
          <w:noProof/>
        </w:rPr>
        <w:t>.</w:t>
      </w:r>
    </w:p>
    <w:p w:rsidR="00C94138" w:rsidRPr="009B6C61" w:rsidRDefault="00C94138">
      <w:pPr>
        <w:pStyle w:val="Applicationdirecte"/>
        <w:rPr>
          <w:noProof/>
        </w:rPr>
      </w:pPr>
      <w:r w:rsidRPr="009B6C61">
        <w:rPr>
          <w:noProof/>
        </w:rPr>
        <w:t>Prezentul regulament este obligatoriu în toate elementele sale și se aplică direct în toate statele membre.</w:t>
      </w:r>
    </w:p>
    <w:p w:rsidR="00C94138" w:rsidRPr="009B6C61" w:rsidRDefault="009B6C61" w:rsidP="003828C4">
      <w:pPr>
        <w:pStyle w:val="Fait"/>
        <w:rPr>
          <w:noProof/>
        </w:rPr>
      </w:pPr>
      <w:r>
        <w:rPr>
          <w:noProof/>
        </w:rPr>
        <w:t>Adoptat la Bruxelles,</w:t>
      </w:r>
    </w:p>
    <w:p w:rsidR="00C94138" w:rsidRPr="009B6C61" w:rsidRDefault="00C94138" w:rsidP="003828C4">
      <w:pPr>
        <w:pStyle w:val="Institutionquisigne"/>
        <w:rPr>
          <w:noProof/>
        </w:rPr>
      </w:pPr>
      <w:r w:rsidRPr="009B6C61">
        <w:rPr>
          <w:noProof/>
        </w:rPr>
        <w:tab/>
        <w:t>Pentru Consiliu</w:t>
      </w:r>
    </w:p>
    <w:p w:rsidR="00C94138" w:rsidRPr="009B6C61" w:rsidRDefault="00C94138" w:rsidP="0071238F">
      <w:pPr>
        <w:pStyle w:val="Personnequisigne"/>
        <w:rPr>
          <w:noProof/>
          <w:color w:val="008000"/>
        </w:rPr>
      </w:pPr>
      <w:r w:rsidRPr="009B6C61">
        <w:rPr>
          <w:noProof/>
        </w:rPr>
        <w:tab/>
        <w:t>Președintele</w:t>
      </w:r>
    </w:p>
    <w:sectPr w:rsidR="00C94138" w:rsidRPr="009B6C61" w:rsidSect="00E16285">
      <w:pgSz w:w="11907" w:h="16839"/>
      <w:pgMar w:top="1134" w:right="1417" w:bottom="1134" w:left="156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17D" w:rsidRDefault="0043117D" w:rsidP="00C94138">
      <w:pPr>
        <w:spacing w:before="0" w:after="0"/>
      </w:pPr>
      <w:r>
        <w:separator/>
      </w:r>
    </w:p>
  </w:endnote>
  <w:endnote w:type="continuationSeparator" w:id="0">
    <w:p w:rsidR="0043117D" w:rsidRDefault="0043117D" w:rsidP="00C94138">
      <w:pPr>
        <w:spacing w:before="0" w:after="0"/>
      </w:pPr>
      <w:r>
        <w:continuationSeparator/>
      </w:r>
    </w:p>
  </w:endnote>
  <w:endnote w:type="continuationNotice" w:id="1">
    <w:p w:rsidR="0043117D" w:rsidRDefault="0043117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285" w:rsidRPr="00E16285" w:rsidRDefault="00E16285" w:rsidP="00E16285">
    <w:pPr>
      <w:pStyle w:val="Footer"/>
      <w:rPr>
        <w:rFonts w:ascii="Arial" w:hAnsi="Arial" w:cs="Arial"/>
        <w:b/>
        <w:sz w:val="48"/>
      </w:rPr>
    </w:pPr>
    <w:r w:rsidRPr="00E16285">
      <w:rPr>
        <w:rFonts w:ascii="Arial" w:hAnsi="Arial" w:cs="Arial"/>
        <w:b/>
        <w:sz w:val="48"/>
      </w:rPr>
      <w:t>RO</w:t>
    </w:r>
    <w:r w:rsidRPr="00E16285">
      <w:rPr>
        <w:rFonts w:ascii="Arial" w:hAnsi="Arial" w:cs="Arial"/>
        <w:b/>
        <w:sz w:val="48"/>
      </w:rPr>
      <w:tab/>
    </w:r>
    <w:r w:rsidRPr="00E16285">
      <w:rPr>
        <w:rFonts w:ascii="Arial" w:hAnsi="Arial" w:cs="Arial"/>
        <w:b/>
        <w:sz w:val="48"/>
      </w:rPr>
      <w:tab/>
    </w:r>
    <w:r w:rsidRPr="00E16285">
      <w:tab/>
    </w:r>
    <w:r w:rsidRPr="00E1628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285" w:rsidRPr="00E16285" w:rsidRDefault="00E16285" w:rsidP="00E16285">
    <w:pPr>
      <w:pStyle w:val="Footer"/>
      <w:rPr>
        <w:rFonts w:ascii="Arial" w:hAnsi="Arial" w:cs="Arial"/>
        <w:b/>
        <w:sz w:val="48"/>
      </w:rPr>
    </w:pPr>
    <w:r w:rsidRPr="00E16285">
      <w:rPr>
        <w:rFonts w:ascii="Arial" w:hAnsi="Arial" w:cs="Arial"/>
        <w:b/>
        <w:sz w:val="48"/>
      </w:rPr>
      <w:t>RO</w:t>
    </w:r>
    <w:r w:rsidRPr="00E16285">
      <w:rPr>
        <w:rFonts w:ascii="Arial" w:hAnsi="Arial" w:cs="Arial"/>
        <w:b/>
        <w:sz w:val="48"/>
      </w:rPr>
      <w:tab/>
    </w:r>
    <w:r w:rsidRPr="00E16285">
      <w:rPr>
        <w:rFonts w:ascii="Arial" w:hAnsi="Arial" w:cs="Arial"/>
        <w:b/>
        <w:sz w:val="48"/>
      </w:rPr>
      <w:tab/>
    </w:r>
    <w:r w:rsidRPr="00E16285">
      <w:tab/>
    </w:r>
    <w:r w:rsidRPr="00E1628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285" w:rsidRDefault="00E162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285" w:rsidRPr="00E16285" w:rsidRDefault="00E16285" w:rsidP="00E16285">
    <w:pPr>
      <w:pStyle w:val="Footer"/>
      <w:rPr>
        <w:rFonts w:ascii="Arial" w:hAnsi="Arial" w:cs="Arial"/>
        <w:b/>
        <w:sz w:val="48"/>
      </w:rPr>
    </w:pPr>
    <w:r w:rsidRPr="00E16285">
      <w:rPr>
        <w:rFonts w:ascii="Arial" w:hAnsi="Arial" w:cs="Arial"/>
        <w:b/>
        <w:sz w:val="48"/>
      </w:rPr>
      <w:t>RO</w:t>
    </w:r>
    <w:r w:rsidRPr="00E16285">
      <w:rPr>
        <w:rFonts w:ascii="Arial" w:hAnsi="Arial" w:cs="Arial"/>
        <w:b/>
        <w:sz w:val="48"/>
      </w:rPr>
      <w:tab/>
    </w:r>
    <w:r>
      <w:fldChar w:fldCharType="begin"/>
    </w:r>
    <w:r>
      <w:instrText xml:space="preserve"> PAGE  \* MERGEFORMAT </w:instrText>
    </w:r>
    <w:r>
      <w:fldChar w:fldCharType="separate"/>
    </w:r>
    <w:r w:rsidR="003828C4">
      <w:rPr>
        <w:noProof/>
      </w:rPr>
      <w:t>6</w:t>
    </w:r>
    <w:r>
      <w:fldChar w:fldCharType="end"/>
    </w:r>
    <w:r>
      <w:tab/>
    </w:r>
    <w:r w:rsidRPr="00E16285">
      <w:tab/>
    </w:r>
    <w:r w:rsidRPr="00E1628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285" w:rsidRDefault="00E16285" w:rsidP="00E16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17D" w:rsidRDefault="0043117D" w:rsidP="00C94138">
      <w:pPr>
        <w:spacing w:before="0" w:after="0"/>
      </w:pPr>
      <w:r>
        <w:separator/>
      </w:r>
    </w:p>
  </w:footnote>
  <w:footnote w:type="continuationSeparator" w:id="0">
    <w:p w:rsidR="0043117D" w:rsidRDefault="0043117D" w:rsidP="00C94138">
      <w:pPr>
        <w:spacing w:before="0" w:after="0"/>
      </w:pPr>
      <w:r>
        <w:continuationSeparator/>
      </w:r>
    </w:p>
  </w:footnote>
  <w:footnote w:type="continuationNotice" w:id="1">
    <w:p w:rsidR="0043117D" w:rsidRDefault="0043117D">
      <w:pPr>
        <w:spacing w:before="0" w:after="0"/>
      </w:pPr>
    </w:p>
  </w:footnote>
  <w:footnote w:id="2">
    <w:p w:rsidR="006514F1" w:rsidRPr="00437448" w:rsidRDefault="006514F1" w:rsidP="006514F1">
      <w:pPr>
        <w:pStyle w:val="FootnoteText"/>
        <w:ind w:left="709" w:hanging="709"/>
        <w:jc w:val="left"/>
        <w:rPr>
          <w:b/>
          <w:bCs/>
        </w:rPr>
      </w:pPr>
      <w:r>
        <w:rPr>
          <w:rStyle w:val="FootnoteReference"/>
        </w:rPr>
        <w:footnoteRef/>
      </w:r>
      <w:r>
        <w:tab/>
        <w:t xml:space="preserve">Regulamentul (UE, Euratom) 2020/2093 al Consiliului din 17 decembrie 2020 de stabilire a cadrului financiar multianual pentru perioada 2021-2027, </w:t>
      </w:r>
      <w:r>
        <w:rPr>
          <w:rStyle w:val="Emphasis"/>
          <w:color w:val="333333"/>
          <w:shd w:val="clear" w:color="auto" w:fill="FFFFFF"/>
        </w:rPr>
        <w:t>JO L 433I, 22.12.2020, p. 11</w:t>
      </w:r>
      <w:r>
        <w:t>.</w:t>
      </w:r>
    </w:p>
  </w:footnote>
  <w:footnote w:id="3">
    <w:p w:rsidR="006514F1" w:rsidRPr="00652EEA" w:rsidRDefault="006514F1" w:rsidP="006514F1">
      <w:pPr>
        <w:pStyle w:val="FootnoteText"/>
      </w:pPr>
      <w:r>
        <w:rPr>
          <w:rStyle w:val="FootnoteReference"/>
        </w:rPr>
        <w:footnoteRef/>
      </w:r>
      <w:r>
        <w:tab/>
        <w:t>Regulamentul (UE) XXX/XXX al Parlamentului European și al Consiliului din XXX de instituire a Împrumutului cu recurs limitat acordat Ucrainei (JO XXX).</w:t>
      </w:r>
    </w:p>
  </w:footnote>
  <w:footnote w:id="4">
    <w:p w:rsidR="006514F1" w:rsidRPr="00362F8C" w:rsidRDefault="006514F1" w:rsidP="006514F1">
      <w:pPr>
        <w:pStyle w:val="FootnoteText"/>
      </w:pPr>
      <w:r>
        <w:rPr>
          <w:rStyle w:val="FootnoteReference"/>
        </w:rPr>
        <w:footnoteRef/>
      </w:r>
      <w:r>
        <w:tab/>
        <w:t xml:space="preserve">Regulamentul (UE) 2022/2463 al Parlamentului European și al Consiliului din 14 decembrie 2022 de instituire a unui instrument pentru acordarea de sprijin Ucrainei pentru 2023 (asistență macrofinanciară +) (JO L 322, 16.12.2022, p. 1, ELI: </w:t>
      </w:r>
      <w:hyperlink r:id="rId1" w:history="1">
        <w:r>
          <w:rPr>
            <w:rStyle w:val="Hyperlink"/>
          </w:rPr>
          <w:t>http://data.europa.eu/eli/reg/2022/2463/oj</w:t>
        </w:r>
      </w:hyperlink>
      <w:r>
        <w:t>).</w:t>
      </w:r>
    </w:p>
  </w:footnote>
  <w:footnote w:id="5">
    <w:p w:rsidR="006514F1" w:rsidRPr="00057DD4" w:rsidRDefault="006514F1" w:rsidP="006514F1">
      <w:pPr>
        <w:pStyle w:val="FootnoteText"/>
      </w:pPr>
      <w:r>
        <w:rPr>
          <w:rStyle w:val="FootnoteReference"/>
        </w:rPr>
        <w:footnoteRef/>
      </w:r>
      <w:r>
        <w:tab/>
        <w:t xml:space="preserve">Regulamentul (UE) 2024/792 al Parlamentului European și al Consiliului din 29 februarie 2024 de instituire a Mecanismului pentru Ucraina (JO L, 2024/792, 29.2.2024, ELI: </w:t>
      </w:r>
      <w:hyperlink r:id="rId2" w:history="1">
        <w:r>
          <w:rPr>
            <w:rStyle w:val="Hyperlink"/>
          </w:rPr>
          <w:t>http://data.europa.eu/eli/reg/2024/792/oj</w:t>
        </w:r>
      </w:hyperlink>
      <w:r>
        <w:t>).</w:t>
      </w:r>
    </w:p>
  </w:footnote>
  <w:footnote w:id="6">
    <w:p w:rsidR="006514F1" w:rsidRPr="00362F8C" w:rsidRDefault="006514F1" w:rsidP="006514F1">
      <w:pPr>
        <w:pStyle w:val="FootnoteText"/>
      </w:pPr>
      <w:r>
        <w:rPr>
          <w:rStyle w:val="FootnoteReference"/>
        </w:rPr>
        <w:footnoteRef/>
      </w:r>
      <w:r>
        <w:tab/>
        <w:t xml:space="preserve">Regulamentul (UE) 2022/2463 al Parlamentului European și al Consiliului din 14 decembrie 2022 de instituire a unui instrument pentru acordarea de sprijin Ucrainei pentru 2023 (asistență macrofinanciară +) (JO L 322, 16.12.2022, p. 1, ELI: </w:t>
      </w:r>
      <w:hyperlink r:id="rId3" w:history="1">
        <w:r>
          <w:rPr>
            <w:rStyle w:val="Hyperlink"/>
          </w:rPr>
          <w:t>http://data.europa.eu/eli/reg/2022/2463/oj</w:t>
        </w:r>
      </w:hyperlink>
      <w:r>
        <w:t>).</w:t>
      </w:r>
    </w:p>
  </w:footnote>
  <w:footnote w:id="7">
    <w:p w:rsidR="004E2C95" w:rsidRPr="004E2C95" w:rsidRDefault="004E2C95">
      <w:pPr>
        <w:pStyle w:val="FootnoteText"/>
      </w:pPr>
      <w:r>
        <w:rPr>
          <w:rStyle w:val="FootnoteReference"/>
        </w:rPr>
        <w:footnoteRef/>
      </w:r>
      <w:r>
        <w:tab/>
      </w:r>
      <w:r>
        <w:rPr>
          <w:sz w:val="24"/>
        </w:rPr>
        <w:t>Decizia (UE) 2026/</w:t>
      </w:r>
      <w:r>
        <w:rPr>
          <w:sz w:val="24"/>
          <w:highlight w:val="yellow"/>
        </w:rPr>
        <w:t>…</w:t>
      </w:r>
      <w:r>
        <w:rPr>
          <w:sz w:val="24"/>
        </w:rPr>
        <w:t xml:space="preserve"> a Consiliului (JO L …, ELI: …).</w:t>
      </w:r>
    </w:p>
  </w:footnote>
  <w:footnote w:id="8">
    <w:p w:rsidR="00880BAE" w:rsidRPr="001275D5" w:rsidRDefault="00880BAE" w:rsidP="001275D5">
      <w:pPr>
        <w:pStyle w:val="FootnoteText"/>
        <w:ind w:left="0" w:firstLine="0"/>
      </w:pPr>
      <w:r>
        <w:rPr>
          <w:rStyle w:val="FootnoteReference"/>
        </w:rPr>
        <w:footnoteRef/>
      </w:r>
      <w:r>
        <w:tab/>
        <w:t>Regulamentul (UE, Euratom) 2020/2093 al Consiliului din 17 decembrie 2020 de stabilire a cadrului financiar multianual pentru perioada 2021-2027 (</w:t>
      </w:r>
      <w:hyperlink r:id="rId4" w:history="1">
        <w:r>
          <w:rPr>
            <w:rStyle w:val="Hyperlink"/>
          </w:rPr>
          <w:t>JO L 433 I, 22.12.2020, p. 11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285" w:rsidRDefault="00E16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285" w:rsidRDefault="00E162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8004160"/>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6 13:47: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D39F2F10-7975-4D49-B385-05AD323DA206"/>
    <w:docVar w:name="LW_COVERPAGE_TYPE" w:val="1"/>
    <w:docVar w:name="LW_CreatedUtc" w:val="2026-01-06T11:22:27.1667516Z"/>
    <w:docVar w:name="LW_CROSSREFERENCE" w:val="&lt;UNUSED&gt;"/>
    <w:docVar w:name="LW_DocType" w:val="COM"/>
    <w:docVar w:name="LW_EMISSION" w:val="14.1.2026"/>
    <w:docVar w:name="LW_EMISSION_ISODATE" w:val="2026-01-14"/>
    <w:docVar w:name="LW_EMISSION_LOCATION" w:val="BRX"/>
    <w:docVar w:name="LW_EMISSION_PREFIX" w:val="Bruxelles, "/>
    <w:docVar w:name="LW_EMISSION_SUFFIX" w:val=" "/>
    <w:docVar w:name="LW_ID_DOCMODEL" w:val="SJ-016"/>
    <w:docVar w:name="LW_ID_DOCSIGNATURE" w:val="SJ-016"/>
    <w:docVar w:name="LW_ID_DOCSTRUCTURE" w:val="COM/PL/MOD"/>
    <w:docVar w:name="LW_ID_DOCTYPE" w:val="SG-006"/>
    <w:docVar w:name="LW_ID_STATUT" w:val="SG-00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APP"/>
    <w:docVar w:name="LW_REF.II.NEW.CP_NUMBER" w:val="3500"/>
    <w:docVar w:name="LW_REF.II.NEW.CP_YEAR" w:val="2025"/>
    <w:docVar w:name="LW_REF.INST.NEW" w:val="COM"/>
    <w:docVar w:name="LW_REF.INST.NEW_ADOPTED" w:val="final"/>
    <w:docVar w:name="LW_REF.INST.NEW_TEXT" w:val="(2026) 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modificat\u259? de"/>
    <w:docVar w:name="LW_SUPERTITRE" w:val="&lt;UNUSED&gt;"/>
    <w:docVar w:name="LW_TITRE.OBJ.CP" w:val="de modificare a Regulamentului (UE, Euratom) nr. 2020/2093 de stabilire a cadrului financiar multianual pentru perioada 2021-2027"/>
    <w:docVar w:name="LW_TYPE.DOC.CP" w:val="REGULAMENT AL CONSILIULUI"/>
    <w:docVar w:name="LwApiVersions" w:val="LW4CoDe 1.24.5.0; LW 9.2, Build 20251112"/>
  </w:docVars>
  <w:rsids>
    <w:rsidRoot w:val="00C94138"/>
    <w:rsid w:val="00000DB4"/>
    <w:rsid w:val="000011CE"/>
    <w:rsid w:val="0000127C"/>
    <w:rsid w:val="00001765"/>
    <w:rsid w:val="000018C3"/>
    <w:rsid w:val="000019E1"/>
    <w:rsid w:val="0000205F"/>
    <w:rsid w:val="000036BD"/>
    <w:rsid w:val="000044AD"/>
    <w:rsid w:val="00004C61"/>
    <w:rsid w:val="00004F0A"/>
    <w:rsid w:val="00004FEB"/>
    <w:rsid w:val="00007C85"/>
    <w:rsid w:val="00007E60"/>
    <w:rsid w:val="000105D3"/>
    <w:rsid w:val="00011027"/>
    <w:rsid w:val="00011B7A"/>
    <w:rsid w:val="000124FC"/>
    <w:rsid w:val="00012E8C"/>
    <w:rsid w:val="00013C30"/>
    <w:rsid w:val="000152B3"/>
    <w:rsid w:val="00015C82"/>
    <w:rsid w:val="000166EA"/>
    <w:rsid w:val="00017A19"/>
    <w:rsid w:val="00017CD7"/>
    <w:rsid w:val="000206A2"/>
    <w:rsid w:val="00020FA6"/>
    <w:rsid w:val="000214D2"/>
    <w:rsid w:val="000218FA"/>
    <w:rsid w:val="000233B7"/>
    <w:rsid w:val="00023FB6"/>
    <w:rsid w:val="00024705"/>
    <w:rsid w:val="00025B1F"/>
    <w:rsid w:val="00026BB6"/>
    <w:rsid w:val="000275AF"/>
    <w:rsid w:val="00030794"/>
    <w:rsid w:val="00030BA0"/>
    <w:rsid w:val="00030C29"/>
    <w:rsid w:val="00031521"/>
    <w:rsid w:val="000327F7"/>
    <w:rsid w:val="00033269"/>
    <w:rsid w:val="0003409C"/>
    <w:rsid w:val="000341C9"/>
    <w:rsid w:val="00034B56"/>
    <w:rsid w:val="00035311"/>
    <w:rsid w:val="00035823"/>
    <w:rsid w:val="00035D35"/>
    <w:rsid w:val="0003608F"/>
    <w:rsid w:val="00036212"/>
    <w:rsid w:val="00037009"/>
    <w:rsid w:val="00037FD9"/>
    <w:rsid w:val="00040A65"/>
    <w:rsid w:val="000421B7"/>
    <w:rsid w:val="00043BFF"/>
    <w:rsid w:val="00043EA3"/>
    <w:rsid w:val="00044961"/>
    <w:rsid w:val="00046020"/>
    <w:rsid w:val="00046755"/>
    <w:rsid w:val="000474F9"/>
    <w:rsid w:val="000477AC"/>
    <w:rsid w:val="00047A57"/>
    <w:rsid w:val="00050651"/>
    <w:rsid w:val="000519EA"/>
    <w:rsid w:val="00051EE4"/>
    <w:rsid w:val="00052AAF"/>
    <w:rsid w:val="00054331"/>
    <w:rsid w:val="00055F01"/>
    <w:rsid w:val="00056245"/>
    <w:rsid w:val="00056E45"/>
    <w:rsid w:val="00057E1A"/>
    <w:rsid w:val="00060DB9"/>
    <w:rsid w:val="000619C6"/>
    <w:rsid w:val="000632FB"/>
    <w:rsid w:val="00063321"/>
    <w:rsid w:val="00064436"/>
    <w:rsid w:val="00064AEC"/>
    <w:rsid w:val="000650D0"/>
    <w:rsid w:val="000655D4"/>
    <w:rsid w:val="00065987"/>
    <w:rsid w:val="000659DC"/>
    <w:rsid w:val="00065A6B"/>
    <w:rsid w:val="000662E3"/>
    <w:rsid w:val="000664EF"/>
    <w:rsid w:val="000677F9"/>
    <w:rsid w:val="00067D0F"/>
    <w:rsid w:val="0007060F"/>
    <w:rsid w:val="0007094A"/>
    <w:rsid w:val="00071041"/>
    <w:rsid w:val="00071B73"/>
    <w:rsid w:val="00072EC8"/>
    <w:rsid w:val="00073008"/>
    <w:rsid w:val="0007339A"/>
    <w:rsid w:val="00074EFB"/>
    <w:rsid w:val="0007570B"/>
    <w:rsid w:val="00080CF8"/>
    <w:rsid w:val="00081031"/>
    <w:rsid w:val="0008239D"/>
    <w:rsid w:val="000823E7"/>
    <w:rsid w:val="00083139"/>
    <w:rsid w:val="000833D8"/>
    <w:rsid w:val="00083415"/>
    <w:rsid w:val="00084365"/>
    <w:rsid w:val="00084C0C"/>
    <w:rsid w:val="00085523"/>
    <w:rsid w:val="0008669E"/>
    <w:rsid w:val="00087E6A"/>
    <w:rsid w:val="00090238"/>
    <w:rsid w:val="00090CDA"/>
    <w:rsid w:val="00090E68"/>
    <w:rsid w:val="000910E9"/>
    <w:rsid w:val="00091712"/>
    <w:rsid w:val="00091BF6"/>
    <w:rsid w:val="00092355"/>
    <w:rsid w:val="00092377"/>
    <w:rsid w:val="0009269F"/>
    <w:rsid w:val="0009482E"/>
    <w:rsid w:val="00094E86"/>
    <w:rsid w:val="00095722"/>
    <w:rsid w:val="00095940"/>
    <w:rsid w:val="00096589"/>
    <w:rsid w:val="00096E7E"/>
    <w:rsid w:val="00097091"/>
    <w:rsid w:val="000A09F5"/>
    <w:rsid w:val="000A1D0E"/>
    <w:rsid w:val="000A2214"/>
    <w:rsid w:val="000A359F"/>
    <w:rsid w:val="000A41BA"/>
    <w:rsid w:val="000A5075"/>
    <w:rsid w:val="000A5145"/>
    <w:rsid w:val="000A522A"/>
    <w:rsid w:val="000A584D"/>
    <w:rsid w:val="000A6A6B"/>
    <w:rsid w:val="000A76B8"/>
    <w:rsid w:val="000A7740"/>
    <w:rsid w:val="000B0C63"/>
    <w:rsid w:val="000B0C7D"/>
    <w:rsid w:val="000B0D22"/>
    <w:rsid w:val="000B0FC5"/>
    <w:rsid w:val="000B1580"/>
    <w:rsid w:val="000B1584"/>
    <w:rsid w:val="000B24EB"/>
    <w:rsid w:val="000B28B0"/>
    <w:rsid w:val="000B2CE1"/>
    <w:rsid w:val="000B33EC"/>
    <w:rsid w:val="000B3AAA"/>
    <w:rsid w:val="000B4046"/>
    <w:rsid w:val="000B4993"/>
    <w:rsid w:val="000B4E6C"/>
    <w:rsid w:val="000B5070"/>
    <w:rsid w:val="000B50E5"/>
    <w:rsid w:val="000B5BFB"/>
    <w:rsid w:val="000B60F6"/>
    <w:rsid w:val="000C1BDE"/>
    <w:rsid w:val="000C1E1A"/>
    <w:rsid w:val="000C1F37"/>
    <w:rsid w:val="000C26E7"/>
    <w:rsid w:val="000C2AF5"/>
    <w:rsid w:val="000C4052"/>
    <w:rsid w:val="000C4945"/>
    <w:rsid w:val="000C51E4"/>
    <w:rsid w:val="000C65CA"/>
    <w:rsid w:val="000C68EA"/>
    <w:rsid w:val="000D077C"/>
    <w:rsid w:val="000D0AD2"/>
    <w:rsid w:val="000D2A00"/>
    <w:rsid w:val="000D3B5E"/>
    <w:rsid w:val="000D3FB8"/>
    <w:rsid w:val="000D4D4F"/>
    <w:rsid w:val="000D4F45"/>
    <w:rsid w:val="000D5E8F"/>
    <w:rsid w:val="000D65C3"/>
    <w:rsid w:val="000D7C70"/>
    <w:rsid w:val="000E043A"/>
    <w:rsid w:val="000E2353"/>
    <w:rsid w:val="000E2636"/>
    <w:rsid w:val="000E3EBE"/>
    <w:rsid w:val="000E3F6A"/>
    <w:rsid w:val="000E4184"/>
    <w:rsid w:val="000E47A2"/>
    <w:rsid w:val="000E5CD1"/>
    <w:rsid w:val="000E6C15"/>
    <w:rsid w:val="000F075C"/>
    <w:rsid w:val="000F1E88"/>
    <w:rsid w:val="000F2BAF"/>
    <w:rsid w:val="000F43C7"/>
    <w:rsid w:val="000F45D7"/>
    <w:rsid w:val="000F4A85"/>
    <w:rsid w:val="000F544A"/>
    <w:rsid w:val="000F5612"/>
    <w:rsid w:val="000F58BA"/>
    <w:rsid w:val="000F6A5D"/>
    <w:rsid w:val="000F741B"/>
    <w:rsid w:val="00100797"/>
    <w:rsid w:val="00100F2B"/>
    <w:rsid w:val="00102D88"/>
    <w:rsid w:val="0010353F"/>
    <w:rsid w:val="0010407B"/>
    <w:rsid w:val="00105273"/>
    <w:rsid w:val="001065DF"/>
    <w:rsid w:val="001065F5"/>
    <w:rsid w:val="00107ABD"/>
    <w:rsid w:val="00110A1D"/>
    <w:rsid w:val="00110ADB"/>
    <w:rsid w:val="001112DE"/>
    <w:rsid w:val="001115D0"/>
    <w:rsid w:val="00113575"/>
    <w:rsid w:val="00113F6E"/>
    <w:rsid w:val="001143A3"/>
    <w:rsid w:val="00114C91"/>
    <w:rsid w:val="00114F3D"/>
    <w:rsid w:val="00115259"/>
    <w:rsid w:val="0011537D"/>
    <w:rsid w:val="00115582"/>
    <w:rsid w:val="00116C2E"/>
    <w:rsid w:val="00117CC4"/>
    <w:rsid w:val="00117D2E"/>
    <w:rsid w:val="00120CE2"/>
    <w:rsid w:val="00120DC7"/>
    <w:rsid w:val="001216E4"/>
    <w:rsid w:val="001228AE"/>
    <w:rsid w:val="0012291F"/>
    <w:rsid w:val="00122EA7"/>
    <w:rsid w:val="001238EF"/>
    <w:rsid w:val="00123CF8"/>
    <w:rsid w:val="00123FD4"/>
    <w:rsid w:val="00124701"/>
    <w:rsid w:val="00126206"/>
    <w:rsid w:val="00126BA5"/>
    <w:rsid w:val="001275CE"/>
    <w:rsid w:val="001275D5"/>
    <w:rsid w:val="00127690"/>
    <w:rsid w:val="00130322"/>
    <w:rsid w:val="001305A7"/>
    <w:rsid w:val="001314B4"/>
    <w:rsid w:val="001315D5"/>
    <w:rsid w:val="00131C68"/>
    <w:rsid w:val="00131C9F"/>
    <w:rsid w:val="00131FB9"/>
    <w:rsid w:val="00132191"/>
    <w:rsid w:val="001322FA"/>
    <w:rsid w:val="00134019"/>
    <w:rsid w:val="001343B8"/>
    <w:rsid w:val="001348D0"/>
    <w:rsid w:val="00134B14"/>
    <w:rsid w:val="0013584A"/>
    <w:rsid w:val="001363C9"/>
    <w:rsid w:val="00136B95"/>
    <w:rsid w:val="00136F2C"/>
    <w:rsid w:val="001408C3"/>
    <w:rsid w:val="00140D9F"/>
    <w:rsid w:val="00142583"/>
    <w:rsid w:val="00142D4D"/>
    <w:rsid w:val="00142F1A"/>
    <w:rsid w:val="00143A7C"/>
    <w:rsid w:val="001442B4"/>
    <w:rsid w:val="001445AC"/>
    <w:rsid w:val="0014491B"/>
    <w:rsid w:val="001455A8"/>
    <w:rsid w:val="0014586D"/>
    <w:rsid w:val="001471EC"/>
    <w:rsid w:val="00151EAE"/>
    <w:rsid w:val="00151F3B"/>
    <w:rsid w:val="00153D7B"/>
    <w:rsid w:val="001546E2"/>
    <w:rsid w:val="001549FE"/>
    <w:rsid w:val="001552AA"/>
    <w:rsid w:val="00155F31"/>
    <w:rsid w:val="00156763"/>
    <w:rsid w:val="0015719F"/>
    <w:rsid w:val="00160116"/>
    <w:rsid w:val="0016224D"/>
    <w:rsid w:val="001641BA"/>
    <w:rsid w:val="00165034"/>
    <w:rsid w:val="0017168F"/>
    <w:rsid w:val="001716EE"/>
    <w:rsid w:val="00171D11"/>
    <w:rsid w:val="001723F4"/>
    <w:rsid w:val="00172B5B"/>
    <w:rsid w:val="00173909"/>
    <w:rsid w:val="00174A31"/>
    <w:rsid w:val="00174E00"/>
    <w:rsid w:val="00174EFF"/>
    <w:rsid w:val="00175CA8"/>
    <w:rsid w:val="00175E51"/>
    <w:rsid w:val="00176178"/>
    <w:rsid w:val="00177A11"/>
    <w:rsid w:val="0018065A"/>
    <w:rsid w:val="00181DE5"/>
    <w:rsid w:val="0018201C"/>
    <w:rsid w:val="001827E5"/>
    <w:rsid w:val="00183A23"/>
    <w:rsid w:val="00183D92"/>
    <w:rsid w:val="00185E83"/>
    <w:rsid w:val="00187DC5"/>
    <w:rsid w:val="00190995"/>
    <w:rsid w:val="00190EBE"/>
    <w:rsid w:val="0019126C"/>
    <w:rsid w:val="00191B57"/>
    <w:rsid w:val="00191C16"/>
    <w:rsid w:val="00191C37"/>
    <w:rsid w:val="00191C9A"/>
    <w:rsid w:val="00192462"/>
    <w:rsid w:val="00192940"/>
    <w:rsid w:val="00192EDE"/>
    <w:rsid w:val="0019328E"/>
    <w:rsid w:val="001937C3"/>
    <w:rsid w:val="001945F7"/>
    <w:rsid w:val="00194610"/>
    <w:rsid w:val="00196215"/>
    <w:rsid w:val="00196F88"/>
    <w:rsid w:val="00197613"/>
    <w:rsid w:val="0019770D"/>
    <w:rsid w:val="0019776D"/>
    <w:rsid w:val="0019781D"/>
    <w:rsid w:val="00197DB3"/>
    <w:rsid w:val="001A012E"/>
    <w:rsid w:val="001A0AFC"/>
    <w:rsid w:val="001A1265"/>
    <w:rsid w:val="001A13BD"/>
    <w:rsid w:val="001A24C3"/>
    <w:rsid w:val="001A2611"/>
    <w:rsid w:val="001A2DDC"/>
    <w:rsid w:val="001A416F"/>
    <w:rsid w:val="001A4446"/>
    <w:rsid w:val="001A4EA0"/>
    <w:rsid w:val="001A4F32"/>
    <w:rsid w:val="001A57B5"/>
    <w:rsid w:val="001A6BB9"/>
    <w:rsid w:val="001A721E"/>
    <w:rsid w:val="001B0FA5"/>
    <w:rsid w:val="001B124C"/>
    <w:rsid w:val="001B19FD"/>
    <w:rsid w:val="001B2612"/>
    <w:rsid w:val="001B263D"/>
    <w:rsid w:val="001B2F14"/>
    <w:rsid w:val="001B3E69"/>
    <w:rsid w:val="001B3EEA"/>
    <w:rsid w:val="001B4055"/>
    <w:rsid w:val="001B4B1C"/>
    <w:rsid w:val="001B5636"/>
    <w:rsid w:val="001B5C4E"/>
    <w:rsid w:val="001B6EA5"/>
    <w:rsid w:val="001B7102"/>
    <w:rsid w:val="001C0237"/>
    <w:rsid w:val="001C05F4"/>
    <w:rsid w:val="001C0E54"/>
    <w:rsid w:val="001C1357"/>
    <w:rsid w:val="001C2A23"/>
    <w:rsid w:val="001C2FBC"/>
    <w:rsid w:val="001C3062"/>
    <w:rsid w:val="001C37C4"/>
    <w:rsid w:val="001C4A3F"/>
    <w:rsid w:val="001C4C5F"/>
    <w:rsid w:val="001C51BB"/>
    <w:rsid w:val="001C594F"/>
    <w:rsid w:val="001C5EF1"/>
    <w:rsid w:val="001C6E7A"/>
    <w:rsid w:val="001C735D"/>
    <w:rsid w:val="001C74DA"/>
    <w:rsid w:val="001D0297"/>
    <w:rsid w:val="001D0CDF"/>
    <w:rsid w:val="001D2A27"/>
    <w:rsid w:val="001D3172"/>
    <w:rsid w:val="001D38AC"/>
    <w:rsid w:val="001D3E65"/>
    <w:rsid w:val="001D4B05"/>
    <w:rsid w:val="001D5CFF"/>
    <w:rsid w:val="001D748B"/>
    <w:rsid w:val="001D778D"/>
    <w:rsid w:val="001E0C3D"/>
    <w:rsid w:val="001E1725"/>
    <w:rsid w:val="001E2F56"/>
    <w:rsid w:val="001E4014"/>
    <w:rsid w:val="001E41AE"/>
    <w:rsid w:val="001E4BC4"/>
    <w:rsid w:val="001E4E4B"/>
    <w:rsid w:val="001E6447"/>
    <w:rsid w:val="001E695F"/>
    <w:rsid w:val="001E6A94"/>
    <w:rsid w:val="001E708C"/>
    <w:rsid w:val="001E70D8"/>
    <w:rsid w:val="001E768E"/>
    <w:rsid w:val="001F0C80"/>
    <w:rsid w:val="001F33CA"/>
    <w:rsid w:val="001F33FB"/>
    <w:rsid w:val="001F3536"/>
    <w:rsid w:val="001F366F"/>
    <w:rsid w:val="001F40A0"/>
    <w:rsid w:val="001F5A8C"/>
    <w:rsid w:val="001F6139"/>
    <w:rsid w:val="001F70BE"/>
    <w:rsid w:val="00202257"/>
    <w:rsid w:val="00203D79"/>
    <w:rsid w:val="002045B0"/>
    <w:rsid w:val="002051C7"/>
    <w:rsid w:val="00206F20"/>
    <w:rsid w:val="002071F3"/>
    <w:rsid w:val="00207FCA"/>
    <w:rsid w:val="002100AC"/>
    <w:rsid w:val="002101C4"/>
    <w:rsid w:val="002103DB"/>
    <w:rsid w:val="002110C4"/>
    <w:rsid w:val="00211136"/>
    <w:rsid w:val="0021128C"/>
    <w:rsid w:val="0021190A"/>
    <w:rsid w:val="00211EAF"/>
    <w:rsid w:val="00211F51"/>
    <w:rsid w:val="00212219"/>
    <w:rsid w:val="00212581"/>
    <w:rsid w:val="00212B01"/>
    <w:rsid w:val="00212FD9"/>
    <w:rsid w:val="0021340A"/>
    <w:rsid w:val="002134C3"/>
    <w:rsid w:val="00215285"/>
    <w:rsid w:val="0021657C"/>
    <w:rsid w:val="00216E62"/>
    <w:rsid w:val="00220C5C"/>
    <w:rsid w:val="00220C86"/>
    <w:rsid w:val="00220CFE"/>
    <w:rsid w:val="002216A7"/>
    <w:rsid w:val="00221993"/>
    <w:rsid w:val="00223749"/>
    <w:rsid w:val="00223EB3"/>
    <w:rsid w:val="002243BD"/>
    <w:rsid w:val="002248E7"/>
    <w:rsid w:val="00226007"/>
    <w:rsid w:val="00226038"/>
    <w:rsid w:val="002262E8"/>
    <w:rsid w:val="002270EF"/>
    <w:rsid w:val="002277B3"/>
    <w:rsid w:val="00227B4A"/>
    <w:rsid w:val="00227FDC"/>
    <w:rsid w:val="00230AA0"/>
    <w:rsid w:val="0023172D"/>
    <w:rsid w:val="00231FCD"/>
    <w:rsid w:val="00232EB7"/>
    <w:rsid w:val="00233651"/>
    <w:rsid w:val="00233891"/>
    <w:rsid w:val="00233DC7"/>
    <w:rsid w:val="00235331"/>
    <w:rsid w:val="00236041"/>
    <w:rsid w:val="0023658A"/>
    <w:rsid w:val="002367DA"/>
    <w:rsid w:val="00236CA8"/>
    <w:rsid w:val="002405F2"/>
    <w:rsid w:val="002406DC"/>
    <w:rsid w:val="0024127B"/>
    <w:rsid w:val="002425CF"/>
    <w:rsid w:val="002426D2"/>
    <w:rsid w:val="00242DB7"/>
    <w:rsid w:val="00243881"/>
    <w:rsid w:val="00243A8C"/>
    <w:rsid w:val="00243D5F"/>
    <w:rsid w:val="002445C9"/>
    <w:rsid w:val="00244F16"/>
    <w:rsid w:val="002452AE"/>
    <w:rsid w:val="00246AD0"/>
    <w:rsid w:val="002475C8"/>
    <w:rsid w:val="00247779"/>
    <w:rsid w:val="002478CF"/>
    <w:rsid w:val="00247BCB"/>
    <w:rsid w:val="00247FAF"/>
    <w:rsid w:val="002505E4"/>
    <w:rsid w:val="00250741"/>
    <w:rsid w:val="00250A07"/>
    <w:rsid w:val="002530C3"/>
    <w:rsid w:val="00254565"/>
    <w:rsid w:val="0025497D"/>
    <w:rsid w:val="00255786"/>
    <w:rsid w:val="00256640"/>
    <w:rsid w:val="00256660"/>
    <w:rsid w:val="00256672"/>
    <w:rsid w:val="0025732A"/>
    <w:rsid w:val="002576AE"/>
    <w:rsid w:val="00257D54"/>
    <w:rsid w:val="00260F04"/>
    <w:rsid w:val="002615D3"/>
    <w:rsid w:val="00264DD4"/>
    <w:rsid w:val="00266395"/>
    <w:rsid w:val="00266916"/>
    <w:rsid w:val="00266D6F"/>
    <w:rsid w:val="00266EC7"/>
    <w:rsid w:val="00270029"/>
    <w:rsid w:val="002708D6"/>
    <w:rsid w:val="00270D29"/>
    <w:rsid w:val="00271E8C"/>
    <w:rsid w:val="00272C59"/>
    <w:rsid w:val="00273B2D"/>
    <w:rsid w:val="00274160"/>
    <w:rsid w:val="002744D7"/>
    <w:rsid w:val="00274DE2"/>
    <w:rsid w:val="002758A8"/>
    <w:rsid w:val="00275F8E"/>
    <w:rsid w:val="00275FD2"/>
    <w:rsid w:val="00276088"/>
    <w:rsid w:val="00276EF5"/>
    <w:rsid w:val="0027754A"/>
    <w:rsid w:val="00277BCF"/>
    <w:rsid w:val="00277CBA"/>
    <w:rsid w:val="00277E80"/>
    <w:rsid w:val="0028084B"/>
    <w:rsid w:val="00280DD1"/>
    <w:rsid w:val="002818B2"/>
    <w:rsid w:val="002818E9"/>
    <w:rsid w:val="00281E1A"/>
    <w:rsid w:val="00282BB0"/>
    <w:rsid w:val="00283C30"/>
    <w:rsid w:val="00284BEF"/>
    <w:rsid w:val="0028503E"/>
    <w:rsid w:val="00285086"/>
    <w:rsid w:val="0028593C"/>
    <w:rsid w:val="00285BEE"/>
    <w:rsid w:val="002867FB"/>
    <w:rsid w:val="00286A97"/>
    <w:rsid w:val="00286F34"/>
    <w:rsid w:val="00287D58"/>
    <w:rsid w:val="00287FD3"/>
    <w:rsid w:val="00290204"/>
    <w:rsid w:val="00290C03"/>
    <w:rsid w:val="00291943"/>
    <w:rsid w:val="0029384A"/>
    <w:rsid w:val="002940A3"/>
    <w:rsid w:val="00294FC9"/>
    <w:rsid w:val="0029533F"/>
    <w:rsid w:val="00295BF6"/>
    <w:rsid w:val="00296C4B"/>
    <w:rsid w:val="0029734F"/>
    <w:rsid w:val="002A0865"/>
    <w:rsid w:val="002A1514"/>
    <w:rsid w:val="002A18F2"/>
    <w:rsid w:val="002A249A"/>
    <w:rsid w:val="002A2D88"/>
    <w:rsid w:val="002A2F96"/>
    <w:rsid w:val="002A4CBE"/>
    <w:rsid w:val="002A6A5B"/>
    <w:rsid w:val="002A6DC5"/>
    <w:rsid w:val="002A6E37"/>
    <w:rsid w:val="002A729E"/>
    <w:rsid w:val="002B0A36"/>
    <w:rsid w:val="002B1461"/>
    <w:rsid w:val="002B1A6B"/>
    <w:rsid w:val="002B30AF"/>
    <w:rsid w:val="002B374E"/>
    <w:rsid w:val="002B3841"/>
    <w:rsid w:val="002B3BFB"/>
    <w:rsid w:val="002B5956"/>
    <w:rsid w:val="002B5F6F"/>
    <w:rsid w:val="002B7A20"/>
    <w:rsid w:val="002C12EC"/>
    <w:rsid w:val="002C24B1"/>
    <w:rsid w:val="002C2821"/>
    <w:rsid w:val="002C2FA6"/>
    <w:rsid w:val="002C3973"/>
    <w:rsid w:val="002C3DB5"/>
    <w:rsid w:val="002C46C3"/>
    <w:rsid w:val="002C4705"/>
    <w:rsid w:val="002C4792"/>
    <w:rsid w:val="002C4F9D"/>
    <w:rsid w:val="002C5568"/>
    <w:rsid w:val="002C5728"/>
    <w:rsid w:val="002C618A"/>
    <w:rsid w:val="002C64A5"/>
    <w:rsid w:val="002D1B12"/>
    <w:rsid w:val="002D3402"/>
    <w:rsid w:val="002D3D5E"/>
    <w:rsid w:val="002D4682"/>
    <w:rsid w:val="002D52F8"/>
    <w:rsid w:val="002D53F8"/>
    <w:rsid w:val="002D5E16"/>
    <w:rsid w:val="002D6665"/>
    <w:rsid w:val="002D6962"/>
    <w:rsid w:val="002D71A1"/>
    <w:rsid w:val="002D76DF"/>
    <w:rsid w:val="002E01DF"/>
    <w:rsid w:val="002E0E8B"/>
    <w:rsid w:val="002E1EE1"/>
    <w:rsid w:val="002E3902"/>
    <w:rsid w:val="002E5C8F"/>
    <w:rsid w:val="002E605D"/>
    <w:rsid w:val="002E6FD6"/>
    <w:rsid w:val="002F02F4"/>
    <w:rsid w:val="002F05D7"/>
    <w:rsid w:val="002F172D"/>
    <w:rsid w:val="002F1CA5"/>
    <w:rsid w:val="002F1CCB"/>
    <w:rsid w:val="002F28D1"/>
    <w:rsid w:val="002F2F94"/>
    <w:rsid w:val="002F3303"/>
    <w:rsid w:val="002F41CE"/>
    <w:rsid w:val="002F64E0"/>
    <w:rsid w:val="002F714B"/>
    <w:rsid w:val="002F7460"/>
    <w:rsid w:val="00301A73"/>
    <w:rsid w:val="003029AD"/>
    <w:rsid w:val="003030FA"/>
    <w:rsid w:val="00303D51"/>
    <w:rsid w:val="003046BD"/>
    <w:rsid w:val="00304A29"/>
    <w:rsid w:val="00306CD4"/>
    <w:rsid w:val="0030723A"/>
    <w:rsid w:val="003076EB"/>
    <w:rsid w:val="003079E1"/>
    <w:rsid w:val="003100C3"/>
    <w:rsid w:val="003104E4"/>
    <w:rsid w:val="00310C61"/>
    <w:rsid w:val="003123F1"/>
    <w:rsid w:val="00312D5A"/>
    <w:rsid w:val="003134BD"/>
    <w:rsid w:val="00313B26"/>
    <w:rsid w:val="00314302"/>
    <w:rsid w:val="003143DD"/>
    <w:rsid w:val="00315561"/>
    <w:rsid w:val="003163B4"/>
    <w:rsid w:val="00317CF2"/>
    <w:rsid w:val="003206C9"/>
    <w:rsid w:val="003213C7"/>
    <w:rsid w:val="00321D4D"/>
    <w:rsid w:val="0032345E"/>
    <w:rsid w:val="0032411E"/>
    <w:rsid w:val="003241FA"/>
    <w:rsid w:val="003242EE"/>
    <w:rsid w:val="00324B1C"/>
    <w:rsid w:val="00324DCA"/>
    <w:rsid w:val="00324F0A"/>
    <w:rsid w:val="00325497"/>
    <w:rsid w:val="00325AB8"/>
    <w:rsid w:val="00325DCC"/>
    <w:rsid w:val="0032670B"/>
    <w:rsid w:val="00327A04"/>
    <w:rsid w:val="00330294"/>
    <w:rsid w:val="003319F0"/>
    <w:rsid w:val="00331E6D"/>
    <w:rsid w:val="00331FB3"/>
    <w:rsid w:val="00333049"/>
    <w:rsid w:val="0033344A"/>
    <w:rsid w:val="00333885"/>
    <w:rsid w:val="00333FB7"/>
    <w:rsid w:val="00334591"/>
    <w:rsid w:val="00335027"/>
    <w:rsid w:val="0033515B"/>
    <w:rsid w:val="0033634A"/>
    <w:rsid w:val="00336434"/>
    <w:rsid w:val="00336D55"/>
    <w:rsid w:val="0033714B"/>
    <w:rsid w:val="00337878"/>
    <w:rsid w:val="00340279"/>
    <w:rsid w:val="00340AE0"/>
    <w:rsid w:val="003413FE"/>
    <w:rsid w:val="003428F7"/>
    <w:rsid w:val="0034346F"/>
    <w:rsid w:val="00345972"/>
    <w:rsid w:val="00345CC1"/>
    <w:rsid w:val="00346666"/>
    <w:rsid w:val="00346C21"/>
    <w:rsid w:val="00347AEC"/>
    <w:rsid w:val="00350B0B"/>
    <w:rsid w:val="00350B3D"/>
    <w:rsid w:val="00350DE0"/>
    <w:rsid w:val="003510D4"/>
    <w:rsid w:val="00351874"/>
    <w:rsid w:val="00352BEA"/>
    <w:rsid w:val="0035333E"/>
    <w:rsid w:val="00353610"/>
    <w:rsid w:val="00353A05"/>
    <w:rsid w:val="00353BDB"/>
    <w:rsid w:val="00353E56"/>
    <w:rsid w:val="003540F3"/>
    <w:rsid w:val="0035489D"/>
    <w:rsid w:val="00354B28"/>
    <w:rsid w:val="003569DD"/>
    <w:rsid w:val="0035724A"/>
    <w:rsid w:val="00357F3F"/>
    <w:rsid w:val="003620DD"/>
    <w:rsid w:val="003622D1"/>
    <w:rsid w:val="00362836"/>
    <w:rsid w:val="003629DE"/>
    <w:rsid w:val="00362C97"/>
    <w:rsid w:val="0036395C"/>
    <w:rsid w:val="0036546C"/>
    <w:rsid w:val="00365745"/>
    <w:rsid w:val="00365B7E"/>
    <w:rsid w:val="00365EAE"/>
    <w:rsid w:val="00366626"/>
    <w:rsid w:val="003668A6"/>
    <w:rsid w:val="003674B7"/>
    <w:rsid w:val="0037016B"/>
    <w:rsid w:val="0037075F"/>
    <w:rsid w:val="003709DE"/>
    <w:rsid w:val="00371805"/>
    <w:rsid w:val="00374FFA"/>
    <w:rsid w:val="00375506"/>
    <w:rsid w:val="00375BB9"/>
    <w:rsid w:val="0037625A"/>
    <w:rsid w:val="003763B5"/>
    <w:rsid w:val="00377126"/>
    <w:rsid w:val="00377980"/>
    <w:rsid w:val="00381496"/>
    <w:rsid w:val="003819BC"/>
    <w:rsid w:val="003828C4"/>
    <w:rsid w:val="00382BE0"/>
    <w:rsid w:val="00382EAE"/>
    <w:rsid w:val="00382FF7"/>
    <w:rsid w:val="00383BC1"/>
    <w:rsid w:val="003857C8"/>
    <w:rsid w:val="003866AA"/>
    <w:rsid w:val="00386D95"/>
    <w:rsid w:val="00387352"/>
    <w:rsid w:val="00387A14"/>
    <w:rsid w:val="003909F0"/>
    <w:rsid w:val="00390B86"/>
    <w:rsid w:val="00390F22"/>
    <w:rsid w:val="0039151F"/>
    <w:rsid w:val="00392071"/>
    <w:rsid w:val="0039239B"/>
    <w:rsid w:val="003927E0"/>
    <w:rsid w:val="00395B6C"/>
    <w:rsid w:val="00395D48"/>
    <w:rsid w:val="00397514"/>
    <w:rsid w:val="003979C2"/>
    <w:rsid w:val="003A1F62"/>
    <w:rsid w:val="003A2487"/>
    <w:rsid w:val="003A29EA"/>
    <w:rsid w:val="003A37E8"/>
    <w:rsid w:val="003A5961"/>
    <w:rsid w:val="003A5FDB"/>
    <w:rsid w:val="003A6AE6"/>
    <w:rsid w:val="003B02F4"/>
    <w:rsid w:val="003B04C3"/>
    <w:rsid w:val="003B07F2"/>
    <w:rsid w:val="003B0FAF"/>
    <w:rsid w:val="003B12D3"/>
    <w:rsid w:val="003B2623"/>
    <w:rsid w:val="003B286E"/>
    <w:rsid w:val="003B2B1A"/>
    <w:rsid w:val="003B303A"/>
    <w:rsid w:val="003B411E"/>
    <w:rsid w:val="003B54E8"/>
    <w:rsid w:val="003B56BC"/>
    <w:rsid w:val="003B62B4"/>
    <w:rsid w:val="003B6577"/>
    <w:rsid w:val="003B65EC"/>
    <w:rsid w:val="003B66F8"/>
    <w:rsid w:val="003B6F8E"/>
    <w:rsid w:val="003C0271"/>
    <w:rsid w:val="003C04EF"/>
    <w:rsid w:val="003C139D"/>
    <w:rsid w:val="003C1600"/>
    <w:rsid w:val="003C1F90"/>
    <w:rsid w:val="003C24F5"/>
    <w:rsid w:val="003C29A3"/>
    <w:rsid w:val="003C2F53"/>
    <w:rsid w:val="003C3841"/>
    <w:rsid w:val="003C3B7D"/>
    <w:rsid w:val="003C4D5F"/>
    <w:rsid w:val="003C4FF6"/>
    <w:rsid w:val="003C557C"/>
    <w:rsid w:val="003C56D1"/>
    <w:rsid w:val="003C598A"/>
    <w:rsid w:val="003C7839"/>
    <w:rsid w:val="003C7EF5"/>
    <w:rsid w:val="003D06D8"/>
    <w:rsid w:val="003D10D2"/>
    <w:rsid w:val="003D1A34"/>
    <w:rsid w:val="003D1A40"/>
    <w:rsid w:val="003D21BD"/>
    <w:rsid w:val="003D336E"/>
    <w:rsid w:val="003D4FA0"/>
    <w:rsid w:val="003D5B56"/>
    <w:rsid w:val="003D6629"/>
    <w:rsid w:val="003D6998"/>
    <w:rsid w:val="003D6E48"/>
    <w:rsid w:val="003D7031"/>
    <w:rsid w:val="003E167E"/>
    <w:rsid w:val="003E17D5"/>
    <w:rsid w:val="003E1904"/>
    <w:rsid w:val="003E2195"/>
    <w:rsid w:val="003E2BC3"/>
    <w:rsid w:val="003E3B95"/>
    <w:rsid w:val="003E4284"/>
    <w:rsid w:val="003E4781"/>
    <w:rsid w:val="003E487D"/>
    <w:rsid w:val="003E54A8"/>
    <w:rsid w:val="003E5FC6"/>
    <w:rsid w:val="003E68C8"/>
    <w:rsid w:val="003E6FA9"/>
    <w:rsid w:val="003E71AF"/>
    <w:rsid w:val="003E7CB1"/>
    <w:rsid w:val="003F00D8"/>
    <w:rsid w:val="003F112B"/>
    <w:rsid w:val="003F1646"/>
    <w:rsid w:val="003F1D49"/>
    <w:rsid w:val="003F1D9D"/>
    <w:rsid w:val="003F22C6"/>
    <w:rsid w:val="003F24F5"/>
    <w:rsid w:val="003F295F"/>
    <w:rsid w:val="003F2D19"/>
    <w:rsid w:val="003F30FF"/>
    <w:rsid w:val="003F61FE"/>
    <w:rsid w:val="003F7012"/>
    <w:rsid w:val="003F7622"/>
    <w:rsid w:val="003F7B8B"/>
    <w:rsid w:val="004007FE"/>
    <w:rsid w:val="0040117A"/>
    <w:rsid w:val="00401A78"/>
    <w:rsid w:val="00401C3B"/>
    <w:rsid w:val="00401D23"/>
    <w:rsid w:val="004029F2"/>
    <w:rsid w:val="00403280"/>
    <w:rsid w:val="00405FDC"/>
    <w:rsid w:val="00407438"/>
    <w:rsid w:val="00407594"/>
    <w:rsid w:val="00410168"/>
    <w:rsid w:val="004101DA"/>
    <w:rsid w:val="00411F6F"/>
    <w:rsid w:val="004120AF"/>
    <w:rsid w:val="00412498"/>
    <w:rsid w:val="00413B09"/>
    <w:rsid w:val="00414474"/>
    <w:rsid w:val="00414C00"/>
    <w:rsid w:val="00414DD1"/>
    <w:rsid w:val="00415E59"/>
    <w:rsid w:val="00417C26"/>
    <w:rsid w:val="00421AA3"/>
    <w:rsid w:val="00421B7F"/>
    <w:rsid w:val="00421CF6"/>
    <w:rsid w:val="00422299"/>
    <w:rsid w:val="00422D1B"/>
    <w:rsid w:val="00424487"/>
    <w:rsid w:val="004251FD"/>
    <w:rsid w:val="004258B1"/>
    <w:rsid w:val="00425DDE"/>
    <w:rsid w:val="00426411"/>
    <w:rsid w:val="0042648E"/>
    <w:rsid w:val="0042688C"/>
    <w:rsid w:val="00427E06"/>
    <w:rsid w:val="0043037E"/>
    <w:rsid w:val="004303E5"/>
    <w:rsid w:val="004308A7"/>
    <w:rsid w:val="00430A83"/>
    <w:rsid w:val="00430E49"/>
    <w:rsid w:val="00431044"/>
    <w:rsid w:val="0043117D"/>
    <w:rsid w:val="00431626"/>
    <w:rsid w:val="00432519"/>
    <w:rsid w:val="004331A9"/>
    <w:rsid w:val="00434570"/>
    <w:rsid w:val="00435231"/>
    <w:rsid w:val="004352AA"/>
    <w:rsid w:val="004404DC"/>
    <w:rsid w:val="00440D26"/>
    <w:rsid w:val="00442662"/>
    <w:rsid w:val="0044387F"/>
    <w:rsid w:val="00444537"/>
    <w:rsid w:val="004462BD"/>
    <w:rsid w:val="0045031A"/>
    <w:rsid w:val="0045080D"/>
    <w:rsid w:val="004517B5"/>
    <w:rsid w:val="00451E5D"/>
    <w:rsid w:val="004522DF"/>
    <w:rsid w:val="00452386"/>
    <w:rsid w:val="004531B3"/>
    <w:rsid w:val="00453EFF"/>
    <w:rsid w:val="00454604"/>
    <w:rsid w:val="00454D3E"/>
    <w:rsid w:val="00455108"/>
    <w:rsid w:val="00455BB1"/>
    <w:rsid w:val="00455F56"/>
    <w:rsid w:val="00456118"/>
    <w:rsid w:val="004562BC"/>
    <w:rsid w:val="004563F1"/>
    <w:rsid w:val="00456912"/>
    <w:rsid w:val="00457CBB"/>
    <w:rsid w:val="00457EBD"/>
    <w:rsid w:val="00460790"/>
    <w:rsid w:val="00460E86"/>
    <w:rsid w:val="004610D4"/>
    <w:rsid w:val="004616D2"/>
    <w:rsid w:val="00462973"/>
    <w:rsid w:val="004629E5"/>
    <w:rsid w:val="00465347"/>
    <w:rsid w:val="004662F0"/>
    <w:rsid w:val="004664F9"/>
    <w:rsid w:val="0046717D"/>
    <w:rsid w:val="00467180"/>
    <w:rsid w:val="0047033F"/>
    <w:rsid w:val="00470B37"/>
    <w:rsid w:val="0047274F"/>
    <w:rsid w:val="00472D64"/>
    <w:rsid w:val="00474DD8"/>
    <w:rsid w:val="004753D6"/>
    <w:rsid w:val="00475768"/>
    <w:rsid w:val="00475868"/>
    <w:rsid w:val="004763B6"/>
    <w:rsid w:val="00476A3A"/>
    <w:rsid w:val="0047763C"/>
    <w:rsid w:val="00477C7F"/>
    <w:rsid w:val="004821E5"/>
    <w:rsid w:val="004840A7"/>
    <w:rsid w:val="00485118"/>
    <w:rsid w:val="00485393"/>
    <w:rsid w:val="004864E3"/>
    <w:rsid w:val="0048657C"/>
    <w:rsid w:val="00486937"/>
    <w:rsid w:val="00487E73"/>
    <w:rsid w:val="0049033E"/>
    <w:rsid w:val="00490919"/>
    <w:rsid w:val="00490AC1"/>
    <w:rsid w:val="0049132D"/>
    <w:rsid w:val="004929DC"/>
    <w:rsid w:val="00492CF2"/>
    <w:rsid w:val="00492E19"/>
    <w:rsid w:val="004936D2"/>
    <w:rsid w:val="00493F22"/>
    <w:rsid w:val="004943BF"/>
    <w:rsid w:val="0049537A"/>
    <w:rsid w:val="004956C2"/>
    <w:rsid w:val="00495840"/>
    <w:rsid w:val="004958D8"/>
    <w:rsid w:val="00495CF4"/>
    <w:rsid w:val="00495DD8"/>
    <w:rsid w:val="00496581"/>
    <w:rsid w:val="00496B2D"/>
    <w:rsid w:val="004A1E75"/>
    <w:rsid w:val="004A2615"/>
    <w:rsid w:val="004A4A55"/>
    <w:rsid w:val="004A59DC"/>
    <w:rsid w:val="004A6C36"/>
    <w:rsid w:val="004A76CE"/>
    <w:rsid w:val="004A7A42"/>
    <w:rsid w:val="004A7DD6"/>
    <w:rsid w:val="004B0A2A"/>
    <w:rsid w:val="004B3509"/>
    <w:rsid w:val="004B36F4"/>
    <w:rsid w:val="004B5A20"/>
    <w:rsid w:val="004B6B42"/>
    <w:rsid w:val="004B7499"/>
    <w:rsid w:val="004C036E"/>
    <w:rsid w:val="004C0637"/>
    <w:rsid w:val="004C08B0"/>
    <w:rsid w:val="004C0F4D"/>
    <w:rsid w:val="004C1225"/>
    <w:rsid w:val="004C19DC"/>
    <w:rsid w:val="004C1D2C"/>
    <w:rsid w:val="004C2B5D"/>
    <w:rsid w:val="004C3DA0"/>
    <w:rsid w:val="004C42DB"/>
    <w:rsid w:val="004C4878"/>
    <w:rsid w:val="004C4D62"/>
    <w:rsid w:val="004C6ABD"/>
    <w:rsid w:val="004C78DD"/>
    <w:rsid w:val="004D0551"/>
    <w:rsid w:val="004D064C"/>
    <w:rsid w:val="004D0658"/>
    <w:rsid w:val="004D1D52"/>
    <w:rsid w:val="004D3FA5"/>
    <w:rsid w:val="004D41B5"/>
    <w:rsid w:val="004D4AED"/>
    <w:rsid w:val="004D4B1A"/>
    <w:rsid w:val="004D6166"/>
    <w:rsid w:val="004D69B8"/>
    <w:rsid w:val="004D72F8"/>
    <w:rsid w:val="004D7AC7"/>
    <w:rsid w:val="004D7B37"/>
    <w:rsid w:val="004D7C59"/>
    <w:rsid w:val="004D7FB4"/>
    <w:rsid w:val="004E11F7"/>
    <w:rsid w:val="004E1956"/>
    <w:rsid w:val="004E2C95"/>
    <w:rsid w:val="004E2D2C"/>
    <w:rsid w:val="004E3275"/>
    <w:rsid w:val="004E39FC"/>
    <w:rsid w:val="004E4452"/>
    <w:rsid w:val="004E627A"/>
    <w:rsid w:val="004E7012"/>
    <w:rsid w:val="004E769B"/>
    <w:rsid w:val="004F0499"/>
    <w:rsid w:val="004F0E44"/>
    <w:rsid w:val="004F0E70"/>
    <w:rsid w:val="004F1776"/>
    <w:rsid w:val="004F2744"/>
    <w:rsid w:val="004F2A07"/>
    <w:rsid w:val="004F3C5A"/>
    <w:rsid w:val="004F48E5"/>
    <w:rsid w:val="004F5F04"/>
    <w:rsid w:val="004F62A0"/>
    <w:rsid w:val="004F6312"/>
    <w:rsid w:val="004F6E08"/>
    <w:rsid w:val="00500CEF"/>
    <w:rsid w:val="0050187D"/>
    <w:rsid w:val="00501B2E"/>
    <w:rsid w:val="0050205D"/>
    <w:rsid w:val="00502FEF"/>
    <w:rsid w:val="00503A93"/>
    <w:rsid w:val="0050484E"/>
    <w:rsid w:val="005048C4"/>
    <w:rsid w:val="00505AD9"/>
    <w:rsid w:val="00505D2F"/>
    <w:rsid w:val="00506392"/>
    <w:rsid w:val="0050725B"/>
    <w:rsid w:val="00507471"/>
    <w:rsid w:val="005116F8"/>
    <w:rsid w:val="0051196B"/>
    <w:rsid w:val="0051309D"/>
    <w:rsid w:val="00513BD4"/>
    <w:rsid w:val="0051439B"/>
    <w:rsid w:val="00515493"/>
    <w:rsid w:val="00515B31"/>
    <w:rsid w:val="00515FDC"/>
    <w:rsid w:val="0051640E"/>
    <w:rsid w:val="00520C11"/>
    <w:rsid w:val="00520EEE"/>
    <w:rsid w:val="00521130"/>
    <w:rsid w:val="00521D16"/>
    <w:rsid w:val="00521ED9"/>
    <w:rsid w:val="00522468"/>
    <w:rsid w:val="00523BC6"/>
    <w:rsid w:val="00523D52"/>
    <w:rsid w:val="0052439C"/>
    <w:rsid w:val="005251D6"/>
    <w:rsid w:val="0052798E"/>
    <w:rsid w:val="0053033A"/>
    <w:rsid w:val="00530B24"/>
    <w:rsid w:val="005310D2"/>
    <w:rsid w:val="0053298F"/>
    <w:rsid w:val="00532B37"/>
    <w:rsid w:val="00532E60"/>
    <w:rsid w:val="0053529C"/>
    <w:rsid w:val="00535D0C"/>
    <w:rsid w:val="0053627E"/>
    <w:rsid w:val="00536A6F"/>
    <w:rsid w:val="00537C60"/>
    <w:rsid w:val="0054094C"/>
    <w:rsid w:val="0054175E"/>
    <w:rsid w:val="005429C6"/>
    <w:rsid w:val="00542C5D"/>
    <w:rsid w:val="00542D3F"/>
    <w:rsid w:val="00543A82"/>
    <w:rsid w:val="00543B4C"/>
    <w:rsid w:val="0054414A"/>
    <w:rsid w:val="00544739"/>
    <w:rsid w:val="00544A88"/>
    <w:rsid w:val="00545A3A"/>
    <w:rsid w:val="005470CF"/>
    <w:rsid w:val="00547901"/>
    <w:rsid w:val="00550B4D"/>
    <w:rsid w:val="00550FFB"/>
    <w:rsid w:val="005527A7"/>
    <w:rsid w:val="005531C2"/>
    <w:rsid w:val="00553FAF"/>
    <w:rsid w:val="00554405"/>
    <w:rsid w:val="005545EA"/>
    <w:rsid w:val="00554B23"/>
    <w:rsid w:val="00556A18"/>
    <w:rsid w:val="0055735E"/>
    <w:rsid w:val="00557BBA"/>
    <w:rsid w:val="00557F5D"/>
    <w:rsid w:val="005602A6"/>
    <w:rsid w:val="00560531"/>
    <w:rsid w:val="00560842"/>
    <w:rsid w:val="005617FD"/>
    <w:rsid w:val="00561996"/>
    <w:rsid w:val="00564C13"/>
    <w:rsid w:val="00564D80"/>
    <w:rsid w:val="0056522E"/>
    <w:rsid w:val="00565655"/>
    <w:rsid w:val="00565D18"/>
    <w:rsid w:val="00565F3A"/>
    <w:rsid w:val="00567620"/>
    <w:rsid w:val="00571A17"/>
    <w:rsid w:val="00571A1B"/>
    <w:rsid w:val="00572435"/>
    <w:rsid w:val="005725D6"/>
    <w:rsid w:val="00572DB2"/>
    <w:rsid w:val="00573082"/>
    <w:rsid w:val="00573319"/>
    <w:rsid w:val="00575089"/>
    <w:rsid w:val="005752AB"/>
    <w:rsid w:val="005760E1"/>
    <w:rsid w:val="00576B90"/>
    <w:rsid w:val="00580754"/>
    <w:rsid w:val="00580814"/>
    <w:rsid w:val="0058124A"/>
    <w:rsid w:val="00581764"/>
    <w:rsid w:val="00582046"/>
    <w:rsid w:val="005820D9"/>
    <w:rsid w:val="00583809"/>
    <w:rsid w:val="00583F9F"/>
    <w:rsid w:val="005843DD"/>
    <w:rsid w:val="005853BE"/>
    <w:rsid w:val="00586053"/>
    <w:rsid w:val="0058707B"/>
    <w:rsid w:val="005876D3"/>
    <w:rsid w:val="005879DC"/>
    <w:rsid w:val="00587AC3"/>
    <w:rsid w:val="00590BEF"/>
    <w:rsid w:val="00590C95"/>
    <w:rsid w:val="00591094"/>
    <w:rsid w:val="00591ADF"/>
    <w:rsid w:val="00591B1D"/>
    <w:rsid w:val="0059254F"/>
    <w:rsid w:val="00592788"/>
    <w:rsid w:val="00592FF0"/>
    <w:rsid w:val="00593F89"/>
    <w:rsid w:val="00594C9D"/>
    <w:rsid w:val="0059531D"/>
    <w:rsid w:val="00596163"/>
    <w:rsid w:val="005968E3"/>
    <w:rsid w:val="0059704C"/>
    <w:rsid w:val="005A1147"/>
    <w:rsid w:val="005A17D9"/>
    <w:rsid w:val="005A317E"/>
    <w:rsid w:val="005A489F"/>
    <w:rsid w:val="005A529F"/>
    <w:rsid w:val="005A53DA"/>
    <w:rsid w:val="005A5963"/>
    <w:rsid w:val="005A5A34"/>
    <w:rsid w:val="005A67E3"/>
    <w:rsid w:val="005A6C9A"/>
    <w:rsid w:val="005B1001"/>
    <w:rsid w:val="005B1180"/>
    <w:rsid w:val="005B1522"/>
    <w:rsid w:val="005B1670"/>
    <w:rsid w:val="005B1EB6"/>
    <w:rsid w:val="005B2538"/>
    <w:rsid w:val="005B279C"/>
    <w:rsid w:val="005B38E2"/>
    <w:rsid w:val="005B40A9"/>
    <w:rsid w:val="005B5507"/>
    <w:rsid w:val="005B58D0"/>
    <w:rsid w:val="005B6309"/>
    <w:rsid w:val="005C004B"/>
    <w:rsid w:val="005C1636"/>
    <w:rsid w:val="005C1EC3"/>
    <w:rsid w:val="005C222F"/>
    <w:rsid w:val="005C2433"/>
    <w:rsid w:val="005C2A7B"/>
    <w:rsid w:val="005C31FE"/>
    <w:rsid w:val="005C33CC"/>
    <w:rsid w:val="005C37FC"/>
    <w:rsid w:val="005C3E3B"/>
    <w:rsid w:val="005C466E"/>
    <w:rsid w:val="005C5AAC"/>
    <w:rsid w:val="005C5DF0"/>
    <w:rsid w:val="005C68A7"/>
    <w:rsid w:val="005C69A0"/>
    <w:rsid w:val="005C703C"/>
    <w:rsid w:val="005D012C"/>
    <w:rsid w:val="005D0A89"/>
    <w:rsid w:val="005D1470"/>
    <w:rsid w:val="005D1737"/>
    <w:rsid w:val="005D1F90"/>
    <w:rsid w:val="005D26FA"/>
    <w:rsid w:val="005D284A"/>
    <w:rsid w:val="005D28A6"/>
    <w:rsid w:val="005D2B82"/>
    <w:rsid w:val="005D2C8F"/>
    <w:rsid w:val="005D3C0D"/>
    <w:rsid w:val="005D4032"/>
    <w:rsid w:val="005D4682"/>
    <w:rsid w:val="005D47F0"/>
    <w:rsid w:val="005D4E9F"/>
    <w:rsid w:val="005D501C"/>
    <w:rsid w:val="005D53DB"/>
    <w:rsid w:val="005D6800"/>
    <w:rsid w:val="005D7239"/>
    <w:rsid w:val="005E2738"/>
    <w:rsid w:val="005E3BD0"/>
    <w:rsid w:val="005E4DEC"/>
    <w:rsid w:val="005E50A7"/>
    <w:rsid w:val="005E5BBB"/>
    <w:rsid w:val="005E7CE1"/>
    <w:rsid w:val="005E7CFD"/>
    <w:rsid w:val="005E7FEA"/>
    <w:rsid w:val="005F02D0"/>
    <w:rsid w:val="005F12FB"/>
    <w:rsid w:val="005F18A0"/>
    <w:rsid w:val="005F20F4"/>
    <w:rsid w:val="005F2911"/>
    <w:rsid w:val="005F298B"/>
    <w:rsid w:val="005F2B6C"/>
    <w:rsid w:val="005F2B84"/>
    <w:rsid w:val="005F35A2"/>
    <w:rsid w:val="005F410C"/>
    <w:rsid w:val="005F500D"/>
    <w:rsid w:val="005F5B96"/>
    <w:rsid w:val="005F5E1A"/>
    <w:rsid w:val="005F7187"/>
    <w:rsid w:val="005F7E4D"/>
    <w:rsid w:val="006019FC"/>
    <w:rsid w:val="00601DB4"/>
    <w:rsid w:val="00602AE5"/>
    <w:rsid w:val="00602F97"/>
    <w:rsid w:val="0060328C"/>
    <w:rsid w:val="006033D4"/>
    <w:rsid w:val="00604B6D"/>
    <w:rsid w:val="00604DE7"/>
    <w:rsid w:val="006078B2"/>
    <w:rsid w:val="00610983"/>
    <w:rsid w:val="00610AD6"/>
    <w:rsid w:val="00611F32"/>
    <w:rsid w:val="00611FC6"/>
    <w:rsid w:val="006120A0"/>
    <w:rsid w:val="006123D6"/>
    <w:rsid w:val="0061421B"/>
    <w:rsid w:val="00614B65"/>
    <w:rsid w:val="00616568"/>
    <w:rsid w:val="0061658C"/>
    <w:rsid w:val="00620BB8"/>
    <w:rsid w:val="0062116B"/>
    <w:rsid w:val="00623146"/>
    <w:rsid w:val="006243D5"/>
    <w:rsid w:val="00624B9A"/>
    <w:rsid w:val="006250C7"/>
    <w:rsid w:val="00625274"/>
    <w:rsid w:val="006257DE"/>
    <w:rsid w:val="006263DD"/>
    <w:rsid w:val="006264B1"/>
    <w:rsid w:val="00626EA7"/>
    <w:rsid w:val="00627716"/>
    <w:rsid w:val="00630B80"/>
    <w:rsid w:val="00631695"/>
    <w:rsid w:val="0063211E"/>
    <w:rsid w:val="0063306F"/>
    <w:rsid w:val="00635847"/>
    <w:rsid w:val="00635A74"/>
    <w:rsid w:val="0063623A"/>
    <w:rsid w:val="00637C7E"/>
    <w:rsid w:val="0064147D"/>
    <w:rsid w:val="006420F9"/>
    <w:rsid w:val="00642878"/>
    <w:rsid w:val="0064326C"/>
    <w:rsid w:val="0064343C"/>
    <w:rsid w:val="00643F34"/>
    <w:rsid w:val="00647AB1"/>
    <w:rsid w:val="00647B74"/>
    <w:rsid w:val="0065076F"/>
    <w:rsid w:val="00650BF8"/>
    <w:rsid w:val="00650EFD"/>
    <w:rsid w:val="006514F1"/>
    <w:rsid w:val="00651B0B"/>
    <w:rsid w:val="00652904"/>
    <w:rsid w:val="00653855"/>
    <w:rsid w:val="00653D25"/>
    <w:rsid w:val="00654E08"/>
    <w:rsid w:val="00654EE6"/>
    <w:rsid w:val="00655ECC"/>
    <w:rsid w:val="0065609D"/>
    <w:rsid w:val="006560F8"/>
    <w:rsid w:val="00656B98"/>
    <w:rsid w:val="00657BE0"/>
    <w:rsid w:val="00657C4C"/>
    <w:rsid w:val="00661B1B"/>
    <w:rsid w:val="00661E7F"/>
    <w:rsid w:val="006625F1"/>
    <w:rsid w:val="0066311A"/>
    <w:rsid w:val="006643F8"/>
    <w:rsid w:val="0066464B"/>
    <w:rsid w:val="00664889"/>
    <w:rsid w:val="0066567A"/>
    <w:rsid w:val="00665A63"/>
    <w:rsid w:val="00665AF2"/>
    <w:rsid w:val="00666356"/>
    <w:rsid w:val="006664CB"/>
    <w:rsid w:val="006665B6"/>
    <w:rsid w:val="006665CC"/>
    <w:rsid w:val="00667FCC"/>
    <w:rsid w:val="006706BA"/>
    <w:rsid w:val="00671061"/>
    <w:rsid w:val="0067136B"/>
    <w:rsid w:val="00671F8B"/>
    <w:rsid w:val="0067323D"/>
    <w:rsid w:val="0067359D"/>
    <w:rsid w:val="006742EF"/>
    <w:rsid w:val="00674FA1"/>
    <w:rsid w:val="00675BF2"/>
    <w:rsid w:val="00675BFA"/>
    <w:rsid w:val="0067799B"/>
    <w:rsid w:val="006809B6"/>
    <w:rsid w:val="00682501"/>
    <w:rsid w:val="0068375A"/>
    <w:rsid w:val="00683768"/>
    <w:rsid w:val="00684D58"/>
    <w:rsid w:val="006857AD"/>
    <w:rsid w:val="00687160"/>
    <w:rsid w:val="00687A7B"/>
    <w:rsid w:val="00690ACD"/>
    <w:rsid w:val="00690B21"/>
    <w:rsid w:val="00690B64"/>
    <w:rsid w:val="00691113"/>
    <w:rsid w:val="006916AD"/>
    <w:rsid w:val="00691FD8"/>
    <w:rsid w:val="006933DE"/>
    <w:rsid w:val="006944A1"/>
    <w:rsid w:val="0069492C"/>
    <w:rsid w:val="00695685"/>
    <w:rsid w:val="00695C96"/>
    <w:rsid w:val="00695FF6"/>
    <w:rsid w:val="006975C8"/>
    <w:rsid w:val="006976E9"/>
    <w:rsid w:val="006978A1"/>
    <w:rsid w:val="00697EC4"/>
    <w:rsid w:val="006A0BB0"/>
    <w:rsid w:val="006A0CD7"/>
    <w:rsid w:val="006A1D91"/>
    <w:rsid w:val="006A2166"/>
    <w:rsid w:val="006A4577"/>
    <w:rsid w:val="006A46E3"/>
    <w:rsid w:val="006A75DB"/>
    <w:rsid w:val="006A7998"/>
    <w:rsid w:val="006B04C2"/>
    <w:rsid w:val="006B1484"/>
    <w:rsid w:val="006B21D9"/>
    <w:rsid w:val="006B25DB"/>
    <w:rsid w:val="006B2F55"/>
    <w:rsid w:val="006B3C0E"/>
    <w:rsid w:val="006B48F6"/>
    <w:rsid w:val="006B51B7"/>
    <w:rsid w:val="006B57C9"/>
    <w:rsid w:val="006B6925"/>
    <w:rsid w:val="006B6D3A"/>
    <w:rsid w:val="006B77CD"/>
    <w:rsid w:val="006C0BF0"/>
    <w:rsid w:val="006C0E93"/>
    <w:rsid w:val="006C1F9B"/>
    <w:rsid w:val="006C2F87"/>
    <w:rsid w:val="006C4171"/>
    <w:rsid w:val="006C55A1"/>
    <w:rsid w:val="006C5F77"/>
    <w:rsid w:val="006C6A63"/>
    <w:rsid w:val="006D1D9B"/>
    <w:rsid w:val="006D264B"/>
    <w:rsid w:val="006D2A3A"/>
    <w:rsid w:val="006D34C5"/>
    <w:rsid w:val="006D4652"/>
    <w:rsid w:val="006D4B98"/>
    <w:rsid w:val="006D62CE"/>
    <w:rsid w:val="006D74A3"/>
    <w:rsid w:val="006D794D"/>
    <w:rsid w:val="006D7FD3"/>
    <w:rsid w:val="006E000A"/>
    <w:rsid w:val="006E0743"/>
    <w:rsid w:val="006E0841"/>
    <w:rsid w:val="006E1540"/>
    <w:rsid w:val="006E1A5A"/>
    <w:rsid w:val="006E2682"/>
    <w:rsid w:val="006E2DE6"/>
    <w:rsid w:val="006E2FBA"/>
    <w:rsid w:val="006E49B3"/>
    <w:rsid w:val="006E4D49"/>
    <w:rsid w:val="006E58A1"/>
    <w:rsid w:val="006E6202"/>
    <w:rsid w:val="006F0150"/>
    <w:rsid w:val="006F059B"/>
    <w:rsid w:val="006F34BD"/>
    <w:rsid w:val="006F3670"/>
    <w:rsid w:val="006F40FC"/>
    <w:rsid w:val="006F467D"/>
    <w:rsid w:val="006F56B0"/>
    <w:rsid w:val="006F5A68"/>
    <w:rsid w:val="006F63C5"/>
    <w:rsid w:val="006F6CE1"/>
    <w:rsid w:val="006F7F5F"/>
    <w:rsid w:val="00700AF6"/>
    <w:rsid w:val="007017C6"/>
    <w:rsid w:val="007022DA"/>
    <w:rsid w:val="00704032"/>
    <w:rsid w:val="00705A3D"/>
    <w:rsid w:val="007076D2"/>
    <w:rsid w:val="00711E47"/>
    <w:rsid w:val="0071238F"/>
    <w:rsid w:val="00712EF8"/>
    <w:rsid w:val="007139DD"/>
    <w:rsid w:val="00713B7B"/>
    <w:rsid w:val="0071451A"/>
    <w:rsid w:val="00714FC4"/>
    <w:rsid w:val="0071541E"/>
    <w:rsid w:val="00716B10"/>
    <w:rsid w:val="007170D0"/>
    <w:rsid w:val="007171CB"/>
    <w:rsid w:val="007171FA"/>
    <w:rsid w:val="00720160"/>
    <w:rsid w:val="00720492"/>
    <w:rsid w:val="007219BF"/>
    <w:rsid w:val="00721D03"/>
    <w:rsid w:val="00721FB9"/>
    <w:rsid w:val="00722ECA"/>
    <w:rsid w:val="007232E8"/>
    <w:rsid w:val="00723CD2"/>
    <w:rsid w:val="00723ED2"/>
    <w:rsid w:val="0072536E"/>
    <w:rsid w:val="00725AC0"/>
    <w:rsid w:val="00725B87"/>
    <w:rsid w:val="00725E5C"/>
    <w:rsid w:val="00726469"/>
    <w:rsid w:val="007274A7"/>
    <w:rsid w:val="00730376"/>
    <w:rsid w:val="00730D3D"/>
    <w:rsid w:val="00730E9D"/>
    <w:rsid w:val="00731FFB"/>
    <w:rsid w:val="00732486"/>
    <w:rsid w:val="00732C6F"/>
    <w:rsid w:val="007331E1"/>
    <w:rsid w:val="007344A1"/>
    <w:rsid w:val="00734663"/>
    <w:rsid w:val="00734987"/>
    <w:rsid w:val="00734B8B"/>
    <w:rsid w:val="00734FEC"/>
    <w:rsid w:val="007356BE"/>
    <w:rsid w:val="00735BB4"/>
    <w:rsid w:val="007362BF"/>
    <w:rsid w:val="00736411"/>
    <w:rsid w:val="00736AFC"/>
    <w:rsid w:val="00741002"/>
    <w:rsid w:val="0074142F"/>
    <w:rsid w:val="00741EF3"/>
    <w:rsid w:val="00742CDD"/>
    <w:rsid w:val="0074459A"/>
    <w:rsid w:val="00745FF9"/>
    <w:rsid w:val="0074610E"/>
    <w:rsid w:val="0074687E"/>
    <w:rsid w:val="0074773E"/>
    <w:rsid w:val="007500CE"/>
    <w:rsid w:val="0075041F"/>
    <w:rsid w:val="00751112"/>
    <w:rsid w:val="0075127B"/>
    <w:rsid w:val="00751687"/>
    <w:rsid w:val="00751A93"/>
    <w:rsid w:val="007521C3"/>
    <w:rsid w:val="00752457"/>
    <w:rsid w:val="00753120"/>
    <w:rsid w:val="007539B0"/>
    <w:rsid w:val="00753F78"/>
    <w:rsid w:val="007540D6"/>
    <w:rsid w:val="00754373"/>
    <w:rsid w:val="007545C8"/>
    <w:rsid w:val="00754A84"/>
    <w:rsid w:val="00755072"/>
    <w:rsid w:val="007553B2"/>
    <w:rsid w:val="0075564C"/>
    <w:rsid w:val="00755B90"/>
    <w:rsid w:val="00755F61"/>
    <w:rsid w:val="00756480"/>
    <w:rsid w:val="007573E1"/>
    <w:rsid w:val="00760052"/>
    <w:rsid w:val="00760BCA"/>
    <w:rsid w:val="00761BBF"/>
    <w:rsid w:val="00761E18"/>
    <w:rsid w:val="007626DC"/>
    <w:rsid w:val="0076287C"/>
    <w:rsid w:val="0076324C"/>
    <w:rsid w:val="00763699"/>
    <w:rsid w:val="007677E7"/>
    <w:rsid w:val="007679FE"/>
    <w:rsid w:val="00767A8C"/>
    <w:rsid w:val="007712E7"/>
    <w:rsid w:val="0077241D"/>
    <w:rsid w:val="00773331"/>
    <w:rsid w:val="00773A36"/>
    <w:rsid w:val="00774A42"/>
    <w:rsid w:val="00774C7D"/>
    <w:rsid w:val="007769DC"/>
    <w:rsid w:val="00776F93"/>
    <w:rsid w:val="00777223"/>
    <w:rsid w:val="00780AA5"/>
    <w:rsid w:val="00781E15"/>
    <w:rsid w:val="00784763"/>
    <w:rsid w:val="00784846"/>
    <w:rsid w:val="00786976"/>
    <w:rsid w:val="00787FA6"/>
    <w:rsid w:val="00790017"/>
    <w:rsid w:val="0079074E"/>
    <w:rsid w:val="00793025"/>
    <w:rsid w:val="007932EF"/>
    <w:rsid w:val="00794637"/>
    <w:rsid w:val="00795244"/>
    <w:rsid w:val="00795B9E"/>
    <w:rsid w:val="007964CA"/>
    <w:rsid w:val="007968A8"/>
    <w:rsid w:val="00796F73"/>
    <w:rsid w:val="0079734D"/>
    <w:rsid w:val="00797ADB"/>
    <w:rsid w:val="007A0554"/>
    <w:rsid w:val="007A0D40"/>
    <w:rsid w:val="007A1895"/>
    <w:rsid w:val="007A1CD7"/>
    <w:rsid w:val="007A27BE"/>
    <w:rsid w:val="007A3716"/>
    <w:rsid w:val="007A4D2B"/>
    <w:rsid w:val="007A6CFF"/>
    <w:rsid w:val="007A7580"/>
    <w:rsid w:val="007B0CCF"/>
    <w:rsid w:val="007B2432"/>
    <w:rsid w:val="007B436A"/>
    <w:rsid w:val="007B5674"/>
    <w:rsid w:val="007B6FD7"/>
    <w:rsid w:val="007B77E2"/>
    <w:rsid w:val="007B7C56"/>
    <w:rsid w:val="007C095B"/>
    <w:rsid w:val="007C1AD0"/>
    <w:rsid w:val="007C1B0C"/>
    <w:rsid w:val="007C1CDC"/>
    <w:rsid w:val="007C1E90"/>
    <w:rsid w:val="007C3674"/>
    <w:rsid w:val="007C44FE"/>
    <w:rsid w:val="007C53D8"/>
    <w:rsid w:val="007C5CAB"/>
    <w:rsid w:val="007C5D24"/>
    <w:rsid w:val="007C63B8"/>
    <w:rsid w:val="007C660D"/>
    <w:rsid w:val="007C7514"/>
    <w:rsid w:val="007D0C74"/>
    <w:rsid w:val="007D20A9"/>
    <w:rsid w:val="007D3373"/>
    <w:rsid w:val="007D3EDA"/>
    <w:rsid w:val="007D485A"/>
    <w:rsid w:val="007E05B0"/>
    <w:rsid w:val="007E0ABB"/>
    <w:rsid w:val="007E1656"/>
    <w:rsid w:val="007E1B2B"/>
    <w:rsid w:val="007E1E37"/>
    <w:rsid w:val="007E23DE"/>
    <w:rsid w:val="007E241B"/>
    <w:rsid w:val="007E24F3"/>
    <w:rsid w:val="007E3E93"/>
    <w:rsid w:val="007E59E6"/>
    <w:rsid w:val="007E7AED"/>
    <w:rsid w:val="007E7DC7"/>
    <w:rsid w:val="007F052D"/>
    <w:rsid w:val="007F0E08"/>
    <w:rsid w:val="007F1A7C"/>
    <w:rsid w:val="007F1BF7"/>
    <w:rsid w:val="007F3271"/>
    <w:rsid w:val="007F3421"/>
    <w:rsid w:val="007F3A87"/>
    <w:rsid w:val="007F3D61"/>
    <w:rsid w:val="007F4649"/>
    <w:rsid w:val="007F471A"/>
    <w:rsid w:val="007F5979"/>
    <w:rsid w:val="007F5E89"/>
    <w:rsid w:val="007F70BF"/>
    <w:rsid w:val="007F73A6"/>
    <w:rsid w:val="007F7E56"/>
    <w:rsid w:val="00800AFE"/>
    <w:rsid w:val="00801009"/>
    <w:rsid w:val="008028C4"/>
    <w:rsid w:val="00802D46"/>
    <w:rsid w:val="00802E25"/>
    <w:rsid w:val="00803AAC"/>
    <w:rsid w:val="00803CE7"/>
    <w:rsid w:val="00805297"/>
    <w:rsid w:val="008055CE"/>
    <w:rsid w:val="008059E0"/>
    <w:rsid w:val="00805B40"/>
    <w:rsid w:val="00805DDC"/>
    <w:rsid w:val="00805F26"/>
    <w:rsid w:val="0080750D"/>
    <w:rsid w:val="00807586"/>
    <w:rsid w:val="00812CAE"/>
    <w:rsid w:val="008149DD"/>
    <w:rsid w:val="00816310"/>
    <w:rsid w:val="00816333"/>
    <w:rsid w:val="00816926"/>
    <w:rsid w:val="00817162"/>
    <w:rsid w:val="008176D3"/>
    <w:rsid w:val="0082001F"/>
    <w:rsid w:val="00821623"/>
    <w:rsid w:val="00821634"/>
    <w:rsid w:val="0082306B"/>
    <w:rsid w:val="0082369D"/>
    <w:rsid w:val="00824217"/>
    <w:rsid w:val="008243B6"/>
    <w:rsid w:val="0082460A"/>
    <w:rsid w:val="00825409"/>
    <w:rsid w:val="00825842"/>
    <w:rsid w:val="008261C1"/>
    <w:rsid w:val="008265B0"/>
    <w:rsid w:val="00826E28"/>
    <w:rsid w:val="00827794"/>
    <w:rsid w:val="008278B4"/>
    <w:rsid w:val="00830E6C"/>
    <w:rsid w:val="00831449"/>
    <w:rsid w:val="00831DFD"/>
    <w:rsid w:val="008335E0"/>
    <w:rsid w:val="008339F7"/>
    <w:rsid w:val="00833BC2"/>
    <w:rsid w:val="0083421E"/>
    <w:rsid w:val="0083557E"/>
    <w:rsid w:val="00836063"/>
    <w:rsid w:val="00836342"/>
    <w:rsid w:val="008367CD"/>
    <w:rsid w:val="00836A55"/>
    <w:rsid w:val="00836F06"/>
    <w:rsid w:val="008372CD"/>
    <w:rsid w:val="0083747B"/>
    <w:rsid w:val="0083779C"/>
    <w:rsid w:val="00837AFD"/>
    <w:rsid w:val="00837FE7"/>
    <w:rsid w:val="00840A5D"/>
    <w:rsid w:val="0084117A"/>
    <w:rsid w:val="0084118A"/>
    <w:rsid w:val="00841D4F"/>
    <w:rsid w:val="00842B0F"/>
    <w:rsid w:val="00843BAF"/>
    <w:rsid w:val="008449BA"/>
    <w:rsid w:val="00844EB9"/>
    <w:rsid w:val="0084587F"/>
    <w:rsid w:val="00845D58"/>
    <w:rsid w:val="008468FF"/>
    <w:rsid w:val="0084697D"/>
    <w:rsid w:val="008506E5"/>
    <w:rsid w:val="0085144F"/>
    <w:rsid w:val="0085148B"/>
    <w:rsid w:val="008517FE"/>
    <w:rsid w:val="00851AAB"/>
    <w:rsid w:val="00851B2F"/>
    <w:rsid w:val="008524F4"/>
    <w:rsid w:val="00852672"/>
    <w:rsid w:val="00852B4E"/>
    <w:rsid w:val="00853A60"/>
    <w:rsid w:val="00853F2F"/>
    <w:rsid w:val="00854085"/>
    <w:rsid w:val="008545A2"/>
    <w:rsid w:val="00854F59"/>
    <w:rsid w:val="00855933"/>
    <w:rsid w:val="0085597C"/>
    <w:rsid w:val="00856801"/>
    <w:rsid w:val="00856C27"/>
    <w:rsid w:val="008573A9"/>
    <w:rsid w:val="0085774C"/>
    <w:rsid w:val="008607C7"/>
    <w:rsid w:val="008621B5"/>
    <w:rsid w:val="00863DEF"/>
    <w:rsid w:val="00864D7E"/>
    <w:rsid w:val="0086574D"/>
    <w:rsid w:val="00865DED"/>
    <w:rsid w:val="00866181"/>
    <w:rsid w:val="00866C93"/>
    <w:rsid w:val="00870231"/>
    <w:rsid w:val="00870394"/>
    <w:rsid w:val="0087288A"/>
    <w:rsid w:val="00873380"/>
    <w:rsid w:val="0087362A"/>
    <w:rsid w:val="00873EEE"/>
    <w:rsid w:val="00874D22"/>
    <w:rsid w:val="00875339"/>
    <w:rsid w:val="00875B9C"/>
    <w:rsid w:val="00876982"/>
    <w:rsid w:val="0087700D"/>
    <w:rsid w:val="0087705D"/>
    <w:rsid w:val="00880BAE"/>
    <w:rsid w:val="00882138"/>
    <w:rsid w:val="00882362"/>
    <w:rsid w:val="00884A6C"/>
    <w:rsid w:val="00884DA1"/>
    <w:rsid w:val="00885FC6"/>
    <w:rsid w:val="0088610C"/>
    <w:rsid w:val="008869B6"/>
    <w:rsid w:val="00887557"/>
    <w:rsid w:val="00891249"/>
    <w:rsid w:val="00892BD1"/>
    <w:rsid w:val="008930C0"/>
    <w:rsid w:val="00893707"/>
    <w:rsid w:val="00893B92"/>
    <w:rsid w:val="00893F0D"/>
    <w:rsid w:val="008948CB"/>
    <w:rsid w:val="008958D5"/>
    <w:rsid w:val="008960E0"/>
    <w:rsid w:val="00896100"/>
    <w:rsid w:val="00896146"/>
    <w:rsid w:val="008966E8"/>
    <w:rsid w:val="00896796"/>
    <w:rsid w:val="00896A67"/>
    <w:rsid w:val="00896E3A"/>
    <w:rsid w:val="008A0E96"/>
    <w:rsid w:val="008A1164"/>
    <w:rsid w:val="008A1927"/>
    <w:rsid w:val="008A26CE"/>
    <w:rsid w:val="008A2914"/>
    <w:rsid w:val="008A29F9"/>
    <w:rsid w:val="008A3274"/>
    <w:rsid w:val="008A3A38"/>
    <w:rsid w:val="008A3BE1"/>
    <w:rsid w:val="008A3E75"/>
    <w:rsid w:val="008A4988"/>
    <w:rsid w:val="008A51B1"/>
    <w:rsid w:val="008A52EE"/>
    <w:rsid w:val="008A535A"/>
    <w:rsid w:val="008A55D2"/>
    <w:rsid w:val="008A576C"/>
    <w:rsid w:val="008A6511"/>
    <w:rsid w:val="008A688D"/>
    <w:rsid w:val="008A6B6A"/>
    <w:rsid w:val="008A7CFF"/>
    <w:rsid w:val="008B0535"/>
    <w:rsid w:val="008B1052"/>
    <w:rsid w:val="008B29D8"/>
    <w:rsid w:val="008B2C4E"/>
    <w:rsid w:val="008B3416"/>
    <w:rsid w:val="008B3BD2"/>
    <w:rsid w:val="008B5600"/>
    <w:rsid w:val="008B5A69"/>
    <w:rsid w:val="008B713A"/>
    <w:rsid w:val="008B758E"/>
    <w:rsid w:val="008B7A6A"/>
    <w:rsid w:val="008B7ED5"/>
    <w:rsid w:val="008C0795"/>
    <w:rsid w:val="008C144A"/>
    <w:rsid w:val="008C1714"/>
    <w:rsid w:val="008C1EF6"/>
    <w:rsid w:val="008C2732"/>
    <w:rsid w:val="008C3CAE"/>
    <w:rsid w:val="008C44B2"/>
    <w:rsid w:val="008C45A0"/>
    <w:rsid w:val="008C4F38"/>
    <w:rsid w:val="008C5480"/>
    <w:rsid w:val="008C5AD5"/>
    <w:rsid w:val="008C5B42"/>
    <w:rsid w:val="008C6334"/>
    <w:rsid w:val="008C67CA"/>
    <w:rsid w:val="008C6B3D"/>
    <w:rsid w:val="008C6C0A"/>
    <w:rsid w:val="008C7F59"/>
    <w:rsid w:val="008D03E0"/>
    <w:rsid w:val="008D053F"/>
    <w:rsid w:val="008D0C91"/>
    <w:rsid w:val="008D28BB"/>
    <w:rsid w:val="008D2C48"/>
    <w:rsid w:val="008D3751"/>
    <w:rsid w:val="008D3887"/>
    <w:rsid w:val="008D3C34"/>
    <w:rsid w:val="008D3F3C"/>
    <w:rsid w:val="008D402A"/>
    <w:rsid w:val="008D71D8"/>
    <w:rsid w:val="008E1B12"/>
    <w:rsid w:val="008E24A4"/>
    <w:rsid w:val="008E4D8E"/>
    <w:rsid w:val="008E5DB7"/>
    <w:rsid w:val="008E5F9E"/>
    <w:rsid w:val="008E625E"/>
    <w:rsid w:val="008E67BA"/>
    <w:rsid w:val="008E6837"/>
    <w:rsid w:val="008E7F10"/>
    <w:rsid w:val="008F0839"/>
    <w:rsid w:val="008F0CFF"/>
    <w:rsid w:val="008F2420"/>
    <w:rsid w:val="008F2534"/>
    <w:rsid w:val="008F3618"/>
    <w:rsid w:val="008F3D23"/>
    <w:rsid w:val="008F4122"/>
    <w:rsid w:val="008F4D0C"/>
    <w:rsid w:val="008F4EF3"/>
    <w:rsid w:val="008F531A"/>
    <w:rsid w:val="008F5EED"/>
    <w:rsid w:val="008F67FC"/>
    <w:rsid w:val="008F691B"/>
    <w:rsid w:val="008F70A1"/>
    <w:rsid w:val="008F715A"/>
    <w:rsid w:val="008F7D1A"/>
    <w:rsid w:val="0090084B"/>
    <w:rsid w:val="00900EAF"/>
    <w:rsid w:val="00900F9E"/>
    <w:rsid w:val="009012DA"/>
    <w:rsid w:val="00901A04"/>
    <w:rsid w:val="00902DF9"/>
    <w:rsid w:val="00903279"/>
    <w:rsid w:val="00906123"/>
    <w:rsid w:val="00906216"/>
    <w:rsid w:val="00906DAE"/>
    <w:rsid w:val="009078F9"/>
    <w:rsid w:val="00910382"/>
    <w:rsid w:val="00910A0A"/>
    <w:rsid w:val="00911132"/>
    <w:rsid w:val="00911E5A"/>
    <w:rsid w:val="0091323D"/>
    <w:rsid w:val="00915092"/>
    <w:rsid w:val="00916740"/>
    <w:rsid w:val="0091714C"/>
    <w:rsid w:val="009205B1"/>
    <w:rsid w:val="0092070D"/>
    <w:rsid w:val="00921A47"/>
    <w:rsid w:val="009227DE"/>
    <w:rsid w:val="0092287F"/>
    <w:rsid w:val="009228B4"/>
    <w:rsid w:val="00922984"/>
    <w:rsid w:val="009236C1"/>
    <w:rsid w:val="00924644"/>
    <w:rsid w:val="00926381"/>
    <w:rsid w:val="00926E3B"/>
    <w:rsid w:val="00927332"/>
    <w:rsid w:val="009302CE"/>
    <w:rsid w:val="009304F4"/>
    <w:rsid w:val="00930DED"/>
    <w:rsid w:val="00930E45"/>
    <w:rsid w:val="0093145C"/>
    <w:rsid w:val="00932290"/>
    <w:rsid w:val="00932657"/>
    <w:rsid w:val="00933A6F"/>
    <w:rsid w:val="00933F21"/>
    <w:rsid w:val="00934084"/>
    <w:rsid w:val="00934CD9"/>
    <w:rsid w:val="00935BA1"/>
    <w:rsid w:val="00935D68"/>
    <w:rsid w:val="0094037E"/>
    <w:rsid w:val="00941E25"/>
    <w:rsid w:val="009426D3"/>
    <w:rsid w:val="009436AC"/>
    <w:rsid w:val="00943A3A"/>
    <w:rsid w:val="00943AE2"/>
    <w:rsid w:val="00943AFE"/>
    <w:rsid w:val="009446A4"/>
    <w:rsid w:val="009459E1"/>
    <w:rsid w:val="00945CAE"/>
    <w:rsid w:val="00946D99"/>
    <w:rsid w:val="00947170"/>
    <w:rsid w:val="00947811"/>
    <w:rsid w:val="0095100E"/>
    <w:rsid w:val="009514BD"/>
    <w:rsid w:val="00951CAC"/>
    <w:rsid w:val="0095301E"/>
    <w:rsid w:val="0095467E"/>
    <w:rsid w:val="009551D1"/>
    <w:rsid w:val="0095615A"/>
    <w:rsid w:val="009561CF"/>
    <w:rsid w:val="009565BD"/>
    <w:rsid w:val="009571AA"/>
    <w:rsid w:val="00957F3F"/>
    <w:rsid w:val="00960137"/>
    <w:rsid w:val="009601B5"/>
    <w:rsid w:val="009602F4"/>
    <w:rsid w:val="00960CC7"/>
    <w:rsid w:val="009611D0"/>
    <w:rsid w:val="00961AB1"/>
    <w:rsid w:val="00961CE9"/>
    <w:rsid w:val="00962976"/>
    <w:rsid w:val="00962D04"/>
    <w:rsid w:val="00963C42"/>
    <w:rsid w:val="00965D85"/>
    <w:rsid w:val="00966470"/>
    <w:rsid w:val="009664D4"/>
    <w:rsid w:val="009665EC"/>
    <w:rsid w:val="0096677D"/>
    <w:rsid w:val="0096695A"/>
    <w:rsid w:val="00966A59"/>
    <w:rsid w:val="009674BC"/>
    <w:rsid w:val="009679EA"/>
    <w:rsid w:val="00967A72"/>
    <w:rsid w:val="0097010B"/>
    <w:rsid w:val="00971406"/>
    <w:rsid w:val="0097223F"/>
    <w:rsid w:val="00973293"/>
    <w:rsid w:val="00974D72"/>
    <w:rsid w:val="00974DA2"/>
    <w:rsid w:val="00975661"/>
    <w:rsid w:val="009767AB"/>
    <w:rsid w:val="00976F14"/>
    <w:rsid w:val="00977350"/>
    <w:rsid w:val="00977DCB"/>
    <w:rsid w:val="009818DD"/>
    <w:rsid w:val="009819F6"/>
    <w:rsid w:val="00981FB6"/>
    <w:rsid w:val="0098351B"/>
    <w:rsid w:val="0098352B"/>
    <w:rsid w:val="00983E03"/>
    <w:rsid w:val="00984A1A"/>
    <w:rsid w:val="00985CBC"/>
    <w:rsid w:val="00985F74"/>
    <w:rsid w:val="00986D6E"/>
    <w:rsid w:val="009905ED"/>
    <w:rsid w:val="0099187E"/>
    <w:rsid w:val="00991BA8"/>
    <w:rsid w:val="009924A2"/>
    <w:rsid w:val="009929F8"/>
    <w:rsid w:val="00992EE3"/>
    <w:rsid w:val="00993AC8"/>
    <w:rsid w:val="009947B7"/>
    <w:rsid w:val="00994D99"/>
    <w:rsid w:val="00995117"/>
    <w:rsid w:val="00996C22"/>
    <w:rsid w:val="00997A42"/>
    <w:rsid w:val="009A0191"/>
    <w:rsid w:val="009A030F"/>
    <w:rsid w:val="009A3241"/>
    <w:rsid w:val="009A3B02"/>
    <w:rsid w:val="009A4C2A"/>
    <w:rsid w:val="009A504B"/>
    <w:rsid w:val="009A6A86"/>
    <w:rsid w:val="009B1CAC"/>
    <w:rsid w:val="009B1D71"/>
    <w:rsid w:val="009B2861"/>
    <w:rsid w:val="009B30E3"/>
    <w:rsid w:val="009B48E4"/>
    <w:rsid w:val="009B5636"/>
    <w:rsid w:val="009B5779"/>
    <w:rsid w:val="009B6C61"/>
    <w:rsid w:val="009B7F9E"/>
    <w:rsid w:val="009C0094"/>
    <w:rsid w:val="009C0ECD"/>
    <w:rsid w:val="009C18B7"/>
    <w:rsid w:val="009C1978"/>
    <w:rsid w:val="009C206C"/>
    <w:rsid w:val="009C242B"/>
    <w:rsid w:val="009C414C"/>
    <w:rsid w:val="009C41F2"/>
    <w:rsid w:val="009C4ABC"/>
    <w:rsid w:val="009C4C5F"/>
    <w:rsid w:val="009C4CAB"/>
    <w:rsid w:val="009C5426"/>
    <w:rsid w:val="009C6534"/>
    <w:rsid w:val="009C6BDA"/>
    <w:rsid w:val="009D07C6"/>
    <w:rsid w:val="009D0ACF"/>
    <w:rsid w:val="009D1F9E"/>
    <w:rsid w:val="009D40C5"/>
    <w:rsid w:val="009D4293"/>
    <w:rsid w:val="009D42C5"/>
    <w:rsid w:val="009D4F62"/>
    <w:rsid w:val="009D509A"/>
    <w:rsid w:val="009D53E4"/>
    <w:rsid w:val="009D67AB"/>
    <w:rsid w:val="009D7A6D"/>
    <w:rsid w:val="009E0039"/>
    <w:rsid w:val="009E0798"/>
    <w:rsid w:val="009E1153"/>
    <w:rsid w:val="009E2FDC"/>
    <w:rsid w:val="009E3628"/>
    <w:rsid w:val="009E3854"/>
    <w:rsid w:val="009E4592"/>
    <w:rsid w:val="009E60E0"/>
    <w:rsid w:val="009E7B09"/>
    <w:rsid w:val="009F086D"/>
    <w:rsid w:val="009F152C"/>
    <w:rsid w:val="009F196F"/>
    <w:rsid w:val="009F1D3D"/>
    <w:rsid w:val="009F2352"/>
    <w:rsid w:val="009F4160"/>
    <w:rsid w:val="009F5CDD"/>
    <w:rsid w:val="009F652E"/>
    <w:rsid w:val="009F7432"/>
    <w:rsid w:val="009F755C"/>
    <w:rsid w:val="009F7EF4"/>
    <w:rsid w:val="00A00250"/>
    <w:rsid w:val="00A01563"/>
    <w:rsid w:val="00A027C4"/>
    <w:rsid w:val="00A030A5"/>
    <w:rsid w:val="00A0428C"/>
    <w:rsid w:val="00A045FF"/>
    <w:rsid w:val="00A04A31"/>
    <w:rsid w:val="00A04BB2"/>
    <w:rsid w:val="00A0500A"/>
    <w:rsid w:val="00A0517F"/>
    <w:rsid w:val="00A0561C"/>
    <w:rsid w:val="00A05833"/>
    <w:rsid w:val="00A05FAC"/>
    <w:rsid w:val="00A0686E"/>
    <w:rsid w:val="00A07159"/>
    <w:rsid w:val="00A072EA"/>
    <w:rsid w:val="00A07E2F"/>
    <w:rsid w:val="00A07F6D"/>
    <w:rsid w:val="00A10043"/>
    <w:rsid w:val="00A12C46"/>
    <w:rsid w:val="00A14A69"/>
    <w:rsid w:val="00A1537D"/>
    <w:rsid w:val="00A167D0"/>
    <w:rsid w:val="00A17595"/>
    <w:rsid w:val="00A17744"/>
    <w:rsid w:val="00A17A1B"/>
    <w:rsid w:val="00A20C20"/>
    <w:rsid w:val="00A215F9"/>
    <w:rsid w:val="00A21711"/>
    <w:rsid w:val="00A2183D"/>
    <w:rsid w:val="00A22A3E"/>
    <w:rsid w:val="00A23254"/>
    <w:rsid w:val="00A2419A"/>
    <w:rsid w:val="00A2569D"/>
    <w:rsid w:val="00A257E5"/>
    <w:rsid w:val="00A2607E"/>
    <w:rsid w:val="00A26238"/>
    <w:rsid w:val="00A26384"/>
    <w:rsid w:val="00A266CD"/>
    <w:rsid w:val="00A26BEF"/>
    <w:rsid w:val="00A26E90"/>
    <w:rsid w:val="00A30ECE"/>
    <w:rsid w:val="00A31004"/>
    <w:rsid w:val="00A335CF"/>
    <w:rsid w:val="00A33B3F"/>
    <w:rsid w:val="00A33D3A"/>
    <w:rsid w:val="00A34169"/>
    <w:rsid w:val="00A349A8"/>
    <w:rsid w:val="00A35606"/>
    <w:rsid w:val="00A35EB9"/>
    <w:rsid w:val="00A3706B"/>
    <w:rsid w:val="00A37F10"/>
    <w:rsid w:val="00A40B2C"/>
    <w:rsid w:val="00A40F56"/>
    <w:rsid w:val="00A40F72"/>
    <w:rsid w:val="00A4160A"/>
    <w:rsid w:val="00A4185A"/>
    <w:rsid w:val="00A420DB"/>
    <w:rsid w:val="00A427B6"/>
    <w:rsid w:val="00A4495E"/>
    <w:rsid w:val="00A44AA1"/>
    <w:rsid w:val="00A45318"/>
    <w:rsid w:val="00A46DBD"/>
    <w:rsid w:val="00A47A60"/>
    <w:rsid w:val="00A50124"/>
    <w:rsid w:val="00A50AAD"/>
    <w:rsid w:val="00A5138D"/>
    <w:rsid w:val="00A515E7"/>
    <w:rsid w:val="00A522CD"/>
    <w:rsid w:val="00A52984"/>
    <w:rsid w:val="00A54409"/>
    <w:rsid w:val="00A56AFC"/>
    <w:rsid w:val="00A56BF1"/>
    <w:rsid w:val="00A56D52"/>
    <w:rsid w:val="00A56E8E"/>
    <w:rsid w:val="00A5707A"/>
    <w:rsid w:val="00A5769A"/>
    <w:rsid w:val="00A57B49"/>
    <w:rsid w:val="00A57B5F"/>
    <w:rsid w:val="00A57F90"/>
    <w:rsid w:val="00A61D21"/>
    <w:rsid w:val="00A6330F"/>
    <w:rsid w:val="00A63A64"/>
    <w:rsid w:val="00A64406"/>
    <w:rsid w:val="00A6528C"/>
    <w:rsid w:val="00A65CC7"/>
    <w:rsid w:val="00A65DF3"/>
    <w:rsid w:val="00A6777A"/>
    <w:rsid w:val="00A701D9"/>
    <w:rsid w:val="00A703EF"/>
    <w:rsid w:val="00A70AB3"/>
    <w:rsid w:val="00A7132B"/>
    <w:rsid w:val="00A71973"/>
    <w:rsid w:val="00A7250E"/>
    <w:rsid w:val="00A72DC3"/>
    <w:rsid w:val="00A7303F"/>
    <w:rsid w:val="00A739F3"/>
    <w:rsid w:val="00A75BC5"/>
    <w:rsid w:val="00A773F3"/>
    <w:rsid w:val="00A7746B"/>
    <w:rsid w:val="00A80E93"/>
    <w:rsid w:val="00A80FAE"/>
    <w:rsid w:val="00A811BF"/>
    <w:rsid w:val="00A815A0"/>
    <w:rsid w:val="00A817CB"/>
    <w:rsid w:val="00A82C69"/>
    <w:rsid w:val="00A83673"/>
    <w:rsid w:val="00A855AE"/>
    <w:rsid w:val="00A860FB"/>
    <w:rsid w:val="00A86990"/>
    <w:rsid w:val="00A86D52"/>
    <w:rsid w:val="00A904E3"/>
    <w:rsid w:val="00A90533"/>
    <w:rsid w:val="00A90C49"/>
    <w:rsid w:val="00A91923"/>
    <w:rsid w:val="00A91D90"/>
    <w:rsid w:val="00A92311"/>
    <w:rsid w:val="00A92345"/>
    <w:rsid w:val="00A9239B"/>
    <w:rsid w:val="00A923A5"/>
    <w:rsid w:val="00A927D4"/>
    <w:rsid w:val="00A934B7"/>
    <w:rsid w:val="00A93B7A"/>
    <w:rsid w:val="00A94F4F"/>
    <w:rsid w:val="00A96365"/>
    <w:rsid w:val="00A96DF4"/>
    <w:rsid w:val="00A970B6"/>
    <w:rsid w:val="00AA01E6"/>
    <w:rsid w:val="00AA08E7"/>
    <w:rsid w:val="00AA11FA"/>
    <w:rsid w:val="00AA16E7"/>
    <w:rsid w:val="00AA1812"/>
    <w:rsid w:val="00AA1CAF"/>
    <w:rsid w:val="00AA1E46"/>
    <w:rsid w:val="00AA28A7"/>
    <w:rsid w:val="00AA4170"/>
    <w:rsid w:val="00AA4D13"/>
    <w:rsid w:val="00AA5E88"/>
    <w:rsid w:val="00AA6594"/>
    <w:rsid w:val="00AA6637"/>
    <w:rsid w:val="00AA7A98"/>
    <w:rsid w:val="00AB09AC"/>
    <w:rsid w:val="00AB12F6"/>
    <w:rsid w:val="00AB357F"/>
    <w:rsid w:val="00AB3E0A"/>
    <w:rsid w:val="00AB450F"/>
    <w:rsid w:val="00AB48B8"/>
    <w:rsid w:val="00AB505B"/>
    <w:rsid w:val="00AB5987"/>
    <w:rsid w:val="00AB62E8"/>
    <w:rsid w:val="00AB6869"/>
    <w:rsid w:val="00AB6A65"/>
    <w:rsid w:val="00AB7585"/>
    <w:rsid w:val="00AB75AB"/>
    <w:rsid w:val="00AC007A"/>
    <w:rsid w:val="00AC1A70"/>
    <w:rsid w:val="00AC1B22"/>
    <w:rsid w:val="00AC1F14"/>
    <w:rsid w:val="00AC24E3"/>
    <w:rsid w:val="00AC26C5"/>
    <w:rsid w:val="00AC35C9"/>
    <w:rsid w:val="00AC36DD"/>
    <w:rsid w:val="00AC3BDE"/>
    <w:rsid w:val="00AC41BA"/>
    <w:rsid w:val="00AC4427"/>
    <w:rsid w:val="00AC475C"/>
    <w:rsid w:val="00AC4CE7"/>
    <w:rsid w:val="00AC4D6E"/>
    <w:rsid w:val="00AC554F"/>
    <w:rsid w:val="00AC6195"/>
    <w:rsid w:val="00AC620E"/>
    <w:rsid w:val="00AC6263"/>
    <w:rsid w:val="00AC7C67"/>
    <w:rsid w:val="00AD1828"/>
    <w:rsid w:val="00AD2254"/>
    <w:rsid w:val="00AD3B4A"/>
    <w:rsid w:val="00AD3F6D"/>
    <w:rsid w:val="00AD4149"/>
    <w:rsid w:val="00AD4C89"/>
    <w:rsid w:val="00AD5AFA"/>
    <w:rsid w:val="00AD68EF"/>
    <w:rsid w:val="00AD69A2"/>
    <w:rsid w:val="00AE008B"/>
    <w:rsid w:val="00AE0306"/>
    <w:rsid w:val="00AE2BA2"/>
    <w:rsid w:val="00AE3085"/>
    <w:rsid w:val="00AE30BD"/>
    <w:rsid w:val="00AE3B96"/>
    <w:rsid w:val="00AE5452"/>
    <w:rsid w:val="00AE57B9"/>
    <w:rsid w:val="00AE5944"/>
    <w:rsid w:val="00AE5AAD"/>
    <w:rsid w:val="00AE5AC0"/>
    <w:rsid w:val="00AE5D4F"/>
    <w:rsid w:val="00AE6B28"/>
    <w:rsid w:val="00AE77D1"/>
    <w:rsid w:val="00AE7DC8"/>
    <w:rsid w:val="00AE7EB8"/>
    <w:rsid w:val="00AF0590"/>
    <w:rsid w:val="00AF1562"/>
    <w:rsid w:val="00AF1644"/>
    <w:rsid w:val="00AF281C"/>
    <w:rsid w:val="00AF35F2"/>
    <w:rsid w:val="00AF41E3"/>
    <w:rsid w:val="00AF42B4"/>
    <w:rsid w:val="00AF434D"/>
    <w:rsid w:val="00AF4869"/>
    <w:rsid w:val="00AF4A4B"/>
    <w:rsid w:val="00AF4F0E"/>
    <w:rsid w:val="00AF6E86"/>
    <w:rsid w:val="00AF74A1"/>
    <w:rsid w:val="00AF7F82"/>
    <w:rsid w:val="00B00BCD"/>
    <w:rsid w:val="00B01473"/>
    <w:rsid w:val="00B02165"/>
    <w:rsid w:val="00B028A1"/>
    <w:rsid w:val="00B03640"/>
    <w:rsid w:val="00B03816"/>
    <w:rsid w:val="00B03D67"/>
    <w:rsid w:val="00B04745"/>
    <w:rsid w:val="00B05A8C"/>
    <w:rsid w:val="00B10BCB"/>
    <w:rsid w:val="00B10D14"/>
    <w:rsid w:val="00B11552"/>
    <w:rsid w:val="00B115A8"/>
    <w:rsid w:val="00B115ED"/>
    <w:rsid w:val="00B119B1"/>
    <w:rsid w:val="00B11DCC"/>
    <w:rsid w:val="00B11F7E"/>
    <w:rsid w:val="00B12219"/>
    <w:rsid w:val="00B12270"/>
    <w:rsid w:val="00B12C3C"/>
    <w:rsid w:val="00B12EE7"/>
    <w:rsid w:val="00B1325F"/>
    <w:rsid w:val="00B13BDD"/>
    <w:rsid w:val="00B13EA5"/>
    <w:rsid w:val="00B143EC"/>
    <w:rsid w:val="00B1452D"/>
    <w:rsid w:val="00B14FB1"/>
    <w:rsid w:val="00B15111"/>
    <w:rsid w:val="00B153A0"/>
    <w:rsid w:val="00B16485"/>
    <w:rsid w:val="00B178D6"/>
    <w:rsid w:val="00B21378"/>
    <w:rsid w:val="00B228B8"/>
    <w:rsid w:val="00B2693A"/>
    <w:rsid w:val="00B30024"/>
    <w:rsid w:val="00B301EF"/>
    <w:rsid w:val="00B311D2"/>
    <w:rsid w:val="00B31918"/>
    <w:rsid w:val="00B31AFA"/>
    <w:rsid w:val="00B31DC6"/>
    <w:rsid w:val="00B332F1"/>
    <w:rsid w:val="00B33825"/>
    <w:rsid w:val="00B343AA"/>
    <w:rsid w:val="00B353E2"/>
    <w:rsid w:val="00B354AA"/>
    <w:rsid w:val="00B35B6F"/>
    <w:rsid w:val="00B36E19"/>
    <w:rsid w:val="00B3735B"/>
    <w:rsid w:val="00B37F88"/>
    <w:rsid w:val="00B401B7"/>
    <w:rsid w:val="00B40A84"/>
    <w:rsid w:val="00B40B2D"/>
    <w:rsid w:val="00B40F47"/>
    <w:rsid w:val="00B428EB"/>
    <w:rsid w:val="00B4299A"/>
    <w:rsid w:val="00B42B0A"/>
    <w:rsid w:val="00B4358E"/>
    <w:rsid w:val="00B43597"/>
    <w:rsid w:val="00B45156"/>
    <w:rsid w:val="00B45384"/>
    <w:rsid w:val="00B473B7"/>
    <w:rsid w:val="00B47932"/>
    <w:rsid w:val="00B47CD4"/>
    <w:rsid w:val="00B50B8E"/>
    <w:rsid w:val="00B513B0"/>
    <w:rsid w:val="00B51B47"/>
    <w:rsid w:val="00B51DB1"/>
    <w:rsid w:val="00B520E6"/>
    <w:rsid w:val="00B52CE1"/>
    <w:rsid w:val="00B53300"/>
    <w:rsid w:val="00B541D0"/>
    <w:rsid w:val="00B5480B"/>
    <w:rsid w:val="00B555B2"/>
    <w:rsid w:val="00B5612A"/>
    <w:rsid w:val="00B56A28"/>
    <w:rsid w:val="00B56A5F"/>
    <w:rsid w:val="00B56B6F"/>
    <w:rsid w:val="00B5727B"/>
    <w:rsid w:val="00B579D1"/>
    <w:rsid w:val="00B6111C"/>
    <w:rsid w:val="00B614BF"/>
    <w:rsid w:val="00B6249F"/>
    <w:rsid w:val="00B625DD"/>
    <w:rsid w:val="00B6311A"/>
    <w:rsid w:val="00B63CBD"/>
    <w:rsid w:val="00B63D98"/>
    <w:rsid w:val="00B6403A"/>
    <w:rsid w:val="00B6492A"/>
    <w:rsid w:val="00B64CCE"/>
    <w:rsid w:val="00B64DAE"/>
    <w:rsid w:val="00B6537A"/>
    <w:rsid w:val="00B654F6"/>
    <w:rsid w:val="00B65529"/>
    <w:rsid w:val="00B6599B"/>
    <w:rsid w:val="00B6634F"/>
    <w:rsid w:val="00B67A60"/>
    <w:rsid w:val="00B712CB"/>
    <w:rsid w:val="00B72443"/>
    <w:rsid w:val="00B732BB"/>
    <w:rsid w:val="00B73BAB"/>
    <w:rsid w:val="00B73BDD"/>
    <w:rsid w:val="00B73DBD"/>
    <w:rsid w:val="00B744BB"/>
    <w:rsid w:val="00B74A93"/>
    <w:rsid w:val="00B759EA"/>
    <w:rsid w:val="00B75D27"/>
    <w:rsid w:val="00B761E7"/>
    <w:rsid w:val="00B7629D"/>
    <w:rsid w:val="00B76F4F"/>
    <w:rsid w:val="00B7722E"/>
    <w:rsid w:val="00B77E3D"/>
    <w:rsid w:val="00B77E5E"/>
    <w:rsid w:val="00B801A4"/>
    <w:rsid w:val="00B80FB7"/>
    <w:rsid w:val="00B81F17"/>
    <w:rsid w:val="00B82271"/>
    <w:rsid w:val="00B82431"/>
    <w:rsid w:val="00B82822"/>
    <w:rsid w:val="00B82DF6"/>
    <w:rsid w:val="00B82F28"/>
    <w:rsid w:val="00B8365B"/>
    <w:rsid w:val="00B838A1"/>
    <w:rsid w:val="00B84F09"/>
    <w:rsid w:val="00B85038"/>
    <w:rsid w:val="00B85E9C"/>
    <w:rsid w:val="00B86855"/>
    <w:rsid w:val="00B877C5"/>
    <w:rsid w:val="00B8791A"/>
    <w:rsid w:val="00B90089"/>
    <w:rsid w:val="00B905C9"/>
    <w:rsid w:val="00B90DE1"/>
    <w:rsid w:val="00B910C4"/>
    <w:rsid w:val="00B93386"/>
    <w:rsid w:val="00B93CFE"/>
    <w:rsid w:val="00B94803"/>
    <w:rsid w:val="00B94BBD"/>
    <w:rsid w:val="00B9509B"/>
    <w:rsid w:val="00B953EE"/>
    <w:rsid w:val="00B95535"/>
    <w:rsid w:val="00B95E7E"/>
    <w:rsid w:val="00B97061"/>
    <w:rsid w:val="00B97331"/>
    <w:rsid w:val="00B97C85"/>
    <w:rsid w:val="00BA1B43"/>
    <w:rsid w:val="00BA1D99"/>
    <w:rsid w:val="00BA3080"/>
    <w:rsid w:val="00BA3461"/>
    <w:rsid w:val="00BA3C02"/>
    <w:rsid w:val="00BA47B5"/>
    <w:rsid w:val="00BA51E6"/>
    <w:rsid w:val="00BA583B"/>
    <w:rsid w:val="00BA595C"/>
    <w:rsid w:val="00BA5BDB"/>
    <w:rsid w:val="00BA620B"/>
    <w:rsid w:val="00BA6EA6"/>
    <w:rsid w:val="00BB008D"/>
    <w:rsid w:val="00BB0FCA"/>
    <w:rsid w:val="00BB152B"/>
    <w:rsid w:val="00BB16DB"/>
    <w:rsid w:val="00BB1B4A"/>
    <w:rsid w:val="00BB22C1"/>
    <w:rsid w:val="00BB2CEF"/>
    <w:rsid w:val="00BB355D"/>
    <w:rsid w:val="00BB4C04"/>
    <w:rsid w:val="00BB70AF"/>
    <w:rsid w:val="00BB7203"/>
    <w:rsid w:val="00BB7598"/>
    <w:rsid w:val="00BB7A2C"/>
    <w:rsid w:val="00BC0A3D"/>
    <w:rsid w:val="00BC1896"/>
    <w:rsid w:val="00BC2198"/>
    <w:rsid w:val="00BC4107"/>
    <w:rsid w:val="00BC4824"/>
    <w:rsid w:val="00BC4A77"/>
    <w:rsid w:val="00BC5276"/>
    <w:rsid w:val="00BC57A5"/>
    <w:rsid w:val="00BC5BD8"/>
    <w:rsid w:val="00BC619C"/>
    <w:rsid w:val="00BC64C6"/>
    <w:rsid w:val="00BC727B"/>
    <w:rsid w:val="00BC79B0"/>
    <w:rsid w:val="00BD031A"/>
    <w:rsid w:val="00BD10CB"/>
    <w:rsid w:val="00BD1C10"/>
    <w:rsid w:val="00BD1E53"/>
    <w:rsid w:val="00BD33C2"/>
    <w:rsid w:val="00BD3F38"/>
    <w:rsid w:val="00BD4289"/>
    <w:rsid w:val="00BD4387"/>
    <w:rsid w:val="00BD44F6"/>
    <w:rsid w:val="00BD45AC"/>
    <w:rsid w:val="00BD4D6E"/>
    <w:rsid w:val="00BD4E29"/>
    <w:rsid w:val="00BD4F66"/>
    <w:rsid w:val="00BD517F"/>
    <w:rsid w:val="00BD6155"/>
    <w:rsid w:val="00BE0A6A"/>
    <w:rsid w:val="00BE0DF1"/>
    <w:rsid w:val="00BE1DD5"/>
    <w:rsid w:val="00BE1E5E"/>
    <w:rsid w:val="00BE2C34"/>
    <w:rsid w:val="00BE3579"/>
    <w:rsid w:val="00BE5060"/>
    <w:rsid w:val="00BE53EE"/>
    <w:rsid w:val="00BE5C14"/>
    <w:rsid w:val="00BE6296"/>
    <w:rsid w:val="00BE6FA8"/>
    <w:rsid w:val="00BE7EB0"/>
    <w:rsid w:val="00BE7F19"/>
    <w:rsid w:val="00BF0F4B"/>
    <w:rsid w:val="00BF1236"/>
    <w:rsid w:val="00BF17F1"/>
    <w:rsid w:val="00BF1C09"/>
    <w:rsid w:val="00BF20A5"/>
    <w:rsid w:val="00BF2301"/>
    <w:rsid w:val="00BF279C"/>
    <w:rsid w:val="00BF2D28"/>
    <w:rsid w:val="00BF401A"/>
    <w:rsid w:val="00BF47E9"/>
    <w:rsid w:val="00BF52CB"/>
    <w:rsid w:val="00BF53EC"/>
    <w:rsid w:val="00BF5937"/>
    <w:rsid w:val="00BF59E6"/>
    <w:rsid w:val="00BF5EB9"/>
    <w:rsid w:val="00BF6434"/>
    <w:rsid w:val="00BF699D"/>
    <w:rsid w:val="00BF73BE"/>
    <w:rsid w:val="00BF7DA2"/>
    <w:rsid w:val="00BF7EC1"/>
    <w:rsid w:val="00C000B9"/>
    <w:rsid w:val="00C004EB"/>
    <w:rsid w:val="00C00920"/>
    <w:rsid w:val="00C00F18"/>
    <w:rsid w:val="00C02873"/>
    <w:rsid w:val="00C03270"/>
    <w:rsid w:val="00C03F54"/>
    <w:rsid w:val="00C04FDB"/>
    <w:rsid w:val="00C069CE"/>
    <w:rsid w:val="00C07044"/>
    <w:rsid w:val="00C074BE"/>
    <w:rsid w:val="00C07D43"/>
    <w:rsid w:val="00C07F2B"/>
    <w:rsid w:val="00C10C04"/>
    <w:rsid w:val="00C11DF5"/>
    <w:rsid w:val="00C11F82"/>
    <w:rsid w:val="00C122AC"/>
    <w:rsid w:val="00C12301"/>
    <w:rsid w:val="00C12EC7"/>
    <w:rsid w:val="00C1467D"/>
    <w:rsid w:val="00C1479D"/>
    <w:rsid w:val="00C14A75"/>
    <w:rsid w:val="00C14E35"/>
    <w:rsid w:val="00C15D07"/>
    <w:rsid w:val="00C16420"/>
    <w:rsid w:val="00C166F6"/>
    <w:rsid w:val="00C170BC"/>
    <w:rsid w:val="00C17DA2"/>
    <w:rsid w:val="00C21BC7"/>
    <w:rsid w:val="00C2285E"/>
    <w:rsid w:val="00C22F8A"/>
    <w:rsid w:val="00C246F7"/>
    <w:rsid w:val="00C25569"/>
    <w:rsid w:val="00C26560"/>
    <w:rsid w:val="00C26EC2"/>
    <w:rsid w:val="00C272C8"/>
    <w:rsid w:val="00C27612"/>
    <w:rsid w:val="00C30970"/>
    <w:rsid w:val="00C313AF"/>
    <w:rsid w:val="00C31AD1"/>
    <w:rsid w:val="00C32016"/>
    <w:rsid w:val="00C324FA"/>
    <w:rsid w:val="00C32BFC"/>
    <w:rsid w:val="00C333F6"/>
    <w:rsid w:val="00C34093"/>
    <w:rsid w:val="00C3751A"/>
    <w:rsid w:val="00C3780E"/>
    <w:rsid w:val="00C37EDB"/>
    <w:rsid w:val="00C41A46"/>
    <w:rsid w:val="00C41C77"/>
    <w:rsid w:val="00C41DDC"/>
    <w:rsid w:val="00C42C8D"/>
    <w:rsid w:val="00C42CBC"/>
    <w:rsid w:val="00C445D1"/>
    <w:rsid w:val="00C45331"/>
    <w:rsid w:val="00C46467"/>
    <w:rsid w:val="00C47581"/>
    <w:rsid w:val="00C518E1"/>
    <w:rsid w:val="00C51B3B"/>
    <w:rsid w:val="00C526FC"/>
    <w:rsid w:val="00C5298C"/>
    <w:rsid w:val="00C5414A"/>
    <w:rsid w:val="00C552A0"/>
    <w:rsid w:val="00C5613D"/>
    <w:rsid w:val="00C575EE"/>
    <w:rsid w:val="00C57F39"/>
    <w:rsid w:val="00C6083F"/>
    <w:rsid w:val="00C6095F"/>
    <w:rsid w:val="00C61B11"/>
    <w:rsid w:val="00C6298F"/>
    <w:rsid w:val="00C62B17"/>
    <w:rsid w:val="00C6394A"/>
    <w:rsid w:val="00C645D1"/>
    <w:rsid w:val="00C64A6A"/>
    <w:rsid w:val="00C64FDC"/>
    <w:rsid w:val="00C65301"/>
    <w:rsid w:val="00C66388"/>
    <w:rsid w:val="00C6783E"/>
    <w:rsid w:val="00C707A1"/>
    <w:rsid w:val="00C707B8"/>
    <w:rsid w:val="00C7101E"/>
    <w:rsid w:val="00C71876"/>
    <w:rsid w:val="00C73384"/>
    <w:rsid w:val="00C73FD1"/>
    <w:rsid w:val="00C75653"/>
    <w:rsid w:val="00C76878"/>
    <w:rsid w:val="00C7774F"/>
    <w:rsid w:val="00C77EF9"/>
    <w:rsid w:val="00C8029B"/>
    <w:rsid w:val="00C80306"/>
    <w:rsid w:val="00C81178"/>
    <w:rsid w:val="00C843D5"/>
    <w:rsid w:val="00C84F35"/>
    <w:rsid w:val="00C85A2F"/>
    <w:rsid w:val="00C867EE"/>
    <w:rsid w:val="00C8741D"/>
    <w:rsid w:val="00C876A6"/>
    <w:rsid w:val="00C8799E"/>
    <w:rsid w:val="00C908A5"/>
    <w:rsid w:val="00C9173C"/>
    <w:rsid w:val="00C92BAD"/>
    <w:rsid w:val="00C93511"/>
    <w:rsid w:val="00C9359C"/>
    <w:rsid w:val="00C94138"/>
    <w:rsid w:val="00C9634B"/>
    <w:rsid w:val="00C9672B"/>
    <w:rsid w:val="00C96BD8"/>
    <w:rsid w:val="00C97121"/>
    <w:rsid w:val="00CA02E8"/>
    <w:rsid w:val="00CA2F57"/>
    <w:rsid w:val="00CA4309"/>
    <w:rsid w:val="00CA4F18"/>
    <w:rsid w:val="00CA5B7E"/>
    <w:rsid w:val="00CA6E0C"/>
    <w:rsid w:val="00CA7465"/>
    <w:rsid w:val="00CA7708"/>
    <w:rsid w:val="00CB2D01"/>
    <w:rsid w:val="00CB30DF"/>
    <w:rsid w:val="00CB3952"/>
    <w:rsid w:val="00CB3EE5"/>
    <w:rsid w:val="00CB3F1E"/>
    <w:rsid w:val="00CB443D"/>
    <w:rsid w:val="00CB5544"/>
    <w:rsid w:val="00CB642D"/>
    <w:rsid w:val="00CC018B"/>
    <w:rsid w:val="00CC036D"/>
    <w:rsid w:val="00CC091E"/>
    <w:rsid w:val="00CC0B17"/>
    <w:rsid w:val="00CC0E0D"/>
    <w:rsid w:val="00CC151B"/>
    <w:rsid w:val="00CC2243"/>
    <w:rsid w:val="00CC2DFB"/>
    <w:rsid w:val="00CC2F3F"/>
    <w:rsid w:val="00CC453A"/>
    <w:rsid w:val="00CC4CE8"/>
    <w:rsid w:val="00CC5753"/>
    <w:rsid w:val="00CC5AB8"/>
    <w:rsid w:val="00CC5F3A"/>
    <w:rsid w:val="00CC63EE"/>
    <w:rsid w:val="00CC702D"/>
    <w:rsid w:val="00CC7718"/>
    <w:rsid w:val="00CD015D"/>
    <w:rsid w:val="00CD07C1"/>
    <w:rsid w:val="00CD2205"/>
    <w:rsid w:val="00CD23CD"/>
    <w:rsid w:val="00CD267F"/>
    <w:rsid w:val="00CD3053"/>
    <w:rsid w:val="00CD3814"/>
    <w:rsid w:val="00CD468A"/>
    <w:rsid w:val="00CD4FAD"/>
    <w:rsid w:val="00CD54A7"/>
    <w:rsid w:val="00CD55BE"/>
    <w:rsid w:val="00CD60E1"/>
    <w:rsid w:val="00CD698B"/>
    <w:rsid w:val="00CD6ED4"/>
    <w:rsid w:val="00CD6F12"/>
    <w:rsid w:val="00CD76AD"/>
    <w:rsid w:val="00CE0105"/>
    <w:rsid w:val="00CE0457"/>
    <w:rsid w:val="00CE12ED"/>
    <w:rsid w:val="00CE16BC"/>
    <w:rsid w:val="00CE1F8E"/>
    <w:rsid w:val="00CE216C"/>
    <w:rsid w:val="00CE32C2"/>
    <w:rsid w:val="00CE5429"/>
    <w:rsid w:val="00CE5B50"/>
    <w:rsid w:val="00CE640E"/>
    <w:rsid w:val="00CE66B9"/>
    <w:rsid w:val="00CE7806"/>
    <w:rsid w:val="00CE78FA"/>
    <w:rsid w:val="00CE7D33"/>
    <w:rsid w:val="00CF0270"/>
    <w:rsid w:val="00CF05F8"/>
    <w:rsid w:val="00CF0CC3"/>
    <w:rsid w:val="00CF13D4"/>
    <w:rsid w:val="00CF1645"/>
    <w:rsid w:val="00CF1C0B"/>
    <w:rsid w:val="00CF2222"/>
    <w:rsid w:val="00CF4342"/>
    <w:rsid w:val="00CF51D1"/>
    <w:rsid w:val="00CF533A"/>
    <w:rsid w:val="00CF61B2"/>
    <w:rsid w:val="00CF6DB4"/>
    <w:rsid w:val="00CF79E1"/>
    <w:rsid w:val="00D01922"/>
    <w:rsid w:val="00D01B26"/>
    <w:rsid w:val="00D01D9C"/>
    <w:rsid w:val="00D03758"/>
    <w:rsid w:val="00D03B4A"/>
    <w:rsid w:val="00D0423B"/>
    <w:rsid w:val="00D04B52"/>
    <w:rsid w:val="00D065A1"/>
    <w:rsid w:val="00D07033"/>
    <w:rsid w:val="00D075D4"/>
    <w:rsid w:val="00D077B6"/>
    <w:rsid w:val="00D07A08"/>
    <w:rsid w:val="00D11C4D"/>
    <w:rsid w:val="00D123CB"/>
    <w:rsid w:val="00D1299D"/>
    <w:rsid w:val="00D1351A"/>
    <w:rsid w:val="00D13541"/>
    <w:rsid w:val="00D13B0A"/>
    <w:rsid w:val="00D13C32"/>
    <w:rsid w:val="00D14A9D"/>
    <w:rsid w:val="00D14D0B"/>
    <w:rsid w:val="00D14DB7"/>
    <w:rsid w:val="00D15107"/>
    <w:rsid w:val="00D16BBF"/>
    <w:rsid w:val="00D177A6"/>
    <w:rsid w:val="00D2025B"/>
    <w:rsid w:val="00D20381"/>
    <w:rsid w:val="00D206A5"/>
    <w:rsid w:val="00D21224"/>
    <w:rsid w:val="00D21C46"/>
    <w:rsid w:val="00D21DD6"/>
    <w:rsid w:val="00D22707"/>
    <w:rsid w:val="00D232CB"/>
    <w:rsid w:val="00D2426A"/>
    <w:rsid w:val="00D24521"/>
    <w:rsid w:val="00D24AFF"/>
    <w:rsid w:val="00D25095"/>
    <w:rsid w:val="00D27A42"/>
    <w:rsid w:val="00D3104B"/>
    <w:rsid w:val="00D31C04"/>
    <w:rsid w:val="00D3269A"/>
    <w:rsid w:val="00D362F0"/>
    <w:rsid w:val="00D3641B"/>
    <w:rsid w:val="00D36C4C"/>
    <w:rsid w:val="00D3713B"/>
    <w:rsid w:val="00D40330"/>
    <w:rsid w:val="00D419FD"/>
    <w:rsid w:val="00D420BD"/>
    <w:rsid w:val="00D432C1"/>
    <w:rsid w:val="00D445ED"/>
    <w:rsid w:val="00D45219"/>
    <w:rsid w:val="00D45FC7"/>
    <w:rsid w:val="00D463BB"/>
    <w:rsid w:val="00D46837"/>
    <w:rsid w:val="00D4778F"/>
    <w:rsid w:val="00D5027B"/>
    <w:rsid w:val="00D50ADF"/>
    <w:rsid w:val="00D513A0"/>
    <w:rsid w:val="00D51617"/>
    <w:rsid w:val="00D53748"/>
    <w:rsid w:val="00D55477"/>
    <w:rsid w:val="00D57F6C"/>
    <w:rsid w:val="00D600F6"/>
    <w:rsid w:val="00D6315B"/>
    <w:rsid w:val="00D63CBB"/>
    <w:rsid w:val="00D64753"/>
    <w:rsid w:val="00D64B22"/>
    <w:rsid w:val="00D659B7"/>
    <w:rsid w:val="00D671C0"/>
    <w:rsid w:val="00D672BB"/>
    <w:rsid w:val="00D67807"/>
    <w:rsid w:val="00D67874"/>
    <w:rsid w:val="00D702BD"/>
    <w:rsid w:val="00D70F5A"/>
    <w:rsid w:val="00D710EB"/>
    <w:rsid w:val="00D72C45"/>
    <w:rsid w:val="00D72F00"/>
    <w:rsid w:val="00D7364C"/>
    <w:rsid w:val="00D738C0"/>
    <w:rsid w:val="00D748AA"/>
    <w:rsid w:val="00D749EF"/>
    <w:rsid w:val="00D75C30"/>
    <w:rsid w:val="00D76769"/>
    <w:rsid w:val="00D76AE5"/>
    <w:rsid w:val="00D76D3F"/>
    <w:rsid w:val="00D7771E"/>
    <w:rsid w:val="00D778C0"/>
    <w:rsid w:val="00D77970"/>
    <w:rsid w:val="00D8019D"/>
    <w:rsid w:val="00D802FA"/>
    <w:rsid w:val="00D82223"/>
    <w:rsid w:val="00D823EA"/>
    <w:rsid w:val="00D82465"/>
    <w:rsid w:val="00D828DA"/>
    <w:rsid w:val="00D82E52"/>
    <w:rsid w:val="00D83111"/>
    <w:rsid w:val="00D8348A"/>
    <w:rsid w:val="00D83CE4"/>
    <w:rsid w:val="00D865CA"/>
    <w:rsid w:val="00D869C6"/>
    <w:rsid w:val="00D8716B"/>
    <w:rsid w:val="00D931F9"/>
    <w:rsid w:val="00D936A1"/>
    <w:rsid w:val="00D94204"/>
    <w:rsid w:val="00D94600"/>
    <w:rsid w:val="00D95106"/>
    <w:rsid w:val="00D954C6"/>
    <w:rsid w:val="00D968DE"/>
    <w:rsid w:val="00D96F31"/>
    <w:rsid w:val="00D97CB8"/>
    <w:rsid w:val="00DA0258"/>
    <w:rsid w:val="00DA10BD"/>
    <w:rsid w:val="00DA1642"/>
    <w:rsid w:val="00DA1C22"/>
    <w:rsid w:val="00DA1F7C"/>
    <w:rsid w:val="00DA321D"/>
    <w:rsid w:val="00DA39CA"/>
    <w:rsid w:val="00DA4213"/>
    <w:rsid w:val="00DA42A9"/>
    <w:rsid w:val="00DA5601"/>
    <w:rsid w:val="00DA5E06"/>
    <w:rsid w:val="00DA6167"/>
    <w:rsid w:val="00DA75BD"/>
    <w:rsid w:val="00DA79DC"/>
    <w:rsid w:val="00DB22DC"/>
    <w:rsid w:val="00DB2920"/>
    <w:rsid w:val="00DB2ED9"/>
    <w:rsid w:val="00DB3B28"/>
    <w:rsid w:val="00DB3B5B"/>
    <w:rsid w:val="00DB3EFA"/>
    <w:rsid w:val="00DB41FE"/>
    <w:rsid w:val="00DB4ED4"/>
    <w:rsid w:val="00DB5648"/>
    <w:rsid w:val="00DB5B56"/>
    <w:rsid w:val="00DB7D09"/>
    <w:rsid w:val="00DC0344"/>
    <w:rsid w:val="00DC119C"/>
    <w:rsid w:val="00DC16F2"/>
    <w:rsid w:val="00DC2A62"/>
    <w:rsid w:val="00DC33FB"/>
    <w:rsid w:val="00DC3D5F"/>
    <w:rsid w:val="00DC40CF"/>
    <w:rsid w:val="00DC483E"/>
    <w:rsid w:val="00DC4AC7"/>
    <w:rsid w:val="00DC4FD4"/>
    <w:rsid w:val="00DC55B3"/>
    <w:rsid w:val="00DC588C"/>
    <w:rsid w:val="00DC5A4E"/>
    <w:rsid w:val="00DC5C2A"/>
    <w:rsid w:val="00DC6E2B"/>
    <w:rsid w:val="00DC764F"/>
    <w:rsid w:val="00DC7CEF"/>
    <w:rsid w:val="00DD1C1C"/>
    <w:rsid w:val="00DD2898"/>
    <w:rsid w:val="00DD2DB5"/>
    <w:rsid w:val="00DD2ED8"/>
    <w:rsid w:val="00DD30E4"/>
    <w:rsid w:val="00DD393C"/>
    <w:rsid w:val="00DD397E"/>
    <w:rsid w:val="00DD3B64"/>
    <w:rsid w:val="00DD40FE"/>
    <w:rsid w:val="00DD4D52"/>
    <w:rsid w:val="00DD5752"/>
    <w:rsid w:val="00DD58F3"/>
    <w:rsid w:val="00DD62A5"/>
    <w:rsid w:val="00DE046B"/>
    <w:rsid w:val="00DE18B9"/>
    <w:rsid w:val="00DE1EDD"/>
    <w:rsid w:val="00DE1F55"/>
    <w:rsid w:val="00DE2499"/>
    <w:rsid w:val="00DE3050"/>
    <w:rsid w:val="00DE3DE5"/>
    <w:rsid w:val="00DE45A6"/>
    <w:rsid w:val="00DE4C4D"/>
    <w:rsid w:val="00DE4E4A"/>
    <w:rsid w:val="00DE5B63"/>
    <w:rsid w:val="00DE602F"/>
    <w:rsid w:val="00DE720A"/>
    <w:rsid w:val="00DE72A8"/>
    <w:rsid w:val="00DE7B7A"/>
    <w:rsid w:val="00DF0E84"/>
    <w:rsid w:val="00DF1E3D"/>
    <w:rsid w:val="00DF307B"/>
    <w:rsid w:val="00DF4B38"/>
    <w:rsid w:val="00DF4D30"/>
    <w:rsid w:val="00DF4EF7"/>
    <w:rsid w:val="00DF5182"/>
    <w:rsid w:val="00DF5D0F"/>
    <w:rsid w:val="00DF5F6C"/>
    <w:rsid w:val="00DF613F"/>
    <w:rsid w:val="00DF63D4"/>
    <w:rsid w:val="00DF69F0"/>
    <w:rsid w:val="00DF7023"/>
    <w:rsid w:val="00DF74F4"/>
    <w:rsid w:val="00DF78DA"/>
    <w:rsid w:val="00DF7F50"/>
    <w:rsid w:val="00E000A2"/>
    <w:rsid w:val="00E009A3"/>
    <w:rsid w:val="00E00CB4"/>
    <w:rsid w:val="00E00F9F"/>
    <w:rsid w:val="00E01E1C"/>
    <w:rsid w:val="00E01E53"/>
    <w:rsid w:val="00E02401"/>
    <w:rsid w:val="00E02BFD"/>
    <w:rsid w:val="00E03D13"/>
    <w:rsid w:val="00E04334"/>
    <w:rsid w:val="00E04B6A"/>
    <w:rsid w:val="00E0624B"/>
    <w:rsid w:val="00E06316"/>
    <w:rsid w:val="00E064AC"/>
    <w:rsid w:val="00E064F3"/>
    <w:rsid w:val="00E06B4C"/>
    <w:rsid w:val="00E06C5E"/>
    <w:rsid w:val="00E0763D"/>
    <w:rsid w:val="00E102B2"/>
    <w:rsid w:val="00E114CB"/>
    <w:rsid w:val="00E11EAF"/>
    <w:rsid w:val="00E1394E"/>
    <w:rsid w:val="00E15EAB"/>
    <w:rsid w:val="00E16285"/>
    <w:rsid w:val="00E17659"/>
    <w:rsid w:val="00E17CCC"/>
    <w:rsid w:val="00E209B6"/>
    <w:rsid w:val="00E214AA"/>
    <w:rsid w:val="00E214BC"/>
    <w:rsid w:val="00E21A1C"/>
    <w:rsid w:val="00E21BE0"/>
    <w:rsid w:val="00E22641"/>
    <w:rsid w:val="00E23713"/>
    <w:rsid w:val="00E23994"/>
    <w:rsid w:val="00E2490A"/>
    <w:rsid w:val="00E24C47"/>
    <w:rsid w:val="00E25C1B"/>
    <w:rsid w:val="00E25EEB"/>
    <w:rsid w:val="00E2606C"/>
    <w:rsid w:val="00E2758B"/>
    <w:rsid w:val="00E27CC3"/>
    <w:rsid w:val="00E27F80"/>
    <w:rsid w:val="00E3103B"/>
    <w:rsid w:val="00E313DC"/>
    <w:rsid w:val="00E3309B"/>
    <w:rsid w:val="00E330EC"/>
    <w:rsid w:val="00E34A6C"/>
    <w:rsid w:val="00E34C97"/>
    <w:rsid w:val="00E35248"/>
    <w:rsid w:val="00E35CB9"/>
    <w:rsid w:val="00E36681"/>
    <w:rsid w:val="00E370B1"/>
    <w:rsid w:val="00E37AB1"/>
    <w:rsid w:val="00E40EFB"/>
    <w:rsid w:val="00E41A31"/>
    <w:rsid w:val="00E443AF"/>
    <w:rsid w:val="00E461E7"/>
    <w:rsid w:val="00E4651A"/>
    <w:rsid w:val="00E4735B"/>
    <w:rsid w:val="00E47A43"/>
    <w:rsid w:val="00E47C35"/>
    <w:rsid w:val="00E47D79"/>
    <w:rsid w:val="00E50CDE"/>
    <w:rsid w:val="00E51DE3"/>
    <w:rsid w:val="00E5228B"/>
    <w:rsid w:val="00E52EE7"/>
    <w:rsid w:val="00E53302"/>
    <w:rsid w:val="00E5344B"/>
    <w:rsid w:val="00E53BED"/>
    <w:rsid w:val="00E54060"/>
    <w:rsid w:val="00E548FE"/>
    <w:rsid w:val="00E54ADD"/>
    <w:rsid w:val="00E552A6"/>
    <w:rsid w:val="00E556E6"/>
    <w:rsid w:val="00E5600F"/>
    <w:rsid w:val="00E56A20"/>
    <w:rsid w:val="00E57AC6"/>
    <w:rsid w:val="00E60308"/>
    <w:rsid w:val="00E60C94"/>
    <w:rsid w:val="00E60F09"/>
    <w:rsid w:val="00E614AD"/>
    <w:rsid w:val="00E6159A"/>
    <w:rsid w:val="00E61649"/>
    <w:rsid w:val="00E624D1"/>
    <w:rsid w:val="00E627EE"/>
    <w:rsid w:val="00E63C7F"/>
    <w:rsid w:val="00E64F7F"/>
    <w:rsid w:val="00E659FF"/>
    <w:rsid w:val="00E661CC"/>
    <w:rsid w:val="00E66325"/>
    <w:rsid w:val="00E66383"/>
    <w:rsid w:val="00E664ED"/>
    <w:rsid w:val="00E67CCF"/>
    <w:rsid w:val="00E7005E"/>
    <w:rsid w:val="00E710C6"/>
    <w:rsid w:val="00E71B37"/>
    <w:rsid w:val="00E71F28"/>
    <w:rsid w:val="00E72E1F"/>
    <w:rsid w:val="00E733F1"/>
    <w:rsid w:val="00E74918"/>
    <w:rsid w:val="00E74BEC"/>
    <w:rsid w:val="00E75035"/>
    <w:rsid w:val="00E75A59"/>
    <w:rsid w:val="00E760F8"/>
    <w:rsid w:val="00E765A0"/>
    <w:rsid w:val="00E771DF"/>
    <w:rsid w:val="00E77586"/>
    <w:rsid w:val="00E801E7"/>
    <w:rsid w:val="00E80263"/>
    <w:rsid w:val="00E813F7"/>
    <w:rsid w:val="00E81844"/>
    <w:rsid w:val="00E8355D"/>
    <w:rsid w:val="00E83CDD"/>
    <w:rsid w:val="00E83EA1"/>
    <w:rsid w:val="00E85233"/>
    <w:rsid w:val="00E854DB"/>
    <w:rsid w:val="00E85639"/>
    <w:rsid w:val="00E86146"/>
    <w:rsid w:val="00E861A6"/>
    <w:rsid w:val="00E8650E"/>
    <w:rsid w:val="00E91242"/>
    <w:rsid w:val="00E92057"/>
    <w:rsid w:val="00E9266F"/>
    <w:rsid w:val="00E9280D"/>
    <w:rsid w:val="00E929B0"/>
    <w:rsid w:val="00E94B7C"/>
    <w:rsid w:val="00E9686F"/>
    <w:rsid w:val="00EA0AF9"/>
    <w:rsid w:val="00EA112C"/>
    <w:rsid w:val="00EA113D"/>
    <w:rsid w:val="00EA14B2"/>
    <w:rsid w:val="00EA245F"/>
    <w:rsid w:val="00EA2C1C"/>
    <w:rsid w:val="00EA2EB5"/>
    <w:rsid w:val="00EA314A"/>
    <w:rsid w:val="00EA3215"/>
    <w:rsid w:val="00EA3CCA"/>
    <w:rsid w:val="00EA507E"/>
    <w:rsid w:val="00EA5F3A"/>
    <w:rsid w:val="00EA5FB9"/>
    <w:rsid w:val="00EA60D1"/>
    <w:rsid w:val="00EA660E"/>
    <w:rsid w:val="00EA78E4"/>
    <w:rsid w:val="00EB26C9"/>
    <w:rsid w:val="00EB32B2"/>
    <w:rsid w:val="00EB350E"/>
    <w:rsid w:val="00EB422B"/>
    <w:rsid w:val="00EB4ABE"/>
    <w:rsid w:val="00EB4BDE"/>
    <w:rsid w:val="00EB4EB7"/>
    <w:rsid w:val="00EB6354"/>
    <w:rsid w:val="00EB6848"/>
    <w:rsid w:val="00EB6E9B"/>
    <w:rsid w:val="00EB71C8"/>
    <w:rsid w:val="00EB7A07"/>
    <w:rsid w:val="00EC05E2"/>
    <w:rsid w:val="00EC1601"/>
    <w:rsid w:val="00EC2277"/>
    <w:rsid w:val="00EC36F2"/>
    <w:rsid w:val="00EC4109"/>
    <w:rsid w:val="00EC43B7"/>
    <w:rsid w:val="00EC5075"/>
    <w:rsid w:val="00EC5198"/>
    <w:rsid w:val="00EC617E"/>
    <w:rsid w:val="00EC68DE"/>
    <w:rsid w:val="00EC7FE3"/>
    <w:rsid w:val="00ED0914"/>
    <w:rsid w:val="00ED0FA6"/>
    <w:rsid w:val="00ED104C"/>
    <w:rsid w:val="00ED11DE"/>
    <w:rsid w:val="00ED1C2E"/>
    <w:rsid w:val="00ED1F7D"/>
    <w:rsid w:val="00ED20B1"/>
    <w:rsid w:val="00ED21A0"/>
    <w:rsid w:val="00ED2ADA"/>
    <w:rsid w:val="00ED3115"/>
    <w:rsid w:val="00ED3885"/>
    <w:rsid w:val="00ED390F"/>
    <w:rsid w:val="00ED3DB8"/>
    <w:rsid w:val="00ED4BCC"/>
    <w:rsid w:val="00ED5057"/>
    <w:rsid w:val="00ED52B9"/>
    <w:rsid w:val="00ED580A"/>
    <w:rsid w:val="00ED58CB"/>
    <w:rsid w:val="00EE22A6"/>
    <w:rsid w:val="00EE2792"/>
    <w:rsid w:val="00EE2E2D"/>
    <w:rsid w:val="00EE3039"/>
    <w:rsid w:val="00EE30E6"/>
    <w:rsid w:val="00EE4E73"/>
    <w:rsid w:val="00EE50AE"/>
    <w:rsid w:val="00EE54AE"/>
    <w:rsid w:val="00EE555B"/>
    <w:rsid w:val="00EE5877"/>
    <w:rsid w:val="00EE6307"/>
    <w:rsid w:val="00EE6465"/>
    <w:rsid w:val="00EE7801"/>
    <w:rsid w:val="00EE7855"/>
    <w:rsid w:val="00EE7BDC"/>
    <w:rsid w:val="00EF042A"/>
    <w:rsid w:val="00EF1770"/>
    <w:rsid w:val="00EF1E48"/>
    <w:rsid w:val="00EF1E49"/>
    <w:rsid w:val="00EF2086"/>
    <w:rsid w:val="00EF28BD"/>
    <w:rsid w:val="00EF2B84"/>
    <w:rsid w:val="00EF2E05"/>
    <w:rsid w:val="00EF3338"/>
    <w:rsid w:val="00EF38DF"/>
    <w:rsid w:val="00EF3D7E"/>
    <w:rsid w:val="00EF3FCC"/>
    <w:rsid w:val="00EF4520"/>
    <w:rsid w:val="00EF4DE4"/>
    <w:rsid w:val="00EF6261"/>
    <w:rsid w:val="00EF6BC7"/>
    <w:rsid w:val="00EF6BE6"/>
    <w:rsid w:val="00EF7B8C"/>
    <w:rsid w:val="00F00FE3"/>
    <w:rsid w:val="00F017A4"/>
    <w:rsid w:val="00F0220A"/>
    <w:rsid w:val="00F032AB"/>
    <w:rsid w:val="00F044A0"/>
    <w:rsid w:val="00F046DE"/>
    <w:rsid w:val="00F0497D"/>
    <w:rsid w:val="00F050A1"/>
    <w:rsid w:val="00F058C8"/>
    <w:rsid w:val="00F06AF3"/>
    <w:rsid w:val="00F113C7"/>
    <w:rsid w:val="00F11F30"/>
    <w:rsid w:val="00F12086"/>
    <w:rsid w:val="00F1379C"/>
    <w:rsid w:val="00F13D09"/>
    <w:rsid w:val="00F1482C"/>
    <w:rsid w:val="00F14CCA"/>
    <w:rsid w:val="00F151D5"/>
    <w:rsid w:val="00F1686F"/>
    <w:rsid w:val="00F16999"/>
    <w:rsid w:val="00F169A5"/>
    <w:rsid w:val="00F171B5"/>
    <w:rsid w:val="00F1754E"/>
    <w:rsid w:val="00F177D8"/>
    <w:rsid w:val="00F2048F"/>
    <w:rsid w:val="00F211CE"/>
    <w:rsid w:val="00F220DC"/>
    <w:rsid w:val="00F22AE3"/>
    <w:rsid w:val="00F22BBE"/>
    <w:rsid w:val="00F23093"/>
    <w:rsid w:val="00F233A6"/>
    <w:rsid w:val="00F2353A"/>
    <w:rsid w:val="00F2617B"/>
    <w:rsid w:val="00F2636B"/>
    <w:rsid w:val="00F302A7"/>
    <w:rsid w:val="00F30807"/>
    <w:rsid w:val="00F3101F"/>
    <w:rsid w:val="00F31276"/>
    <w:rsid w:val="00F32704"/>
    <w:rsid w:val="00F32AD3"/>
    <w:rsid w:val="00F32B56"/>
    <w:rsid w:val="00F34121"/>
    <w:rsid w:val="00F3419B"/>
    <w:rsid w:val="00F34A68"/>
    <w:rsid w:val="00F35B3B"/>
    <w:rsid w:val="00F35C02"/>
    <w:rsid w:val="00F36049"/>
    <w:rsid w:val="00F37506"/>
    <w:rsid w:val="00F3771E"/>
    <w:rsid w:val="00F409F6"/>
    <w:rsid w:val="00F417FC"/>
    <w:rsid w:val="00F41830"/>
    <w:rsid w:val="00F42BA6"/>
    <w:rsid w:val="00F43A18"/>
    <w:rsid w:val="00F44DA4"/>
    <w:rsid w:val="00F46360"/>
    <w:rsid w:val="00F46B52"/>
    <w:rsid w:val="00F50FA5"/>
    <w:rsid w:val="00F51192"/>
    <w:rsid w:val="00F513E5"/>
    <w:rsid w:val="00F519E7"/>
    <w:rsid w:val="00F521D4"/>
    <w:rsid w:val="00F53AA6"/>
    <w:rsid w:val="00F54649"/>
    <w:rsid w:val="00F54C33"/>
    <w:rsid w:val="00F554A2"/>
    <w:rsid w:val="00F56303"/>
    <w:rsid w:val="00F56DAD"/>
    <w:rsid w:val="00F57716"/>
    <w:rsid w:val="00F60CC9"/>
    <w:rsid w:val="00F60F0A"/>
    <w:rsid w:val="00F60FFC"/>
    <w:rsid w:val="00F62165"/>
    <w:rsid w:val="00F626B0"/>
    <w:rsid w:val="00F6586A"/>
    <w:rsid w:val="00F65F2F"/>
    <w:rsid w:val="00F66008"/>
    <w:rsid w:val="00F666BD"/>
    <w:rsid w:val="00F66C73"/>
    <w:rsid w:val="00F66F7D"/>
    <w:rsid w:val="00F672FA"/>
    <w:rsid w:val="00F67954"/>
    <w:rsid w:val="00F67C61"/>
    <w:rsid w:val="00F714AC"/>
    <w:rsid w:val="00F7227D"/>
    <w:rsid w:val="00F72675"/>
    <w:rsid w:val="00F72A12"/>
    <w:rsid w:val="00F72A34"/>
    <w:rsid w:val="00F73215"/>
    <w:rsid w:val="00F735CD"/>
    <w:rsid w:val="00F7401A"/>
    <w:rsid w:val="00F74C29"/>
    <w:rsid w:val="00F758CA"/>
    <w:rsid w:val="00F75A25"/>
    <w:rsid w:val="00F75CE0"/>
    <w:rsid w:val="00F76517"/>
    <w:rsid w:val="00F765A1"/>
    <w:rsid w:val="00F773BF"/>
    <w:rsid w:val="00F774BD"/>
    <w:rsid w:val="00F77A7B"/>
    <w:rsid w:val="00F81B05"/>
    <w:rsid w:val="00F81B4A"/>
    <w:rsid w:val="00F823F1"/>
    <w:rsid w:val="00F828B3"/>
    <w:rsid w:val="00F82FCF"/>
    <w:rsid w:val="00F8325A"/>
    <w:rsid w:val="00F84ADE"/>
    <w:rsid w:val="00F850DE"/>
    <w:rsid w:val="00F855CA"/>
    <w:rsid w:val="00F86B26"/>
    <w:rsid w:val="00F874C5"/>
    <w:rsid w:val="00F87C25"/>
    <w:rsid w:val="00F90D76"/>
    <w:rsid w:val="00F914DF"/>
    <w:rsid w:val="00F91BC5"/>
    <w:rsid w:val="00F93AEA"/>
    <w:rsid w:val="00F93EAF"/>
    <w:rsid w:val="00F94974"/>
    <w:rsid w:val="00F94A62"/>
    <w:rsid w:val="00F94BFD"/>
    <w:rsid w:val="00F94C25"/>
    <w:rsid w:val="00F94FF8"/>
    <w:rsid w:val="00F961D4"/>
    <w:rsid w:val="00F968F2"/>
    <w:rsid w:val="00F96FCC"/>
    <w:rsid w:val="00F97478"/>
    <w:rsid w:val="00FA00B2"/>
    <w:rsid w:val="00FA09CE"/>
    <w:rsid w:val="00FA0C22"/>
    <w:rsid w:val="00FA1436"/>
    <w:rsid w:val="00FA18E8"/>
    <w:rsid w:val="00FA370A"/>
    <w:rsid w:val="00FA3C29"/>
    <w:rsid w:val="00FA3F3A"/>
    <w:rsid w:val="00FA55BF"/>
    <w:rsid w:val="00FA623C"/>
    <w:rsid w:val="00FA6505"/>
    <w:rsid w:val="00FA7003"/>
    <w:rsid w:val="00FA7AE7"/>
    <w:rsid w:val="00FA7DF6"/>
    <w:rsid w:val="00FB02E3"/>
    <w:rsid w:val="00FB0316"/>
    <w:rsid w:val="00FB0723"/>
    <w:rsid w:val="00FB1E93"/>
    <w:rsid w:val="00FB2BA2"/>
    <w:rsid w:val="00FB3387"/>
    <w:rsid w:val="00FB4646"/>
    <w:rsid w:val="00FB47EE"/>
    <w:rsid w:val="00FB4BED"/>
    <w:rsid w:val="00FB520F"/>
    <w:rsid w:val="00FB5DC6"/>
    <w:rsid w:val="00FB654F"/>
    <w:rsid w:val="00FB659B"/>
    <w:rsid w:val="00FB6AF6"/>
    <w:rsid w:val="00FB6CC0"/>
    <w:rsid w:val="00FB79E0"/>
    <w:rsid w:val="00FB7D19"/>
    <w:rsid w:val="00FC04E6"/>
    <w:rsid w:val="00FC0B6E"/>
    <w:rsid w:val="00FC0E78"/>
    <w:rsid w:val="00FC1048"/>
    <w:rsid w:val="00FC1758"/>
    <w:rsid w:val="00FC38F8"/>
    <w:rsid w:val="00FC479D"/>
    <w:rsid w:val="00FC5BD1"/>
    <w:rsid w:val="00FC6717"/>
    <w:rsid w:val="00FC7997"/>
    <w:rsid w:val="00FD02FE"/>
    <w:rsid w:val="00FD0580"/>
    <w:rsid w:val="00FD1DC1"/>
    <w:rsid w:val="00FD37DA"/>
    <w:rsid w:val="00FD399F"/>
    <w:rsid w:val="00FD3F46"/>
    <w:rsid w:val="00FD5AA5"/>
    <w:rsid w:val="00FD73EB"/>
    <w:rsid w:val="00FD7538"/>
    <w:rsid w:val="00FD7F97"/>
    <w:rsid w:val="00FE0E80"/>
    <w:rsid w:val="00FE1529"/>
    <w:rsid w:val="00FE167B"/>
    <w:rsid w:val="00FE2E1E"/>
    <w:rsid w:val="00FE3553"/>
    <w:rsid w:val="00FE4D80"/>
    <w:rsid w:val="00FE5211"/>
    <w:rsid w:val="00FE5D18"/>
    <w:rsid w:val="00FE7543"/>
    <w:rsid w:val="00FF072A"/>
    <w:rsid w:val="00FF1A70"/>
    <w:rsid w:val="00FF3BAD"/>
    <w:rsid w:val="00FF3DEF"/>
    <w:rsid w:val="00FF4E71"/>
    <w:rsid w:val="00FF51B2"/>
    <w:rsid w:val="00FF5A8D"/>
    <w:rsid w:val="00FF66FE"/>
    <w:rsid w:val="0808C82F"/>
    <w:rsid w:val="08C94164"/>
    <w:rsid w:val="0A0D5F18"/>
    <w:rsid w:val="0A5F940F"/>
    <w:rsid w:val="0CF45FD5"/>
    <w:rsid w:val="10BEA1E2"/>
    <w:rsid w:val="1140045B"/>
    <w:rsid w:val="207802EC"/>
    <w:rsid w:val="20B2AE5E"/>
    <w:rsid w:val="211FF8A6"/>
    <w:rsid w:val="214EF355"/>
    <w:rsid w:val="220399CB"/>
    <w:rsid w:val="222B6223"/>
    <w:rsid w:val="28B6BCD8"/>
    <w:rsid w:val="371F8508"/>
    <w:rsid w:val="3BD9FC67"/>
    <w:rsid w:val="46FA8B02"/>
    <w:rsid w:val="47BF2AB2"/>
    <w:rsid w:val="4B65EB56"/>
    <w:rsid w:val="4BFBEB43"/>
    <w:rsid w:val="52337CA9"/>
    <w:rsid w:val="52973EBA"/>
    <w:rsid w:val="5418064C"/>
    <w:rsid w:val="5A1C519C"/>
    <w:rsid w:val="64BE2EAB"/>
    <w:rsid w:val="6959788A"/>
    <w:rsid w:val="6EB057E4"/>
    <w:rsid w:val="74B10694"/>
    <w:rsid w:val="7FE313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B5248E3-F57A-45E1-92EC-ADC1A664C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C94138"/>
    <w:pPr>
      <w:numPr>
        <w:numId w:val="2"/>
      </w:numPr>
      <w:tabs>
        <w:tab w:val="num" w:pos="360"/>
      </w:tabs>
      <w:ind w:left="0" w:firstLine="0"/>
    </w:pPr>
    <w:rPr>
      <w:rFonts w:eastAsia="Times New Roman"/>
      <w:lang w:eastAsia="de-DE"/>
    </w:rPr>
  </w:style>
  <w:style w:type="paragraph" w:styleId="ListNumber">
    <w:name w:val="List Number"/>
    <w:basedOn w:val="Normal"/>
    <w:rsid w:val="00C94138"/>
    <w:pPr>
      <w:numPr>
        <w:numId w:val="6"/>
      </w:numPr>
    </w:pPr>
    <w:rPr>
      <w:rFonts w:eastAsia="Times New Roman"/>
      <w:lang w:eastAsia="de-DE"/>
    </w:rPr>
  </w:style>
  <w:style w:type="paragraph" w:customStyle="1" w:styleId="ListBullet1">
    <w:name w:val="List Bullet 1"/>
    <w:basedOn w:val="Normal"/>
    <w:rsid w:val="00C94138"/>
    <w:pPr>
      <w:numPr>
        <w:numId w:val="1"/>
      </w:numPr>
    </w:pPr>
    <w:rPr>
      <w:rFonts w:eastAsia="Times New Roman"/>
      <w:lang w:eastAsia="de-DE"/>
    </w:rPr>
  </w:style>
  <w:style w:type="paragraph" w:customStyle="1" w:styleId="ListDash">
    <w:name w:val="List Dash"/>
    <w:basedOn w:val="Normal"/>
    <w:rsid w:val="00C94138"/>
    <w:pPr>
      <w:numPr>
        <w:numId w:val="3"/>
      </w:numPr>
    </w:pPr>
    <w:rPr>
      <w:rFonts w:eastAsia="Times New Roman"/>
      <w:lang w:eastAsia="de-DE"/>
    </w:rPr>
  </w:style>
  <w:style w:type="paragraph" w:customStyle="1" w:styleId="ListDash1">
    <w:name w:val="List Dash 1"/>
    <w:basedOn w:val="Normal"/>
    <w:rsid w:val="00C94138"/>
    <w:pPr>
      <w:numPr>
        <w:numId w:val="4"/>
      </w:numPr>
    </w:pPr>
    <w:rPr>
      <w:rFonts w:eastAsia="Times New Roman"/>
      <w:lang w:eastAsia="de-DE"/>
    </w:rPr>
  </w:style>
  <w:style w:type="paragraph" w:customStyle="1" w:styleId="ListDash2">
    <w:name w:val="List Dash 2"/>
    <w:basedOn w:val="Normal"/>
    <w:rsid w:val="00C94138"/>
    <w:pPr>
      <w:numPr>
        <w:numId w:val="5"/>
      </w:numPr>
    </w:pPr>
    <w:rPr>
      <w:rFonts w:eastAsia="Times New Roman"/>
      <w:lang w:eastAsia="de-DE"/>
    </w:rPr>
  </w:style>
  <w:style w:type="paragraph" w:customStyle="1" w:styleId="ListNumberLevel2">
    <w:name w:val="List Number (Level 2)"/>
    <w:basedOn w:val="Normal"/>
    <w:rsid w:val="00C94138"/>
    <w:pPr>
      <w:numPr>
        <w:ilvl w:val="1"/>
        <w:numId w:val="6"/>
      </w:numPr>
    </w:pPr>
    <w:rPr>
      <w:rFonts w:eastAsia="Times New Roman"/>
      <w:lang w:eastAsia="de-DE"/>
    </w:rPr>
  </w:style>
  <w:style w:type="paragraph" w:customStyle="1" w:styleId="ListNumberLevel3">
    <w:name w:val="List Number (Level 3)"/>
    <w:basedOn w:val="Normal"/>
    <w:rsid w:val="00C94138"/>
    <w:pPr>
      <w:numPr>
        <w:ilvl w:val="2"/>
        <w:numId w:val="6"/>
      </w:numPr>
    </w:pPr>
    <w:rPr>
      <w:rFonts w:eastAsia="Times New Roman"/>
      <w:lang w:eastAsia="de-DE"/>
    </w:rPr>
  </w:style>
  <w:style w:type="paragraph" w:customStyle="1" w:styleId="ListNumberLevel4">
    <w:name w:val="List Number (Level 4)"/>
    <w:basedOn w:val="Normal"/>
    <w:rsid w:val="00C94138"/>
    <w:pPr>
      <w:numPr>
        <w:ilvl w:val="3"/>
        <w:numId w:val="6"/>
      </w:numPr>
    </w:pPr>
    <w:rPr>
      <w:rFonts w:eastAsia="Times New Roman"/>
      <w:lang w:eastAsia="de-DE"/>
    </w:rPr>
  </w:style>
  <w:style w:type="table" w:styleId="TableGrid">
    <w:name w:val="Table Grid"/>
    <w:basedOn w:val="TableNormal"/>
    <w:rsid w:val="00C94138"/>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94138"/>
    <w:rPr>
      <w:color w:val="0000FF"/>
      <w:u w:val="single"/>
    </w:rPr>
  </w:style>
  <w:style w:type="paragraph" w:styleId="ListBullet">
    <w:name w:val="List Bullet"/>
    <w:basedOn w:val="Normal"/>
    <w:rsid w:val="00C94138"/>
    <w:pPr>
      <w:numPr>
        <w:numId w:val="7"/>
      </w:numPr>
    </w:pPr>
    <w:rPr>
      <w:rFonts w:eastAsia="Times New Roman"/>
      <w:lang w:eastAsia="en-GB"/>
    </w:rPr>
  </w:style>
  <w:style w:type="paragraph" w:styleId="ListBullet2">
    <w:name w:val="List Bullet 2"/>
    <w:basedOn w:val="Normal"/>
    <w:rsid w:val="00C94138"/>
    <w:pPr>
      <w:numPr>
        <w:numId w:val="8"/>
      </w:numPr>
    </w:pPr>
    <w:rPr>
      <w:rFonts w:eastAsia="Times New Roman"/>
      <w:lang w:eastAsia="en-GB"/>
    </w:rPr>
  </w:style>
  <w:style w:type="paragraph" w:styleId="ListBullet3">
    <w:name w:val="List Bullet 3"/>
    <w:basedOn w:val="Normal"/>
    <w:rsid w:val="00C94138"/>
    <w:pPr>
      <w:numPr>
        <w:numId w:val="9"/>
      </w:numPr>
    </w:pPr>
    <w:rPr>
      <w:rFonts w:eastAsia="Times New Roman"/>
      <w:lang w:eastAsia="en-GB"/>
    </w:rPr>
  </w:style>
  <w:style w:type="paragraph" w:styleId="ListNumber2">
    <w:name w:val="List Number 2"/>
    <w:basedOn w:val="Normal"/>
    <w:rsid w:val="00C94138"/>
    <w:pPr>
      <w:numPr>
        <w:numId w:val="13"/>
      </w:numPr>
    </w:pPr>
    <w:rPr>
      <w:rFonts w:eastAsia="Times New Roman"/>
      <w:lang w:eastAsia="en-GB"/>
    </w:rPr>
  </w:style>
  <w:style w:type="paragraph" w:styleId="ListNumber3">
    <w:name w:val="List Number 3"/>
    <w:basedOn w:val="Normal"/>
    <w:rsid w:val="00C94138"/>
    <w:pPr>
      <w:numPr>
        <w:numId w:val="14"/>
      </w:numPr>
    </w:pPr>
    <w:rPr>
      <w:rFonts w:eastAsia="Times New Roman"/>
      <w:lang w:eastAsia="en-GB"/>
    </w:rPr>
  </w:style>
  <w:style w:type="paragraph" w:styleId="ListNumber4">
    <w:name w:val="List Number 4"/>
    <w:basedOn w:val="Normal"/>
    <w:rsid w:val="00C94138"/>
    <w:pPr>
      <w:numPr>
        <w:numId w:val="15"/>
      </w:numPr>
    </w:pPr>
    <w:rPr>
      <w:rFonts w:eastAsia="Times New Roman"/>
      <w:lang w:eastAsia="en-GB"/>
    </w:rPr>
  </w:style>
  <w:style w:type="paragraph" w:customStyle="1" w:styleId="ListDash3">
    <w:name w:val="List Dash 3"/>
    <w:basedOn w:val="Normal"/>
    <w:rsid w:val="00C94138"/>
    <w:pPr>
      <w:numPr>
        <w:numId w:val="10"/>
      </w:numPr>
    </w:pPr>
    <w:rPr>
      <w:rFonts w:eastAsia="Times New Roman"/>
      <w:lang w:eastAsia="en-GB"/>
    </w:rPr>
  </w:style>
  <w:style w:type="paragraph" w:customStyle="1" w:styleId="ListDash4">
    <w:name w:val="List Dash 4"/>
    <w:basedOn w:val="Normal"/>
    <w:rsid w:val="00C94138"/>
    <w:pPr>
      <w:numPr>
        <w:numId w:val="11"/>
      </w:numPr>
    </w:pPr>
    <w:rPr>
      <w:rFonts w:eastAsia="Times New Roman"/>
      <w:lang w:eastAsia="en-GB"/>
    </w:rPr>
  </w:style>
  <w:style w:type="paragraph" w:customStyle="1" w:styleId="ListNumber1">
    <w:name w:val="List Number 1"/>
    <w:basedOn w:val="Text1"/>
    <w:rsid w:val="00C94138"/>
    <w:pPr>
      <w:numPr>
        <w:numId w:val="12"/>
      </w:numPr>
    </w:pPr>
    <w:rPr>
      <w:rFonts w:eastAsia="Times New Roman"/>
      <w:lang w:eastAsia="en-GB"/>
    </w:rPr>
  </w:style>
  <w:style w:type="paragraph" w:customStyle="1" w:styleId="ListNumber1Level2">
    <w:name w:val="List Number 1 (Level 2)"/>
    <w:basedOn w:val="Text1"/>
    <w:rsid w:val="00C94138"/>
    <w:pPr>
      <w:numPr>
        <w:ilvl w:val="1"/>
        <w:numId w:val="12"/>
      </w:numPr>
    </w:pPr>
    <w:rPr>
      <w:rFonts w:eastAsia="Times New Roman"/>
      <w:lang w:eastAsia="en-GB"/>
    </w:rPr>
  </w:style>
  <w:style w:type="paragraph" w:customStyle="1" w:styleId="ListNumber2Level2">
    <w:name w:val="List Number 2 (Level 2)"/>
    <w:basedOn w:val="Text2"/>
    <w:rsid w:val="00C94138"/>
    <w:pPr>
      <w:numPr>
        <w:ilvl w:val="1"/>
        <w:numId w:val="13"/>
      </w:numPr>
    </w:pPr>
    <w:rPr>
      <w:rFonts w:eastAsia="Times New Roman"/>
      <w:lang w:eastAsia="en-GB"/>
    </w:rPr>
  </w:style>
  <w:style w:type="paragraph" w:customStyle="1" w:styleId="ListNumber3Level2">
    <w:name w:val="List Number 3 (Level 2)"/>
    <w:basedOn w:val="Text3"/>
    <w:rsid w:val="00C94138"/>
    <w:pPr>
      <w:numPr>
        <w:ilvl w:val="1"/>
        <w:numId w:val="14"/>
      </w:numPr>
    </w:pPr>
    <w:rPr>
      <w:rFonts w:eastAsia="Times New Roman"/>
      <w:lang w:eastAsia="en-GB"/>
    </w:rPr>
  </w:style>
  <w:style w:type="paragraph" w:customStyle="1" w:styleId="ListNumber4Level2">
    <w:name w:val="List Number 4 (Level 2)"/>
    <w:basedOn w:val="Text4"/>
    <w:rsid w:val="00C94138"/>
    <w:pPr>
      <w:numPr>
        <w:ilvl w:val="1"/>
        <w:numId w:val="15"/>
      </w:numPr>
    </w:pPr>
    <w:rPr>
      <w:rFonts w:eastAsia="Times New Roman"/>
      <w:lang w:eastAsia="en-GB"/>
    </w:rPr>
  </w:style>
  <w:style w:type="paragraph" w:customStyle="1" w:styleId="ListNumber1Level3">
    <w:name w:val="List Number 1 (Level 3)"/>
    <w:basedOn w:val="Text1"/>
    <w:rsid w:val="00C94138"/>
    <w:pPr>
      <w:numPr>
        <w:ilvl w:val="2"/>
        <w:numId w:val="12"/>
      </w:numPr>
    </w:pPr>
    <w:rPr>
      <w:rFonts w:eastAsia="Times New Roman"/>
      <w:lang w:eastAsia="en-GB"/>
    </w:rPr>
  </w:style>
  <w:style w:type="paragraph" w:customStyle="1" w:styleId="ListNumber2Level3">
    <w:name w:val="List Number 2 (Level 3)"/>
    <w:basedOn w:val="Text2"/>
    <w:rsid w:val="00C94138"/>
    <w:pPr>
      <w:numPr>
        <w:ilvl w:val="2"/>
        <w:numId w:val="13"/>
      </w:numPr>
    </w:pPr>
    <w:rPr>
      <w:rFonts w:eastAsia="Times New Roman"/>
      <w:lang w:eastAsia="en-GB"/>
    </w:rPr>
  </w:style>
  <w:style w:type="paragraph" w:customStyle="1" w:styleId="ListNumber3Level3">
    <w:name w:val="List Number 3 (Level 3)"/>
    <w:basedOn w:val="Text3"/>
    <w:rsid w:val="00C94138"/>
    <w:pPr>
      <w:numPr>
        <w:ilvl w:val="2"/>
        <w:numId w:val="14"/>
      </w:numPr>
    </w:pPr>
    <w:rPr>
      <w:rFonts w:eastAsia="Times New Roman"/>
      <w:lang w:eastAsia="en-GB"/>
    </w:rPr>
  </w:style>
  <w:style w:type="paragraph" w:customStyle="1" w:styleId="ListNumber4Level3">
    <w:name w:val="List Number 4 (Level 3)"/>
    <w:basedOn w:val="Text4"/>
    <w:rsid w:val="00C94138"/>
    <w:pPr>
      <w:numPr>
        <w:ilvl w:val="2"/>
        <w:numId w:val="15"/>
      </w:numPr>
    </w:pPr>
    <w:rPr>
      <w:rFonts w:eastAsia="Times New Roman"/>
      <w:lang w:eastAsia="en-GB"/>
    </w:rPr>
  </w:style>
  <w:style w:type="paragraph" w:customStyle="1" w:styleId="ListNumber1Level4">
    <w:name w:val="List Number 1 (Level 4)"/>
    <w:basedOn w:val="Text1"/>
    <w:rsid w:val="00C94138"/>
    <w:pPr>
      <w:numPr>
        <w:ilvl w:val="3"/>
        <w:numId w:val="12"/>
      </w:numPr>
    </w:pPr>
    <w:rPr>
      <w:rFonts w:eastAsia="Times New Roman"/>
      <w:lang w:eastAsia="en-GB"/>
    </w:rPr>
  </w:style>
  <w:style w:type="paragraph" w:customStyle="1" w:styleId="ListNumber2Level4">
    <w:name w:val="List Number 2 (Level 4)"/>
    <w:basedOn w:val="Text2"/>
    <w:rsid w:val="00C94138"/>
    <w:pPr>
      <w:numPr>
        <w:ilvl w:val="3"/>
        <w:numId w:val="13"/>
      </w:numPr>
    </w:pPr>
    <w:rPr>
      <w:rFonts w:eastAsia="Times New Roman"/>
      <w:lang w:eastAsia="en-GB"/>
    </w:rPr>
  </w:style>
  <w:style w:type="paragraph" w:customStyle="1" w:styleId="ListNumber3Level4">
    <w:name w:val="List Number 3 (Level 4)"/>
    <w:basedOn w:val="Text3"/>
    <w:rsid w:val="00C94138"/>
    <w:pPr>
      <w:numPr>
        <w:ilvl w:val="3"/>
        <w:numId w:val="14"/>
      </w:numPr>
    </w:pPr>
    <w:rPr>
      <w:rFonts w:eastAsia="Times New Roman"/>
      <w:lang w:eastAsia="en-GB"/>
    </w:rPr>
  </w:style>
  <w:style w:type="paragraph" w:customStyle="1" w:styleId="ListNumber4Level4">
    <w:name w:val="List Number 4 (Level 4)"/>
    <w:basedOn w:val="Text4"/>
    <w:rsid w:val="00C94138"/>
    <w:pPr>
      <w:numPr>
        <w:ilvl w:val="3"/>
        <w:numId w:val="15"/>
      </w:numPr>
    </w:pPr>
    <w:rPr>
      <w:rFonts w:eastAsia="Times New Roman"/>
      <w:lang w:eastAsia="en-GB"/>
    </w:rPr>
  </w:style>
  <w:style w:type="paragraph" w:customStyle="1" w:styleId="Annexetitreacte">
    <w:name w:val="Annexe titre (acte)"/>
    <w:basedOn w:val="Normal"/>
    <w:next w:val="Normal"/>
    <w:rsid w:val="00C94138"/>
    <w:pPr>
      <w:jc w:val="center"/>
    </w:pPr>
    <w:rPr>
      <w:rFonts w:eastAsia="Times New Roman"/>
      <w:b/>
      <w:u w:val="single"/>
      <w:lang w:eastAsia="en-GB"/>
    </w:rPr>
  </w:style>
  <w:style w:type="paragraph" w:customStyle="1" w:styleId="Annexetitreexposglobal">
    <w:name w:val="Annexe titre (exposé global)"/>
    <w:basedOn w:val="Normal"/>
    <w:next w:val="Normal"/>
    <w:rsid w:val="00C94138"/>
    <w:pPr>
      <w:jc w:val="center"/>
    </w:pPr>
    <w:rPr>
      <w:rFonts w:eastAsia="Times New Roman"/>
      <w:b/>
      <w:u w:val="single"/>
      <w:lang w:eastAsia="en-GB"/>
    </w:rPr>
  </w:style>
  <w:style w:type="paragraph" w:customStyle="1" w:styleId="Annexetitrefichefinacte">
    <w:name w:val="Annexe titre (fiche fin. acte)"/>
    <w:basedOn w:val="Normal"/>
    <w:next w:val="Normal"/>
    <w:rsid w:val="00C94138"/>
    <w:pPr>
      <w:jc w:val="center"/>
    </w:pPr>
    <w:rPr>
      <w:rFonts w:eastAsia="Times New Roman"/>
      <w:b/>
      <w:u w:val="single"/>
      <w:lang w:eastAsia="en-GB"/>
    </w:rPr>
  </w:style>
  <w:style w:type="paragraph" w:customStyle="1" w:styleId="Annexetitrefichefinglobale">
    <w:name w:val="Annexe titre (fiche fin. globale)"/>
    <w:basedOn w:val="Normal"/>
    <w:next w:val="Normal"/>
    <w:rsid w:val="00C94138"/>
    <w:pPr>
      <w:jc w:val="center"/>
    </w:pPr>
    <w:rPr>
      <w:rFonts w:eastAsia="Times New Roman"/>
      <w:b/>
      <w:u w:val="single"/>
      <w:lang w:eastAsia="en-GB"/>
    </w:rPr>
  </w:style>
  <w:style w:type="paragraph" w:customStyle="1" w:styleId="Annexetitreglobale">
    <w:name w:val="Annexe titre (globale)"/>
    <w:basedOn w:val="Normal"/>
    <w:next w:val="Normal"/>
    <w:rsid w:val="00C94138"/>
    <w:pPr>
      <w:jc w:val="center"/>
    </w:pPr>
    <w:rPr>
      <w:rFonts w:eastAsia="Times New Roman"/>
      <w:b/>
      <w:u w:val="single"/>
      <w:lang w:eastAsia="en-GB"/>
    </w:rPr>
  </w:style>
  <w:style w:type="paragraph" w:customStyle="1" w:styleId="Exposdesmotifstitreglobal">
    <w:name w:val="Exposé des motifs titre (global)"/>
    <w:basedOn w:val="Normal"/>
    <w:next w:val="Normal"/>
    <w:rsid w:val="00C94138"/>
    <w:pPr>
      <w:jc w:val="center"/>
    </w:pPr>
    <w:rPr>
      <w:rFonts w:eastAsia="Times New Roman"/>
      <w:b/>
      <w:u w:val="single"/>
      <w:lang w:eastAsia="en-GB"/>
    </w:rPr>
  </w:style>
  <w:style w:type="paragraph" w:customStyle="1" w:styleId="Langueoriginale">
    <w:name w:val="Langue originale"/>
    <w:basedOn w:val="Normal"/>
    <w:rsid w:val="00C94138"/>
    <w:pPr>
      <w:spacing w:before="360"/>
      <w:jc w:val="center"/>
    </w:pPr>
    <w:rPr>
      <w:rFonts w:eastAsia="Times New Roman"/>
      <w:caps/>
      <w:lang w:eastAsia="en-GB"/>
    </w:rPr>
  </w:style>
  <w:style w:type="paragraph" w:customStyle="1" w:styleId="Phrasefinale">
    <w:name w:val="Phrase finale"/>
    <w:basedOn w:val="Normal"/>
    <w:next w:val="Normal"/>
    <w:rsid w:val="00C94138"/>
    <w:pPr>
      <w:spacing w:before="360" w:after="0"/>
      <w:jc w:val="center"/>
    </w:pPr>
    <w:rPr>
      <w:rFonts w:eastAsia="Times New Roman"/>
      <w:lang w:eastAsia="en-GB"/>
    </w:rPr>
  </w:style>
  <w:style w:type="paragraph" w:customStyle="1" w:styleId="Prliminairetitre">
    <w:name w:val="Préliminaire titre"/>
    <w:basedOn w:val="Normal"/>
    <w:next w:val="Normal"/>
    <w:rsid w:val="00C94138"/>
    <w:pPr>
      <w:spacing w:before="360" w:after="360"/>
      <w:jc w:val="center"/>
    </w:pPr>
    <w:rPr>
      <w:rFonts w:eastAsia="Times New Roman"/>
      <w:b/>
      <w:lang w:eastAsia="en-GB"/>
    </w:rPr>
  </w:style>
  <w:style w:type="paragraph" w:customStyle="1" w:styleId="Prliminairetype">
    <w:name w:val="Préliminaire type"/>
    <w:basedOn w:val="Normal"/>
    <w:next w:val="Normal"/>
    <w:rsid w:val="00C94138"/>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C94138"/>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C94138"/>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C94138"/>
    <w:pPr>
      <w:spacing w:before="0" w:after="0"/>
      <w:ind w:left="5103"/>
      <w:jc w:val="left"/>
    </w:pPr>
    <w:rPr>
      <w:rFonts w:eastAsia="Times New Roman"/>
      <w:lang w:eastAsia="en-GB"/>
    </w:rPr>
  </w:style>
  <w:style w:type="paragraph" w:customStyle="1" w:styleId="Sous-titreobjetprliminaire">
    <w:name w:val="Sous-titre objet (préliminaire)"/>
    <w:basedOn w:val="Normal"/>
    <w:rsid w:val="00C94138"/>
    <w:pPr>
      <w:spacing w:before="0" w:after="0"/>
      <w:jc w:val="center"/>
    </w:pPr>
    <w:rPr>
      <w:rFonts w:eastAsia="Times New Roman"/>
      <w:b/>
      <w:lang w:eastAsia="en-GB"/>
    </w:rPr>
  </w:style>
  <w:style w:type="paragraph" w:customStyle="1" w:styleId="Statutprliminaire">
    <w:name w:val="Statut (préliminaire)"/>
    <w:basedOn w:val="Normal"/>
    <w:next w:val="Normal"/>
    <w:rsid w:val="00C94138"/>
    <w:pPr>
      <w:spacing w:before="360" w:after="0"/>
      <w:jc w:val="center"/>
    </w:pPr>
    <w:rPr>
      <w:rFonts w:eastAsia="Times New Roman"/>
      <w:lang w:eastAsia="en-GB"/>
    </w:rPr>
  </w:style>
  <w:style w:type="paragraph" w:customStyle="1" w:styleId="Titreobjetprliminaire">
    <w:name w:val="Titre objet (préliminaire)"/>
    <w:basedOn w:val="Normal"/>
    <w:next w:val="Normal"/>
    <w:rsid w:val="00C94138"/>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C94138"/>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C94138"/>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C94138"/>
    <w:pPr>
      <w:jc w:val="center"/>
    </w:pPr>
    <w:rPr>
      <w:rFonts w:eastAsia="Times New Roman"/>
      <w:b/>
      <w:u w:val="single"/>
      <w:lang w:eastAsia="en-GB"/>
    </w:rPr>
  </w:style>
  <w:style w:type="paragraph" w:customStyle="1" w:styleId="Fichefinanciretravailtitre">
    <w:name w:val="Fiche financière (travail) titre"/>
    <w:basedOn w:val="Normal"/>
    <w:next w:val="Normal"/>
    <w:rsid w:val="00C94138"/>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C94138"/>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C94138"/>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C94138"/>
    <w:pPr>
      <w:jc w:val="center"/>
    </w:pPr>
    <w:rPr>
      <w:rFonts w:eastAsia="Times New Roman"/>
      <w:b/>
      <w:u w:val="single"/>
      <w:lang w:eastAsia="en-GB"/>
    </w:rPr>
  </w:style>
  <w:style w:type="character" w:styleId="CommentReference">
    <w:name w:val="annotation reference"/>
    <w:rsid w:val="00C94138"/>
    <w:rPr>
      <w:rFonts w:cs="Times New Roman"/>
      <w:sz w:val="16"/>
      <w:szCs w:val="16"/>
    </w:rPr>
  </w:style>
  <w:style w:type="paragraph" w:styleId="CommentText">
    <w:name w:val="annotation text"/>
    <w:basedOn w:val="Normal"/>
    <w:link w:val="CommentTextChar"/>
    <w:rsid w:val="00C94138"/>
    <w:rPr>
      <w:rFonts w:eastAsia="Times New Roman"/>
      <w:sz w:val="20"/>
      <w:szCs w:val="20"/>
      <w:lang w:eastAsia="en-GB"/>
    </w:rPr>
  </w:style>
  <w:style w:type="character" w:customStyle="1" w:styleId="CommentTextChar">
    <w:name w:val="Comment Text Char"/>
    <w:basedOn w:val="DefaultParagraphFont"/>
    <w:link w:val="CommentText"/>
    <w:rsid w:val="00C94138"/>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C94138"/>
    <w:rPr>
      <w:b/>
      <w:bCs/>
    </w:rPr>
  </w:style>
  <w:style w:type="character" w:customStyle="1" w:styleId="CommentSubjectChar">
    <w:name w:val="Comment Subject Char"/>
    <w:basedOn w:val="CommentTextChar"/>
    <w:link w:val="CommentSubject"/>
    <w:rsid w:val="00C94138"/>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C94138"/>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C94138"/>
    <w:rPr>
      <w:rFonts w:ascii="Tahoma" w:eastAsia="Times New Roman" w:hAnsi="Tahoma" w:cs="Tahoma"/>
      <w:sz w:val="16"/>
      <w:szCs w:val="16"/>
      <w:lang w:val="ro-RO" w:eastAsia="en-GB"/>
    </w:rPr>
  </w:style>
  <w:style w:type="paragraph" w:styleId="Caption">
    <w:name w:val="caption"/>
    <w:basedOn w:val="Normal"/>
    <w:next w:val="Normal"/>
    <w:qFormat/>
    <w:rsid w:val="00C94138"/>
    <w:rPr>
      <w:rFonts w:eastAsia="Times New Roman"/>
      <w:b/>
      <w:bCs/>
      <w:sz w:val="20"/>
      <w:szCs w:val="20"/>
      <w:lang w:eastAsia="en-GB"/>
    </w:rPr>
  </w:style>
  <w:style w:type="paragraph" w:styleId="TableofFigures">
    <w:name w:val="table of figures"/>
    <w:basedOn w:val="Normal"/>
    <w:next w:val="Normal"/>
    <w:rsid w:val="00C94138"/>
    <w:rPr>
      <w:rFonts w:eastAsia="Times New Roman"/>
      <w:lang w:eastAsia="en-GB"/>
    </w:rPr>
  </w:style>
  <w:style w:type="character" w:styleId="PageNumber">
    <w:name w:val="page number"/>
    <w:rsid w:val="00C94138"/>
  </w:style>
  <w:style w:type="character" w:customStyle="1" w:styleId="tw4winMark">
    <w:name w:val="tw4winMark"/>
    <w:rsid w:val="00C94138"/>
    <w:rPr>
      <w:vanish/>
      <w:color w:val="800080"/>
      <w:vertAlign w:val="subscript"/>
    </w:rPr>
  </w:style>
  <w:style w:type="character" w:styleId="FollowedHyperlink">
    <w:name w:val="FollowedHyperlink"/>
    <w:rsid w:val="00C94138"/>
    <w:rPr>
      <w:color w:val="800080"/>
      <w:u w:val="single"/>
    </w:rPr>
  </w:style>
  <w:style w:type="paragraph" w:customStyle="1" w:styleId="Sous-titreobjet">
    <w:name w:val="Sous-titre objet"/>
    <w:basedOn w:val="Normal"/>
    <w:rsid w:val="00C94138"/>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C94138"/>
  </w:style>
  <w:style w:type="paragraph" w:styleId="Revision">
    <w:name w:val="Revision"/>
    <w:hidden/>
    <w:uiPriority w:val="99"/>
    <w:semiHidden/>
    <w:rsid w:val="00C94138"/>
    <w:rPr>
      <w:rFonts w:ascii="Calibri" w:eastAsia="Calibri" w:hAnsi="Calibri" w:cs="Times New Roman"/>
      <w:sz w:val="24"/>
      <w:lang w:eastAsia="en-GB"/>
    </w:rPr>
  </w:style>
  <w:style w:type="paragraph" w:customStyle="1" w:styleId="FooterCoverPage">
    <w:name w:val="Footer Cover Page"/>
    <w:basedOn w:val="Normal"/>
    <w:link w:val="FooterCoverPageChar"/>
    <w:rsid w:val="00C94138"/>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C94138"/>
    <w:rPr>
      <w:rFonts w:ascii="Times New Roman" w:hAnsi="Times New Roman" w:cs="Times New Roman"/>
      <w:b/>
      <w:sz w:val="28"/>
      <w:lang w:val="ro-RO"/>
    </w:rPr>
  </w:style>
  <w:style w:type="character" w:customStyle="1" w:styleId="FooterCoverPageChar">
    <w:name w:val="Footer Cover Page Char"/>
    <w:link w:val="FooterCoverPage"/>
    <w:rsid w:val="00C94138"/>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C94138"/>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C94138"/>
    <w:rPr>
      <w:rFonts w:ascii="Times New Roman" w:eastAsia="Calibri" w:hAnsi="Times New Roman" w:cs="Times New Roman"/>
      <w:sz w:val="24"/>
      <w:lang w:val="ro-RO" w:eastAsia="en-GB"/>
    </w:rPr>
  </w:style>
  <w:style w:type="character" w:customStyle="1" w:styleId="FooterSensitivityChar">
    <w:name w:val="Footer Sensitivity Char"/>
    <w:rsid w:val="00C94138"/>
    <w:rPr>
      <w:rFonts w:ascii="Times New Roman" w:hAnsi="Times New Roman" w:cs="Times New Roman"/>
      <w:b/>
      <w:sz w:val="32"/>
      <w:lang w:val="ro-RO"/>
    </w:rPr>
  </w:style>
  <w:style w:type="character" w:customStyle="1" w:styleId="HeaderSensitivityChar">
    <w:name w:val="Header Sensitivity Char"/>
    <w:rsid w:val="00C94138"/>
    <w:rPr>
      <w:rFonts w:ascii="Times New Roman" w:hAnsi="Times New Roman" w:cs="Times New Roman"/>
      <w:b/>
      <w:sz w:val="32"/>
      <w:lang w:val="ro-RO"/>
    </w:rPr>
  </w:style>
  <w:style w:type="character" w:customStyle="1" w:styleId="HeaderSensitivityRightChar">
    <w:name w:val="Header Sensitivity Right Char"/>
    <w:rsid w:val="00C94138"/>
    <w:rPr>
      <w:rFonts w:ascii="Times New Roman" w:hAnsi="Times New Roman" w:cs="Times New Roman"/>
      <w:sz w:val="28"/>
      <w:lang w:val="ro-RO"/>
    </w:rPr>
  </w:style>
  <w:style w:type="paragraph" w:customStyle="1" w:styleId="LegalNumPar">
    <w:name w:val="LegalNumPar"/>
    <w:basedOn w:val="Normal"/>
    <w:rsid w:val="00C94138"/>
    <w:pPr>
      <w:numPr>
        <w:numId w:val="16"/>
      </w:numPr>
      <w:spacing w:line="360" w:lineRule="auto"/>
    </w:pPr>
    <w:rPr>
      <w:rFonts w:eastAsia="Times New Roman"/>
      <w:lang w:eastAsia="en-GB"/>
    </w:rPr>
  </w:style>
  <w:style w:type="paragraph" w:customStyle="1" w:styleId="LegalNumPar2">
    <w:name w:val="LegalNumPar2"/>
    <w:basedOn w:val="Normal"/>
    <w:rsid w:val="00C94138"/>
    <w:pPr>
      <w:spacing w:line="360" w:lineRule="auto"/>
      <w:ind w:left="953" w:hanging="477"/>
    </w:pPr>
    <w:rPr>
      <w:rFonts w:eastAsia="Times New Roman"/>
      <w:lang w:eastAsia="en-GB"/>
    </w:rPr>
  </w:style>
  <w:style w:type="paragraph" w:customStyle="1" w:styleId="LegalNumPar3">
    <w:name w:val="LegalNumPar3"/>
    <w:basedOn w:val="Normal"/>
    <w:rsid w:val="00C94138"/>
    <w:pPr>
      <w:spacing w:line="360" w:lineRule="auto"/>
      <w:ind w:left="1429" w:hanging="476"/>
    </w:pPr>
    <w:rPr>
      <w:rFonts w:eastAsia="Times New Roman"/>
      <w:lang w:eastAsia="en-GB"/>
    </w:rPr>
  </w:style>
  <w:style w:type="paragraph" w:styleId="ListParagraph">
    <w:name w:val="List Paragraph"/>
    <w:basedOn w:val="Normal"/>
    <w:uiPriority w:val="34"/>
    <w:qFormat/>
    <w:rsid w:val="00C94138"/>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C94138"/>
    <w:rPr>
      <w:color w:val="605E5C"/>
      <w:shd w:val="clear" w:color="auto" w:fill="E1DFDD"/>
    </w:rPr>
  </w:style>
  <w:style w:type="character" w:styleId="Strong">
    <w:name w:val="Strong"/>
    <w:basedOn w:val="DefaultParagraphFont"/>
    <w:qFormat/>
    <w:rsid w:val="00C94138"/>
    <w:rPr>
      <w:b/>
      <w:bCs/>
    </w:rPr>
  </w:style>
  <w:style w:type="character" w:styleId="Emphasis">
    <w:name w:val="Emphasis"/>
    <w:basedOn w:val="DefaultParagraphFont"/>
    <w:uiPriority w:val="20"/>
    <w:qFormat/>
    <w:rsid w:val="00C94138"/>
    <w:rPr>
      <w:i/>
      <w:iCs/>
    </w:rPr>
  </w:style>
  <w:style w:type="character" w:customStyle="1" w:styleId="Mention1">
    <w:name w:val="Mention1"/>
    <w:basedOn w:val="DefaultParagraphFont"/>
    <w:uiPriority w:val="99"/>
    <w:unhideWhenUsed/>
    <w:rsid w:val="00C94138"/>
    <w:rPr>
      <w:color w:val="2B579A"/>
      <w:shd w:val="clear" w:color="auto" w:fill="E1DFDD"/>
    </w:rPr>
  </w:style>
  <w:style w:type="character" w:customStyle="1" w:styleId="normaltextrun">
    <w:name w:val="normaltextrun"/>
    <w:basedOn w:val="DefaultParagraphFont"/>
    <w:rsid w:val="00C94138"/>
  </w:style>
  <w:style w:type="character" w:customStyle="1" w:styleId="eop">
    <w:name w:val="eop"/>
    <w:basedOn w:val="DefaultParagraphFont"/>
    <w:rsid w:val="00C94138"/>
  </w:style>
  <w:style w:type="character" w:customStyle="1" w:styleId="HeaderChar">
    <w:name w:val="Header Char"/>
    <w:basedOn w:val="DefaultParagraphFont"/>
    <w:link w:val="Header"/>
    <w:uiPriority w:val="99"/>
    <w:rsid w:val="00E16285"/>
    <w:rPr>
      <w:rFonts w:ascii="Times New Roman" w:hAnsi="Times New Roman" w:cs="Times New Roman"/>
      <w:sz w:val="24"/>
      <w:lang w:val="ro-RO"/>
    </w:rPr>
  </w:style>
  <w:style w:type="character" w:customStyle="1" w:styleId="FooterChar">
    <w:name w:val="Footer Char"/>
    <w:basedOn w:val="DefaultParagraphFont"/>
    <w:link w:val="Footer"/>
    <w:uiPriority w:val="99"/>
    <w:rsid w:val="00E1628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1628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16285"/>
    <w:pPr>
      <w:spacing w:before="0"/>
      <w:jc w:val="right"/>
    </w:pPr>
    <w:rPr>
      <w:sz w:val="28"/>
    </w:rPr>
  </w:style>
  <w:style w:type="paragraph" w:customStyle="1" w:styleId="FooterSensitivity">
    <w:name w:val="Footer Sensitivity"/>
    <w:basedOn w:val="Normal"/>
    <w:rsid w:val="00E1628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16285"/>
    <w:pPr>
      <w:tabs>
        <w:tab w:val="center" w:pos="4535"/>
        <w:tab w:val="right" w:pos="9071"/>
      </w:tabs>
      <w:spacing w:before="0"/>
    </w:pPr>
  </w:style>
  <w:style w:type="paragraph" w:customStyle="1" w:styleId="HeaderLandscape">
    <w:name w:val="HeaderLandscape"/>
    <w:basedOn w:val="Normal"/>
    <w:rsid w:val="00E16285"/>
    <w:pPr>
      <w:tabs>
        <w:tab w:val="center" w:pos="7285"/>
        <w:tab w:val="right" w:pos="14003"/>
      </w:tabs>
      <w:spacing w:before="0"/>
    </w:pPr>
  </w:style>
  <w:style w:type="paragraph" w:styleId="Footer">
    <w:name w:val="footer"/>
    <w:basedOn w:val="Normal"/>
    <w:link w:val="FooterChar"/>
    <w:uiPriority w:val="99"/>
    <w:unhideWhenUsed/>
    <w:rsid w:val="00E1628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1628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46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reg/2022/2463/oj" TargetMode="External"/><Relationship Id="rId4" Type="http://schemas.openxmlformats.org/officeDocument/2006/relationships/hyperlink" Target="https://eur-lex.europa.eu/legal-content/RO/AUTO/?uri=OJ:L:2020:433I: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C7C941575C2545AF116990E854B5C4" ma:contentTypeVersion="6" ma:contentTypeDescription="Create a new document." ma:contentTypeScope="" ma:versionID="3213f0b9b0488fee1ddb722ace8479b0">
  <xsd:schema xmlns:xsd="http://www.w3.org/2001/XMLSchema" xmlns:xs="http://www.w3.org/2001/XMLSchema" xmlns:p="http://schemas.microsoft.com/office/2006/metadata/properties" xmlns:ns2="9bc74308-a4e2-4ca5-8c11-2fd9f3a3f294" xmlns:ns3="dd2bd6db-d22a-4909-bda6-7740b4056914" targetNamespace="http://schemas.microsoft.com/office/2006/metadata/properties" ma:root="true" ma:fieldsID="ac533d230821f927771a06569944e9e1" ns2:_="" ns3:_="">
    <xsd:import namespace="9bc74308-a4e2-4ca5-8c11-2fd9f3a3f294"/>
    <xsd:import namespace="dd2bd6db-d22a-4909-bda6-7740b40569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74308-a4e2-4ca5-8c11-2fd9f3a3f29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2bd6db-d22a-4909-bda6-7740b40569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C2CF9-9BCA-4A52-9461-DAE69E095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74308-a4e2-4ca5-8c11-2fd9f3a3f294"/>
    <ds:schemaRef ds:uri="dd2bd6db-d22a-4909-bda6-7740b4056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B27926-B216-4926-861B-C4A88D61E0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79590C-C093-4C5F-ACD7-77D2DF4098F4}">
  <ds:schemaRefs>
    <ds:schemaRef ds:uri="http://schemas.microsoft.com/sharepoint/v3/contenttype/forms"/>
  </ds:schemaRefs>
</ds:datastoreItem>
</file>

<file path=customXml/itemProps4.xml><?xml version="1.0" encoding="utf-8"?>
<ds:datastoreItem xmlns:ds="http://schemas.openxmlformats.org/officeDocument/2006/customXml" ds:itemID="{33EAC98F-618C-4B7C-AD51-9783145CB157}">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28</TotalTime>
  <Pages>7</Pages>
  <Words>2113</Words>
  <Characters>12046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14131</CharactersWithSpaces>
  <SharedDoc>false</SharedDoc>
  <HLinks>
    <vt:vector size="24" baseType="variant">
      <vt:variant>
        <vt:i4>3473462</vt:i4>
      </vt:variant>
      <vt:variant>
        <vt:i4>9</vt:i4>
      </vt:variant>
      <vt:variant>
        <vt:i4>0</vt:i4>
      </vt:variant>
      <vt:variant>
        <vt:i4>5</vt:i4>
      </vt:variant>
      <vt:variant>
        <vt:lpwstr>https://eur-lex.europa.eu/legal-content/EN/AUTO/?uri=OJ:L:2020:433I:TOC</vt:lpwstr>
      </vt:variant>
      <vt:variant>
        <vt:lpwstr/>
      </vt:variant>
      <vt:variant>
        <vt:i4>7209067</vt:i4>
      </vt:variant>
      <vt:variant>
        <vt:i4>6</vt:i4>
      </vt:variant>
      <vt:variant>
        <vt:i4>0</vt:i4>
      </vt:variant>
      <vt:variant>
        <vt:i4>5</vt:i4>
      </vt:variant>
      <vt:variant>
        <vt:lpwstr>http://data.europa.eu/eli/reg/2022/2463/oj</vt:lpwstr>
      </vt:variant>
      <vt:variant>
        <vt:lpwstr/>
      </vt:variant>
      <vt:variant>
        <vt:i4>4390933</vt:i4>
      </vt:variant>
      <vt:variant>
        <vt:i4>3</vt:i4>
      </vt:variant>
      <vt:variant>
        <vt:i4>0</vt:i4>
      </vt:variant>
      <vt:variant>
        <vt:i4>5</vt:i4>
      </vt:variant>
      <vt:variant>
        <vt:lpwstr>http://data.europa.eu/eli/reg/2024/792/oj</vt:lpwstr>
      </vt:variant>
      <vt:variant>
        <vt:lpwstr/>
      </vt:variant>
      <vt:variant>
        <vt:i4>7209067</vt:i4>
      </vt:variant>
      <vt:variant>
        <vt:i4>0</vt:i4>
      </vt:variant>
      <vt:variant>
        <vt:i4>0</vt:i4>
      </vt:variant>
      <vt:variant>
        <vt:i4>5</vt:i4>
      </vt:variant>
      <vt:variant>
        <vt:lpwstr>http://data.europa.eu/eli/reg/2022/2463/oj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2026-01-13T20:52:00Z</dcterms:created>
  <dcterms:modified xsi:type="dcterms:W3CDTF">2026-01-16T12:47:00Z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SG-006</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2026-01-06T12:23:13Z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5d7110c7-a32c-4263-b5b8-8a2555287a2f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0x01010063C7C941575C2545AF116990E854B5C4</vt:lpwstr>
  </property>
  <property fmtid="{D5CDD505-2E9C-101B-9397-08002B2CF9AE}" pid="19" name="DQCStatus">
    <vt:lpwstr>Green (DQC version 03)</vt:lpwstr>
  </property>
</Properties>
</file>