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BB6" w:rsidRPr="00806A43" w:rsidRDefault="00771ED9" w:rsidP="00771ED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9F9E95-EED4-40D8-A307-F501E1E1FE55" style="width:455.25pt;height:330pt">
            <v:imagedata r:id="rId11" o:title=""/>
          </v:shape>
        </w:pict>
      </w:r>
    </w:p>
    <w:p w:rsidR="00337BB6" w:rsidRPr="00806A43" w:rsidRDefault="00337BB6" w:rsidP="00337BB6">
      <w:pPr>
        <w:rPr>
          <w:noProof/>
        </w:rPr>
        <w:sectPr w:rsidR="00337BB6" w:rsidRPr="00806A43" w:rsidSect="00771ED9">
          <w:footerReference w:type="even" r:id="rId12"/>
          <w:footerReference w:type="default" r:id="rId13"/>
          <w:pgSz w:w="11907" w:h="16839"/>
          <w:pgMar w:top="1134" w:right="1417" w:bottom="1134" w:left="1417" w:header="709" w:footer="709" w:gutter="0"/>
          <w:pgNumType w:start="0"/>
          <w:cols w:space="720"/>
          <w:docGrid w:linePitch="360"/>
        </w:sectPr>
      </w:pPr>
    </w:p>
    <w:p w:rsidR="38D0D2DC" w:rsidRPr="00806A43" w:rsidRDefault="38D0D2DC" w:rsidP="00F44F39">
      <w:pPr>
        <w:pStyle w:val="Exposdesmotifstitre"/>
        <w:rPr>
          <w:noProof/>
        </w:rPr>
      </w:pPr>
      <w:bookmarkStart w:id="0" w:name="_GoBack"/>
      <w:bookmarkEnd w:id="0"/>
      <w:r w:rsidRPr="00806A43">
        <w:rPr>
          <w:noProof/>
        </w:rPr>
        <w:lastRenderedPageBreak/>
        <w:t>EXPOSÉ DES MOTIFS</w:t>
      </w:r>
    </w:p>
    <w:p w:rsidR="00F44F39" w:rsidRPr="00806A43" w:rsidRDefault="00F44F39" w:rsidP="00F44F39">
      <w:pPr>
        <w:rPr>
          <w:noProof/>
        </w:rPr>
      </w:pPr>
    </w:p>
    <w:p w:rsidR="38D0D2DC" w:rsidRPr="00806A43" w:rsidRDefault="38D0D2DC" w:rsidP="00F44F39">
      <w:pPr>
        <w:pStyle w:val="ManualHeading1"/>
        <w:rPr>
          <w:noProof/>
        </w:rPr>
      </w:pPr>
      <w:r w:rsidRPr="00806A43">
        <w:rPr>
          <w:noProof/>
        </w:rPr>
        <w:t>1.</w:t>
      </w:r>
      <w:r w:rsidRPr="00806A43">
        <w:rPr>
          <w:noProof/>
        </w:rPr>
        <w:tab/>
        <w:t>CONTEXTE DE LA PROPOSITION</w:t>
      </w:r>
    </w:p>
    <w:p w:rsidR="38D0D2DC" w:rsidRPr="00806A43" w:rsidRDefault="38D0D2DC" w:rsidP="00F44F39">
      <w:pPr>
        <w:pStyle w:val="ManualHeading2"/>
        <w:rPr>
          <w:noProof/>
        </w:rPr>
      </w:pPr>
      <w:r w:rsidRPr="00806A43">
        <w:rPr>
          <w:noProof/>
          <w:color w:val="000000" w:themeColor="text1"/>
        </w:rPr>
        <w:t>•</w:t>
      </w:r>
      <w:r w:rsidRPr="00806A43">
        <w:rPr>
          <w:noProof/>
        </w:rPr>
        <w:tab/>
        <w:t>Justification et objectifs de la proposition</w:t>
      </w:r>
    </w:p>
    <w:p w:rsidR="0CD5F06C" w:rsidRPr="00806A43" w:rsidRDefault="0CD5F06C" w:rsidP="017B92FB">
      <w:pPr>
        <w:spacing w:before="0" w:after="240"/>
        <w:rPr>
          <w:rFonts w:eastAsia="Times New Roman"/>
          <w:noProof/>
        </w:rPr>
      </w:pPr>
      <w:r w:rsidRPr="00806A43">
        <w:rPr>
          <w:noProof/>
        </w:rPr>
        <w:t xml:space="preserve">L’UE soutient résolument l’Ukraine, dont l’avenir réside dans sa future appartenance à l’Union. L’UE soutient l’indépendance, la souveraineté et l’intégrité territoriale de l’Ukraine à l’intérieur de ses frontières internationalement reconnues et réaffirme son engagement inébranlable à lui apporter un soutien politique, financier, économique, humanitaire, militaire et diplomatique. Compte tenu de l’escalade de l’agression russe, il est nécessaire d’agir rapidement pour que l’Ukraine ait accès aux ressources dont elle a besoin de toute urgence. </w:t>
      </w:r>
    </w:p>
    <w:p w:rsidR="0CD5F06C" w:rsidRPr="00806A43" w:rsidRDefault="0CD5F06C" w:rsidP="017B92FB">
      <w:pPr>
        <w:spacing w:before="0" w:after="240"/>
        <w:rPr>
          <w:noProof/>
        </w:rPr>
      </w:pPr>
      <w:r w:rsidRPr="00806A43">
        <w:rPr>
          <w:noProof/>
        </w:rPr>
        <w:t>L’invasion à grande échelle de l’Ukraine par la Russie, qui a débuté le 24 février 2022, a eu des conséquences extrêmement préjudiciables pour le pays et ses citoyens. Malgré les efforts diplomatiques déployés par les États-Unis et l’Europe pour parvenir à une résolution pacifique, et malgré la volonté de l’Ukraine d’engager un dialogue pour mettre fin à la guerre, la Russie a intensifié ses attaques contre l’Ukraine, ciblant délibérément des civils et des infrastructures critiques. Cette escalade a encore exacerbé la crise humanitaire, causé d’immenses souffrances au peuple ukrainien et augmenté le coût humain et financier colossal de cette agression militaire non provoquée et injustifiée. La guerre d’agression illégale menée par la Russie constitue une violation flagrante de l’intégrité territoriale, de la souveraineté et de l’indépendance de l’Ukraine, ainsi qu’une violation de l’interdiction du recours à la force consacrée par l’article 2, paragraphe 4, de la charte des Nations unies, qui est une règle impérative du droit international, et des autres principes de la charte des Nations unies. La détermination et le courage sans faille dont font preuve les Ukrainiens pour défendre leur patrie témoignent de leur force et méritent d’être profondément admirés et reconnus.</w:t>
      </w:r>
    </w:p>
    <w:p w:rsidR="21BB6E9C" w:rsidRPr="00806A43" w:rsidRDefault="04BC47AF" w:rsidP="3566EF69">
      <w:pPr>
        <w:rPr>
          <w:rFonts w:eastAsia="Times New Roman"/>
          <w:noProof/>
        </w:rPr>
      </w:pPr>
      <w:r w:rsidRPr="00806A43">
        <w:rPr>
          <w:noProof/>
        </w:rPr>
        <w:t>Toutefois, l’intensification de l’agression russe a accru les besoins de financement de l’Ukraine et requiert des investissements urgents dans la base industrielle et technologique de défense ukrainienne. Il est clair à présent que des sources de financement supplémentaires, provenant tant de l’UE que de la communauté internationale, sont nécessaires. Les besoins de financement de l’Ukraine pour 2026 et 2027 devraient dépasser les projections existantes du Fonds monétaire international (FMI), dont le huitième examen du programme du FMI souligne que les risques et l’incertitude restent exceptionnellement élevés, le programme existant ayant une marge de manœuvre limitée pour absorber tout nouveau choc, y compris celui d’une guerre plus longue et plus intense. Le 9 septembre 2025, l’Ukraine a présenté une demande officielle en vue d’un nouveau programme du FMI destiné à couvrir les besoins de financement supplémentaires de 2026 à 2029. La capacité du FMI à mettre en œuvre ce programme est subordonnée à la réception de garanties de financement suffisantes de la part des partenaires, y compris l’Union.</w:t>
      </w:r>
    </w:p>
    <w:p w:rsidR="76F227DC" w:rsidRPr="00806A43" w:rsidRDefault="21BB6E9C">
      <w:pPr>
        <w:rPr>
          <w:rFonts w:eastAsia="Times New Roman"/>
          <w:noProof/>
          <w:szCs w:val="24"/>
        </w:rPr>
      </w:pPr>
      <w:r w:rsidRPr="00806A43">
        <w:rPr>
          <w:noProof/>
        </w:rPr>
        <w:t>Dans leur déclaration conjointe du 8 décembre 2025, les ministres des finances du G7 sont convenus de continuer de travailler ensemble à l’élaboration d’un large éventail d’options de financement pour soutenir l’Ukraine, notamment en utilisant possiblement la pleine valeur des actifs russes immobilisés sur les territoires des pays du G7 jusqu’à ce que les réparations soient payées par la Russie, pour mettre fin à la guerre et assurer une paix juste et durable en Ukraine, le tout en conformité avec les cadres juridiques respectifs des membres du G7.</w:t>
      </w:r>
    </w:p>
    <w:p w:rsidR="00FB7D87" w:rsidRPr="00806A43" w:rsidRDefault="21BB6E9C" w:rsidP="31280E0B">
      <w:pPr>
        <w:spacing w:before="0" w:after="240"/>
        <w:rPr>
          <w:rFonts w:eastAsia="Times New Roman"/>
          <w:noProof/>
        </w:rPr>
      </w:pPr>
      <w:r w:rsidRPr="00806A43">
        <w:rPr>
          <w:noProof/>
        </w:rPr>
        <w:t xml:space="preserve">C’est dans ce contexte que le Conseil européen a convenu, le 18 décembre 2025, d’accorder à l’Ukraine un prêt de 90 000 000 000 EUR pour les années 2026 et 2027 sur la base d’un emprunt de l’UE sur les marchés des capitaux couvert par la marge de manœuvre du budget de l’UE. Étant donné les besoins de financement de l’Ukraine et la grande incertitude quant à la suite de la guerre, il est primordial que le prêt de soutien à l’Ukraine soit conçu de manière flexible et réactive en fonction de la situation. Il devrait être possible d’utiliser les fonds pour répondre aux besoins de financement les plus urgents, que ce soit en raison de la situation de guerre actuelle ou pour soutenir la reconstruction si la paix devait s’installer. </w:t>
      </w:r>
    </w:p>
    <w:p w:rsidR="79FAE57D" w:rsidRPr="00806A43" w:rsidRDefault="2C27B84C" w:rsidP="79FAE57D">
      <w:pPr>
        <w:spacing w:before="0" w:after="240"/>
        <w:rPr>
          <w:rFonts w:eastAsia="Times New Roman"/>
          <w:noProof/>
        </w:rPr>
      </w:pPr>
      <w:r w:rsidRPr="00806A43">
        <w:rPr>
          <w:noProof/>
        </w:rPr>
        <w:t>L’assistance financière et économique disponible au titre du prêt de soutien à l’Ukraine sera mise à la disposition de ce pays en fonction de ses besoins de financement. À cette fin, l’Ukraine présentera une stratégie ukrainienne de financement relative à ses besoins et sources de financement. Après évaluation par la Commission, le Conseil approuverait cette évaluation et déterminerait le montant de l’aide devant être mis à la disposition de l’Ukraine pour l’aider à mettre en œuvre sa stratégie de financement.</w:t>
      </w:r>
    </w:p>
    <w:p w:rsidR="02D28169" w:rsidRPr="00806A43" w:rsidRDefault="7159F78F" w:rsidP="29FFE3AB">
      <w:pPr>
        <w:spacing w:before="0" w:after="240"/>
        <w:rPr>
          <w:rFonts w:eastAsia="Times New Roman"/>
          <w:noProof/>
        </w:rPr>
      </w:pPr>
      <w:r w:rsidRPr="00806A43">
        <w:rPr>
          <w:noProof/>
        </w:rPr>
        <w:t>Afin d’apporter une assistance budgétaire à l’Ukraine et d’alléger ses contraintes de financement externe, la proposition [e règlement sur prêt de soutien à l’Ukraine] crée de multiples options grâce auxquelles les fonds peuvent être fournis pour soutenir l’Ukraine, le soutien pouvant être apporté au moyen de l’assistance macrofinancière et de la facilité pour l’Ukraine, tout particulièrement du pilier I de la facilité et du plan pour l’Ukraine. La présente proposition détermine les modifications qu’il convient d’apporter au règlement établissant la facilité pour l’Ukraine afin que ce soutien puisse être fourni au titre du pilier I de ladite facilité. Le plan pour l’Ukraine sera mis à jour de manière à tenir compte de ces montants supplémentaires, y compris en ce qui concerne les mesures visant à renforcer l’état de droit et la lutte contre la corruption.</w:t>
      </w:r>
    </w:p>
    <w:p w:rsidR="38D0D2DC" w:rsidRPr="00806A43" w:rsidRDefault="38D0D2DC" w:rsidP="58B0EDA1">
      <w:pPr>
        <w:ind w:left="850" w:hanging="850"/>
        <w:rPr>
          <w:noProof/>
        </w:rPr>
      </w:pPr>
      <w:r w:rsidRPr="00806A43">
        <w:rPr>
          <w:b/>
          <w:noProof/>
          <w:color w:val="000000" w:themeColor="text1"/>
        </w:rPr>
        <w:t>•</w:t>
      </w:r>
      <w:r w:rsidRPr="00806A43">
        <w:rPr>
          <w:noProof/>
        </w:rPr>
        <w:tab/>
      </w:r>
      <w:r w:rsidRPr="00806A43">
        <w:rPr>
          <w:b/>
          <w:noProof/>
        </w:rPr>
        <w:t>Cohérence avec les dispositions existantes dans le domaine d’action</w:t>
      </w:r>
    </w:p>
    <w:p w:rsidR="331DF4CC" w:rsidRPr="00806A43" w:rsidRDefault="331DF4CC" w:rsidP="4C7D35FB">
      <w:pPr>
        <w:spacing w:before="0" w:after="240"/>
        <w:rPr>
          <w:rFonts w:eastAsia="Times New Roman"/>
          <w:noProof/>
        </w:rPr>
      </w:pPr>
      <w:r w:rsidRPr="00806A43">
        <w:rPr>
          <w:noProof/>
        </w:rPr>
        <w:t>Le soutien prévu par la présente proposition et celui apporté par les règlements (UE) 2024/792</w:t>
      </w:r>
      <w:r w:rsidRPr="00806A43">
        <w:rPr>
          <w:rStyle w:val="FootnoteReference"/>
          <w:rFonts w:eastAsia="Times New Roman"/>
          <w:noProof/>
        </w:rPr>
        <w:footnoteReference w:id="2"/>
      </w:r>
      <w:r w:rsidRPr="00806A43">
        <w:rPr>
          <w:noProof/>
        </w:rPr>
        <w:t>, (UE) 2021/947</w:t>
      </w:r>
      <w:r w:rsidRPr="00806A43">
        <w:rPr>
          <w:rStyle w:val="FootnoteReference"/>
          <w:rFonts w:eastAsia="Times New Roman"/>
          <w:noProof/>
        </w:rPr>
        <w:footnoteReference w:id="3"/>
      </w:r>
      <w:r w:rsidRPr="00806A43">
        <w:rPr>
          <w:noProof/>
        </w:rPr>
        <w:t>, (CE) nº 1257/96</w:t>
      </w:r>
      <w:r w:rsidRPr="00806A43">
        <w:rPr>
          <w:rStyle w:val="FootnoteReference"/>
          <w:rFonts w:eastAsia="Times New Roman"/>
          <w:noProof/>
        </w:rPr>
        <w:footnoteReference w:id="4"/>
      </w:r>
      <w:r w:rsidRPr="00806A43">
        <w:rPr>
          <w:noProof/>
        </w:rPr>
        <w:t>, et par le [RÈGLEMENT SUR LE PRÊT DE SOUTIEN À L’UKRAINE] sont cohérents et complémentaires.</w:t>
      </w:r>
    </w:p>
    <w:p w:rsidR="38D0D2DC" w:rsidRPr="00806A43" w:rsidRDefault="38D0D2DC" w:rsidP="58B0EDA1">
      <w:pPr>
        <w:ind w:left="850" w:hanging="850"/>
        <w:rPr>
          <w:noProof/>
        </w:rPr>
      </w:pPr>
      <w:r w:rsidRPr="00806A43">
        <w:rPr>
          <w:b/>
          <w:noProof/>
          <w:color w:val="000000" w:themeColor="text1"/>
        </w:rPr>
        <w:t>•</w:t>
      </w:r>
      <w:r w:rsidRPr="00806A43">
        <w:rPr>
          <w:noProof/>
        </w:rPr>
        <w:tab/>
      </w:r>
      <w:r w:rsidRPr="00806A43">
        <w:rPr>
          <w:b/>
          <w:noProof/>
        </w:rPr>
        <w:t>Cohérence avec les autres politiques de l’Union</w:t>
      </w:r>
    </w:p>
    <w:p w:rsidR="6B8684E7" w:rsidRPr="00806A43" w:rsidRDefault="6B8684E7" w:rsidP="1BB7D170">
      <w:pPr>
        <w:spacing w:before="0" w:after="240"/>
        <w:rPr>
          <w:noProof/>
        </w:rPr>
      </w:pPr>
      <w:r w:rsidRPr="00806A43">
        <w:rPr>
          <w:noProof/>
        </w:rPr>
        <w:t xml:space="preserve">Le soutien apporté au titre de la présente initiative est cohérent avec l’application de mesures restrictives (sanctions) à l’égard de la Russie et complète la facilité européenne pour la paix. </w:t>
      </w:r>
    </w:p>
    <w:p w:rsidR="6B8684E7" w:rsidRPr="00806A43" w:rsidRDefault="6B8684E7" w:rsidP="1BB7D170">
      <w:pPr>
        <w:spacing w:before="0" w:after="240"/>
        <w:rPr>
          <w:rFonts w:eastAsia="Times New Roman"/>
          <w:noProof/>
        </w:rPr>
      </w:pPr>
      <w:r w:rsidRPr="00806A43">
        <w:rPr>
          <w:noProof/>
        </w:rPr>
        <w:t>En outre, le statut de pays candidat accordé par le Conseil européen le 23 juin 2022 et la décision du Conseil européen des 14 et 15 décembre 2023 d’ouvrir des négociations d’adhésion avec l’Ukraine ancrent fermement l’Ukraine dans sa trajectoire européenne. C’est pourquoi l’ensemble des mesures prises par l’UE pour soutenir la résilience et le redressement de l’Ukraine — y compris au moyen des présentes modifications apportées au fonctionnement de la facilité pour l’Ukraine — contribueront également à la phase initiale du processus de préadhésion de l’Ukraine.</w:t>
      </w:r>
    </w:p>
    <w:p w:rsidR="38D0D2DC" w:rsidRPr="00806A43" w:rsidRDefault="38D0D2DC" w:rsidP="00F44F39">
      <w:pPr>
        <w:pStyle w:val="ManualHeading1"/>
        <w:rPr>
          <w:noProof/>
        </w:rPr>
      </w:pPr>
      <w:r w:rsidRPr="00806A43">
        <w:rPr>
          <w:noProof/>
        </w:rPr>
        <w:t>2.</w:t>
      </w:r>
      <w:r w:rsidRPr="00806A43">
        <w:rPr>
          <w:noProof/>
        </w:rPr>
        <w:tab/>
        <w:t>BASE JURIDIQUE, SUBSIDIARITÉ ET PROPORTIONNALITÉ</w:t>
      </w:r>
    </w:p>
    <w:p w:rsidR="38D0D2DC" w:rsidRPr="00806A43" w:rsidRDefault="31A2AA1D" w:rsidP="58B0EDA1">
      <w:pPr>
        <w:ind w:left="850" w:hanging="850"/>
        <w:rPr>
          <w:noProof/>
        </w:rPr>
      </w:pPr>
      <w:r w:rsidRPr="00806A43">
        <w:rPr>
          <w:b/>
          <w:noProof/>
        </w:rPr>
        <w:t>•</w:t>
      </w:r>
      <w:r w:rsidRPr="00806A43">
        <w:rPr>
          <w:noProof/>
        </w:rPr>
        <w:tab/>
      </w:r>
      <w:r w:rsidRPr="00806A43">
        <w:rPr>
          <w:b/>
          <w:noProof/>
        </w:rPr>
        <w:t>Base juridique</w:t>
      </w:r>
    </w:p>
    <w:p w:rsidR="33A5CEF4" w:rsidRPr="00806A43" w:rsidRDefault="33A5CEF4" w:rsidP="74F8DA27">
      <w:pPr>
        <w:spacing w:before="0" w:after="240"/>
        <w:rPr>
          <w:rFonts w:eastAsia="Times New Roman"/>
          <w:noProof/>
          <w:szCs w:val="24"/>
        </w:rPr>
      </w:pPr>
      <w:r w:rsidRPr="00806A43">
        <w:rPr>
          <w:noProof/>
        </w:rPr>
        <w:t>L’article 212 du TFUE constitue une base juridique appropriée pour les programmes d’assistance financière accordés par l’Union aux pays tiers qui ne sont pas des pays en développement.</w:t>
      </w:r>
    </w:p>
    <w:p w:rsidR="38D0D2DC" w:rsidRPr="00806A43" w:rsidRDefault="38D0D2DC" w:rsidP="58B0EDA1">
      <w:pPr>
        <w:ind w:left="850" w:hanging="850"/>
        <w:rPr>
          <w:rFonts w:eastAsia="Times New Roman"/>
          <w:b/>
          <w:bCs/>
          <w:noProof/>
          <w:szCs w:val="24"/>
        </w:rPr>
      </w:pPr>
      <w:r w:rsidRPr="00806A43">
        <w:rPr>
          <w:b/>
          <w:noProof/>
        </w:rPr>
        <w:t>•</w:t>
      </w:r>
      <w:r w:rsidRPr="00806A43">
        <w:rPr>
          <w:noProof/>
        </w:rPr>
        <w:tab/>
      </w:r>
      <w:r w:rsidRPr="00806A43">
        <w:rPr>
          <w:b/>
          <w:noProof/>
        </w:rPr>
        <w:t xml:space="preserve">Subsidiarité (en cas de compétence non exclusive) </w:t>
      </w:r>
    </w:p>
    <w:p w:rsidR="00F54B81" w:rsidRPr="00806A43" w:rsidRDefault="003B71B1" w:rsidP="00716E20">
      <w:pPr>
        <w:rPr>
          <w:noProof/>
        </w:rPr>
      </w:pPr>
      <w:r w:rsidRPr="00806A43">
        <w:rPr>
          <w:noProof/>
        </w:rPr>
        <w:t>Le principe de subsidiarité est respecté, dans la mesure où l’action commune nécessaire pour apporter un soutien d’une ampleur adéquate à l’Ukraine ne peut pas être réalisée de manière satisfaisante par les seuls États membres mais peut, en raison de ses dimensions et de ses effets, l’être mieux par l’UE. Les principales raisons en sont la capacité et les contraintes budgétaires rencontrées au niveau national et la nécessité d’une coordination étroite des donateurs afin de maximiser l’ampleur et l’efficacité du soutien, tout en limitant la charge pesant sur la capacité administrative des autorités ukrainiennes, qui est très sollicitée dans les circonstances actuelles. L’UE est dans une position unique pour fournir une aide extérieure à l’Ukraine afin de l’aider à couvrir ses besoins budgétaires urgents en temps utile et d’une manière prévisible, continue et ordonnée.</w:t>
      </w:r>
    </w:p>
    <w:p w:rsidR="38D0D2DC" w:rsidRPr="00806A43" w:rsidRDefault="38D0D2DC" w:rsidP="58B0EDA1">
      <w:pPr>
        <w:ind w:left="850" w:hanging="850"/>
        <w:rPr>
          <w:rFonts w:eastAsia="Times New Roman"/>
          <w:b/>
          <w:bCs/>
          <w:noProof/>
          <w:szCs w:val="24"/>
        </w:rPr>
      </w:pPr>
      <w:r w:rsidRPr="00806A43">
        <w:rPr>
          <w:b/>
          <w:noProof/>
        </w:rPr>
        <w:t>•</w:t>
      </w:r>
      <w:r w:rsidRPr="00806A43">
        <w:rPr>
          <w:noProof/>
        </w:rPr>
        <w:tab/>
      </w:r>
      <w:r w:rsidRPr="00806A43">
        <w:rPr>
          <w:b/>
          <w:noProof/>
        </w:rPr>
        <w:t>Proportionnalité</w:t>
      </w:r>
    </w:p>
    <w:p w:rsidR="00D4189A" w:rsidRPr="00806A43" w:rsidRDefault="002E7634" w:rsidP="002E7634">
      <w:pPr>
        <w:rPr>
          <w:noProof/>
        </w:rPr>
      </w:pPr>
      <w:r w:rsidRPr="00806A43">
        <w:rPr>
          <w:noProof/>
        </w:rPr>
        <w:t xml:space="preserve">La poursuite par la Russie de son agression militaire injustifiée et non provoquée nécessite l’octroi d’une aide financière supplémentaire à l’Ukraine conformément aux objectifs et modalités définis dans la présente proposition. </w:t>
      </w:r>
    </w:p>
    <w:p w:rsidR="00D4189A" w:rsidRPr="00806A43" w:rsidRDefault="002E7634" w:rsidP="002E7634">
      <w:pPr>
        <w:rPr>
          <w:noProof/>
        </w:rPr>
      </w:pPr>
      <w:r w:rsidRPr="00806A43">
        <w:rPr>
          <w:noProof/>
        </w:rPr>
        <w:t xml:space="preserve">Le soutien financier qu’il est proposé d’accorder à l’Ukraine est considéré comme étant d’un montant adéquat, fondé sur les besoins de financement élevés du pays évalués par le FMI et sur les attentes selon lesquelles d’autres donateurs continueront de soutenir l’Ukraine en 2026 et 2027, compte tenu également de la forte incertitude due à la situation de guerre. Ce soutien ne va pas au-delà de ce qui est nécessaire pour atteindre l’objectif recherché, à savoir fournir un soutien structuré à l’Ukraine et le financement connexe. </w:t>
      </w:r>
    </w:p>
    <w:p w:rsidR="00716E20" w:rsidRPr="00806A43" w:rsidRDefault="002E7634" w:rsidP="002E7634">
      <w:pPr>
        <w:rPr>
          <w:noProof/>
        </w:rPr>
      </w:pPr>
      <w:r w:rsidRPr="00806A43">
        <w:rPr>
          <w:noProof/>
        </w:rPr>
        <w:t>La proposition est proportionnée à l’ampleur et à la gravité des lacunes constatées, y compris en ce qui concerne la nécessité d’apporter un appui budgétaire à l’Ukraine et l’obligation, pour cette dernière, de mettre en œuvre des réformes structurelles sur la voie de son adhésion à l’UE; elle remédie, par ailleurs, aux problèmes recensés dans le rapport 2025 sur l’élargissement. La proposition respecte les limites, fixées par les traités, qui encadrent les possibilités d’intervention de l’Union.</w:t>
      </w:r>
    </w:p>
    <w:p w:rsidR="38D0D2DC" w:rsidRPr="00806A43" w:rsidRDefault="38D0D2DC" w:rsidP="58B0EDA1">
      <w:pPr>
        <w:ind w:left="850" w:hanging="850"/>
        <w:rPr>
          <w:noProof/>
        </w:rPr>
      </w:pPr>
      <w:r w:rsidRPr="00806A43">
        <w:rPr>
          <w:b/>
          <w:noProof/>
        </w:rPr>
        <w:t>•</w:t>
      </w:r>
      <w:r w:rsidRPr="00806A43">
        <w:rPr>
          <w:noProof/>
        </w:rPr>
        <w:tab/>
      </w:r>
      <w:r w:rsidRPr="00806A43">
        <w:rPr>
          <w:b/>
          <w:noProof/>
        </w:rPr>
        <w:t>Choix de l’instrument</w:t>
      </w:r>
    </w:p>
    <w:p w:rsidR="38D0D2DC" w:rsidRPr="00806A43" w:rsidRDefault="007E3698" w:rsidP="58B0EDA1">
      <w:pPr>
        <w:spacing w:before="0" w:after="240"/>
        <w:rPr>
          <w:noProof/>
        </w:rPr>
      </w:pPr>
      <w:r w:rsidRPr="00806A43">
        <w:rPr>
          <w:noProof/>
        </w:rPr>
        <w:t>Afin que l’appui budgétaire mis à disposition au titre du [prêt de soutien à l’Ukraine] transite par la facilité pour l’Ukraine, il est nécessaire et approprié de modifier le règlement établissant la facilité pour l’Ukraine par voie de règlement modificatif.</w:t>
      </w:r>
    </w:p>
    <w:p w:rsidR="38D0D2DC" w:rsidRPr="00806A43" w:rsidRDefault="38D0D2DC" w:rsidP="00F44F39">
      <w:pPr>
        <w:pStyle w:val="ManualHeading1"/>
        <w:rPr>
          <w:noProof/>
        </w:rPr>
      </w:pPr>
      <w:r w:rsidRPr="00806A43">
        <w:rPr>
          <w:noProof/>
        </w:rPr>
        <w:t>3.</w:t>
      </w:r>
      <w:r w:rsidRPr="00806A43">
        <w:rPr>
          <w:noProof/>
        </w:rPr>
        <w:tab/>
        <w:t>RÉSULTATS DES ÉVALUATIONS EX POST, DES CONSULTATIONS DES PARTIES INTÉRESSÉES ET DES ANALYSES D'IMPACT</w:t>
      </w:r>
    </w:p>
    <w:p w:rsidR="38D0D2DC" w:rsidRPr="00806A43" w:rsidRDefault="38D0D2DC" w:rsidP="00A5018E">
      <w:pPr>
        <w:ind w:left="850" w:hanging="850"/>
        <w:rPr>
          <w:noProof/>
        </w:rPr>
      </w:pPr>
      <w:r w:rsidRPr="00806A43">
        <w:rPr>
          <w:b/>
          <w:noProof/>
        </w:rPr>
        <w:t>•</w:t>
      </w:r>
      <w:r w:rsidRPr="00806A43">
        <w:rPr>
          <w:noProof/>
        </w:rPr>
        <w:tab/>
      </w:r>
      <w:r w:rsidRPr="00806A43">
        <w:rPr>
          <w:b/>
          <w:noProof/>
        </w:rPr>
        <w:t>Évaluations ex post/bilans de qualité de la législation existante</w:t>
      </w:r>
    </w:p>
    <w:p w:rsidR="00A5018E" w:rsidRPr="00806A43" w:rsidRDefault="00153674" w:rsidP="58B0EDA1">
      <w:pPr>
        <w:spacing w:before="0" w:after="240"/>
        <w:rPr>
          <w:noProof/>
        </w:rPr>
      </w:pPr>
      <w:r w:rsidRPr="00806A43">
        <w:rPr>
          <w:noProof/>
        </w:rPr>
        <w:t>En application de l’article 40 du règlement établissant la facilité pour l’Ukraine, la Commission présentera au Parlement européen et au Conseil un rapport d’évaluation intermédiaire indépendant sur la mise en œuvre de la facilité au plus tard le 31 décembre 2026, et un rapport d’évaluation ex post indépendant au plus tard le 31 décembre 2031.</w:t>
      </w:r>
    </w:p>
    <w:p w:rsidR="38D0D2DC" w:rsidRPr="00806A43" w:rsidRDefault="38D0D2DC" w:rsidP="58B0EDA1">
      <w:pPr>
        <w:ind w:left="850" w:hanging="850"/>
        <w:rPr>
          <w:rFonts w:eastAsia="Times New Roman"/>
          <w:b/>
          <w:noProof/>
          <w:szCs w:val="24"/>
        </w:rPr>
      </w:pPr>
      <w:r w:rsidRPr="00806A43">
        <w:rPr>
          <w:b/>
          <w:noProof/>
        </w:rPr>
        <w:t>•</w:t>
      </w:r>
      <w:r w:rsidRPr="00806A43">
        <w:rPr>
          <w:noProof/>
        </w:rPr>
        <w:tab/>
      </w:r>
      <w:r w:rsidRPr="00806A43">
        <w:rPr>
          <w:b/>
          <w:noProof/>
        </w:rPr>
        <w:t>Consultation des parties intéressées</w:t>
      </w:r>
    </w:p>
    <w:p w:rsidR="00426352" w:rsidRPr="00806A43" w:rsidRDefault="00426352" w:rsidP="00426352">
      <w:pPr>
        <w:rPr>
          <w:rStyle w:val="normaltextrun"/>
          <w:noProof/>
        </w:rPr>
      </w:pPr>
      <w:r w:rsidRPr="00806A43">
        <w:rPr>
          <w:noProof/>
        </w:rPr>
        <w:t xml:space="preserve">La proposition fait suite aux conclusions du Conseil européen du 18 décembre 2025, dans lesquelles celui-ci a convenu d'accorder à l’Ukraine un prêt de 90 000 000 000 EUR pour les années 2026 et 2027 sur la base d’un emprunt de l’UE sur les marchés des capitaux couvert par la marge de manœuvre du budget de l’UE. Lors de l’élaboration de la présente proposition, les services de la Commission ont consulté les institutions financières internationales et d’autres donateurs bilatéraux (dont les États membres et les membres du G7) et multilatéraux. La Commission est aussi en contact régulier avec les </w:t>
      </w:r>
      <w:r w:rsidRPr="00806A43">
        <w:rPr>
          <w:rStyle w:val="normaltextrun"/>
          <w:noProof/>
        </w:rPr>
        <w:t>autorités</w:t>
      </w:r>
      <w:r w:rsidRPr="00806A43">
        <w:rPr>
          <w:noProof/>
        </w:rPr>
        <w:t xml:space="preserve"> ukrainiennes.</w:t>
      </w:r>
    </w:p>
    <w:p w:rsidR="00525F0B" w:rsidRPr="00806A43" w:rsidRDefault="006262E3" w:rsidP="58B0EDA1">
      <w:pPr>
        <w:spacing w:before="0" w:after="240"/>
        <w:rPr>
          <w:noProof/>
        </w:rPr>
      </w:pPr>
      <w:r w:rsidRPr="00806A43">
        <w:rPr>
          <w:noProof/>
        </w:rPr>
        <w:t xml:space="preserve">En raison de l’urgence qui a présidé à la préparation de la proposition en vue de son adoption en temps utile par les colégislateurs et au fait d’assurer son statut opérationnel d’ici le début de l’année 2026, il n’a pas été possible de procéder à une consultation formelle des parties prenantes. Cette approche vise à répondre aux besoins nouveaux et croissants en matière de défense et de budget qui résultent de la guerre d’agression menée par la Russie. </w:t>
      </w:r>
    </w:p>
    <w:p w:rsidR="00CE5276" w:rsidRPr="00806A43" w:rsidRDefault="00CE5276" w:rsidP="58B0EDA1">
      <w:pPr>
        <w:spacing w:before="0" w:after="240"/>
        <w:rPr>
          <w:noProof/>
        </w:rPr>
      </w:pPr>
      <w:r w:rsidRPr="00806A43">
        <w:rPr>
          <w:noProof/>
        </w:rPr>
        <w:t>L’UE continuera d’assurer une communication et une visibilité appropriées quant aux objectifs et aux actions réalisés dans le cadre de cette facilité, en Ukraine, au sein de l’Union, et au-delà.</w:t>
      </w:r>
    </w:p>
    <w:p w:rsidR="38D0D2DC" w:rsidRPr="00806A43" w:rsidRDefault="38D0D2DC" w:rsidP="58B0EDA1">
      <w:pPr>
        <w:ind w:left="850" w:hanging="850"/>
        <w:rPr>
          <w:noProof/>
        </w:rPr>
      </w:pPr>
      <w:r w:rsidRPr="00806A43">
        <w:rPr>
          <w:b/>
          <w:noProof/>
        </w:rPr>
        <w:t>•</w:t>
      </w:r>
      <w:r w:rsidRPr="00806A43">
        <w:rPr>
          <w:noProof/>
        </w:rPr>
        <w:tab/>
      </w:r>
      <w:r w:rsidRPr="00806A43">
        <w:rPr>
          <w:b/>
          <w:noProof/>
        </w:rPr>
        <w:t>Obtention et utilisation d’expertise</w:t>
      </w:r>
    </w:p>
    <w:p w:rsidR="00144568" w:rsidRPr="00806A43" w:rsidRDefault="00144568" w:rsidP="00222F2A">
      <w:pPr>
        <w:spacing w:before="0" w:after="240"/>
        <w:rPr>
          <w:noProof/>
        </w:rPr>
      </w:pPr>
      <w:r w:rsidRPr="00806A43">
        <w:rPr>
          <w:noProof/>
        </w:rPr>
        <w:t>La proposition s’appuie sur plusieurs décennies d’expérience dans le domaine de l’assistance macrofinancière ainsi que sur l’expérience acquise dans le domaine du soutien au titre de l’action extérieure de l’Union. Cela inclut des discussions régulières sur les projections les plus récentes des besoins de financement de l’Ukraine au sein d’enceintes internationales telles que le G7 et le FMI, ainsi que des contacts directs permanents avec les autorités ukrainiennes.</w:t>
      </w:r>
    </w:p>
    <w:p w:rsidR="38D0D2DC" w:rsidRPr="00806A43" w:rsidRDefault="38D0D2DC" w:rsidP="58B0EDA1">
      <w:pPr>
        <w:ind w:left="850" w:hanging="850"/>
        <w:rPr>
          <w:noProof/>
        </w:rPr>
      </w:pPr>
      <w:r w:rsidRPr="00806A43">
        <w:rPr>
          <w:b/>
          <w:noProof/>
        </w:rPr>
        <w:t>•</w:t>
      </w:r>
      <w:r w:rsidRPr="00806A43">
        <w:rPr>
          <w:noProof/>
        </w:rPr>
        <w:tab/>
      </w:r>
      <w:r w:rsidRPr="00806A43">
        <w:rPr>
          <w:b/>
          <w:noProof/>
        </w:rPr>
        <w:t>Analyse d’impact</w:t>
      </w:r>
    </w:p>
    <w:p w:rsidR="00DE2A5C" w:rsidRPr="00806A43" w:rsidRDefault="006B3F4A" w:rsidP="58B0EDA1">
      <w:pPr>
        <w:spacing w:before="0" w:after="240"/>
        <w:rPr>
          <w:noProof/>
        </w:rPr>
      </w:pPr>
      <w:r w:rsidRPr="00806A43">
        <w:rPr>
          <w:noProof/>
        </w:rPr>
        <w:t>En raison du caractère urgent de la proposition, qui vise à fournir une aide urgente à un pays en guerre, aucune analyse d’impact n’a pu être réalisée. L’évaluation ex ante des besoins qu’il est proposé de couvrir par ce soutien supplémentaire à la facilité pour l’Ukraine repose sur des données récentes communiquées par le FMI et les autorités ukrainiennes.</w:t>
      </w:r>
    </w:p>
    <w:p w:rsidR="38D0D2DC" w:rsidRPr="00806A43" w:rsidRDefault="38D0D2DC" w:rsidP="58B0EDA1">
      <w:pPr>
        <w:ind w:left="850" w:hanging="850"/>
        <w:rPr>
          <w:noProof/>
        </w:rPr>
      </w:pPr>
      <w:r w:rsidRPr="00806A43">
        <w:rPr>
          <w:b/>
          <w:noProof/>
        </w:rPr>
        <w:t>•</w:t>
      </w:r>
      <w:r w:rsidRPr="00806A43">
        <w:rPr>
          <w:noProof/>
        </w:rPr>
        <w:tab/>
      </w:r>
      <w:r w:rsidRPr="00806A43">
        <w:rPr>
          <w:b/>
          <w:noProof/>
        </w:rPr>
        <w:t>Réglementation affûtée et simplification</w:t>
      </w:r>
    </w:p>
    <w:p w:rsidR="00877538" w:rsidRPr="00806A43" w:rsidRDefault="00877538" w:rsidP="58B0EDA1">
      <w:pPr>
        <w:spacing w:before="0" w:after="240"/>
        <w:rPr>
          <w:noProof/>
        </w:rPr>
      </w:pPr>
      <w:r w:rsidRPr="00806A43">
        <w:rPr>
          <w:noProof/>
        </w:rPr>
        <w:t>La proposition n’est pas liée au programme en faveur d’une réglementation affûtée et simplifiée.</w:t>
      </w:r>
    </w:p>
    <w:p w:rsidR="38D0D2DC" w:rsidRPr="00806A43" w:rsidRDefault="38D0D2DC" w:rsidP="58B0EDA1">
      <w:pPr>
        <w:ind w:left="850" w:hanging="850"/>
        <w:rPr>
          <w:rFonts w:eastAsia="Times New Roman"/>
          <w:b/>
          <w:bCs/>
          <w:noProof/>
          <w:szCs w:val="24"/>
        </w:rPr>
      </w:pPr>
      <w:r w:rsidRPr="00806A43">
        <w:rPr>
          <w:b/>
          <w:noProof/>
        </w:rPr>
        <w:t>•</w:t>
      </w:r>
      <w:r w:rsidRPr="00806A43">
        <w:rPr>
          <w:noProof/>
        </w:rPr>
        <w:tab/>
      </w:r>
      <w:r w:rsidRPr="00806A43">
        <w:rPr>
          <w:b/>
          <w:noProof/>
        </w:rPr>
        <w:t>Droits fondamentaux</w:t>
      </w:r>
    </w:p>
    <w:p w:rsidR="00EB48C8" w:rsidRPr="00806A43" w:rsidRDefault="00C7741F" w:rsidP="001462B4">
      <w:pPr>
        <w:spacing w:before="0" w:after="240"/>
        <w:rPr>
          <w:noProof/>
        </w:rPr>
      </w:pPr>
      <w:r w:rsidRPr="00806A43">
        <w:rPr>
          <w:noProof/>
        </w:rPr>
        <w:t>L’octroi d’un soutien au titre du prêt de soutien à l’Ukraine est subordonné à la condition préalable que l’Ukraine continue de défendre et de respecter des mécanismes démocratiques effectifs et ses institutions, y compris le pluralisme parlementaire et l’état de droit, et qu’elle garantisse le respect des droits de l’homme, y compris les droits des personnes appartenant à des minorités. La défense et le respect de l’état de droit devraient inclure la lutte contre la corruption.</w:t>
      </w:r>
    </w:p>
    <w:p w:rsidR="001462B4" w:rsidRPr="00806A43" w:rsidRDefault="001462B4" w:rsidP="00384A46">
      <w:pPr>
        <w:spacing w:before="0" w:after="240"/>
        <w:rPr>
          <w:rFonts w:eastAsia="Times New Roman"/>
          <w:noProof/>
        </w:rPr>
      </w:pPr>
      <w:r w:rsidRPr="00806A43">
        <w:rPr>
          <w:noProof/>
        </w:rPr>
        <w:t>L’engagement des autorités ukrainiennes en faveur de réformes et leur volonté politique constituent un signal positif, dont témoignent en particulier le statut de pays candidat accordé à l’Ukraine par le Conseil européen en juin 2022 et la décision du Conseil européen de décembre 2023 d’ouvrir des négociations d’adhésion avec l’Ukraine, ainsi que la bonne exécution, à nouveau, des conditions de politique structurelle attachées aux récentes opérations d’assistance macrofinancière en faveur de l’Ukraine, et la poursuite de la mise en œuvre du plan pour l’Ukraine. Le 14 mai 2025, l’Ukraine a adopté des feuilles de route sur (entre autres) l’état de droit, la réforme de l’administration publique et le fonctionnement des institutions démocratiques. Les réunions bilatérales d’examen analytique se sont achevées en septembre 2025. Depuis le début de l’agression russe, les autorités ukrainiennes font preuve d’un degré impressionnant de résilience et restent déterminées à poursuivre ces réformes de manière transparente et en progressant vers les normes de l’UE, conformément à la trajectoire qui doit conduire l’Ukraine à intégrer l’UE.</w:t>
      </w:r>
    </w:p>
    <w:p w:rsidR="00384A46" w:rsidRPr="00806A43" w:rsidRDefault="00384A46" w:rsidP="00384A46">
      <w:pPr>
        <w:spacing w:before="0" w:after="240"/>
        <w:rPr>
          <w:noProof/>
        </w:rPr>
      </w:pPr>
      <w:r w:rsidRPr="00806A43">
        <w:rPr>
          <w:noProof/>
        </w:rPr>
        <w:t>Compte tenu de ce qui précède, la condition préalable à l’octroi de ce soutien supplémentaire au titre de la facilité est considérée comme remplie actuellement. Dans le même temps, le respect continu de cette condition préalable sera encore garanti par des conditions spécifiques relatives à l’évaluation, par la Commission, des futures stratégies ukrainiennes de financement et avant les décaissements.</w:t>
      </w:r>
    </w:p>
    <w:p w:rsidR="38D0D2DC" w:rsidRPr="00806A43" w:rsidRDefault="38D0D2DC" w:rsidP="00F44F39">
      <w:pPr>
        <w:pStyle w:val="ManualHeading1"/>
        <w:rPr>
          <w:noProof/>
        </w:rPr>
      </w:pPr>
      <w:r w:rsidRPr="00806A43">
        <w:rPr>
          <w:noProof/>
        </w:rPr>
        <w:t>4.</w:t>
      </w:r>
      <w:r w:rsidRPr="00806A43">
        <w:rPr>
          <w:noProof/>
        </w:rPr>
        <w:tab/>
        <w:t>INCIDENCE BUDGÉTAIRE</w:t>
      </w:r>
    </w:p>
    <w:p w:rsidR="098FDD51" w:rsidRPr="00806A43" w:rsidRDefault="098FDD51" w:rsidP="79C385FD">
      <w:pPr>
        <w:spacing w:before="0" w:after="240"/>
        <w:rPr>
          <w:rFonts w:eastAsia="Times New Roman"/>
          <w:noProof/>
        </w:rPr>
      </w:pPr>
      <w:r w:rsidRPr="00806A43">
        <w:rPr>
          <w:noProof/>
        </w:rPr>
        <w:t>La proposition est compatible avec les plafonds du cadre financier pluriannuel 2021-2027 et avec ceux des décisions relatives aux ressources propres.</w:t>
      </w:r>
    </w:p>
    <w:p w:rsidR="4E540AC1" w:rsidRPr="00806A43" w:rsidRDefault="4E540AC1" w:rsidP="525E8FCE">
      <w:pPr>
        <w:spacing w:before="0" w:after="240"/>
        <w:rPr>
          <w:rFonts w:eastAsia="Times New Roman"/>
          <w:noProof/>
        </w:rPr>
      </w:pPr>
      <w:r w:rsidRPr="00806A43">
        <w:rPr>
          <w:noProof/>
        </w:rPr>
        <w:t>Le [prêt de soutien à l’Ukraine] prendra la forme d’un prêt à recours limité accordé à l’Ukraine, d’un montant maximal de 90 000 000 000 EUR, qui devra être remboursé par des réparations dues par la Russie. Les coûts de l’emprunt associés au prêt de soutien à l’Ukraine seront couverts par une bonification desdits coûts prévue par le [règlement sur le prêt de soutien à l’Ukraine].</w:t>
      </w:r>
    </w:p>
    <w:p w:rsidR="4E540AC1" w:rsidRPr="00806A43" w:rsidRDefault="4E540AC1">
      <w:pPr>
        <w:rPr>
          <w:rFonts w:eastAsia="Times New Roman"/>
          <w:noProof/>
        </w:rPr>
      </w:pPr>
      <w:r w:rsidRPr="00806A43">
        <w:rPr>
          <w:noProof/>
        </w:rPr>
        <w:t>De plus amples précisions sur l’incidence budgétaire figurent dans la fiche financière législative jointe à la [PROPOSITION DE RÈGLEMENT SUR LE PRÊT DE SOUTIEN À L’UKRAINE].</w:t>
      </w:r>
    </w:p>
    <w:p w:rsidR="38D0D2DC" w:rsidRPr="00806A43" w:rsidRDefault="38D0D2DC" w:rsidP="00F44F39">
      <w:pPr>
        <w:pStyle w:val="ManualHeading1"/>
        <w:rPr>
          <w:noProof/>
        </w:rPr>
      </w:pPr>
      <w:r w:rsidRPr="00806A43">
        <w:rPr>
          <w:noProof/>
        </w:rPr>
        <w:t>5.</w:t>
      </w:r>
      <w:r w:rsidRPr="00806A43">
        <w:rPr>
          <w:noProof/>
        </w:rPr>
        <w:tab/>
        <w:t>AUTRES ÉLÉMENTS</w:t>
      </w:r>
    </w:p>
    <w:p w:rsidR="38D0D2DC" w:rsidRPr="00806A43" w:rsidRDefault="38D0D2DC" w:rsidP="58B0EDA1">
      <w:pPr>
        <w:ind w:left="850" w:hanging="850"/>
        <w:rPr>
          <w:noProof/>
        </w:rPr>
      </w:pPr>
      <w:r w:rsidRPr="00806A43">
        <w:rPr>
          <w:b/>
          <w:noProof/>
        </w:rPr>
        <w:t>•</w:t>
      </w:r>
      <w:r w:rsidRPr="00806A43">
        <w:rPr>
          <w:noProof/>
        </w:rPr>
        <w:tab/>
      </w:r>
      <w:r w:rsidRPr="00806A43">
        <w:rPr>
          <w:b/>
          <w:noProof/>
        </w:rPr>
        <w:t>Plans de mise en œuvre et modalités de suivi, d’évaluation et d’information</w:t>
      </w:r>
    </w:p>
    <w:p w:rsidR="4AD34459" w:rsidRPr="00806A43" w:rsidRDefault="006043BD" w:rsidP="006043BD">
      <w:pPr>
        <w:pBdr>
          <w:top w:val="nil"/>
          <w:left w:val="nil"/>
          <w:bottom w:val="nil"/>
          <w:right w:val="nil"/>
          <w:between w:val="nil"/>
          <w:bar w:val="nil"/>
        </w:pBdr>
        <w:spacing w:after="240"/>
        <w:rPr>
          <w:rFonts w:eastAsia="Times New Roman"/>
          <w:noProof/>
        </w:rPr>
      </w:pPr>
      <w:r w:rsidRPr="00806A43">
        <w:rPr>
          <w:noProof/>
        </w:rPr>
        <w:t xml:space="preserve">Des dispositions spécifiques sur la prévention de la fraude et d’autres irrégularités, conformes au règlement financier, sont applicables, conformément à l’accord-cadre conclu au titre de la facilité pour l’Ukraine. En outre, les systèmes de gestion et de contrôle proposés dans le cadre du plan pour l’Ukraine élaboré conformément au règlement (UE) 2024/792 du Parlement européen et du Conseil du 29 février 2024 établissant la facilité pour l’Ukraine seront appliqués. </w:t>
      </w:r>
    </w:p>
    <w:p w:rsidR="00103206" w:rsidRPr="00806A43" w:rsidRDefault="00103206" w:rsidP="4AD34459">
      <w:pPr>
        <w:spacing w:before="0" w:after="240"/>
        <w:rPr>
          <w:rFonts w:eastAsia="Times New Roman"/>
          <w:noProof/>
        </w:rPr>
      </w:pPr>
      <w:r w:rsidRPr="00806A43">
        <w:rPr>
          <w:noProof/>
        </w:rPr>
        <w:t>La Commission fournira au Parlement européen, au Conseil et au comité visé à l’article 39 du règlement (UE) 2024/792 une évaluation annuelle de l’exécution des fonds octroyés au titre de la facilité.</w:t>
      </w:r>
    </w:p>
    <w:p w:rsidR="38D0D2DC" w:rsidRPr="00806A43" w:rsidRDefault="00BC0650" w:rsidP="001744F6">
      <w:pPr>
        <w:spacing w:before="0" w:after="240"/>
        <w:rPr>
          <w:noProof/>
        </w:rPr>
      </w:pPr>
      <w:r w:rsidRPr="00806A43">
        <w:rPr>
          <w:noProof/>
        </w:rPr>
        <w:t>Enfin, afin de renforcer le dialogue entre les institutions de l’Union, notamment le Parlement européen, le Conseil et la Commission, et d’accroître la transparence et la responsabilité, la commission compétente du Parlement européen peut inviter la Commission à débattre de la mise en œuvre du présent règlement.</w:t>
      </w:r>
    </w:p>
    <w:p w:rsidR="38D0D2DC" w:rsidRPr="00806A43" w:rsidRDefault="38D0D2DC" w:rsidP="58B0EDA1">
      <w:pPr>
        <w:ind w:left="850" w:hanging="850"/>
        <w:rPr>
          <w:noProof/>
        </w:rPr>
      </w:pPr>
      <w:r w:rsidRPr="00806A43">
        <w:rPr>
          <w:b/>
          <w:noProof/>
        </w:rPr>
        <w:t>•</w:t>
      </w:r>
      <w:r w:rsidRPr="00806A43">
        <w:rPr>
          <w:noProof/>
        </w:rPr>
        <w:tab/>
      </w:r>
      <w:r w:rsidRPr="00806A43">
        <w:rPr>
          <w:b/>
          <w:noProof/>
        </w:rPr>
        <w:t>Explication détaillée de certaines dispositions de la proposition</w:t>
      </w:r>
    </w:p>
    <w:p w:rsidR="008A4201" w:rsidRPr="00806A43" w:rsidRDefault="008A4201" w:rsidP="58B0EDA1">
      <w:pPr>
        <w:spacing w:before="0" w:after="240"/>
        <w:rPr>
          <w:rFonts w:eastAsia="Times New Roman"/>
          <w:noProof/>
        </w:rPr>
      </w:pPr>
      <w:r w:rsidRPr="00806A43">
        <w:rPr>
          <w:noProof/>
        </w:rPr>
        <w:t>La proposition prévoit des modifications ciblées du règlement (UE) 2024/792 afin de permettre la fourniture d’une assistance financière et économique à l’Ukraine d’une manière prévisible et continue.</w:t>
      </w:r>
    </w:p>
    <w:p w:rsidR="00797BE9" w:rsidRPr="00806A43" w:rsidRDefault="00F328E7" w:rsidP="58B0EDA1">
      <w:pPr>
        <w:spacing w:before="0" w:after="240"/>
        <w:rPr>
          <w:rFonts w:eastAsia="Times New Roman"/>
          <w:noProof/>
          <w:szCs w:val="24"/>
        </w:rPr>
      </w:pPr>
      <w:r w:rsidRPr="00806A43">
        <w:rPr>
          <w:noProof/>
        </w:rPr>
        <w:t>À cette fin, la proposition:</w:t>
      </w:r>
    </w:p>
    <w:p w:rsidR="00977357" w:rsidRPr="00806A43" w:rsidRDefault="00B17B62" w:rsidP="007202B4">
      <w:pPr>
        <w:pStyle w:val="ListBullet1"/>
        <w:rPr>
          <w:noProof/>
          <w:szCs w:val="24"/>
        </w:rPr>
      </w:pPr>
      <w:r w:rsidRPr="00806A43">
        <w:rPr>
          <w:noProof/>
        </w:rPr>
        <w:t>définit les modalités selon lesquelles les montants mis à disposition en vertu du [règlement sur le prêt de soutien à l’Ukraine] doivent être exécutés en tant que soutien financier supplémentaire conformément au chapitre III de la facilité pour l’Ukraine sous la forme de prêts; la proposition énonce en outre que les coûts de l’emprunt associés au prêt de soutien à l’Ukraine seront couverts par une bonification des coûts de cet emprunt, prévue par le [règlement sur le prêt de soutien à l’Ukraine];</w:t>
      </w:r>
    </w:p>
    <w:p w:rsidR="00BC2089" w:rsidRPr="00806A43" w:rsidRDefault="00E817F3" w:rsidP="007202B4">
      <w:pPr>
        <w:pStyle w:val="ListBullet1"/>
        <w:rPr>
          <w:noProof/>
        </w:rPr>
      </w:pPr>
      <w:r w:rsidRPr="00806A43">
        <w:rPr>
          <w:noProof/>
        </w:rPr>
        <w:t xml:space="preserve">fixe l’entrée en vigueur. </w:t>
      </w:r>
    </w:p>
    <w:p w:rsidR="00F44F39" w:rsidRPr="00806A43" w:rsidRDefault="00F44F39">
      <w:pPr>
        <w:spacing w:before="0" w:after="200" w:line="276" w:lineRule="auto"/>
        <w:jc w:val="left"/>
        <w:rPr>
          <w:noProof/>
        </w:rPr>
        <w:sectPr w:rsidR="00F44F39" w:rsidRPr="00806A43" w:rsidSect="00771ED9">
          <w:headerReference w:type="even" r:id="rId14"/>
          <w:footerReference w:type="even" r:id="rId15"/>
          <w:footerReference w:type="default" r:id="rId16"/>
          <w:headerReference w:type="first" r:id="rId17"/>
          <w:footerReference w:type="first" r:id="rId18"/>
          <w:pgSz w:w="11907" w:h="16840" w:code="9"/>
          <w:pgMar w:top="1134" w:right="1418" w:bottom="1134" w:left="1418" w:header="709" w:footer="709" w:gutter="0"/>
          <w:cols w:space="708"/>
          <w:docGrid w:linePitch="360"/>
        </w:sectPr>
      </w:pPr>
    </w:p>
    <w:p w:rsidR="00364631" w:rsidRDefault="00D10569">
      <w:pPr>
        <w:pStyle w:val="Rfrenceinterinstitutionnelle"/>
        <w:rPr>
          <w:noProof/>
        </w:rPr>
      </w:pPr>
      <w:r>
        <w:rPr>
          <w:noProof/>
        </w:rPr>
        <w:t>2026/0010 (COD)</w:t>
      </w:r>
    </w:p>
    <w:p w:rsidR="00337BB6" w:rsidRPr="00806A43" w:rsidRDefault="00806A43" w:rsidP="00806A43">
      <w:pPr>
        <w:pStyle w:val="Statut"/>
        <w:rPr>
          <w:noProof/>
        </w:rPr>
      </w:pPr>
      <w:r w:rsidRPr="00806A43">
        <w:rPr>
          <w:noProof/>
        </w:rPr>
        <w:t>Proposition de</w:t>
      </w:r>
    </w:p>
    <w:p w:rsidR="00337BB6" w:rsidRPr="00806A43" w:rsidRDefault="00806A43" w:rsidP="00806A43">
      <w:pPr>
        <w:pStyle w:val="Typedudocument"/>
        <w:rPr>
          <w:noProof/>
        </w:rPr>
      </w:pPr>
      <w:r w:rsidRPr="00806A43">
        <w:rPr>
          <w:noProof/>
        </w:rPr>
        <w:t>RÈGLEMENT DU PARLEMENT EUROPÉEN ET DU CONSEIL</w:t>
      </w:r>
    </w:p>
    <w:p w:rsidR="00337BB6" w:rsidRPr="00806A43" w:rsidRDefault="00806A43" w:rsidP="00806A43">
      <w:pPr>
        <w:pStyle w:val="Titreobjet"/>
        <w:rPr>
          <w:noProof/>
        </w:rPr>
      </w:pPr>
      <w:r w:rsidRPr="00806A43">
        <w:rPr>
          <w:noProof/>
        </w:rPr>
        <w:t>modifiant le règlement (UE) 2024/792 établissant la facilité pour l’Ukraine</w:t>
      </w:r>
    </w:p>
    <w:p w:rsidR="00337BB6" w:rsidRPr="00806A43" w:rsidRDefault="00337BB6">
      <w:pPr>
        <w:pStyle w:val="Institutionquiagit"/>
        <w:rPr>
          <w:noProof/>
        </w:rPr>
      </w:pPr>
      <w:r w:rsidRPr="00806A43">
        <w:rPr>
          <w:noProof/>
        </w:rPr>
        <w:t>LE PARLEMENT EUROPÉEN ET LE CONSEIL DE L’UNION EUROPÉENNE,</w:t>
      </w:r>
    </w:p>
    <w:p w:rsidR="00337BB6" w:rsidRPr="00806A43" w:rsidRDefault="00337BB6">
      <w:pPr>
        <w:rPr>
          <w:noProof/>
        </w:rPr>
      </w:pPr>
      <w:r w:rsidRPr="00806A43">
        <w:rPr>
          <w:noProof/>
        </w:rPr>
        <w:t>vu le traité sur le fonctionnement de l’Union européenne, et notamment son article 212,</w:t>
      </w:r>
    </w:p>
    <w:p w:rsidR="00337BB6" w:rsidRPr="00806A43" w:rsidRDefault="00337BB6">
      <w:pPr>
        <w:rPr>
          <w:noProof/>
        </w:rPr>
      </w:pPr>
      <w:r w:rsidRPr="00806A43">
        <w:rPr>
          <w:noProof/>
        </w:rPr>
        <w:t>vu la proposition de la Commission européenne,</w:t>
      </w:r>
    </w:p>
    <w:p w:rsidR="00E03E66" w:rsidRPr="00806A43" w:rsidRDefault="00E03E66" w:rsidP="00E03E66">
      <w:pPr>
        <w:rPr>
          <w:noProof/>
        </w:rPr>
      </w:pPr>
      <w:r w:rsidRPr="00806A43">
        <w:rPr>
          <w:noProof/>
        </w:rPr>
        <w:t xml:space="preserve">après transmission du projet d’acte législatif aux parlements nationaux, </w:t>
      </w:r>
    </w:p>
    <w:p w:rsidR="00337BB6" w:rsidRPr="00806A43" w:rsidRDefault="00337BB6">
      <w:pPr>
        <w:rPr>
          <w:noProof/>
        </w:rPr>
      </w:pPr>
      <w:r w:rsidRPr="00806A43">
        <w:rPr>
          <w:noProof/>
        </w:rPr>
        <w:t>statuant conformément à la procédure législative ordinaire,</w:t>
      </w:r>
    </w:p>
    <w:p w:rsidR="00337BB6" w:rsidRPr="00806A43" w:rsidRDefault="00337BB6">
      <w:pPr>
        <w:rPr>
          <w:noProof/>
        </w:rPr>
      </w:pPr>
      <w:r w:rsidRPr="00806A43">
        <w:rPr>
          <w:noProof/>
        </w:rPr>
        <w:t>considérant ce qui suit:</w:t>
      </w:r>
    </w:p>
    <w:p w:rsidR="00337BB6" w:rsidRPr="00806A43" w:rsidRDefault="0086389A" w:rsidP="0086389A">
      <w:pPr>
        <w:pStyle w:val="ManualConsidrant"/>
        <w:rPr>
          <w:noProof/>
        </w:rPr>
      </w:pPr>
      <w:r w:rsidRPr="0086389A">
        <w:rPr>
          <w:noProof/>
        </w:rPr>
        <w:t>(1)</w:t>
      </w:r>
      <w:r w:rsidRPr="0086389A">
        <w:rPr>
          <w:noProof/>
        </w:rPr>
        <w:tab/>
      </w:r>
      <w:r w:rsidR="00337BB6" w:rsidRPr="00806A43">
        <w:rPr>
          <w:noProof/>
        </w:rPr>
        <w:t>Le 24 février 2022, le président de la Fédération de Russie a annoncé une opération militaire en Ukraine, et les forces armées de la Russie ont lancé une agression militaire non provoquée et injustifiée contre l’Ukraine. Cette guerre d’agression illégale constitue une violation flagrante de l’intégrité territoriale, de la souveraineté et de l’indépendance de l’Ukraine, ainsi qu’une violation de l’interdiction du recours à la force consacrée à l’article 2, paragraphe 4, de la charte des Nations unies, qui est une règle impérative du droit international, et des autres principes de la charte des Nations unies.</w:t>
      </w:r>
    </w:p>
    <w:p w:rsidR="00337BB6" w:rsidRPr="00806A43" w:rsidRDefault="0086389A" w:rsidP="0086389A">
      <w:pPr>
        <w:pStyle w:val="ManualConsidrant"/>
        <w:rPr>
          <w:noProof/>
        </w:rPr>
      </w:pPr>
      <w:r w:rsidRPr="0086389A">
        <w:rPr>
          <w:noProof/>
        </w:rPr>
        <w:t>(2)</w:t>
      </w:r>
      <w:r w:rsidRPr="0086389A">
        <w:rPr>
          <w:noProof/>
        </w:rPr>
        <w:tab/>
      </w:r>
      <w:r w:rsidR="00337BB6" w:rsidRPr="00806A43">
        <w:rPr>
          <w:noProof/>
        </w:rPr>
        <w:t>Depuis que la Russie a lancé sa guerre d’agression non provoquée et injustifiée contre l’Ukraine, l’Union, ses États membres et les institutions financières européennes font preuve d’une mobilisation sans précédent pour soutenir la résilience de l’Ukraine en matière économique, sociale, financière et de défense. Ce soutien combine un soutien apporté par le budget de l’Union, y compris l’assistance macrofinancière exceptionnelle et le soutien de la Banque européenne d’investissement et de la Banque européenne pour la reconstruction et le développement, entièrement ou partiellement garantis par le budget de l’Union, ainsi qu’un soutien financier supplémentaire fourni par les États membres.</w:t>
      </w:r>
    </w:p>
    <w:p w:rsidR="00337BB6" w:rsidRPr="00806A43" w:rsidRDefault="0086389A" w:rsidP="0086389A">
      <w:pPr>
        <w:pStyle w:val="ManualConsidrant"/>
        <w:rPr>
          <w:noProof/>
        </w:rPr>
      </w:pPr>
      <w:r w:rsidRPr="0086389A">
        <w:rPr>
          <w:noProof/>
        </w:rPr>
        <w:t>(3)</w:t>
      </w:r>
      <w:r w:rsidRPr="0086389A">
        <w:rPr>
          <w:noProof/>
        </w:rPr>
        <w:tab/>
      </w:r>
      <w:r w:rsidR="00337BB6" w:rsidRPr="00806A43">
        <w:rPr>
          <w:noProof/>
        </w:rPr>
        <w:t>Le 29 février 2024, le règlement (UE) 2024/792 du Parlement européen et du Conseil</w:t>
      </w:r>
      <w:r w:rsidR="00337BB6" w:rsidRPr="00806A43">
        <w:rPr>
          <w:rStyle w:val="FootnoteReference"/>
          <w:noProof/>
        </w:rPr>
        <w:footnoteReference w:id="5"/>
      </w:r>
      <w:r w:rsidR="00337BB6" w:rsidRPr="00806A43">
        <w:rPr>
          <w:noProof/>
        </w:rPr>
        <w:t xml:space="preserve"> a établi la facilité pour l’Ukraine, un instrument exceptionnel à moyen terme qui regroupe le soutien bilatéral fourni par l’Union à l’Ukraine, de manière à en assurer la coordination et l’efficacité. Sur la période 2024-2027, la facilité pour l’Ukraine contribue à combler le déficit de financement de l’Ukraine et à satisfaire ses besoins en matière de redressement, de reconstruction et de modernisation, tout en appuyant les efforts de réforme déployés par l’Ukraine dans le cadre de son parcours d’adhésion à l’Union.</w:t>
      </w:r>
    </w:p>
    <w:p w:rsidR="00337BB6" w:rsidRPr="00806A43" w:rsidRDefault="0086389A" w:rsidP="0086389A">
      <w:pPr>
        <w:pStyle w:val="ManualConsidrant"/>
        <w:rPr>
          <w:noProof/>
        </w:rPr>
      </w:pPr>
      <w:r w:rsidRPr="0086389A">
        <w:rPr>
          <w:noProof/>
        </w:rPr>
        <w:t>(4)</w:t>
      </w:r>
      <w:r w:rsidRPr="0086389A">
        <w:rPr>
          <w:noProof/>
        </w:rPr>
        <w:tab/>
      </w:r>
      <w:r w:rsidR="000C1E00" w:rsidRPr="00806A43">
        <w:rPr>
          <w:noProof/>
        </w:rPr>
        <w:t>Le XX, le règlement du Parlement européen et du Conseil mettant en œuvre une coopération renforcée concernant l’établissement du prêt de soutien à l’Ukraine pour 2026 et 2027 a été adopté, rendant possible l’apport d’un soutien à l’Ukraine pour 2026 et 2027</w:t>
      </w:r>
      <w:r w:rsidR="000C1E00" w:rsidRPr="00806A43">
        <w:rPr>
          <w:rStyle w:val="FootnoteReference"/>
          <w:noProof/>
        </w:rPr>
        <w:footnoteReference w:id="6"/>
      </w:r>
      <w:r w:rsidR="000C1E00" w:rsidRPr="00806A43">
        <w:rPr>
          <w:noProof/>
        </w:rPr>
        <w:t xml:space="preserve"> sous la forme d’un prêt de soutien à ce pays devant être remboursé par des réparations dues par la Russie.</w:t>
      </w:r>
    </w:p>
    <w:p w:rsidR="00337BB6" w:rsidRPr="00806A43" w:rsidRDefault="0086389A" w:rsidP="0086389A">
      <w:pPr>
        <w:pStyle w:val="ManualConsidrant"/>
        <w:rPr>
          <w:noProof/>
        </w:rPr>
      </w:pPr>
      <w:r w:rsidRPr="0086389A">
        <w:rPr>
          <w:noProof/>
        </w:rPr>
        <w:t>(5)</w:t>
      </w:r>
      <w:r w:rsidRPr="0086389A">
        <w:rPr>
          <w:noProof/>
        </w:rPr>
        <w:tab/>
      </w:r>
      <w:r w:rsidR="000C1E00" w:rsidRPr="00806A43">
        <w:rPr>
          <w:noProof/>
        </w:rPr>
        <w:t>Afin d’avoir accès au prêt de soutien à l’Ukraine en vertu du [</w:t>
      </w:r>
      <w:r w:rsidR="000C1E00" w:rsidRPr="00806A43">
        <w:rPr>
          <w:i/>
          <w:noProof/>
        </w:rPr>
        <w:t>règlement sur le prêt de soutien à l’Ukraine, article 212 du TFUE</w:t>
      </w:r>
      <w:r w:rsidR="000C1E00" w:rsidRPr="00806A43">
        <w:rPr>
          <w:noProof/>
        </w:rPr>
        <w:t>], le pays doit présenter une stratégie de financement consacrée à ses besoins et sources de financement, dont l’évaluation doit être approuvée par le Conseil par voie de décision d’exécution fondée sur une proposition de la Commission. Cette décision d’exécution doit déterminer le montant de l’assistance devant être mise à la disposition de l’Ukraine pour l’aider à mettre en œuvre sa stratégie de financement, y compris le montant de l’assistance budgétaire et le montant destiné à soutenir les capacités industrielles de l’Ukraine dans le domaine de la défense.</w:t>
      </w:r>
    </w:p>
    <w:p w:rsidR="005116A8" w:rsidRPr="00806A43" w:rsidRDefault="0086389A" w:rsidP="0086389A">
      <w:pPr>
        <w:pStyle w:val="ManualConsidrant"/>
        <w:rPr>
          <w:rFonts w:eastAsia="Times New Roman"/>
          <w:noProof/>
        </w:rPr>
      </w:pPr>
      <w:r w:rsidRPr="0086389A">
        <w:rPr>
          <w:noProof/>
        </w:rPr>
        <w:t>(6)</w:t>
      </w:r>
      <w:r w:rsidRPr="0086389A">
        <w:rPr>
          <w:noProof/>
        </w:rPr>
        <w:tab/>
      </w:r>
      <w:r w:rsidR="00DF56A6" w:rsidRPr="00806A43">
        <w:rPr>
          <w:noProof/>
        </w:rPr>
        <w:t>Le chapitre III du règlement (UE) 2024/792 (pilier I de la facilité pour l’Ukraine: plan pour l’Ukraine) prévoit un financement en faveur de l’Ukraine dès lors que les conditions énoncées dans le plan pour l’Ukraine, qui définit le programme de réforme et d’investissement de l’Ukraine, sont remplies de manière satisfaisante. En tant qu’instrument unique exceptionnel à moyen terme qui regroupe le soutien bilatéral fourni par l’Union à l’Ukraine, de manière à en assurer la coordination et l’efficience, qui a pour objectifs de contribuer à maintenir la stabilité macrofinancière du pays, à réaliser le redressement, la reconstruction, la restauration et la modernisation pacifiques du pays, à renforcer davantage l’état de droit, la démocratie, le respect des droits de l’homme et des libertés fondamentales, à favoriser l’intégration de l’Ukraine dans le marché intérieur, ainsi que, notamment, l’adoption et la mise en œuvre des réformes politiques, institutionnelles, juridiques, administratives, sociales et économiques nécessaires à la mise en conformité du pays avec les valeurs de l’Union et à son alignement progressif sur les règles, les normes, les politiques et les pratiques de l’Union (ci-après l’«acquis») en vue d’une future adhésion à l’Union, contribuant ainsi à la stabilité, à la sécurité, à la paix, à la prospérité et à la durabilité de chacune des parties, il y a lieu de prévoir que l’assistance budgétaire provenant du [prêt de soutien à l’Ukraine] soit utilisée par l’intermédiaire de la facilité pour l’Ukraine. Le plan pour l’Ukraine devrait être mis à jour de manière à tenir compte de cette assistance budgétaire supplémentaire, y compris en ce qui concerne les mesures visant à renforcer l’état de droit et la lutte contre la corruption.</w:t>
      </w:r>
    </w:p>
    <w:p w:rsidR="005B2519" w:rsidRPr="00806A43" w:rsidRDefault="0086389A" w:rsidP="0086389A">
      <w:pPr>
        <w:pStyle w:val="ManualConsidrant"/>
        <w:rPr>
          <w:noProof/>
        </w:rPr>
      </w:pPr>
      <w:r w:rsidRPr="0086389A">
        <w:rPr>
          <w:noProof/>
        </w:rPr>
        <w:t>(7)</w:t>
      </w:r>
      <w:r w:rsidRPr="0086389A">
        <w:rPr>
          <w:noProof/>
        </w:rPr>
        <w:tab/>
      </w:r>
      <w:r w:rsidR="005B2519" w:rsidRPr="00806A43">
        <w:rPr>
          <w:noProof/>
        </w:rPr>
        <w:t>Il convient, dès lors, de modifier le règlement (UE) 2024/792 en conséquence.</w:t>
      </w:r>
    </w:p>
    <w:p w:rsidR="005C2ACE" w:rsidRPr="00806A43" w:rsidRDefault="0086389A" w:rsidP="0086389A">
      <w:pPr>
        <w:pStyle w:val="ManualConsidrant"/>
        <w:rPr>
          <w:noProof/>
        </w:rPr>
      </w:pPr>
      <w:r w:rsidRPr="0086389A">
        <w:rPr>
          <w:noProof/>
        </w:rPr>
        <w:t>(8)</w:t>
      </w:r>
      <w:r w:rsidRPr="0086389A">
        <w:rPr>
          <w:noProof/>
        </w:rPr>
        <w:tab/>
      </w:r>
      <w:r w:rsidR="005C2ACE" w:rsidRPr="00806A43">
        <w:rPr>
          <w:noProof/>
        </w:rPr>
        <w:t>Compte tenu de l’urgence résultant des circonstances exceptionnelles causées par la guerre d’agression non provoquée et injustifiée menée par la Russie et des événements géopolitiques récents, il s’avère approprié d’invoquer l’exception au délai de huit semaines prévue à l’article 4 du protocole nº 1 sur le rôle des parlements nationaux dans l’Union européenne, annexé au traité sur l’Union européenne, au traité sur le fonctionnement de l’Union européenne et au traité instituant la Communauté européenne de l’énergie atomique.</w:t>
      </w:r>
    </w:p>
    <w:p w:rsidR="00C53B07" w:rsidRPr="00806A43" w:rsidRDefault="0086389A" w:rsidP="0086389A">
      <w:pPr>
        <w:pStyle w:val="ManualConsidrant"/>
        <w:rPr>
          <w:noProof/>
        </w:rPr>
      </w:pPr>
      <w:r w:rsidRPr="0086389A">
        <w:rPr>
          <w:noProof/>
        </w:rPr>
        <w:t>(9)</w:t>
      </w:r>
      <w:r w:rsidRPr="0086389A">
        <w:rPr>
          <w:noProof/>
        </w:rPr>
        <w:tab/>
      </w:r>
      <w:r w:rsidR="00CA29AC" w:rsidRPr="00806A43">
        <w:rPr>
          <w:noProof/>
        </w:rPr>
        <w:t xml:space="preserve">Eu égard à la situation en Ukraine et afin de permettre l’application rapide des mesures prévues dans le présent règlement, celui-ci devrait entrer en vigueur d’urgence, le jour suivant celui de sa publication au </w:t>
      </w:r>
      <w:r w:rsidR="00CA29AC" w:rsidRPr="00806A43">
        <w:rPr>
          <w:i/>
          <w:noProof/>
        </w:rPr>
        <w:t>Journal officiel de l’Union européenne</w:t>
      </w:r>
      <w:r w:rsidR="00CA29AC" w:rsidRPr="00806A43">
        <w:rPr>
          <w:noProof/>
        </w:rPr>
        <w:t>,</w:t>
      </w:r>
    </w:p>
    <w:p w:rsidR="00337BB6" w:rsidRPr="00806A43" w:rsidRDefault="00337BB6">
      <w:pPr>
        <w:pStyle w:val="Formuledadoption"/>
        <w:rPr>
          <w:noProof/>
        </w:rPr>
      </w:pPr>
      <w:r w:rsidRPr="00806A43">
        <w:rPr>
          <w:noProof/>
        </w:rPr>
        <w:t>ONT ADOPTÉ LE PRÉSENT RÈGLEMENT:</w:t>
      </w:r>
    </w:p>
    <w:p w:rsidR="000D3DDF" w:rsidRPr="00806A43" w:rsidRDefault="00337BB6" w:rsidP="00B74064">
      <w:pPr>
        <w:pStyle w:val="Titrearticle"/>
        <w:rPr>
          <w:b/>
          <w:bCs/>
          <w:noProof/>
        </w:rPr>
      </w:pPr>
      <w:r w:rsidRPr="00806A43">
        <w:rPr>
          <w:noProof/>
        </w:rPr>
        <w:t xml:space="preserve">Article premier </w:t>
      </w:r>
      <w:r w:rsidRPr="00806A43">
        <w:rPr>
          <w:noProof/>
        </w:rPr>
        <w:br/>
      </w:r>
      <w:r w:rsidRPr="00806A43">
        <w:rPr>
          <w:b/>
          <w:noProof/>
        </w:rPr>
        <w:t>Modifications apportées au règlement (UE) 2024/792</w:t>
      </w:r>
    </w:p>
    <w:p w:rsidR="005C2ACE" w:rsidRPr="00806A43" w:rsidRDefault="005C2ACE" w:rsidP="005C2ACE">
      <w:pPr>
        <w:rPr>
          <w:noProof/>
        </w:rPr>
      </w:pPr>
      <w:r w:rsidRPr="00806A43">
        <w:rPr>
          <w:noProof/>
        </w:rPr>
        <w:t>Le règlement (UE) 2024/792 est modifié comme suit:</w:t>
      </w:r>
    </w:p>
    <w:p w:rsidR="00BE5372" w:rsidRPr="00806A43" w:rsidRDefault="0086389A" w:rsidP="0086389A">
      <w:pPr>
        <w:pStyle w:val="Point1"/>
        <w:rPr>
          <w:noProof/>
        </w:rPr>
      </w:pPr>
      <w:r w:rsidRPr="0086389A">
        <w:rPr>
          <w:noProof/>
        </w:rPr>
        <w:t>(1)</w:t>
      </w:r>
      <w:r w:rsidRPr="0086389A">
        <w:rPr>
          <w:noProof/>
        </w:rPr>
        <w:tab/>
      </w:r>
      <w:r w:rsidR="008A61D0" w:rsidRPr="00806A43">
        <w:rPr>
          <w:noProof/>
        </w:rPr>
        <w:t>À l’article 6, le paragraphe 4 est remplacé par le texte suivant:</w:t>
      </w:r>
    </w:p>
    <w:p w:rsidR="003006CF" w:rsidRPr="00806A43" w:rsidRDefault="005C2ACE" w:rsidP="00732759">
      <w:pPr>
        <w:rPr>
          <w:bCs/>
          <w:noProof/>
        </w:rPr>
      </w:pPr>
      <w:r w:rsidRPr="00806A43">
        <w:rPr>
          <w:noProof/>
        </w:rPr>
        <w:t xml:space="preserve">«4. </w:t>
      </w:r>
      <w:bookmarkStart w:id="1" w:name="_Hlk218528307"/>
      <w:r w:rsidRPr="00806A43">
        <w:rPr>
          <w:noProof/>
        </w:rPr>
        <w:t>Les montants mis à disposition en vertu de l’article 4, paragraphe 1, du règlement (UE) [</w:t>
      </w:r>
      <w:r w:rsidRPr="00806A43">
        <w:rPr>
          <w:i/>
          <w:noProof/>
        </w:rPr>
        <w:t>règlement sur le prêt de soutien à l’Ukraine, article 212 du TFUE</w:t>
      </w:r>
      <w:r w:rsidRPr="00806A43">
        <w:rPr>
          <w:noProof/>
        </w:rPr>
        <w:t xml:space="preserve">] </w:t>
      </w:r>
      <w:bookmarkEnd w:id="1"/>
      <w:r w:rsidRPr="00806A43">
        <w:rPr>
          <w:noProof/>
        </w:rPr>
        <w:t>sont exécutés en tant que soutien financier supplémentaire conformément au chapitre III sous la forme de prêts et s’ajoutent aux montants mentionnés aux paragraphes 2 et 3.»;</w:t>
      </w:r>
    </w:p>
    <w:p w:rsidR="00270D8A" w:rsidRPr="00806A43" w:rsidRDefault="0086389A" w:rsidP="0086389A">
      <w:pPr>
        <w:pStyle w:val="Point1"/>
        <w:rPr>
          <w:noProof/>
        </w:rPr>
      </w:pPr>
      <w:r w:rsidRPr="0086389A">
        <w:rPr>
          <w:noProof/>
        </w:rPr>
        <w:t>(2)</w:t>
      </w:r>
      <w:r w:rsidRPr="0086389A">
        <w:rPr>
          <w:noProof/>
        </w:rPr>
        <w:tab/>
      </w:r>
      <w:r w:rsidR="005B2519" w:rsidRPr="00806A43">
        <w:rPr>
          <w:noProof/>
        </w:rPr>
        <w:t>à l’article 22, paragraphe 2, l’alinéa suivant est ajouté:</w:t>
      </w:r>
    </w:p>
    <w:p w:rsidR="005B2519" w:rsidRPr="00806A43" w:rsidRDefault="005C2ACE" w:rsidP="005B2519">
      <w:pPr>
        <w:rPr>
          <w:rFonts w:eastAsia="Times New Roman"/>
          <w:noProof/>
        </w:rPr>
      </w:pPr>
      <w:r w:rsidRPr="00806A43">
        <w:rPr>
          <w:noProof/>
        </w:rPr>
        <w:t>«Dès l’adoption de la décision d’exécution du Conseil visée à l’article 19, paragraphe 1, en ce qui concerne les montants mentionnés à l’article 6, paragraphe 4, deuxième alinéa, la Commission adopte des modifications ou des avenants aux accords de prêt avec l’Ukraine visés au premier alinéa dans le but d’assurer l’exécution des montants conformément au chapitre III, excepté pour les règles relatives à la durée et au remboursement du prêt, y compris à la bonification des coûts de l’emprunt, qui sont régies par les dispositions du règlement (UE) [</w:t>
      </w:r>
      <w:r w:rsidRPr="00806A43">
        <w:rPr>
          <w:i/>
          <w:noProof/>
        </w:rPr>
        <w:t>règlement sur le prêt de soutien à l’Ukraine, article 212 du TFUE</w:t>
      </w:r>
      <w:r w:rsidRPr="00806A43">
        <w:rPr>
          <w:noProof/>
        </w:rPr>
        <w:t>]*.</w:t>
      </w:r>
    </w:p>
    <w:p w:rsidR="005B2519" w:rsidRPr="00806A43" w:rsidRDefault="005B2519" w:rsidP="005B2519">
      <w:pPr>
        <w:rPr>
          <w:noProof/>
        </w:rPr>
      </w:pPr>
      <w:r w:rsidRPr="00806A43">
        <w:rPr>
          <w:noProof/>
        </w:rPr>
        <w:t>*Règlement (UE) … du Parlement européen et du Conseil du ... concernant ..., JO ...»;</w:t>
      </w:r>
    </w:p>
    <w:p w:rsidR="005C2ACE" w:rsidRPr="00806A43" w:rsidRDefault="005C2ACE" w:rsidP="001F4E05">
      <w:pPr>
        <w:rPr>
          <w:noProof/>
        </w:rPr>
      </w:pPr>
    </w:p>
    <w:p w:rsidR="00F4002C" w:rsidRPr="00806A43" w:rsidRDefault="0086389A" w:rsidP="0086389A">
      <w:pPr>
        <w:pStyle w:val="Point1"/>
        <w:rPr>
          <w:noProof/>
        </w:rPr>
      </w:pPr>
      <w:r w:rsidRPr="0086389A">
        <w:rPr>
          <w:noProof/>
        </w:rPr>
        <w:t>(3)</w:t>
      </w:r>
      <w:r w:rsidRPr="0086389A">
        <w:rPr>
          <w:noProof/>
        </w:rPr>
        <w:tab/>
      </w:r>
      <w:r w:rsidR="005B2519" w:rsidRPr="00806A43">
        <w:rPr>
          <w:noProof/>
        </w:rPr>
        <w:t>à l’article 23, le paragraphe 1 est remplacé par le texte suivant:</w:t>
      </w:r>
    </w:p>
    <w:p w:rsidR="19D9D451" w:rsidRPr="00806A43" w:rsidRDefault="3819DE39" w:rsidP="00CE4BF5">
      <w:pPr>
        <w:rPr>
          <w:rFonts w:eastAsia="Times New Roman"/>
          <w:noProof/>
        </w:rPr>
      </w:pPr>
      <w:r w:rsidRPr="00806A43">
        <w:rPr>
          <w:noProof/>
        </w:rPr>
        <w:t>«1. Par dérogation à l’article 223, paragraphe 4, du règlement (UE, Euratom) 2024/2509, et sous réserve des ressources disponibles, la facilité peut supporter le coût de financement, le coût de la gestion des liquidités et le coût du service pour les frais généraux administratifs liés aux opérations d’emprunt et de prêt (ci-après dénommés “bonification des coûts de l’emprunt”), à l’exception des coûts liés au remboursement anticipé du prêt et à l’exception des montants mis à disposition en vertu de l’article 4, paragraphe 1, du règlement (UE) [règlement sur le prêt de soutien à l’Ukraine, article 212 du TFUE]. Pour la période allant du 1</w:t>
      </w:r>
      <w:r w:rsidRPr="00806A43">
        <w:rPr>
          <w:noProof/>
          <w:vertAlign w:val="superscript"/>
        </w:rPr>
        <w:t>er</w:t>
      </w:r>
      <w:r w:rsidRPr="00806A43">
        <w:rPr>
          <w:noProof/>
        </w:rPr>
        <w:t> janvier 2024 au 31 décembre 2027, la bonification des coûts de l’emprunt relève du chapitre V.».</w:t>
      </w:r>
    </w:p>
    <w:p w:rsidR="00366AD7" w:rsidRPr="00806A43" w:rsidRDefault="00337BB6" w:rsidP="00B74064">
      <w:pPr>
        <w:pStyle w:val="Titrearticle"/>
        <w:rPr>
          <w:b/>
          <w:bCs/>
          <w:noProof/>
        </w:rPr>
      </w:pPr>
      <w:r w:rsidRPr="00806A43">
        <w:rPr>
          <w:noProof/>
        </w:rPr>
        <w:t xml:space="preserve">Article 2 </w:t>
      </w:r>
      <w:r w:rsidRPr="00806A43">
        <w:rPr>
          <w:noProof/>
        </w:rPr>
        <w:br/>
      </w:r>
      <w:r w:rsidRPr="00806A43">
        <w:rPr>
          <w:b/>
          <w:noProof/>
        </w:rPr>
        <w:t>Entrée en vigueur</w:t>
      </w:r>
    </w:p>
    <w:p w:rsidR="00337BB6" w:rsidRPr="00806A43" w:rsidRDefault="00337BB6">
      <w:pPr>
        <w:rPr>
          <w:noProof/>
        </w:rPr>
      </w:pPr>
      <w:r w:rsidRPr="00806A43">
        <w:rPr>
          <w:noProof/>
        </w:rPr>
        <w:t xml:space="preserve">Le présent règlement entre en vigueur le jour suivant celui de sa publication au </w:t>
      </w:r>
      <w:r w:rsidRPr="00806A43">
        <w:rPr>
          <w:i/>
          <w:noProof/>
        </w:rPr>
        <w:t>Journal officiel de l’Union européenne</w:t>
      </w:r>
      <w:r w:rsidRPr="00806A43">
        <w:rPr>
          <w:noProof/>
        </w:rPr>
        <w:t>.</w:t>
      </w:r>
    </w:p>
    <w:p w:rsidR="00337BB6" w:rsidRPr="00806A43" w:rsidRDefault="00337BB6">
      <w:pPr>
        <w:pStyle w:val="Applicationdirecte"/>
        <w:rPr>
          <w:noProof/>
        </w:rPr>
      </w:pPr>
      <w:r w:rsidRPr="00806A43">
        <w:rPr>
          <w:noProof/>
        </w:rPr>
        <w:t>Le présent règlement est obligatoire dans tous ses éléments et directement applicable dans tout État membre.</w:t>
      </w:r>
    </w:p>
    <w:p w:rsidR="00337BB6" w:rsidRPr="00806A43" w:rsidRDefault="00806A43" w:rsidP="00537AB8">
      <w:pPr>
        <w:pStyle w:val="Fait"/>
        <w:rPr>
          <w:noProof/>
        </w:rPr>
      </w:pPr>
      <w:r>
        <w:rPr>
          <w:noProof/>
        </w:rPr>
        <w:t>Fait à Bruxelles, le</w:t>
      </w:r>
    </w:p>
    <w:p w:rsidR="00337BB6" w:rsidRPr="00806A43" w:rsidRDefault="00337BB6" w:rsidP="00537AB8">
      <w:pPr>
        <w:pStyle w:val="Institutionquisigne"/>
        <w:rPr>
          <w:noProof/>
        </w:rPr>
      </w:pPr>
      <w:r w:rsidRPr="00806A43">
        <w:rPr>
          <w:noProof/>
        </w:rPr>
        <w:t>Par le Parlement européen</w:t>
      </w:r>
      <w:r w:rsidRPr="00806A43">
        <w:rPr>
          <w:noProof/>
        </w:rPr>
        <w:tab/>
        <w:t>Par le Conseil</w:t>
      </w:r>
    </w:p>
    <w:p w:rsidR="00337BB6" w:rsidRPr="00806A43" w:rsidRDefault="00337BB6" w:rsidP="00337BB6">
      <w:pPr>
        <w:pStyle w:val="Personnequisigne"/>
        <w:rPr>
          <w:noProof/>
        </w:rPr>
      </w:pPr>
      <w:r w:rsidRPr="00806A43">
        <w:rPr>
          <w:noProof/>
        </w:rPr>
        <w:t>La présidente</w:t>
      </w:r>
      <w:r w:rsidRPr="00806A43">
        <w:rPr>
          <w:noProof/>
        </w:rPr>
        <w:tab/>
        <w:t>Le président</w:t>
      </w:r>
    </w:p>
    <w:p w:rsidR="00B74064" w:rsidRPr="00806A43" w:rsidRDefault="00B74064" w:rsidP="00AD06CC">
      <w:pPr>
        <w:rPr>
          <w:noProof/>
        </w:rPr>
        <w:sectPr w:rsidR="00B74064" w:rsidRPr="00806A43" w:rsidSect="00771ED9">
          <w:pgSz w:w="11907" w:h="16840" w:code="9"/>
          <w:pgMar w:top="1134" w:right="1418" w:bottom="1134" w:left="1418" w:header="709" w:footer="709" w:gutter="0"/>
          <w:cols w:space="708"/>
          <w:docGrid w:linePitch="360"/>
        </w:sectPr>
      </w:pPr>
    </w:p>
    <w:p w:rsidR="007B3FF8" w:rsidRPr="00806A43" w:rsidRDefault="007B3FF8" w:rsidP="007B3FF8">
      <w:pPr>
        <w:pStyle w:val="Fichefinanciretitre"/>
        <w:keepNext/>
        <w:rPr>
          <w:noProof/>
        </w:rPr>
      </w:pPr>
      <w:r w:rsidRPr="00806A43">
        <w:rPr>
          <w:noProof/>
        </w:rPr>
        <w:t>FICHE FINANCIÈRE ET NUMÉRIQUE LÉGISLATIVE</w:t>
      </w:r>
    </w:p>
    <w:p w:rsidR="007B3FF8" w:rsidRPr="00806A43" w:rsidRDefault="007B3FF8" w:rsidP="007B3FF8">
      <w:pPr>
        <w:pStyle w:val="TOC1"/>
        <w:rPr>
          <w:rFonts w:asciiTheme="minorHAnsi" w:eastAsiaTheme="minorEastAsia" w:hAnsiTheme="minorHAnsi" w:cstheme="minorBidi"/>
          <w:noProof/>
          <w:kern w:val="2"/>
          <w:sz w:val="22"/>
          <w14:ligatures w14:val="standardContextual"/>
        </w:rPr>
      </w:pPr>
      <w:r w:rsidRPr="00806A43">
        <w:rPr>
          <w:noProof/>
        </w:rPr>
        <w:t>1.</w:t>
      </w:r>
      <w:r w:rsidRPr="00806A43">
        <w:rPr>
          <w:noProof/>
        </w:rPr>
        <w:tab/>
        <w:t>CADRE DE LA PROPOSITION/DE L’INITIATIVE</w:t>
      </w:r>
      <w:r w:rsidRPr="00806A43">
        <w:rPr>
          <w:noProof/>
        </w:rPr>
        <w:tab/>
      </w:r>
      <w:r w:rsidRPr="00806A43">
        <w:rPr>
          <w:noProof/>
          <w:webHidden/>
        </w:rPr>
        <w:t>3</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1.1.</w:t>
      </w:r>
      <w:r w:rsidRPr="00806A43">
        <w:rPr>
          <w:noProof/>
        </w:rPr>
        <w:tab/>
        <w:t>Dénomination de la proposition/de l’initiative</w:t>
      </w:r>
      <w:r w:rsidRPr="00806A43">
        <w:rPr>
          <w:noProof/>
        </w:rPr>
        <w:tab/>
      </w:r>
      <w:r w:rsidRPr="00806A43">
        <w:rPr>
          <w:noProof/>
          <w:webHidden/>
        </w:rPr>
        <w:t>3</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1.2.</w:t>
      </w:r>
      <w:r w:rsidRPr="00806A43">
        <w:rPr>
          <w:noProof/>
        </w:rPr>
        <w:tab/>
        <w:t>Domaine(s) politique(s) concerné(s)</w:t>
      </w:r>
      <w:r w:rsidRPr="00806A43">
        <w:rPr>
          <w:noProof/>
        </w:rPr>
        <w:tab/>
      </w:r>
      <w:r w:rsidRPr="00806A43">
        <w:rPr>
          <w:noProof/>
          <w:webHidden/>
        </w:rPr>
        <w:t>3</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1.3.</w:t>
      </w:r>
      <w:r w:rsidRPr="00806A43">
        <w:rPr>
          <w:noProof/>
        </w:rPr>
        <w:tab/>
        <w:t>Objectif(s)</w:t>
      </w:r>
      <w:r w:rsidRPr="00806A43">
        <w:rPr>
          <w:noProof/>
        </w:rPr>
        <w:tab/>
      </w:r>
      <w:r w:rsidRPr="00806A43">
        <w:rPr>
          <w:noProof/>
          <w:webHidden/>
        </w:rPr>
        <w:t>3</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1.3.1.</w:t>
      </w:r>
      <w:r w:rsidRPr="00806A43">
        <w:rPr>
          <w:noProof/>
        </w:rPr>
        <w:tab/>
        <w:t>Objectif général / objectifs généraux</w:t>
      </w:r>
      <w:r w:rsidRPr="00806A43">
        <w:rPr>
          <w:noProof/>
        </w:rPr>
        <w:tab/>
      </w:r>
      <w:r w:rsidRPr="00806A43">
        <w:rPr>
          <w:noProof/>
          <w:webHidden/>
        </w:rPr>
        <w:t>3</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1.3.2.</w:t>
      </w:r>
      <w:r w:rsidRPr="00806A43">
        <w:rPr>
          <w:noProof/>
        </w:rPr>
        <w:tab/>
        <w:t>Objectif(s) spécifique(s)</w:t>
      </w:r>
      <w:r w:rsidRPr="00806A43">
        <w:rPr>
          <w:noProof/>
        </w:rPr>
        <w:tab/>
      </w:r>
      <w:r w:rsidRPr="00806A43">
        <w:rPr>
          <w:noProof/>
          <w:webHidden/>
        </w:rPr>
        <w:t>3</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1.3.3.</w:t>
      </w:r>
      <w:r w:rsidRPr="00806A43">
        <w:rPr>
          <w:noProof/>
        </w:rPr>
        <w:tab/>
        <w:t>Résultat(s) et incidence(s) attendus</w:t>
      </w:r>
      <w:r w:rsidRPr="00806A43">
        <w:rPr>
          <w:noProof/>
        </w:rPr>
        <w:tab/>
      </w:r>
      <w:r w:rsidRPr="00806A43">
        <w:rPr>
          <w:noProof/>
          <w:webHidden/>
        </w:rPr>
        <w:t>3</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1.3.4.</w:t>
      </w:r>
      <w:r w:rsidRPr="00806A43">
        <w:rPr>
          <w:noProof/>
        </w:rPr>
        <w:tab/>
        <w:t>Indicateurs de performance</w:t>
      </w:r>
      <w:r w:rsidRPr="00806A43">
        <w:rPr>
          <w:noProof/>
        </w:rPr>
        <w:tab/>
      </w:r>
      <w:r w:rsidRPr="00806A43">
        <w:rPr>
          <w:noProof/>
          <w:webHidden/>
        </w:rPr>
        <w:t>3</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1.4.</w:t>
      </w:r>
      <w:r w:rsidRPr="00806A43">
        <w:rPr>
          <w:noProof/>
        </w:rPr>
        <w:tab/>
        <w:t>La proposition/l’initiative porte sur:</w:t>
      </w:r>
      <w:r w:rsidRPr="00806A43">
        <w:rPr>
          <w:noProof/>
        </w:rPr>
        <w:tab/>
      </w:r>
      <w:r w:rsidRPr="00806A43">
        <w:rPr>
          <w:noProof/>
          <w:webHidden/>
        </w:rPr>
        <w:t>4</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1.5.</w:t>
      </w:r>
      <w:r w:rsidRPr="00806A43">
        <w:rPr>
          <w:noProof/>
        </w:rPr>
        <w:tab/>
        <w:t>Justification(s) de la proposition/de l'initiative</w:t>
      </w:r>
      <w:r w:rsidRPr="00806A43">
        <w:rPr>
          <w:noProof/>
        </w:rPr>
        <w:tab/>
      </w:r>
      <w:r w:rsidRPr="00806A43">
        <w:rPr>
          <w:noProof/>
          <w:webHidden/>
        </w:rPr>
        <w:t>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1.5.1.</w:t>
      </w:r>
      <w:r w:rsidRPr="00806A43">
        <w:rPr>
          <w:noProof/>
        </w:rPr>
        <w:tab/>
        <w:t>Besoin(s) à satisfaire à court ou à long terme, assorti(s) d’un calendrier détaillé pour la mise en œuvre de l’initiative</w:t>
      </w:r>
      <w:r w:rsidRPr="00806A43">
        <w:rPr>
          <w:noProof/>
        </w:rPr>
        <w:tab/>
      </w:r>
      <w:r w:rsidRPr="00806A43">
        <w:rPr>
          <w:noProof/>
          <w:webHidden/>
        </w:rPr>
        <w:t>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1.5.2.</w:t>
      </w:r>
      <w:r w:rsidRPr="00806A43">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sidRPr="00806A43">
        <w:rPr>
          <w:noProof/>
        </w:rPr>
        <w:tab/>
      </w:r>
      <w:r w:rsidRPr="00806A43">
        <w:rPr>
          <w:noProof/>
          <w:webHidden/>
        </w:rPr>
        <w:t>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1.5.3.</w:t>
      </w:r>
      <w:r w:rsidRPr="00806A43">
        <w:rPr>
          <w:noProof/>
        </w:rPr>
        <w:tab/>
        <w:t>Leçons tirées d'expériences similaires</w:t>
      </w:r>
      <w:r w:rsidRPr="00806A43">
        <w:rPr>
          <w:noProof/>
        </w:rPr>
        <w:tab/>
      </w:r>
      <w:r w:rsidRPr="00806A43">
        <w:rPr>
          <w:noProof/>
          <w:webHidden/>
        </w:rPr>
        <w:t>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1.5.4.</w:t>
      </w:r>
      <w:r w:rsidRPr="00806A43">
        <w:rPr>
          <w:noProof/>
        </w:rPr>
        <w:tab/>
        <w:t>Compatibilité avec le cadre financier pluriannuel et synergies éventuelles avec d’autres instruments appropriés</w:t>
      </w:r>
      <w:r w:rsidRPr="00806A43">
        <w:rPr>
          <w:noProof/>
        </w:rPr>
        <w:tab/>
      </w:r>
      <w:r w:rsidRPr="00806A43">
        <w:rPr>
          <w:noProof/>
          <w:webHidden/>
        </w:rPr>
        <w:t>5</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1.5.5.</w:t>
      </w:r>
      <w:r w:rsidRPr="00806A43">
        <w:rPr>
          <w:noProof/>
        </w:rPr>
        <w:tab/>
        <w:t>Évaluation des différentes possibilités de financement disponibles, y compris des possibilités de redéploiement</w:t>
      </w:r>
      <w:r w:rsidRPr="00806A43">
        <w:rPr>
          <w:noProof/>
        </w:rPr>
        <w:tab/>
      </w:r>
      <w:r w:rsidRPr="00806A43">
        <w:rPr>
          <w:noProof/>
          <w:webHidden/>
        </w:rPr>
        <w:t>5</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1.6.</w:t>
      </w:r>
      <w:r w:rsidRPr="00806A43">
        <w:rPr>
          <w:noProof/>
        </w:rPr>
        <w:tab/>
        <w:t>Durée de la proposition/de l’initiative et de son incidence financière</w:t>
      </w:r>
      <w:r w:rsidRPr="00806A43">
        <w:rPr>
          <w:noProof/>
        </w:rPr>
        <w:tab/>
      </w:r>
      <w:r w:rsidRPr="00806A43">
        <w:rPr>
          <w:noProof/>
          <w:webHidden/>
        </w:rPr>
        <w:t>6</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1.7.</w:t>
      </w:r>
      <w:r w:rsidRPr="00806A43">
        <w:rPr>
          <w:noProof/>
        </w:rPr>
        <w:tab/>
        <w:t>Mode(s) d’exécution budgétaire prévu(s)</w:t>
      </w:r>
      <w:r w:rsidRPr="00806A43">
        <w:rPr>
          <w:noProof/>
        </w:rPr>
        <w:tab/>
      </w:r>
      <w:r w:rsidRPr="00806A43">
        <w:rPr>
          <w:noProof/>
          <w:webHidden/>
        </w:rPr>
        <w:t>6</w:t>
      </w:r>
    </w:p>
    <w:p w:rsidR="007B3FF8" w:rsidRPr="00806A43" w:rsidRDefault="007B3FF8" w:rsidP="007B3FF8">
      <w:pPr>
        <w:pStyle w:val="TOC1"/>
        <w:rPr>
          <w:rFonts w:asciiTheme="minorHAnsi" w:eastAsiaTheme="minorEastAsia" w:hAnsiTheme="minorHAnsi" w:cstheme="minorBidi"/>
          <w:noProof/>
          <w:kern w:val="2"/>
          <w:sz w:val="22"/>
          <w14:ligatures w14:val="standardContextual"/>
        </w:rPr>
      </w:pPr>
      <w:r w:rsidRPr="00806A43">
        <w:rPr>
          <w:noProof/>
        </w:rPr>
        <w:t>2.</w:t>
      </w:r>
      <w:r w:rsidRPr="00806A43">
        <w:rPr>
          <w:noProof/>
        </w:rPr>
        <w:tab/>
        <w:t>MESURES DE GESTION</w:t>
      </w:r>
      <w:r w:rsidRPr="00806A43">
        <w:rPr>
          <w:noProof/>
        </w:rPr>
        <w:tab/>
      </w:r>
      <w:r w:rsidRPr="00806A43">
        <w:rPr>
          <w:noProof/>
          <w:webHidden/>
        </w:rPr>
        <w:t>8</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2.1.</w:t>
      </w:r>
      <w:r w:rsidRPr="00806A43">
        <w:rPr>
          <w:noProof/>
        </w:rPr>
        <w:tab/>
        <w:t>Dispositions en matière de suivi et de compte rendu</w:t>
      </w:r>
      <w:r w:rsidRPr="00806A43">
        <w:rPr>
          <w:noProof/>
        </w:rPr>
        <w:tab/>
      </w:r>
      <w:r w:rsidRPr="00806A43">
        <w:rPr>
          <w:noProof/>
          <w:webHidden/>
        </w:rPr>
        <w:t>8</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2.2.</w:t>
      </w:r>
      <w:r w:rsidRPr="00806A43">
        <w:rPr>
          <w:noProof/>
        </w:rPr>
        <w:tab/>
        <w:t>Système(s) de gestion et de contrôle</w:t>
      </w:r>
      <w:r w:rsidRPr="00806A43">
        <w:rPr>
          <w:noProof/>
        </w:rPr>
        <w:tab/>
      </w:r>
      <w:r w:rsidRPr="00806A43">
        <w:rPr>
          <w:noProof/>
          <w:webHidden/>
        </w:rPr>
        <w:t>8</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2.2.1.</w:t>
      </w:r>
      <w:r w:rsidRPr="00806A43">
        <w:rPr>
          <w:noProof/>
        </w:rPr>
        <w:tab/>
        <w:t>Justification du (des) mode(s) d’exécution budgétaire, du (des) mécanisme(s) de mise en œuvre du financement, des modalités de paiement et de la stratégie de contrôle proposée</w:t>
      </w:r>
      <w:r w:rsidRPr="00806A43">
        <w:rPr>
          <w:noProof/>
        </w:rPr>
        <w:tab/>
      </w:r>
      <w:r w:rsidRPr="00806A43">
        <w:rPr>
          <w:noProof/>
          <w:webHidden/>
        </w:rPr>
        <w:t>8</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2.2.2.</w:t>
      </w:r>
      <w:r w:rsidRPr="00806A43">
        <w:rPr>
          <w:noProof/>
        </w:rPr>
        <w:tab/>
        <w:t>Informations sur les risques recensés et sur le(s) système(s) de contrôle interne mis en place pour les atténuer</w:t>
      </w:r>
      <w:r w:rsidRPr="00806A43">
        <w:rPr>
          <w:noProof/>
        </w:rPr>
        <w:tab/>
      </w:r>
      <w:r w:rsidRPr="00806A43">
        <w:rPr>
          <w:noProof/>
          <w:webHidden/>
        </w:rPr>
        <w:t>8</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2.2.3.</w:t>
      </w:r>
      <w:r w:rsidRPr="00806A43">
        <w:rPr>
          <w:noProof/>
        </w:rPr>
        <w:tab/>
        <w:t>Estimation et justification du rapport coût/efficacité des contrôles (rapport entre les coûts du contrôle et la valeur des fonds gérés concernés), et évaluation du niveau attendu de risque d’erreur (lors du paiement et lors de la clôture)</w:t>
      </w:r>
      <w:r w:rsidRPr="00806A43">
        <w:rPr>
          <w:noProof/>
        </w:rPr>
        <w:tab/>
      </w:r>
      <w:r w:rsidRPr="00806A43">
        <w:rPr>
          <w:noProof/>
          <w:webHidden/>
        </w:rPr>
        <w:t>8</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2.3.</w:t>
      </w:r>
      <w:r w:rsidRPr="00806A43">
        <w:rPr>
          <w:noProof/>
        </w:rPr>
        <w:tab/>
        <w:t>Mesures de prévention des fraudes et irrégularités</w:t>
      </w:r>
      <w:r w:rsidRPr="00806A43">
        <w:rPr>
          <w:noProof/>
        </w:rPr>
        <w:tab/>
      </w:r>
      <w:r w:rsidRPr="00806A43">
        <w:rPr>
          <w:noProof/>
          <w:webHidden/>
        </w:rPr>
        <w:t>9</w:t>
      </w:r>
    </w:p>
    <w:p w:rsidR="007B3FF8" w:rsidRPr="00806A43" w:rsidRDefault="007B3FF8" w:rsidP="007B3FF8">
      <w:pPr>
        <w:pStyle w:val="TOC1"/>
        <w:rPr>
          <w:rFonts w:asciiTheme="minorHAnsi" w:eastAsiaTheme="minorEastAsia" w:hAnsiTheme="minorHAnsi" w:cstheme="minorBidi"/>
          <w:noProof/>
          <w:kern w:val="2"/>
          <w:sz w:val="22"/>
          <w14:ligatures w14:val="standardContextual"/>
        </w:rPr>
      </w:pPr>
      <w:r w:rsidRPr="00806A43">
        <w:rPr>
          <w:noProof/>
        </w:rPr>
        <w:t>3.</w:t>
      </w:r>
      <w:r w:rsidRPr="00806A43">
        <w:rPr>
          <w:noProof/>
        </w:rPr>
        <w:tab/>
        <w:t>INCIDENCE FINANCIÈRE ESTIMÉE DE LA PROPOSITION/DE L'INITIATIVE</w:t>
      </w:r>
      <w:r w:rsidRPr="00806A43">
        <w:rPr>
          <w:noProof/>
        </w:rPr>
        <w:tab/>
      </w:r>
      <w:r w:rsidRPr="00806A43">
        <w:rPr>
          <w:noProof/>
          <w:webHidden/>
        </w:rPr>
        <w:t>10</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3.1.</w:t>
      </w:r>
      <w:r w:rsidRPr="00806A43">
        <w:rPr>
          <w:noProof/>
        </w:rPr>
        <w:tab/>
        <w:t>Rubrique(s) du cadre financier pluriannuel et ligne(s) budgétaire(s) de dépenses concernée(s)</w:t>
      </w:r>
      <w:r w:rsidRPr="00806A43">
        <w:rPr>
          <w:noProof/>
        </w:rPr>
        <w:tab/>
      </w:r>
      <w:r w:rsidRPr="00806A43">
        <w:rPr>
          <w:noProof/>
          <w:webHidden/>
        </w:rPr>
        <w:t>10</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3.2.</w:t>
      </w:r>
      <w:r w:rsidRPr="00806A43">
        <w:rPr>
          <w:noProof/>
        </w:rPr>
        <w:tab/>
        <w:t>Incidence financière estimée de la proposition sur les crédits</w:t>
      </w:r>
      <w:r w:rsidRPr="00806A43">
        <w:rPr>
          <w:noProof/>
        </w:rPr>
        <w:tab/>
      </w:r>
      <w:r w:rsidRPr="00806A43">
        <w:rPr>
          <w:noProof/>
          <w:webHidden/>
        </w:rPr>
        <w:t>12</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3.2.1.</w:t>
      </w:r>
      <w:r w:rsidRPr="00806A43">
        <w:rPr>
          <w:noProof/>
        </w:rPr>
        <w:tab/>
        <w:t>Synthèse de l’incidence estimée sur les crédits opérationnels</w:t>
      </w:r>
      <w:r w:rsidRPr="00806A43">
        <w:rPr>
          <w:noProof/>
        </w:rPr>
        <w:tab/>
      </w:r>
      <w:r w:rsidRPr="00806A43">
        <w:rPr>
          <w:noProof/>
          <w:webHidden/>
        </w:rPr>
        <w:t>12</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3.2.1.1.</w:t>
      </w:r>
      <w:r w:rsidRPr="00806A43">
        <w:rPr>
          <w:noProof/>
        </w:rPr>
        <w:tab/>
        <w:t>Crédits issus du budget voté</w:t>
      </w:r>
      <w:r w:rsidRPr="00806A43">
        <w:rPr>
          <w:noProof/>
        </w:rPr>
        <w:tab/>
      </w:r>
      <w:r w:rsidRPr="00806A43">
        <w:rPr>
          <w:noProof/>
          <w:webHidden/>
        </w:rPr>
        <w:t>12</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3.2.1.2.</w:t>
      </w:r>
      <w:r w:rsidRPr="00806A43">
        <w:rPr>
          <w:noProof/>
        </w:rPr>
        <w:tab/>
        <w:t>Crédits issus de recettes affectées externes</w:t>
      </w:r>
      <w:r w:rsidRPr="00806A43">
        <w:rPr>
          <w:noProof/>
        </w:rPr>
        <w:tab/>
      </w:r>
      <w:r w:rsidRPr="00806A43">
        <w:rPr>
          <w:noProof/>
          <w:webHidden/>
        </w:rPr>
        <w:t>17</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3.2.2.</w:t>
      </w:r>
      <w:r w:rsidRPr="00806A43">
        <w:rPr>
          <w:noProof/>
        </w:rPr>
        <w:tab/>
        <w:t>Estimation des réalisations financées à partir des crédits opérationnels</w:t>
      </w:r>
      <w:r w:rsidRPr="00806A43">
        <w:rPr>
          <w:noProof/>
        </w:rPr>
        <w:tab/>
      </w:r>
      <w:r w:rsidRPr="00806A43">
        <w:rPr>
          <w:noProof/>
          <w:webHidden/>
        </w:rPr>
        <w:t>22</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3.2.3.</w:t>
      </w:r>
      <w:r w:rsidRPr="00806A43">
        <w:rPr>
          <w:noProof/>
        </w:rPr>
        <w:tab/>
        <w:t>Synthèse de l’incidence estimée sur les crédits administratifs</w:t>
      </w:r>
      <w:r w:rsidRPr="00806A43">
        <w:rPr>
          <w:noProof/>
        </w:rPr>
        <w:tab/>
      </w:r>
      <w:r w:rsidRPr="00806A43">
        <w:rPr>
          <w:noProof/>
          <w:webHidden/>
        </w:rPr>
        <w:t>24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3.2.3.1. Crédits issus du budget voté</w:t>
      </w:r>
      <w:r w:rsidRPr="00806A43">
        <w:rPr>
          <w:noProof/>
        </w:rPr>
        <w:tab/>
      </w:r>
      <w:r w:rsidRPr="00806A43">
        <w:rPr>
          <w:noProof/>
          <w:webHidden/>
        </w:rPr>
        <w:t>24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3.2.3.2.</w:t>
      </w:r>
      <w:r w:rsidRPr="00806A43">
        <w:rPr>
          <w:noProof/>
        </w:rPr>
        <w:tab/>
        <w:t>Crédits issus de recettes affectées externes</w:t>
      </w:r>
      <w:r w:rsidRPr="00806A43">
        <w:rPr>
          <w:noProof/>
        </w:rPr>
        <w:tab/>
      </w:r>
      <w:r w:rsidRPr="00806A43">
        <w:rPr>
          <w:noProof/>
          <w:webHidden/>
        </w:rPr>
        <w:t>24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3.2.3.3.</w:t>
      </w:r>
      <w:r w:rsidRPr="00806A43">
        <w:rPr>
          <w:noProof/>
        </w:rPr>
        <w:tab/>
        <w:t>Total des crédits</w:t>
      </w:r>
      <w:r w:rsidRPr="00806A43">
        <w:rPr>
          <w:noProof/>
        </w:rPr>
        <w:tab/>
      </w:r>
      <w:r w:rsidRPr="00806A43">
        <w:rPr>
          <w:noProof/>
          <w:webHidden/>
        </w:rPr>
        <w:t>24</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3.2.4.</w:t>
      </w:r>
      <w:r w:rsidRPr="00806A43">
        <w:rPr>
          <w:noProof/>
        </w:rPr>
        <w:tab/>
        <w:t>Besoins estimés en ressources humaines</w:t>
      </w:r>
      <w:r w:rsidRPr="00806A43">
        <w:rPr>
          <w:noProof/>
        </w:rPr>
        <w:tab/>
      </w:r>
      <w:r w:rsidRPr="00806A43">
        <w:rPr>
          <w:noProof/>
          <w:webHidden/>
        </w:rPr>
        <w:t>25</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3.2.4.1.</w:t>
      </w:r>
      <w:r w:rsidRPr="00806A43">
        <w:rPr>
          <w:noProof/>
        </w:rPr>
        <w:tab/>
        <w:t>Financement sur le budget voté</w:t>
      </w:r>
      <w:r w:rsidRPr="00806A43">
        <w:rPr>
          <w:noProof/>
        </w:rPr>
        <w:tab/>
      </w:r>
      <w:r w:rsidRPr="00806A43">
        <w:rPr>
          <w:noProof/>
          <w:webHidden/>
        </w:rPr>
        <w:t>25</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3.2.4.2.</w:t>
      </w:r>
      <w:r w:rsidRPr="00806A43">
        <w:rPr>
          <w:noProof/>
        </w:rPr>
        <w:tab/>
        <w:t>Financement par des recettes affectées externes</w:t>
      </w:r>
      <w:r w:rsidRPr="00806A43">
        <w:rPr>
          <w:noProof/>
        </w:rPr>
        <w:tab/>
      </w:r>
      <w:r w:rsidRPr="00806A43">
        <w:rPr>
          <w:noProof/>
          <w:webHidden/>
        </w:rPr>
        <w:t>26</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3.2.4.3.</w:t>
      </w:r>
      <w:r w:rsidRPr="00806A43">
        <w:rPr>
          <w:noProof/>
        </w:rPr>
        <w:tab/>
        <w:t>Total des besoins en ressources humaines</w:t>
      </w:r>
      <w:r w:rsidRPr="00806A43">
        <w:rPr>
          <w:noProof/>
        </w:rPr>
        <w:tab/>
      </w:r>
      <w:r w:rsidRPr="00806A43">
        <w:rPr>
          <w:noProof/>
          <w:webHidden/>
        </w:rPr>
        <w:t>26</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3.2.5.</w:t>
      </w:r>
      <w:r w:rsidRPr="00806A43">
        <w:rPr>
          <w:noProof/>
        </w:rPr>
        <w:tab/>
        <w:t>Vue d’ensemble de l’incidence estimée sur les investissements liés aux technologies numériques</w:t>
      </w:r>
      <w:r w:rsidRPr="00806A43">
        <w:rPr>
          <w:noProof/>
        </w:rPr>
        <w:tab/>
      </w:r>
      <w:r w:rsidRPr="00806A43">
        <w:rPr>
          <w:noProof/>
          <w:webHidden/>
        </w:rPr>
        <w:t>28</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3.2.6.</w:t>
      </w:r>
      <w:r w:rsidRPr="00806A43">
        <w:rPr>
          <w:noProof/>
        </w:rPr>
        <w:tab/>
        <w:t>Compatibilité avec le cadre financier pluriannuel actuel</w:t>
      </w:r>
      <w:r w:rsidRPr="00806A43">
        <w:rPr>
          <w:noProof/>
        </w:rPr>
        <w:tab/>
      </w:r>
      <w:r w:rsidRPr="00806A43">
        <w:rPr>
          <w:noProof/>
          <w:webHidden/>
        </w:rPr>
        <w:t>28</w:t>
      </w:r>
    </w:p>
    <w:p w:rsidR="007B3FF8" w:rsidRPr="00806A43" w:rsidRDefault="007B3FF8" w:rsidP="007B3FF8">
      <w:pPr>
        <w:pStyle w:val="TOC3"/>
        <w:rPr>
          <w:rFonts w:asciiTheme="minorHAnsi" w:eastAsiaTheme="minorEastAsia" w:hAnsiTheme="minorHAnsi" w:cstheme="minorBidi"/>
          <w:noProof/>
          <w:kern w:val="2"/>
          <w:sz w:val="22"/>
          <w14:ligatures w14:val="standardContextual"/>
        </w:rPr>
      </w:pPr>
      <w:r w:rsidRPr="00806A43">
        <w:rPr>
          <w:noProof/>
        </w:rPr>
        <w:t>3.2.7.</w:t>
      </w:r>
      <w:r w:rsidRPr="00806A43">
        <w:rPr>
          <w:noProof/>
        </w:rPr>
        <w:tab/>
        <w:t>Participation de tiers au financement</w:t>
      </w:r>
      <w:r w:rsidRPr="00806A43">
        <w:rPr>
          <w:noProof/>
        </w:rPr>
        <w:tab/>
      </w:r>
      <w:r w:rsidRPr="00806A43">
        <w:rPr>
          <w:noProof/>
          <w:webHidden/>
        </w:rPr>
        <w:t>28</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3.3.</w:t>
      </w:r>
      <w:r w:rsidRPr="00806A43">
        <w:rPr>
          <w:noProof/>
        </w:rPr>
        <w:tab/>
        <w:t>Incidence estimée sur les recettes</w:t>
      </w:r>
      <w:r w:rsidRPr="00806A43">
        <w:rPr>
          <w:noProof/>
        </w:rPr>
        <w:tab/>
      </w:r>
      <w:r w:rsidRPr="00806A43">
        <w:rPr>
          <w:noProof/>
          <w:webHidden/>
        </w:rPr>
        <w:t>29</w:t>
      </w:r>
    </w:p>
    <w:p w:rsidR="007B3FF8" w:rsidRPr="00806A43" w:rsidRDefault="007B3FF8" w:rsidP="007B3FF8">
      <w:pPr>
        <w:pStyle w:val="TOC1"/>
        <w:rPr>
          <w:rFonts w:asciiTheme="minorHAnsi" w:eastAsiaTheme="minorEastAsia" w:hAnsiTheme="minorHAnsi" w:cstheme="minorBidi"/>
          <w:noProof/>
          <w:kern w:val="2"/>
          <w:sz w:val="22"/>
          <w14:ligatures w14:val="standardContextual"/>
        </w:rPr>
      </w:pPr>
      <w:r w:rsidRPr="00806A43">
        <w:rPr>
          <w:noProof/>
        </w:rPr>
        <w:t>4.</w:t>
      </w:r>
      <w:r w:rsidRPr="00806A43">
        <w:rPr>
          <w:noProof/>
        </w:rPr>
        <w:tab/>
      </w:r>
      <w:r w:rsidRPr="00806A43">
        <w:rPr>
          <w:caps/>
          <w:noProof/>
        </w:rPr>
        <w:t>Dimensions numériques</w:t>
      </w:r>
      <w:r w:rsidRPr="00806A43">
        <w:rPr>
          <w:noProof/>
        </w:rPr>
        <w:tab/>
      </w:r>
      <w:r w:rsidRPr="00806A43">
        <w:rPr>
          <w:noProof/>
          <w:webHidden/>
        </w:rPr>
        <w:t>29</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4.1.</w:t>
      </w:r>
      <w:r w:rsidRPr="00806A43">
        <w:rPr>
          <w:noProof/>
        </w:rPr>
        <w:tab/>
        <w:t>Exigences pertinentes en matière numérique</w:t>
      </w:r>
      <w:r w:rsidRPr="00806A43">
        <w:rPr>
          <w:noProof/>
        </w:rPr>
        <w:tab/>
      </w:r>
      <w:r w:rsidRPr="00806A43">
        <w:rPr>
          <w:noProof/>
          <w:webHidden/>
        </w:rPr>
        <w:t>30</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4.2.</w:t>
      </w:r>
      <w:r w:rsidRPr="00806A43">
        <w:rPr>
          <w:noProof/>
        </w:rPr>
        <w:tab/>
        <w:t>Données</w:t>
      </w:r>
      <w:r w:rsidRPr="00806A43">
        <w:rPr>
          <w:noProof/>
        </w:rPr>
        <w:tab/>
      </w:r>
      <w:r w:rsidRPr="00806A43">
        <w:rPr>
          <w:noProof/>
          <w:webHidden/>
        </w:rPr>
        <w:t>30</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4.3.</w:t>
      </w:r>
      <w:r w:rsidRPr="00806A43">
        <w:rPr>
          <w:noProof/>
        </w:rPr>
        <w:tab/>
        <w:t>Solutions numériques</w:t>
      </w:r>
      <w:r w:rsidRPr="00806A43">
        <w:rPr>
          <w:noProof/>
        </w:rPr>
        <w:tab/>
      </w:r>
      <w:r w:rsidRPr="00806A43">
        <w:rPr>
          <w:noProof/>
          <w:webHidden/>
        </w:rPr>
        <w:t>31</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4.4.</w:t>
      </w:r>
      <w:r w:rsidRPr="00806A43">
        <w:rPr>
          <w:noProof/>
        </w:rPr>
        <w:tab/>
        <w:t>Évaluation de l’interopérabilité</w:t>
      </w:r>
      <w:r w:rsidRPr="00806A43">
        <w:rPr>
          <w:noProof/>
        </w:rPr>
        <w:tab/>
      </w:r>
      <w:r w:rsidRPr="00806A43">
        <w:rPr>
          <w:noProof/>
          <w:webHidden/>
        </w:rPr>
        <w:t>31</w:t>
      </w:r>
    </w:p>
    <w:p w:rsidR="007B3FF8" w:rsidRPr="00806A43" w:rsidRDefault="007B3FF8" w:rsidP="007B3FF8">
      <w:pPr>
        <w:pStyle w:val="TOC2"/>
        <w:rPr>
          <w:rFonts w:asciiTheme="minorHAnsi" w:eastAsiaTheme="minorEastAsia" w:hAnsiTheme="minorHAnsi" w:cstheme="minorBidi"/>
          <w:noProof/>
          <w:kern w:val="2"/>
          <w:sz w:val="22"/>
          <w14:ligatures w14:val="standardContextual"/>
        </w:rPr>
      </w:pPr>
      <w:r w:rsidRPr="00806A43">
        <w:rPr>
          <w:noProof/>
        </w:rPr>
        <w:t>4.5.</w:t>
      </w:r>
      <w:r w:rsidRPr="00806A43">
        <w:rPr>
          <w:noProof/>
        </w:rPr>
        <w:tab/>
        <w:t>Mesures de soutien de la mise en œuvre numérique</w:t>
      </w:r>
      <w:r w:rsidRPr="00806A43">
        <w:rPr>
          <w:noProof/>
        </w:rPr>
        <w:tab/>
      </w:r>
      <w:r w:rsidRPr="00806A43">
        <w:rPr>
          <w:noProof/>
          <w:webHidden/>
        </w:rPr>
        <w:t>32</w:t>
      </w:r>
    </w:p>
    <w:p w:rsidR="007B3FF8" w:rsidRPr="00806A43" w:rsidRDefault="007B3FF8" w:rsidP="74F8DA27">
      <w:pPr>
        <w:pStyle w:val="Text1"/>
        <w:ind w:left="0"/>
        <w:rPr>
          <w:noProof/>
        </w:rPr>
      </w:pPr>
    </w:p>
    <w:p w:rsidR="00012390" w:rsidRPr="00806A43" w:rsidRDefault="00012390" w:rsidP="74F8DA27">
      <w:pPr>
        <w:pStyle w:val="Text1"/>
        <w:ind w:left="0"/>
        <w:rPr>
          <w:noProof/>
        </w:rPr>
      </w:pPr>
    </w:p>
    <w:p w:rsidR="00012390" w:rsidRPr="00806A43" w:rsidRDefault="00012390" w:rsidP="00012390">
      <w:pPr>
        <w:pStyle w:val="ManualHeading1"/>
        <w:rPr>
          <w:noProof/>
        </w:rPr>
      </w:pPr>
      <w:r w:rsidRPr="00806A43">
        <w:rPr>
          <w:noProof/>
        </w:rPr>
        <w:t xml:space="preserve">CADRE DE LA PROPOSITION/DE L'INITIATIVE </w:t>
      </w:r>
    </w:p>
    <w:p w:rsidR="00012390" w:rsidRPr="00806A43" w:rsidRDefault="00012390" w:rsidP="00012390">
      <w:pPr>
        <w:pStyle w:val="ManualHeading2"/>
        <w:rPr>
          <w:noProof/>
        </w:rPr>
      </w:pPr>
      <w:bookmarkStart w:id="2" w:name="_Toc514938008"/>
      <w:bookmarkStart w:id="3" w:name="_Toc520485026"/>
      <w:bookmarkStart w:id="4" w:name="_Toc160804568"/>
      <w:bookmarkStart w:id="5" w:name="_Toc167220260"/>
      <w:bookmarkStart w:id="6" w:name="_Toc177548993"/>
      <w:r w:rsidRPr="00806A43">
        <w:rPr>
          <w:noProof/>
        </w:rPr>
        <w:t>1.1.</w:t>
      </w:r>
      <w:r w:rsidRPr="00806A43">
        <w:rPr>
          <w:noProof/>
        </w:rPr>
        <w:tab/>
        <w:t>Dénomination de la proposition/de l'initiative</w:t>
      </w:r>
      <w:bookmarkEnd w:id="2"/>
      <w:bookmarkEnd w:id="3"/>
      <w:bookmarkEnd w:id="4"/>
      <w:bookmarkEnd w:id="5"/>
      <w:bookmarkEnd w:id="6"/>
    </w:p>
    <w:p w:rsidR="00012390" w:rsidRPr="00806A43" w:rsidRDefault="008074FF"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Proposition de règlement du Parlement européen et du Conseil modifiant le règlement (UE) 2024/792 du Parlement européen et du Conseil du 29 février 2024 établissant la facilité pour l’Ukraine.</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ManualHeading2"/>
        <w:rPr>
          <w:i/>
          <w:noProof/>
        </w:rPr>
      </w:pPr>
      <w:bookmarkStart w:id="7" w:name="_Toc514938011"/>
      <w:bookmarkStart w:id="8" w:name="_Toc520485027"/>
      <w:bookmarkStart w:id="9" w:name="_Toc160804569"/>
      <w:bookmarkStart w:id="10" w:name="_Toc167220261"/>
      <w:bookmarkStart w:id="11" w:name="_Toc177548994"/>
      <w:r w:rsidRPr="00806A43">
        <w:rPr>
          <w:noProof/>
        </w:rPr>
        <w:t>1.2.</w:t>
      </w:r>
      <w:r w:rsidRPr="00806A43">
        <w:rPr>
          <w:noProof/>
        </w:rPr>
        <w:tab/>
        <w:t>Domaine(s) politique(s) concerné(s)</w:t>
      </w:r>
      <w:bookmarkEnd w:id="7"/>
      <w:bookmarkEnd w:id="8"/>
      <w:bookmarkEnd w:id="9"/>
      <w:bookmarkEnd w:id="10"/>
      <w:bookmarkEnd w:id="11"/>
      <w:r w:rsidRPr="00806A43">
        <w:rPr>
          <w:i/>
          <w:noProof/>
        </w:rPr>
        <w:t xml:space="preserve"> </w:t>
      </w:r>
    </w:p>
    <w:p w:rsidR="00012390" w:rsidRPr="00806A43" w:rsidRDefault="006D10B8"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Relations de l’Union européenne avec le reste du monde, soutien économique et financier.</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ManualHeading2"/>
        <w:rPr>
          <w:noProof/>
        </w:rPr>
      </w:pPr>
      <w:bookmarkStart w:id="12" w:name="_Toc514938015"/>
      <w:bookmarkStart w:id="13" w:name="_Toc520485029"/>
      <w:bookmarkStart w:id="14" w:name="_Toc160804571"/>
      <w:bookmarkStart w:id="15" w:name="_Toc167220263"/>
      <w:bookmarkStart w:id="16" w:name="_Toc177548995"/>
      <w:r w:rsidRPr="00806A43">
        <w:rPr>
          <w:noProof/>
        </w:rPr>
        <w:t>1.3.</w:t>
      </w:r>
      <w:r w:rsidRPr="00806A43">
        <w:rPr>
          <w:noProof/>
        </w:rPr>
        <w:tab/>
        <w:t>Objectif(s)</w:t>
      </w:r>
      <w:bookmarkEnd w:id="12"/>
      <w:bookmarkEnd w:id="13"/>
      <w:bookmarkEnd w:id="14"/>
      <w:bookmarkEnd w:id="15"/>
      <w:bookmarkEnd w:id="16"/>
    </w:p>
    <w:p w:rsidR="00012390" w:rsidRPr="00806A43" w:rsidRDefault="00012390" w:rsidP="00012390">
      <w:pPr>
        <w:pStyle w:val="ManualHeading3"/>
        <w:rPr>
          <w:noProof/>
        </w:rPr>
      </w:pPr>
      <w:bookmarkStart w:id="17" w:name="_Toc514938016"/>
      <w:bookmarkStart w:id="18" w:name="_Toc520485030"/>
      <w:bookmarkStart w:id="19" w:name="_Toc160804572"/>
      <w:bookmarkStart w:id="20" w:name="_Toc167220264"/>
      <w:bookmarkStart w:id="21" w:name="_Toc177548996"/>
      <w:r w:rsidRPr="00806A43">
        <w:rPr>
          <w:noProof/>
        </w:rPr>
        <w:t>1.3.1.</w:t>
      </w:r>
      <w:r w:rsidRPr="00806A43">
        <w:rPr>
          <w:noProof/>
        </w:rPr>
        <w:tab/>
        <w:t>Objectif général / objectifs généraux</w:t>
      </w:r>
      <w:bookmarkEnd w:id="17"/>
      <w:bookmarkEnd w:id="18"/>
      <w:bookmarkEnd w:id="19"/>
      <w:bookmarkEnd w:id="20"/>
      <w:bookmarkEnd w:id="21"/>
    </w:p>
    <w:p w:rsidR="00012390" w:rsidRPr="00806A43" w:rsidRDefault="00714C20"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Mettre à la disposition de l’Ukraine une assistance financière et économique en vertu du règlement sur le prêt de soutien à l’Ukraine en vue d’aider ce pays à couvrir ses besoins de financement pour 2026 et 2027, notamment ceux résultant de la guerre d’agression menée par la Russie.</w:t>
      </w:r>
    </w:p>
    <w:p w:rsidR="00012390" w:rsidRPr="00806A43" w:rsidRDefault="00012390" w:rsidP="00012390">
      <w:pPr>
        <w:pStyle w:val="ManualHeading3"/>
        <w:rPr>
          <w:noProof/>
        </w:rPr>
      </w:pPr>
      <w:bookmarkStart w:id="22" w:name="_Toc514938018"/>
      <w:bookmarkStart w:id="23" w:name="_Toc520485031"/>
      <w:bookmarkStart w:id="24" w:name="_Toc160804573"/>
      <w:bookmarkStart w:id="25" w:name="_Toc167220265"/>
      <w:bookmarkStart w:id="26" w:name="_Toc177548997"/>
      <w:r w:rsidRPr="00806A43">
        <w:rPr>
          <w:noProof/>
        </w:rPr>
        <w:t>1.3.2.</w:t>
      </w:r>
      <w:r w:rsidRPr="00806A43">
        <w:rPr>
          <w:noProof/>
        </w:rPr>
        <w:tab/>
        <w:t>Objectif(s) spécifique(s)</w:t>
      </w:r>
      <w:bookmarkEnd w:id="22"/>
      <w:bookmarkEnd w:id="23"/>
      <w:bookmarkEnd w:id="24"/>
      <w:bookmarkEnd w:id="25"/>
      <w:bookmarkEnd w:id="26"/>
    </w:p>
    <w:p w:rsidR="00012390" w:rsidRPr="00806A43" w:rsidRDefault="00E922C6" w:rsidP="00E922C6">
      <w:pPr>
        <w:pStyle w:val="Text1"/>
        <w:pBdr>
          <w:top w:val="single" w:sz="4" w:space="1" w:color="auto"/>
          <w:left w:val="single" w:sz="4" w:space="4" w:color="auto"/>
          <w:bottom w:val="single" w:sz="4" w:space="1" w:color="auto"/>
          <w:right w:val="single" w:sz="4" w:space="4" w:color="auto"/>
        </w:pBdr>
        <w:rPr>
          <w:noProof/>
        </w:rPr>
      </w:pPr>
      <w:r w:rsidRPr="00806A43">
        <w:rPr>
          <w:noProof/>
        </w:rPr>
        <w:t>Soutenir la stabilité macrofinancière de l’Ukraine en accordant des prêts au titre du chapitre III de la facilité pour l’Ukraine.</w:t>
      </w:r>
    </w:p>
    <w:p w:rsidR="00012390" w:rsidRPr="00806A43" w:rsidRDefault="00012390" w:rsidP="00012390">
      <w:pPr>
        <w:pStyle w:val="ManualHeading3"/>
        <w:rPr>
          <w:noProof/>
        </w:rPr>
      </w:pPr>
      <w:bookmarkStart w:id="27" w:name="_Toc514938019"/>
      <w:bookmarkStart w:id="28" w:name="_Toc520485032"/>
      <w:bookmarkStart w:id="29" w:name="_Toc160804574"/>
      <w:bookmarkStart w:id="30" w:name="_Toc167220266"/>
      <w:bookmarkStart w:id="31" w:name="_Toc177548998"/>
      <w:r w:rsidRPr="00806A43">
        <w:rPr>
          <w:noProof/>
        </w:rPr>
        <w:t>1.3.3.</w:t>
      </w:r>
      <w:r w:rsidRPr="00806A43">
        <w:rPr>
          <w:noProof/>
        </w:rPr>
        <w:tab/>
        <w:t>Résultat(s) et incidence(s) attendus</w:t>
      </w:r>
      <w:bookmarkEnd w:id="27"/>
      <w:bookmarkEnd w:id="28"/>
      <w:bookmarkEnd w:id="29"/>
      <w:bookmarkEnd w:id="30"/>
      <w:bookmarkEnd w:id="31"/>
    </w:p>
    <w:p w:rsidR="00012390" w:rsidRPr="00806A43" w:rsidRDefault="00012390" w:rsidP="00012390">
      <w:pPr>
        <w:pStyle w:val="Text1"/>
        <w:rPr>
          <w:i/>
          <w:noProof/>
          <w:sz w:val="20"/>
        </w:rPr>
      </w:pPr>
      <w:r w:rsidRPr="00806A43">
        <w:rPr>
          <w:i/>
          <w:noProof/>
          <w:sz w:val="20"/>
        </w:rPr>
        <w:t>Préciser les effets que la proposition/l'initiative devrait avoir sur les bénéficiaires/la population visée.</w:t>
      </w:r>
    </w:p>
    <w:p w:rsidR="00012390" w:rsidRPr="00806A43" w:rsidRDefault="3B8F8807" w:rsidP="66FA0210">
      <w:pPr>
        <w:pStyle w:val="Text1"/>
        <w:pBdr>
          <w:top w:val="single" w:sz="4" w:space="1" w:color="auto"/>
          <w:left w:val="single" w:sz="4" w:space="4" w:color="auto"/>
          <w:bottom w:val="single" w:sz="4" w:space="1" w:color="auto"/>
          <w:right w:val="single" w:sz="4" w:space="4" w:color="auto"/>
        </w:pBdr>
        <w:rPr>
          <w:noProof/>
        </w:rPr>
      </w:pPr>
      <w:r w:rsidRPr="00806A43">
        <w:rPr>
          <w:noProof/>
        </w:rPr>
        <w:t xml:space="preserve">L’Ukraine recevra un soutien financier suffisant et ininterrompu en 2026 et 2027 pour faire face à la situation de crise actuelle et pour la période postérieure à celle-ci. </w:t>
      </w:r>
    </w:p>
    <w:p w:rsidR="00012390" w:rsidRPr="00806A43" w:rsidRDefault="00012390" w:rsidP="00012390">
      <w:pPr>
        <w:pStyle w:val="ManualHeading3"/>
        <w:rPr>
          <w:noProof/>
        </w:rPr>
      </w:pPr>
      <w:bookmarkStart w:id="32" w:name="_Toc514938023"/>
      <w:bookmarkStart w:id="33" w:name="_Toc520485033"/>
      <w:bookmarkStart w:id="34" w:name="_Toc160804575"/>
      <w:bookmarkStart w:id="35" w:name="_Toc167220267"/>
      <w:bookmarkStart w:id="36" w:name="_Toc177548999"/>
      <w:r w:rsidRPr="00806A43">
        <w:rPr>
          <w:noProof/>
        </w:rPr>
        <w:t>1.3.4.</w:t>
      </w:r>
      <w:r w:rsidRPr="00806A43">
        <w:rPr>
          <w:noProof/>
        </w:rPr>
        <w:tab/>
        <w:t>Indicateurs de performance</w:t>
      </w:r>
      <w:bookmarkEnd w:id="32"/>
      <w:bookmarkEnd w:id="33"/>
      <w:bookmarkEnd w:id="34"/>
      <w:bookmarkEnd w:id="35"/>
      <w:bookmarkEnd w:id="36"/>
    </w:p>
    <w:p w:rsidR="00012390" w:rsidRPr="00806A43" w:rsidRDefault="00012390" w:rsidP="00012390">
      <w:pPr>
        <w:pStyle w:val="Text1"/>
        <w:rPr>
          <w:i/>
          <w:noProof/>
          <w:sz w:val="20"/>
        </w:rPr>
      </w:pPr>
      <w:r w:rsidRPr="00806A43">
        <w:rPr>
          <w:i/>
          <w:noProof/>
          <w:sz w:val="20"/>
        </w:rPr>
        <w:t>Préciser les indicateurs permettant de suivre l’avancement et les réalisations.</w:t>
      </w:r>
    </w:p>
    <w:p w:rsidR="005D40CB" w:rsidRPr="00806A43" w:rsidRDefault="00173B02"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 xml:space="preserve">Les autorités ukrainiennes sont tenues de faire régulièrement rapport sur la mise en œuvre du plan pour l’Ukraine. </w:t>
      </w:r>
    </w:p>
    <w:p w:rsidR="00BC309F" w:rsidRPr="00806A43" w:rsidRDefault="00BC309F"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En ce qui concerne l’objectif consistant à alléger les contraintes de financement, les services de la Commission continueront de contrôler la gestion des finances publiques, après l’évaluation opérationnelle des circuits financiers et des procédures administratives de l’Ukraine.</w:t>
      </w:r>
    </w:p>
    <w:p w:rsidR="00012390" w:rsidRPr="00806A43" w:rsidRDefault="00381186"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Un rapport annuel au Parlement européen et au Conseil sur la mise en œuvre du présent règlement est prévu. La Commission procédera à une évaluation ex post du règlement.</w:t>
      </w:r>
    </w:p>
    <w:p w:rsidR="00012390" w:rsidRPr="00806A43" w:rsidRDefault="00012390" w:rsidP="00012390">
      <w:pPr>
        <w:pStyle w:val="ManualHeading2"/>
        <w:rPr>
          <w:noProof/>
        </w:rPr>
      </w:pPr>
      <w:bookmarkStart w:id="37" w:name="_Toc177549000"/>
      <w:r w:rsidRPr="00806A43">
        <w:rPr>
          <w:noProof/>
        </w:rPr>
        <w:t>1.4.</w:t>
      </w:r>
      <w:r w:rsidRPr="00806A43">
        <w:rPr>
          <w:noProof/>
        </w:rPr>
        <w:tab/>
        <w:t>La proposition/l’initiative porte sur:</w:t>
      </w:r>
      <w:bookmarkEnd w:id="37"/>
      <w:r w:rsidRPr="00806A43">
        <w:rPr>
          <w:noProof/>
        </w:rPr>
        <w:t xml:space="preserve"> </w:t>
      </w:r>
    </w:p>
    <w:p w:rsidR="00012390" w:rsidRPr="00806A43" w:rsidRDefault="00C9263B" w:rsidP="00012390">
      <w:pPr>
        <w:pStyle w:val="Text1"/>
        <w:rPr>
          <w:noProof/>
          <w:sz w:val="22"/>
        </w:rPr>
      </w:pPr>
      <w:r w:rsidRPr="00806A43">
        <w:rPr>
          <w:rFonts w:ascii="Wingdings" w:hAnsi="Wingdings"/>
          <w:noProof/>
          <w:sz w:val="22"/>
        </w:rPr>
        <w:t></w:t>
      </w:r>
      <w:r w:rsidRPr="00806A43">
        <w:rPr>
          <w:i/>
          <w:noProof/>
          <w:sz w:val="22"/>
        </w:rPr>
        <w:t xml:space="preserve"> </w:t>
      </w:r>
      <w:r w:rsidRPr="00806A43">
        <w:rPr>
          <w:noProof/>
        </w:rPr>
        <w:t>une action nouvelle</w:t>
      </w:r>
      <w:r w:rsidRPr="00806A43">
        <w:rPr>
          <w:noProof/>
          <w:sz w:val="22"/>
        </w:rPr>
        <w:t xml:space="preserve"> </w:t>
      </w:r>
    </w:p>
    <w:p w:rsidR="00012390" w:rsidRPr="00806A43" w:rsidRDefault="00012390" w:rsidP="00012390">
      <w:pPr>
        <w:pStyle w:val="Text1"/>
        <w:rPr>
          <w:noProof/>
          <w:sz w:val="22"/>
        </w:rPr>
      </w:pPr>
      <w:r w:rsidRPr="00806A43">
        <w:rPr>
          <w:rFonts w:ascii="Wingdings" w:hAnsi="Wingdings"/>
          <w:noProof/>
          <w:sz w:val="22"/>
        </w:rPr>
        <w:t></w:t>
      </w:r>
      <w:r w:rsidRPr="00806A43">
        <w:rPr>
          <w:i/>
          <w:noProof/>
          <w:sz w:val="22"/>
        </w:rPr>
        <w:t xml:space="preserve"> </w:t>
      </w:r>
      <w:r w:rsidRPr="00806A43">
        <w:rPr>
          <w:noProof/>
        </w:rPr>
        <w:t>une action nouvelle suite à un projet pilote/une action préparatoire</w:t>
      </w:r>
      <w:r w:rsidRPr="00806A43">
        <w:rPr>
          <w:rStyle w:val="FootnoteReference"/>
          <w:noProof/>
        </w:rPr>
        <w:footnoteReference w:id="7"/>
      </w:r>
      <w:r w:rsidRPr="00806A43">
        <w:rPr>
          <w:noProof/>
          <w:sz w:val="22"/>
        </w:rPr>
        <w:t xml:space="preserve"> </w:t>
      </w:r>
    </w:p>
    <w:p w:rsidR="00012390" w:rsidRPr="00806A43" w:rsidRDefault="00012390" w:rsidP="00012390">
      <w:pPr>
        <w:pStyle w:val="Text1"/>
        <w:rPr>
          <w:noProof/>
          <w:sz w:val="22"/>
        </w:rPr>
      </w:pPr>
      <w:r w:rsidRPr="00806A43">
        <w:rPr>
          <w:rFonts w:ascii="Wingdings" w:hAnsi="Wingdings"/>
          <w:noProof/>
          <w:sz w:val="22"/>
        </w:rPr>
        <w:t></w:t>
      </w:r>
      <w:r w:rsidRPr="00806A43">
        <w:rPr>
          <w:i/>
          <w:noProof/>
          <w:sz w:val="22"/>
        </w:rPr>
        <w:t xml:space="preserve"> </w:t>
      </w:r>
      <w:r w:rsidRPr="00806A43">
        <w:rPr>
          <w:noProof/>
        </w:rPr>
        <w:t>la prolongation d’une action existante</w:t>
      </w:r>
      <w:r w:rsidRPr="00806A43">
        <w:rPr>
          <w:noProof/>
          <w:sz w:val="22"/>
        </w:rPr>
        <w:t xml:space="preserve"> </w:t>
      </w:r>
    </w:p>
    <w:p w:rsidR="00012390" w:rsidRPr="00806A43" w:rsidRDefault="00012390" w:rsidP="00012390">
      <w:pPr>
        <w:pStyle w:val="Text1"/>
        <w:rPr>
          <w:noProof/>
        </w:rPr>
      </w:pPr>
      <w:r w:rsidRPr="00806A43">
        <w:rPr>
          <w:rFonts w:ascii="Wingdings" w:hAnsi="Wingdings"/>
          <w:noProof/>
          <w:sz w:val="22"/>
        </w:rPr>
        <w:t></w:t>
      </w:r>
      <w:r w:rsidRPr="00806A43">
        <w:rPr>
          <w:i/>
          <w:noProof/>
          <w:sz w:val="22"/>
        </w:rPr>
        <w:t xml:space="preserve"> </w:t>
      </w:r>
      <w:r w:rsidRPr="00806A43">
        <w:rPr>
          <w:noProof/>
        </w:rPr>
        <w:t>une fusion ou une réorientation d’une ou de plusieurs actions vers une autre action/une action nouvelle</w:t>
      </w:r>
    </w:p>
    <w:p w:rsidR="00012390" w:rsidRPr="00806A43" w:rsidRDefault="00012390" w:rsidP="00012390">
      <w:pPr>
        <w:pStyle w:val="ManualHeading2"/>
        <w:rPr>
          <w:bCs/>
          <w:noProof/>
          <w:szCs w:val="24"/>
        </w:rPr>
      </w:pPr>
      <w:bookmarkStart w:id="38" w:name="_Toc514938025"/>
      <w:bookmarkStart w:id="39" w:name="_Toc520485034"/>
      <w:bookmarkStart w:id="40" w:name="_Toc160804576"/>
      <w:bookmarkStart w:id="41" w:name="_Toc167220268"/>
      <w:bookmarkStart w:id="42" w:name="_Toc177549001"/>
      <w:r w:rsidRPr="00806A43">
        <w:rPr>
          <w:noProof/>
        </w:rPr>
        <w:t>1.5.</w:t>
      </w:r>
      <w:r w:rsidRPr="00806A43">
        <w:rPr>
          <w:noProof/>
        </w:rPr>
        <w:tab/>
        <w:t>Justification(s) de la proposition/de l’initiative</w:t>
      </w:r>
      <w:bookmarkEnd w:id="38"/>
      <w:bookmarkEnd w:id="39"/>
      <w:bookmarkEnd w:id="40"/>
      <w:bookmarkEnd w:id="41"/>
      <w:bookmarkEnd w:id="42"/>
      <w:r w:rsidRPr="00806A43">
        <w:rPr>
          <w:noProof/>
        </w:rPr>
        <w:t xml:space="preserve"> </w:t>
      </w:r>
    </w:p>
    <w:p w:rsidR="00012390" w:rsidRPr="00806A43" w:rsidRDefault="00012390" w:rsidP="00012390">
      <w:pPr>
        <w:pStyle w:val="ManualHeading3"/>
        <w:rPr>
          <w:noProof/>
        </w:rPr>
      </w:pPr>
      <w:bookmarkStart w:id="43" w:name="_Toc514938026"/>
      <w:bookmarkStart w:id="44" w:name="_Toc520485035"/>
      <w:bookmarkStart w:id="45" w:name="_Toc160804577"/>
      <w:bookmarkStart w:id="46" w:name="_Toc167220269"/>
      <w:bookmarkStart w:id="47" w:name="_Toc177549002"/>
      <w:r w:rsidRPr="00806A43">
        <w:rPr>
          <w:noProof/>
        </w:rPr>
        <w:t>1.5.1.</w:t>
      </w:r>
      <w:r w:rsidRPr="00806A43">
        <w:rPr>
          <w:noProof/>
        </w:rPr>
        <w:tab/>
        <w:t>Besoin(s) à satisfaire à court ou à long terme, assorti(s) d’un calendrier détaillé pour la mise en œuvre de l’initiative</w:t>
      </w:r>
      <w:bookmarkEnd w:id="43"/>
      <w:bookmarkEnd w:id="44"/>
      <w:bookmarkEnd w:id="45"/>
      <w:bookmarkEnd w:id="46"/>
      <w:bookmarkEnd w:id="47"/>
    </w:p>
    <w:p w:rsidR="00012390" w:rsidRPr="00806A43" w:rsidRDefault="00456104" w:rsidP="004E2D14">
      <w:pPr>
        <w:pStyle w:val="Text1"/>
        <w:pBdr>
          <w:top w:val="single" w:sz="4" w:space="1" w:color="auto"/>
          <w:left w:val="single" w:sz="4" w:space="4" w:color="auto"/>
          <w:bottom w:val="single" w:sz="4" w:space="1" w:color="auto"/>
          <w:right w:val="single" w:sz="4" w:space="4" w:color="auto"/>
        </w:pBdr>
        <w:rPr>
          <w:noProof/>
        </w:rPr>
      </w:pPr>
      <w:r w:rsidRPr="00806A43">
        <w:rPr>
          <w:noProof/>
        </w:rPr>
        <w:t xml:space="preserve">Des dispositions spécifiques sur la prévention de la fraude et d’autres irrégularités, conformes au règlement financier, sont applicables, y compris les dispositions pertinentes visant à préserver les intérêts financiers de l’Union conformément à l’accord-cadre prévu par le règlement (UE) 2024/792. </w:t>
      </w:r>
    </w:p>
    <w:p w:rsidR="00012390" w:rsidRPr="00806A43" w:rsidRDefault="00012390" w:rsidP="00012390">
      <w:pPr>
        <w:pStyle w:val="ManualHeading3"/>
        <w:rPr>
          <w:bCs/>
          <w:noProof/>
          <w:szCs w:val="24"/>
        </w:rPr>
      </w:pPr>
      <w:bookmarkStart w:id="48" w:name="_Toc514938029"/>
      <w:bookmarkStart w:id="49" w:name="_Toc520485036"/>
      <w:bookmarkStart w:id="50" w:name="_Toc160804578"/>
      <w:bookmarkStart w:id="51" w:name="_Toc167220270"/>
      <w:bookmarkStart w:id="52" w:name="_Toc177549003"/>
      <w:r w:rsidRPr="00806A43">
        <w:rPr>
          <w:noProof/>
        </w:rPr>
        <w:t>1.5.2.</w:t>
      </w:r>
      <w:r w:rsidRPr="00806A43">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48"/>
      <w:bookmarkEnd w:id="49"/>
      <w:bookmarkEnd w:id="50"/>
      <w:bookmarkEnd w:id="51"/>
      <w:bookmarkEnd w:id="52"/>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Justification de l’action au niveau de l’UE (ex ante): la présente proposition répond à la nécessité d’une réaction commune visant à apporter un soutien adéquat à l’Ukraine, qui ne peut pas être réalisé de manière satisfaisante par les seuls États membres et peut l’être mieux par l’UE. Les principales raisons en sont la capacité et les contraintes budgétaires rencontrées au niveau national et la nécessité d’une coordination étroite afin de maximiser l’ampleur et l’efficacité du soutien, tout en limitant la charge pesant sur la capacité administrative des autorités ukrainiennes, qui est très sollicitée dans les circonstances actuelles.</w:t>
      </w:r>
    </w:p>
    <w:p w:rsidR="009E125A" w:rsidRPr="00806A43" w:rsidRDefault="009E125A"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L’initiative s’inscrit dans l’objectif de l’UE consistant à soutenir l’Ukraine et renforce les actions de l’Union en faveur d’un soutien économique, ainsi que les initiatives de cette dernière visant à coordonner des actions multilatérales.</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Valeur ajoutée de l’Union escomptée (ex post): la valeur ajoutée de l’Union escomptée, notamment par rapport à d’autres instruments de l’UE, consiste en un soutien rapide à la stabilité macrofinancière par l’allégement des contraintes de financement externe et interne de l’Ukraine, au sein d’un cadre approprié pour les exigences en matière de communication d'informations.</w:t>
      </w:r>
    </w:p>
    <w:p w:rsidR="00012390" w:rsidRPr="00806A43" w:rsidRDefault="00012390" w:rsidP="00012390">
      <w:pPr>
        <w:pStyle w:val="ManualHeading3"/>
        <w:rPr>
          <w:noProof/>
        </w:rPr>
      </w:pPr>
      <w:bookmarkStart w:id="53" w:name="_Toc514938030"/>
      <w:bookmarkStart w:id="54" w:name="_Toc520485037"/>
      <w:bookmarkStart w:id="55" w:name="_Toc160804579"/>
      <w:bookmarkStart w:id="56" w:name="_Toc167220271"/>
      <w:bookmarkStart w:id="57" w:name="_Toc177549004"/>
      <w:r w:rsidRPr="00806A43">
        <w:rPr>
          <w:noProof/>
        </w:rPr>
        <w:t>1.5.3.</w:t>
      </w:r>
      <w:r w:rsidRPr="00806A43">
        <w:rPr>
          <w:noProof/>
        </w:rPr>
        <w:tab/>
        <w:t>Leçons tirées d'expériences similaires</w:t>
      </w:r>
      <w:bookmarkEnd w:id="53"/>
      <w:bookmarkEnd w:id="54"/>
      <w:bookmarkEnd w:id="55"/>
      <w:bookmarkEnd w:id="56"/>
      <w:bookmarkEnd w:id="57"/>
    </w:p>
    <w:p w:rsidR="00012390" w:rsidRPr="00806A43" w:rsidRDefault="00862E14"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S’il est vrai que la facilité constitue, dans une large mesure, un instrument unique en son genre conçu pour permettre de réagir à une situation particulière affrontée par un pays en guerre, qui est un pays voisin de l’Union ainsi qu’un candidat à l’adhésion à l’Union, la proposition s’appuie sur l’expérience acquise à la faveur du soutien passé et actuel apporté à l’Ukraine et à d’autres pays tiers, ainsi que sur les enseignements tirés de la facilité pour la reprise et la résilience, établie en 2020, tout en tenant compte de la situation propre à l’Ukraine en tant que pays en guerre.</w:t>
      </w:r>
    </w:p>
    <w:p w:rsidR="00012390" w:rsidRPr="00806A43" w:rsidRDefault="0088046C"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La facilité fait actuellement l’objet d’une évaluation à mi-parcours, dont les résultats devraient être présentés en 2026.</w:t>
      </w:r>
    </w:p>
    <w:p w:rsidR="00012390" w:rsidRPr="00806A43" w:rsidRDefault="00012390" w:rsidP="00012390">
      <w:pPr>
        <w:pStyle w:val="ManualHeading3"/>
        <w:rPr>
          <w:noProof/>
        </w:rPr>
      </w:pPr>
      <w:bookmarkStart w:id="58" w:name="_Toc514938033"/>
      <w:bookmarkStart w:id="59" w:name="_Toc520485038"/>
      <w:bookmarkStart w:id="60" w:name="_Toc160804580"/>
      <w:bookmarkStart w:id="61" w:name="_Toc167220272"/>
      <w:bookmarkStart w:id="62" w:name="_Toc177549005"/>
      <w:r w:rsidRPr="00806A43">
        <w:rPr>
          <w:noProof/>
        </w:rPr>
        <w:t>1.5.4.</w:t>
      </w:r>
      <w:r w:rsidRPr="00806A43">
        <w:rPr>
          <w:noProof/>
        </w:rPr>
        <w:tab/>
        <w:t>Compatibilité avec le cadre financier pluriannuel et synergies éventuelles avec d’autres instruments appropriés</w:t>
      </w:r>
      <w:bookmarkEnd w:id="58"/>
      <w:bookmarkEnd w:id="59"/>
      <w:bookmarkEnd w:id="60"/>
      <w:bookmarkEnd w:id="61"/>
      <w:bookmarkEnd w:id="62"/>
    </w:p>
    <w:p w:rsidR="00012390" w:rsidRPr="00806A43" w:rsidRDefault="001C454F"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La proposition est compatible avec les plafonds fixés par le cadre financier pluriannuel 2021-2027. Des informations détaillées sur la compatibilité du prêt de soutien à l’Ukraine figurent dans le [DOCUMENT DE PROPOSITION DE RÈGLEMENT SUR LE PRÊT DE SOUTIEN À L’UKRAINE].</w:t>
      </w:r>
    </w:p>
    <w:p w:rsidR="00012390" w:rsidRPr="00806A43" w:rsidRDefault="00012390" w:rsidP="00012390">
      <w:pPr>
        <w:pStyle w:val="ManualHeading3"/>
        <w:rPr>
          <w:noProof/>
        </w:rPr>
      </w:pPr>
      <w:bookmarkStart w:id="63" w:name="_Toc514938036"/>
      <w:bookmarkStart w:id="64" w:name="_Toc520485039"/>
      <w:bookmarkStart w:id="65" w:name="_Toc160804581"/>
      <w:bookmarkStart w:id="66" w:name="_Toc167220273"/>
      <w:bookmarkStart w:id="67" w:name="_Toc177549006"/>
      <w:r w:rsidRPr="00806A43">
        <w:rPr>
          <w:noProof/>
        </w:rPr>
        <w:t>1.5.5.</w:t>
      </w:r>
      <w:r w:rsidRPr="00806A43">
        <w:rPr>
          <w:noProof/>
        </w:rPr>
        <w:tab/>
        <w:t>Évaluation des différentes possibilités de financement disponibles, y compris des possibilités de redéploiement</w:t>
      </w:r>
      <w:bookmarkEnd w:id="63"/>
      <w:bookmarkEnd w:id="64"/>
      <w:bookmarkEnd w:id="65"/>
      <w:bookmarkEnd w:id="66"/>
      <w:bookmarkEnd w:id="67"/>
    </w:p>
    <w:p w:rsidR="00012390" w:rsidRPr="00806A43" w:rsidRDefault="68D673B8" w:rsidP="00327915">
      <w:pPr>
        <w:pStyle w:val="Text1"/>
        <w:pBdr>
          <w:top w:val="single" w:sz="4" w:space="1" w:color="auto"/>
          <w:left w:val="single" w:sz="4" w:space="4" w:color="auto"/>
          <w:bottom w:val="single" w:sz="4" w:space="1" w:color="auto"/>
          <w:right w:val="single" w:sz="4" w:space="4" w:color="auto"/>
        </w:pBdr>
        <w:rPr>
          <w:noProof/>
        </w:rPr>
      </w:pPr>
      <w:r w:rsidRPr="00806A43">
        <w:rPr>
          <w:noProof/>
        </w:rPr>
        <w:t>Le 18 décembre 2025, le Conseil européen a convenu d’accorder à l’Ukraine un prêt de 90 000 000 000 EUR pour l’aider à répondre à ses besoins de financement en 2026 et 2027. Il s’agira du principal instrument permettant à l’UE d’apporter un soutien financier à l’Ukraine afin que cette dernière couvre ses besoins critiques.</w:t>
      </w:r>
    </w:p>
    <w:p w:rsidR="00012390" w:rsidRPr="00806A43" w:rsidRDefault="00012390" w:rsidP="00012390">
      <w:pPr>
        <w:pStyle w:val="ManualHeading2"/>
        <w:rPr>
          <w:bCs/>
          <w:noProof/>
          <w:szCs w:val="24"/>
        </w:rPr>
      </w:pPr>
      <w:r w:rsidRPr="00806A43">
        <w:rPr>
          <w:noProof/>
        </w:rPr>
        <w:br w:type="page"/>
      </w:r>
      <w:bookmarkStart w:id="68" w:name="_Toc514938039"/>
      <w:bookmarkStart w:id="69" w:name="_Toc520485040"/>
      <w:bookmarkStart w:id="70" w:name="_Toc160804582"/>
      <w:bookmarkStart w:id="71" w:name="_Toc167220274"/>
      <w:bookmarkStart w:id="72" w:name="_Toc177549007"/>
      <w:r w:rsidRPr="00806A43">
        <w:rPr>
          <w:noProof/>
        </w:rPr>
        <w:t>1.6.</w:t>
      </w:r>
      <w:r w:rsidRPr="00806A43">
        <w:rPr>
          <w:noProof/>
        </w:rPr>
        <w:tab/>
        <w:t>Durée de la proposition/de l’initiative</w:t>
      </w:r>
      <w:bookmarkEnd w:id="68"/>
      <w:bookmarkEnd w:id="69"/>
      <w:r w:rsidRPr="00806A43">
        <w:rPr>
          <w:noProof/>
        </w:rPr>
        <w:t xml:space="preserve"> et de son incidence financière</w:t>
      </w:r>
      <w:bookmarkEnd w:id="70"/>
      <w:bookmarkEnd w:id="71"/>
      <w:bookmarkEnd w:id="72"/>
    </w:p>
    <w:p w:rsidR="00012390" w:rsidRPr="00806A43" w:rsidRDefault="16D5913C" w:rsidP="00012390">
      <w:pPr>
        <w:pStyle w:val="Text1"/>
        <w:rPr>
          <w:noProof/>
        </w:rPr>
      </w:pPr>
      <w:r w:rsidRPr="00806A43">
        <w:rPr>
          <w:rFonts w:ascii="Wingdings" w:hAnsi="Wingdings"/>
          <w:noProof/>
        </w:rPr>
        <w:t></w:t>
      </w:r>
      <w:r w:rsidRPr="00806A43">
        <w:rPr>
          <w:b/>
          <w:i/>
          <w:noProof/>
        </w:rPr>
        <w:t xml:space="preserve"> </w:t>
      </w:r>
      <w:r w:rsidRPr="00806A43">
        <w:rPr>
          <w:b/>
          <w:noProof/>
        </w:rPr>
        <w:t xml:space="preserve">durée limitée </w:t>
      </w:r>
    </w:p>
    <w:p w:rsidR="00012390" w:rsidRPr="00806A43" w:rsidRDefault="2DB490A6" w:rsidP="61C2EF9F">
      <w:pPr>
        <w:pStyle w:val="ListDash2"/>
        <w:ind w:left="720" w:hanging="360"/>
        <w:rPr>
          <w:noProof/>
        </w:rPr>
      </w:pPr>
      <w:r w:rsidRPr="00806A43">
        <w:rPr>
          <w:rFonts w:ascii="Wingdings" w:hAnsi="Wingdings"/>
          <w:noProof/>
        </w:rPr>
        <w:t></w:t>
      </w:r>
      <w:r w:rsidRPr="00806A43">
        <w:rPr>
          <w:noProof/>
        </w:rPr>
        <w:tab/>
        <w:t xml:space="preserve">en vigueur du 1.12.2025 au 31.12.2027 </w:t>
      </w:r>
    </w:p>
    <w:p w:rsidR="00012390" w:rsidRPr="00806A43" w:rsidRDefault="3558E25E" w:rsidP="00012390">
      <w:pPr>
        <w:pStyle w:val="ListDash2"/>
        <w:rPr>
          <w:noProof/>
        </w:rPr>
      </w:pPr>
      <w:r w:rsidRPr="00806A43">
        <w:rPr>
          <w:rFonts w:ascii="Wingdings" w:hAnsi="Wingdings"/>
          <w:noProof/>
        </w:rPr>
        <w:t></w:t>
      </w:r>
      <w:r w:rsidRPr="00806A43">
        <w:rPr>
          <w:noProof/>
        </w:rPr>
        <w:tab/>
        <w:t xml:space="preserve">Incidence financière de AAAA jusqu’en AAAA pour les crédits d’engagement et de AAAA jusqu’en AAAA pour les crédits de paiement. </w:t>
      </w:r>
    </w:p>
    <w:p w:rsidR="00012390" w:rsidRPr="00806A43" w:rsidRDefault="00012390" w:rsidP="00012390">
      <w:pPr>
        <w:pStyle w:val="Text1"/>
        <w:rPr>
          <w:noProof/>
        </w:rPr>
      </w:pPr>
      <w:r w:rsidRPr="00806A43">
        <w:rPr>
          <w:rFonts w:ascii="Wingdings" w:hAnsi="Wingdings"/>
          <w:noProof/>
        </w:rPr>
        <w:t></w:t>
      </w:r>
      <w:r w:rsidRPr="00806A43">
        <w:rPr>
          <w:b/>
          <w:i/>
          <w:noProof/>
        </w:rPr>
        <w:t xml:space="preserve"> </w:t>
      </w:r>
      <w:r w:rsidRPr="00806A43">
        <w:rPr>
          <w:b/>
          <w:noProof/>
        </w:rPr>
        <w:t>durée illimitée</w:t>
      </w:r>
    </w:p>
    <w:p w:rsidR="00012390" w:rsidRPr="00806A43" w:rsidRDefault="00012390" w:rsidP="00012390">
      <w:pPr>
        <w:pStyle w:val="ListDash1"/>
        <w:rPr>
          <w:noProof/>
        </w:rPr>
      </w:pPr>
      <w:r w:rsidRPr="00806A43">
        <w:rPr>
          <w:noProof/>
        </w:rPr>
        <w:t>Mise en œuvre avec une période de montée en puissance de AAAA jusqu'en AAAA,</w:t>
      </w:r>
    </w:p>
    <w:p w:rsidR="00012390" w:rsidRPr="00806A43" w:rsidRDefault="00012390" w:rsidP="00012390">
      <w:pPr>
        <w:pStyle w:val="ListDash1"/>
        <w:rPr>
          <w:noProof/>
        </w:rPr>
      </w:pPr>
      <w:r w:rsidRPr="00806A43">
        <w:rPr>
          <w:noProof/>
        </w:rPr>
        <w:t>puis un fonctionnement en rythme de croisière au-delà.</w:t>
      </w:r>
    </w:p>
    <w:p w:rsidR="00012390" w:rsidRPr="00806A43" w:rsidRDefault="238FE099" w:rsidP="00012390">
      <w:pPr>
        <w:pStyle w:val="ManualHeading2"/>
        <w:rPr>
          <w:noProof/>
        </w:rPr>
      </w:pPr>
      <w:bookmarkStart w:id="73" w:name="_Toc514938040"/>
      <w:bookmarkStart w:id="74" w:name="_Toc520485041"/>
      <w:bookmarkStart w:id="75" w:name="_Toc160804583"/>
      <w:bookmarkStart w:id="76" w:name="_Toc167220275"/>
      <w:bookmarkStart w:id="77" w:name="_Toc177549008"/>
      <w:r w:rsidRPr="00806A43">
        <w:rPr>
          <w:noProof/>
        </w:rPr>
        <w:t>1.7.</w:t>
      </w:r>
      <w:r w:rsidRPr="00806A43">
        <w:rPr>
          <w:noProof/>
        </w:rPr>
        <w:tab/>
        <w:t>Mode(s) d’exécution budgétaire prévu(s)</w:t>
      </w:r>
      <w:bookmarkEnd w:id="73"/>
      <w:bookmarkEnd w:id="74"/>
      <w:bookmarkEnd w:id="75"/>
      <w:bookmarkEnd w:id="76"/>
      <w:bookmarkEnd w:id="77"/>
      <w:r w:rsidRPr="00806A43">
        <w:rPr>
          <w:noProof/>
        </w:rPr>
        <w:t xml:space="preserve"> </w:t>
      </w:r>
    </w:p>
    <w:p w:rsidR="00012390" w:rsidRPr="00806A43" w:rsidRDefault="75F94C72" w:rsidP="00012390">
      <w:pPr>
        <w:pStyle w:val="Text1"/>
        <w:rPr>
          <w:noProof/>
        </w:rPr>
      </w:pPr>
      <w:r w:rsidRPr="00806A43">
        <w:rPr>
          <w:rFonts w:ascii="Wingdings" w:hAnsi="Wingdings"/>
          <w:noProof/>
        </w:rPr>
        <w:t></w:t>
      </w:r>
      <w:r w:rsidRPr="00806A43">
        <w:rPr>
          <w:i/>
          <w:noProof/>
        </w:rPr>
        <w:t xml:space="preserve"> </w:t>
      </w:r>
      <w:r w:rsidRPr="00806A43">
        <w:rPr>
          <w:b/>
          <w:noProof/>
        </w:rPr>
        <w:t>Gestion directe</w:t>
      </w:r>
      <w:r w:rsidRPr="00806A43">
        <w:rPr>
          <w:noProof/>
        </w:rPr>
        <w:t xml:space="preserve"> par la Commission</w:t>
      </w:r>
    </w:p>
    <w:p w:rsidR="00012390" w:rsidRPr="00806A43" w:rsidRDefault="4ADA411C" w:rsidP="00012390">
      <w:pPr>
        <w:pStyle w:val="ListDash2"/>
        <w:rPr>
          <w:rFonts w:cs="EUAlbertina"/>
          <w:noProof/>
        </w:rPr>
      </w:pPr>
      <w:r w:rsidRPr="00806A43">
        <w:rPr>
          <w:rFonts w:ascii="Wingdings" w:hAnsi="Wingdings"/>
          <w:noProof/>
        </w:rPr>
        <w:t></w:t>
      </w:r>
      <w:r w:rsidRPr="00806A43">
        <w:rPr>
          <w:noProof/>
        </w:rPr>
        <w:t xml:space="preserve"> dans ses services, y compris par l’intermédiaire de son personnel dans les délégations de l’Union </w:t>
      </w:r>
    </w:p>
    <w:p w:rsidR="00012390" w:rsidRPr="00806A43" w:rsidRDefault="3558E25E" w:rsidP="00012390">
      <w:pPr>
        <w:pStyle w:val="ListDash2"/>
        <w:rPr>
          <w:noProof/>
        </w:rPr>
      </w:pPr>
      <w:r w:rsidRPr="00806A43">
        <w:rPr>
          <w:rFonts w:ascii="Wingdings" w:hAnsi="Wingdings"/>
          <w:noProof/>
        </w:rPr>
        <w:t></w:t>
      </w:r>
      <w:r w:rsidRPr="00806A43">
        <w:rPr>
          <w:noProof/>
        </w:rPr>
        <w:tab/>
        <w:t xml:space="preserve">par les agences exécutives </w:t>
      </w:r>
    </w:p>
    <w:p w:rsidR="00012390" w:rsidRPr="00806A43" w:rsidRDefault="00012390" w:rsidP="00012390">
      <w:pPr>
        <w:pStyle w:val="Text1"/>
        <w:rPr>
          <w:noProof/>
        </w:rPr>
      </w:pPr>
      <w:r w:rsidRPr="00806A43">
        <w:rPr>
          <w:rFonts w:ascii="Wingdings" w:hAnsi="Wingdings"/>
          <w:noProof/>
        </w:rPr>
        <w:t></w:t>
      </w:r>
      <w:r w:rsidRPr="00806A43">
        <w:rPr>
          <w:b/>
          <w:i/>
          <w:noProof/>
        </w:rPr>
        <w:t xml:space="preserve"> </w:t>
      </w:r>
      <w:r w:rsidRPr="00806A43">
        <w:rPr>
          <w:b/>
          <w:noProof/>
        </w:rPr>
        <w:t>Gestion partagée</w:t>
      </w:r>
      <w:r w:rsidRPr="00806A43">
        <w:rPr>
          <w:noProof/>
        </w:rPr>
        <w:t xml:space="preserve"> avec les États membres </w:t>
      </w:r>
    </w:p>
    <w:p w:rsidR="00012390" w:rsidRPr="00806A43" w:rsidRDefault="5BC5F092" w:rsidP="00012390">
      <w:pPr>
        <w:pStyle w:val="Text1"/>
        <w:rPr>
          <w:noProof/>
        </w:rPr>
      </w:pPr>
      <w:r w:rsidRPr="00806A43">
        <w:rPr>
          <w:rFonts w:ascii="Wingdings" w:hAnsi="Wingdings"/>
          <w:noProof/>
        </w:rPr>
        <w:t></w:t>
      </w:r>
      <w:r w:rsidRPr="00806A43">
        <w:rPr>
          <w:rFonts w:ascii="Wingdings" w:hAnsi="Wingdings"/>
          <w:noProof/>
        </w:rPr>
        <w:t></w:t>
      </w:r>
      <w:r w:rsidRPr="00806A43">
        <w:rPr>
          <w:i/>
          <w:noProof/>
        </w:rPr>
        <w:t xml:space="preserve"> </w:t>
      </w:r>
      <w:r w:rsidRPr="00806A43">
        <w:rPr>
          <w:b/>
          <w:noProof/>
        </w:rPr>
        <w:t>Gestion indirecte</w:t>
      </w:r>
      <w:r w:rsidRPr="00806A43">
        <w:rPr>
          <w:noProof/>
        </w:rPr>
        <w:t xml:space="preserve"> en confiant des tâches d’exécution budgétaire:</w:t>
      </w:r>
    </w:p>
    <w:p w:rsidR="00012390" w:rsidRPr="00806A43" w:rsidRDefault="3558E25E" w:rsidP="00012390">
      <w:pPr>
        <w:pStyle w:val="ListDash2"/>
        <w:rPr>
          <w:noProof/>
        </w:rPr>
      </w:pPr>
      <w:r w:rsidRPr="00806A43">
        <w:rPr>
          <w:rFonts w:ascii="Wingdings" w:hAnsi="Wingdings"/>
          <w:noProof/>
        </w:rPr>
        <w:t></w:t>
      </w:r>
      <w:r w:rsidRPr="00806A43">
        <w:rPr>
          <w:noProof/>
        </w:rPr>
        <w:t xml:space="preserve"> à des pays tiers ou des organismes qu’ils ont désignés</w:t>
      </w:r>
    </w:p>
    <w:p w:rsidR="00012390" w:rsidRPr="00806A43" w:rsidRDefault="05F19330" w:rsidP="00012390">
      <w:pPr>
        <w:pStyle w:val="ListDash2"/>
        <w:rPr>
          <w:noProof/>
        </w:rPr>
      </w:pPr>
      <w:r w:rsidRPr="00806A43">
        <w:rPr>
          <w:rFonts w:ascii="Wingdings" w:hAnsi="Wingdings"/>
          <w:noProof/>
        </w:rPr>
        <w:t></w:t>
      </w:r>
      <w:r w:rsidRPr="00806A43">
        <w:rPr>
          <w:noProof/>
        </w:rPr>
        <w:t xml:space="preserve"> à des organisations internationales et à leurs agences (à préciser)</w:t>
      </w:r>
    </w:p>
    <w:p w:rsidR="00012390" w:rsidRPr="00806A43" w:rsidRDefault="46C39F69" w:rsidP="00012390">
      <w:pPr>
        <w:pStyle w:val="ListDash2"/>
        <w:rPr>
          <w:noProof/>
        </w:rPr>
      </w:pPr>
      <w:r w:rsidRPr="00806A43">
        <w:rPr>
          <w:rFonts w:ascii="Wingdings" w:hAnsi="Wingdings"/>
          <w:noProof/>
        </w:rPr>
        <w:t></w:t>
      </w:r>
      <w:r w:rsidRPr="00806A43">
        <w:rPr>
          <w:noProof/>
        </w:rPr>
        <w:t xml:space="preserve"> à la Banque européenne d'investissement et au Fonds européen d’investissement</w:t>
      </w:r>
    </w:p>
    <w:p w:rsidR="00012390" w:rsidRPr="00806A43" w:rsidRDefault="3558E25E" w:rsidP="00012390">
      <w:pPr>
        <w:pStyle w:val="ListDash2"/>
        <w:rPr>
          <w:noProof/>
        </w:rPr>
      </w:pPr>
      <w:r w:rsidRPr="00806A43">
        <w:rPr>
          <w:rFonts w:ascii="Wingdings" w:hAnsi="Wingdings"/>
          <w:noProof/>
        </w:rPr>
        <w:t></w:t>
      </w:r>
      <w:r w:rsidRPr="00806A43">
        <w:rPr>
          <w:noProof/>
        </w:rPr>
        <w:t xml:space="preserve"> aux organismes visés aux articles 70 et 71 du règlement financier</w:t>
      </w:r>
    </w:p>
    <w:p w:rsidR="00012390" w:rsidRPr="00806A43" w:rsidRDefault="2280ED81" w:rsidP="00012390">
      <w:pPr>
        <w:pStyle w:val="ListDash2"/>
        <w:rPr>
          <w:noProof/>
        </w:rPr>
      </w:pPr>
      <w:r w:rsidRPr="00806A43">
        <w:rPr>
          <w:rFonts w:ascii="Wingdings" w:hAnsi="Wingdings"/>
          <w:noProof/>
        </w:rPr>
        <w:t></w:t>
      </w:r>
      <w:r w:rsidRPr="00806A43">
        <w:rPr>
          <w:noProof/>
        </w:rPr>
        <w:t xml:space="preserve"> à des établissements de droit public</w:t>
      </w:r>
    </w:p>
    <w:p w:rsidR="00012390" w:rsidRPr="00806A43" w:rsidRDefault="6825096F" w:rsidP="00012390">
      <w:pPr>
        <w:pStyle w:val="ListDash2"/>
        <w:rPr>
          <w:noProof/>
        </w:rPr>
      </w:pPr>
      <w:r w:rsidRPr="00806A43">
        <w:rPr>
          <w:rFonts w:ascii="Wingdings" w:hAnsi="Wingdings"/>
          <w:noProof/>
        </w:rPr>
        <w:t></w:t>
      </w:r>
      <w:r w:rsidRPr="00806A43">
        <w:rPr>
          <w:noProof/>
        </w:rPr>
        <w:t xml:space="preserve"> à des entités de droit privé investies d’une mission de service public, pour autant qu’elles soient dotées de garanties financières suffisantes</w:t>
      </w:r>
    </w:p>
    <w:p w:rsidR="00012390" w:rsidRPr="00806A43" w:rsidRDefault="279E52EC" w:rsidP="00012390">
      <w:pPr>
        <w:pStyle w:val="ListDash2"/>
        <w:rPr>
          <w:noProof/>
        </w:rPr>
      </w:pPr>
      <w:r w:rsidRPr="00806A43">
        <w:rPr>
          <w:rFonts w:ascii="Wingdings" w:hAnsi="Wingdings"/>
          <w:noProof/>
        </w:rPr>
        <w:t></w:t>
      </w:r>
      <w:r w:rsidRPr="00806A43">
        <w:rPr>
          <w:noProof/>
        </w:rPr>
        <w:t xml:space="preserve"> à des entités de droit privé d’un État membre qui sont chargées de la mise en œuvre d’un partenariat public-privé et dotées de garanties financières suffisantes</w:t>
      </w:r>
    </w:p>
    <w:p w:rsidR="00012390" w:rsidRPr="00806A43" w:rsidRDefault="3558E25E" w:rsidP="00012390">
      <w:pPr>
        <w:pStyle w:val="ListDash2"/>
        <w:rPr>
          <w:noProof/>
        </w:rPr>
      </w:pPr>
      <w:r w:rsidRPr="00806A43">
        <w:rPr>
          <w:rFonts w:ascii="Wingdings" w:hAnsi="Wingdings"/>
          <w:noProof/>
        </w:rPr>
        <w:t></w:t>
      </w:r>
      <w:r w:rsidRPr="00806A43">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rsidR="00012390" w:rsidRPr="00806A43" w:rsidRDefault="3558E25E" w:rsidP="00012390">
      <w:pPr>
        <w:pStyle w:val="ListDash2"/>
        <w:rPr>
          <w:noProof/>
        </w:rPr>
      </w:pPr>
      <w:r w:rsidRPr="00806A43">
        <w:rPr>
          <w:rFonts w:ascii="Wingdings" w:hAnsi="Wingdings"/>
          <w:noProof/>
        </w:rPr>
        <w:t></w:t>
      </w:r>
      <w:r w:rsidRPr="00806A43">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rsidR="00012390" w:rsidRPr="00806A43" w:rsidRDefault="00012390" w:rsidP="00012390">
      <w:pPr>
        <w:rPr>
          <w:noProof/>
        </w:rPr>
      </w:pPr>
      <w:r w:rsidRPr="00806A43">
        <w:rPr>
          <w:noProof/>
        </w:rPr>
        <w:t xml:space="preserve">Remarques </w:t>
      </w:r>
    </w:p>
    <w:p w:rsidR="00012390" w:rsidRPr="00806A43" w:rsidRDefault="7571A807" w:rsidP="00012390">
      <w:pPr>
        <w:pBdr>
          <w:top w:val="single" w:sz="4" w:space="1" w:color="auto"/>
          <w:left w:val="single" w:sz="4" w:space="4" w:color="auto"/>
          <w:bottom w:val="single" w:sz="4" w:space="1" w:color="auto"/>
          <w:right w:val="single" w:sz="4" w:space="4" w:color="auto"/>
        </w:pBdr>
        <w:rPr>
          <w:noProof/>
        </w:rPr>
      </w:pPr>
      <w:r w:rsidRPr="00806A43">
        <w:rPr>
          <w:noProof/>
        </w:rPr>
        <w:t>s.o.</w:t>
      </w:r>
    </w:p>
    <w:p w:rsidR="00012390" w:rsidRPr="00806A43" w:rsidRDefault="00012390" w:rsidP="00012390">
      <w:pPr>
        <w:rPr>
          <w:noProof/>
        </w:rPr>
        <w:sectPr w:rsidR="00012390" w:rsidRPr="00806A43" w:rsidSect="00771ED9">
          <w:pgSz w:w="11907" w:h="16840" w:code="9"/>
          <w:pgMar w:top="1134" w:right="1418" w:bottom="1134" w:left="1418" w:header="709" w:footer="709" w:gutter="0"/>
          <w:cols w:space="708"/>
          <w:docGrid w:linePitch="360"/>
        </w:sectPr>
      </w:pPr>
    </w:p>
    <w:p w:rsidR="00012390" w:rsidRPr="00806A43" w:rsidRDefault="00012390" w:rsidP="00012390">
      <w:pPr>
        <w:pStyle w:val="ManualHeading1"/>
        <w:rPr>
          <w:bCs/>
          <w:noProof/>
          <w:szCs w:val="24"/>
        </w:rPr>
      </w:pPr>
      <w:bookmarkStart w:id="78" w:name="_Toc514938041"/>
      <w:bookmarkStart w:id="79" w:name="_Toc520485042"/>
      <w:bookmarkStart w:id="80" w:name="_Toc160804584"/>
      <w:bookmarkStart w:id="81" w:name="_Toc167220276"/>
      <w:bookmarkStart w:id="82" w:name="_Toc177549009"/>
      <w:r w:rsidRPr="00806A43">
        <w:rPr>
          <w:noProof/>
        </w:rPr>
        <w:t>2.</w:t>
      </w:r>
      <w:r w:rsidRPr="00806A43">
        <w:rPr>
          <w:noProof/>
        </w:rPr>
        <w:tab/>
        <w:t>MESURES DE GESTION</w:t>
      </w:r>
      <w:bookmarkEnd w:id="78"/>
      <w:bookmarkEnd w:id="79"/>
      <w:bookmarkEnd w:id="80"/>
      <w:bookmarkEnd w:id="81"/>
      <w:bookmarkEnd w:id="82"/>
      <w:r w:rsidRPr="00806A43">
        <w:rPr>
          <w:noProof/>
        </w:rPr>
        <w:t xml:space="preserve"> </w:t>
      </w:r>
    </w:p>
    <w:p w:rsidR="00012390" w:rsidRPr="00806A43" w:rsidRDefault="00012390" w:rsidP="00012390">
      <w:pPr>
        <w:pStyle w:val="ManualHeading2"/>
        <w:rPr>
          <w:noProof/>
        </w:rPr>
      </w:pPr>
      <w:bookmarkStart w:id="83" w:name="_Toc514938042"/>
      <w:bookmarkStart w:id="84" w:name="_Toc520485043"/>
      <w:bookmarkStart w:id="85" w:name="_Toc160804585"/>
      <w:bookmarkStart w:id="86" w:name="_Toc167220277"/>
      <w:bookmarkStart w:id="87" w:name="_Toc177549010"/>
      <w:r w:rsidRPr="00806A43">
        <w:rPr>
          <w:noProof/>
        </w:rPr>
        <w:t>2.1.</w:t>
      </w:r>
      <w:r w:rsidRPr="00806A43">
        <w:rPr>
          <w:noProof/>
        </w:rPr>
        <w:tab/>
        <w:t>Dispositions en matière de suivi et de compte rendu</w:t>
      </w:r>
      <w:bookmarkEnd w:id="83"/>
      <w:bookmarkEnd w:id="84"/>
      <w:bookmarkEnd w:id="85"/>
      <w:bookmarkEnd w:id="86"/>
      <w:bookmarkEnd w:id="87"/>
      <w:r w:rsidRPr="00806A43">
        <w:rPr>
          <w:noProof/>
        </w:rPr>
        <w:t xml:space="preserve"> </w:t>
      </w:r>
    </w:p>
    <w:p w:rsidR="00012390" w:rsidRPr="00806A43" w:rsidRDefault="006E4252"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Les obligations en matière de suivi et d’établissement de rapports prévues par le règlement (UE, Euratom) 2024/792 s’appliquent.</w:t>
      </w:r>
    </w:p>
    <w:p w:rsidR="00012390" w:rsidRPr="00806A43" w:rsidRDefault="00C977CA"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La Commission fera rapport annuellement au Parlement européen, au Conseil et au comité visé à l’article 39 du règlement sur l’exécution des fonds octroyés au titre de la facilité. La Commission procédera également à une évaluation ex post du règlement.</w:t>
      </w:r>
    </w:p>
    <w:p w:rsidR="00012390" w:rsidRPr="00806A43" w:rsidRDefault="00012390" w:rsidP="00012390">
      <w:pPr>
        <w:pStyle w:val="ManualHeading2"/>
        <w:rPr>
          <w:bCs/>
          <w:noProof/>
          <w:szCs w:val="24"/>
        </w:rPr>
      </w:pPr>
      <w:bookmarkStart w:id="88" w:name="_Toc514938045"/>
      <w:bookmarkStart w:id="89" w:name="_Toc520485044"/>
      <w:bookmarkStart w:id="90" w:name="_Toc160804586"/>
      <w:bookmarkStart w:id="91" w:name="_Toc167220278"/>
      <w:bookmarkStart w:id="92" w:name="_Toc177549011"/>
      <w:r w:rsidRPr="00806A43">
        <w:rPr>
          <w:noProof/>
        </w:rPr>
        <w:t>2.2.</w:t>
      </w:r>
      <w:r w:rsidRPr="00806A43">
        <w:rPr>
          <w:noProof/>
        </w:rPr>
        <w:tab/>
        <w:t>Système(s) de gestion et de contrôle</w:t>
      </w:r>
      <w:bookmarkEnd w:id="88"/>
      <w:bookmarkEnd w:id="89"/>
      <w:bookmarkEnd w:id="90"/>
      <w:bookmarkEnd w:id="91"/>
      <w:bookmarkEnd w:id="92"/>
      <w:r w:rsidRPr="00806A43">
        <w:rPr>
          <w:noProof/>
        </w:rPr>
        <w:t xml:space="preserve"> </w:t>
      </w:r>
    </w:p>
    <w:p w:rsidR="00012390" w:rsidRPr="00806A43" w:rsidRDefault="00012390" w:rsidP="00012390">
      <w:pPr>
        <w:pStyle w:val="ManualHeading3"/>
        <w:rPr>
          <w:noProof/>
        </w:rPr>
      </w:pPr>
      <w:bookmarkStart w:id="93" w:name="_Toc514938046"/>
      <w:bookmarkStart w:id="94" w:name="_Toc520485045"/>
      <w:bookmarkStart w:id="95" w:name="_Toc160804587"/>
      <w:bookmarkStart w:id="96" w:name="_Toc167220279"/>
      <w:bookmarkStart w:id="97" w:name="_Toc177549012"/>
      <w:r w:rsidRPr="00806A43">
        <w:rPr>
          <w:noProof/>
        </w:rPr>
        <w:t>2.2.1.</w:t>
      </w:r>
      <w:r w:rsidRPr="00806A43">
        <w:rPr>
          <w:noProof/>
        </w:rPr>
        <w:tab/>
        <w:t>Justification du (des) mode(s) d’exécution budgétaire, du (des) mécanisme(s) de mise en œuvre du financement, des modalités de paiement et de la stratégie de contrôle proposée</w:t>
      </w:r>
      <w:bookmarkEnd w:id="93"/>
      <w:bookmarkEnd w:id="94"/>
      <w:bookmarkEnd w:id="95"/>
      <w:bookmarkEnd w:id="96"/>
      <w:bookmarkEnd w:id="97"/>
    </w:p>
    <w:p w:rsidR="00012390" w:rsidRPr="00806A43" w:rsidRDefault="004E2C26" w:rsidP="00561D8C">
      <w:pPr>
        <w:pStyle w:val="Text1"/>
        <w:pBdr>
          <w:top w:val="single" w:sz="4" w:space="1" w:color="auto"/>
          <w:left w:val="single" w:sz="4" w:space="4" w:color="auto"/>
          <w:bottom w:val="single" w:sz="4" w:space="1" w:color="auto"/>
          <w:right w:val="single" w:sz="4" w:space="4" w:color="auto"/>
        </w:pBdr>
        <w:rPr>
          <w:noProof/>
        </w:rPr>
      </w:pPr>
      <w:r w:rsidRPr="00806A43">
        <w:rPr>
          <w:noProof/>
        </w:rPr>
        <w:t xml:space="preserve">Les actions devant être financées au titre de la présente proposition seront mises en œuvre en gestion directe par la Commission. </w:t>
      </w:r>
    </w:p>
    <w:p w:rsidR="00012390" w:rsidRPr="00806A43" w:rsidRDefault="00012390" w:rsidP="00012390">
      <w:pPr>
        <w:pStyle w:val="ManualHeading3"/>
        <w:rPr>
          <w:bCs/>
          <w:noProof/>
          <w:szCs w:val="24"/>
        </w:rPr>
      </w:pPr>
      <w:bookmarkStart w:id="98" w:name="_Toc514938047"/>
      <w:bookmarkStart w:id="99" w:name="_Toc520485046"/>
      <w:bookmarkStart w:id="100" w:name="_Toc160804588"/>
      <w:bookmarkStart w:id="101" w:name="_Toc167220280"/>
      <w:bookmarkStart w:id="102" w:name="_Toc177549013"/>
      <w:r w:rsidRPr="00806A43">
        <w:rPr>
          <w:noProof/>
        </w:rPr>
        <w:t>2.2.2.</w:t>
      </w:r>
      <w:r w:rsidRPr="00806A43">
        <w:rPr>
          <w:noProof/>
        </w:rPr>
        <w:tab/>
        <w:t>Informations sur les risques recensés et sur le(s) système(s) de contrôle interne mis en place pour les atténuer</w:t>
      </w:r>
      <w:bookmarkEnd w:id="98"/>
      <w:bookmarkEnd w:id="99"/>
      <w:bookmarkEnd w:id="100"/>
      <w:bookmarkEnd w:id="101"/>
      <w:bookmarkEnd w:id="102"/>
    </w:p>
    <w:p w:rsidR="00012390" w:rsidRPr="00806A43" w:rsidRDefault="00611869"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Afin de protéger les intérêts financiers de l’Union, l’Ukraine utilisera les systèmes de gestion et de contrôle proposés dans le plan pour l’Ukraine établi en application du règlement (UE) 2024/792.</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ManualHeading3"/>
        <w:rPr>
          <w:noProof/>
        </w:rPr>
      </w:pPr>
      <w:bookmarkStart w:id="103" w:name="_Toc514938048"/>
      <w:bookmarkStart w:id="104" w:name="_Toc520485047"/>
      <w:bookmarkStart w:id="105" w:name="_Toc160804589"/>
      <w:bookmarkStart w:id="106" w:name="_Toc167220281"/>
      <w:bookmarkStart w:id="107" w:name="_Toc177549014"/>
      <w:r w:rsidRPr="00806A43">
        <w:rPr>
          <w:noProof/>
        </w:rPr>
        <w:t>2.2.3.</w:t>
      </w:r>
      <w:r w:rsidRPr="00806A43">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03"/>
      <w:bookmarkEnd w:id="104"/>
      <w:bookmarkEnd w:id="105"/>
      <w:bookmarkEnd w:id="106"/>
      <w:bookmarkEnd w:id="107"/>
      <w:r w:rsidRPr="00806A43">
        <w:rPr>
          <w:noProof/>
        </w:rPr>
        <w:t xml:space="preserve"> </w:t>
      </w:r>
    </w:p>
    <w:p w:rsidR="00012390" w:rsidRPr="00806A43" w:rsidRDefault="00270AFA" w:rsidP="00012390">
      <w:pPr>
        <w:pStyle w:val="Text1"/>
        <w:pBdr>
          <w:top w:val="single" w:sz="4" w:space="1" w:color="auto"/>
          <w:left w:val="single" w:sz="4" w:space="4" w:color="auto"/>
          <w:bottom w:val="single" w:sz="4" w:space="1" w:color="auto"/>
          <w:right w:val="single" w:sz="4" w:space="4" w:color="auto"/>
        </w:pBdr>
        <w:rPr>
          <w:noProof/>
        </w:rPr>
      </w:pPr>
      <w:r w:rsidRPr="00806A43">
        <w:rPr>
          <w:noProof/>
        </w:rPr>
        <w:t>La contribution financière sera fournie à l’Ukraine sous la forme d’un financement non lié aux coûts, visé à l’article 125, paragraphe 1, point a), du règlement financier.</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ManualHeading2"/>
        <w:rPr>
          <w:bCs/>
          <w:noProof/>
          <w:szCs w:val="24"/>
        </w:rPr>
      </w:pPr>
      <w:bookmarkStart w:id="108" w:name="_Toc514938049"/>
      <w:bookmarkStart w:id="109" w:name="_Toc520485048"/>
      <w:bookmarkStart w:id="110" w:name="_Toc160804590"/>
      <w:bookmarkStart w:id="111" w:name="_Toc167220282"/>
      <w:bookmarkStart w:id="112" w:name="_Toc177549015"/>
      <w:r w:rsidRPr="00806A43">
        <w:rPr>
          <w:noProof/>
        </w:rPr>
        <w:t>2.3.</w:t>
      </w:r>
      <w:r w:rsidRPr="00806A43">
        <w:rPr>
          <w:noProof/>
        </w:rPr>
        <w:tab/>
        <w:t>Mesures de prévention des fraudes et irrégularités</w:t>
      </w:r>
      <w:bookmarkEnd w:id="108"/>
      <w:bookmarkEnd w:id="109"/>
      <w:bookmarkEnd w:id="110"/>
      <w:bookmarkEnd w:id="111"/>
      <w:bookmarkEnd w:id="112"/>
      <w:r w:rsidRPr="00806A43">
        <w:rPr>
          <w:noProof/>
        </w:rPr>
        <w:t xml:space="preserve"> </w:t>
      </w:r>
    </w:p>
    <w:p w:rsidR="00012390" w:rsidRPr="00806A43" w:rsidRDefault="00D41E30" w:rsidP="006A4E90">
      <w:pPr>
        <w:pStyle w:val="Text1"/>
        <w:pBdr>
          <w:top w:val="single" w:sz="4" w:space="1" w:color="auto"/>
          <w:left w:val="single" w:sz="4" w:space="4" w:color="auto"/>
          <w:bottom w:val="single" w:sz="4" w:space="1" w:color="auto"/>
          <w:right w:val="single" w:sz="4" w:space="4" w:color="auto"/>
        </w:pBdr>
        <w:rPr>
          <w:noProof/>
        </w:rPr>
        <w:sectPr w:rsidR="00012390" w:rsidRPr="00806A43" w:rsidSect="00771ED9">
          <w:pgSz w:w="11907" w:h="16840" w:code="9"/>
          <w:pgMar w:top="1134" w:right="1418" w:bottom="1134" w:left="1418" w:header="709" w:footer="709" w:gutter="0"/>
          <w:cols w:space="708"/>
          <w:docGrid w:linePitch="360"/>
        </w:sectPr>
      </w:pPr>
      <w:r w:rsidRPr="00806A43">
        <w:rPr>
          <w:noProof/>
        </w:rPr>
        <w:t>En application du règlement financier, l’Ukraine, y compris les tiers participant à l’exécution des fonds de l’Union, accordera les droits et accès nécessaires à la Commission, à l’Office européen de lutte antifraude (OLAF), à la Cour des comptes européenne et, s’il y a lieu, au Parquet européen pendant et après la période de mise à disposition du prêt garanti. L’Ukraine devrait également signaler à la Commission les irrégularités relatives à l’utilisation des fonds, conformément aux procédures prévues dans l’accord-cadre au titre de la facilité pour l’Ukraine.</w:t>
      </w:r>
    </w:p>
    <w:p w:rsidR="00012390" w:rsidRPr="00806A43" w:rsidRDefault="00012390" w:rsidP="00012390">
      <w:pPr>
        <w:pStyle w:val="ManualHeading1"/>
        <w:rPr>
          <w:bCs/>
          <w:noProof/>
          <w:szCs w:val="24"/>
        </w:rPr>
      </w:pPr>
      <w:bookmarkStart w:id="113" w:name="_Toc514938050"/>
      <w:bookmarkStart w:id="114" w:name="_Toc520485049"/>
      <w:bookmarkStart w:id="115" w:name="_Toc160804591"/>
      <w:bookmarkStart w:id="116" w:name="_Toc167220283"/>
      <w:bookmarkStart w:id="117" w:name="_Toc177549016"/>
      <w:r w:rsidRPr="00806A43">
        <w:rPr>
          <w:noProof/>
        </w:rPr>
        <w:t>3.</w:t>
      </w:r>
      <w:r w:rsidRPr="00806A43">
        <w:rPr>
          <w:noProof/>
        </w:rPr>
        <w:tab/>
        <w:t>INCIDENCE FINANCIÈRE ESTIMÉE DE LA PROPOSITION/DE L'INITIATIVE</w:t>
      </w:r>
      <w:bookmarkEnd w:id="113"/>
      <w:bookmarkEnd w:id="114"/>
      <w:bookmarkEnd w:id="115"/>
      <w:bookmarkEnd w:id="116"/>
      <w:bookmarkEnd w:id="117"/>
      <w:r w:rsidRPr="00806A43">
        <w:rPr>
          <w:noProof/>
        </w:rPr>
        <w:t xml:space="preserve"> </w:t>
      </w:r>
    </w:p>
    <w:p w:rsidR="00012390" w:rsidRPr="00806A43" w:rsidRDefault="00012390" w:rsidP="00012390">
      <w:pPr>
        <w:pStyle w:val="ManualHeading2"/>
        <w:rPr>
          <w:noProof/>
        </w:rPr>
      </w:pPr>
      <w:bookmarkStart w:id="118" w:name="_Toc514938051"/>
      <w:bookmarkStart w:id="119" w:name="_Toc520485050"/>
      <w:bookmarkStart w:id="120" w:name="_Toc160804592"/>
      <w:bookmarkStart w:id="121" w:name="_Toc167220284"/>
      <w:bookmarkStart w:id="122" w:name="_Toc177549017"/>
      <w:r w:rsidRPr="00806A43">
        <w:rPr>
          <w:noProof/>
        </w:rPr>
        <w:t>3.1.</w:t>
      </w:r>
      <w:r w:rsidRPr="00806A43">
        <w:rPr>
          <w:noProof/>
        </w:rPr>
        <w:tab/>
        <w:t>Rubrique(s) du cadre financier pluriannuel et ligne(s) budgétaire(s) de dépenses concernée(s)</w:t>
      </w:r>
      <w:bookmarkEnd w:id="118"/>
      <w:bookmarkEnd w:id="119"/>
      <w:bookmarkEnd w:id="120"/>
      <w:bookmarkEnd w:id="121"/>
      <w:bookmarkEnd w:id="122"/>
      <w:r w:rsidRPr="00806A43">
        <w:rPr>
          <w:noProof/>
        </w:rPr>
        <w:t xml:space="preserve"> </w:t>
      </w:r>
    </w:p>
    <w:p w:rsidR="00012390" w:rsidRPr="00806A43" w:rsidRDefault="00012390" w:rsidP="00012390">
      <w:pPr>
        <w:pStyle w:val="ListBullet1"/>
        <w:rPr>
          <w:noProof/>
        </w:rPr>
      </w:pPr>
      <w:r w:rsidRPr="00806A43">
        <w:rPr>
          <w:noProof/>
        </w:rPr>
        <w:t xml:space="preserve">Lignes budgétaires existantes </w:t>
      </w:r>
    </w:p>
    <w:p w:rsidR="00012390" w:rsidRPr="00806A43" w:rsidRDefault="00012390" w:rsidP="00012390">
      <w:pPr>
        <w:pStyle w:val="Text1"/>
        <w:rPr>
          <w:i/>
          <w:noProof/>
        </w:rPr>
      </w:pPr>
      <w:r w:rsidRPr="00806A43">
        <w:rPr>
          <w:i/>
          <w:noProof/>
          <w:u w:val="single"/>
        </w:rPr>
        <w:t>Dans l'ordre</w:t>
      </w:r>
      <w:r w:rsidRPr="00806A43">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012390" w:rsidRPr="00806A43">
        <w:trPr>
          <w:jc w:val="center"/>
        </w:trPr>
        <w:tc>
          <w:tcPr>
            <w:tcW w:w="1092" w:type="dxa"/>
            <w:vMerge w:val="restart"/>
            <w:vAlign w:val="center"/>
          </w:tcPr>
          <w:p w:rsidR="00012390" w:rsidRPr="00806A43" w:rsidRDefault="00012390">
            <w:pPr>
              <w:spacing w:before="60" w:after="60"/>
              <w:jc w:val="center"/>
              <w:rPr>
                <w:noProof/>
              </w:rPr>
            </w:pPr>
            <w:r w:rsidRPr="00806A43">
              <w:rPr>
                <w:noProof/>
                <w:sz w:val="18"/>
              </w:rPr>
              <w:t>Rubrique du cadre financier pluriannuel</w:t>
            </w:r>
          </w:p>
        </w:tc>
        <w:tc>
          <w:tcPr>
            <w:tcW w:w="4002" w:type="dxa"/>
            <w:vAlign w:val="center"/>
          </w:tcPr>
          <w:p w:rsidR="00012390" w:rsidRPr="00806A43" w:rsidRDefault="00012390">
            <w:pPr>
              <w:spacing w:before="60" w:after="60"/>
              <w:jc w:val="center"/>
              <w:rPr>
                <w:noProof/>
              </w:rPr>
            </w:pPr>
            <w:r w:rsidRPr="00806A43">
              <w:rPr>
                <w:noProof/>
                <w:sz w:val="20"/>
              </w:rPr>
              <w:t>Ligne budgétaire</w:t>
            </w:r>
          </w:p>
        </w:tc>
        <w:tc>
          <w:tcPr>
            <w:tcW w:w="1092" w:type="dxa"/>
            <w:vAlign w:val="center"/>
          </w:tcPr>
          <w:p w:rsidR="00012390" w:rsidRPr="00806A43" w:rsidRDefault="00012390">
            <w:pPr>
              <w:spacing w:before="60" w:after="60"/>
              <w:jc w:val="center"/>
              <w:rPr>
                <w:noProof/>
              </w:rPr>
            </w:pPr>
            <w:r w:rsidRPr="00806A43">
              <w:rPr>
                <w:noProof/>
                <w:sz w:val="18"/>
              </w:rPr>
              <w:t>Nature de la dépense</w:t>
            </w:r>
          </w:p>
        </w:tc>
        <w:tc>
          <w:tcPr>
            <w:tcW w:w="4487" w:type="dxa"/>
            <w:gridSpan w:val="4"/>
            <w:vAlign w:val="center"/>
          </w:tcPr>
          <w:p w:rsidR="00012390" w:rsidRPr="00806A43" w:rsidRDefault="00012390">
            <w:pPr>
              <w:spacing w:before="60" w:after="60"/>
              <w:jc w:val="center"/>
              <w:rPr>
                <w:noProof/>
              </w:rPr>
            </w:pPr>
            <w:r w:rsidRPr="00806A43">
              <w:rPr>
                <w:noProof/>
                <w:sz w:val="20"/>
              </w:rPr>
              <w:t xml:space="preserve">Participation </w:t>
            </w:r>
          </w:p>
        </w:tc>
      </w:tr>
      <w:tr w:rsidR="00012390" w:rsidRPr="00806A43">
        <w:trPr>
          <w:cantSplit/>
          <w:jc w:val="center"/>
        </w:trPr>
        <w:tc>
          <w:tcPr>
            <w:tcW w:w="1092" w:type="dxa"/>
            <w:vMerge/>
            <w:vAlign w:val="center"/>
          </w:tcPr>
          <w:p w:rsidR="00012390" w:rsidRPr="00806A43" w:rsidRDefault="00012390">
            <w:pPr>
              <w:jc w:val="center"/>
              <w:rPr>
                <w:noProof/>
              </w:rPr>
            </w:pPr>
          </w:p>
        </w:tc>
        <w:tc>
          <w:tcPr>
            <w:tcW w:w="4002" w:type="dxa"/>
            <w:vAlign w:val="center"/>
          </w:tcPr>
          <w:p w:rsidR="00012390" w:rsidRPr="00806A43" w:rsidRDefault="00012390">
            <w:pPr>
              <w:rPr>
                <w:noProof/>
              </w:rPr>
            </w:pPr>
            <w:r w:rsidRPr="00806A43">
              <w:rPr>
                <w:noProof/>
                <w:sz w:val="20"/>
              </w:rPr>
              <w:t xml:space="preserve">Numéro </w:t>
            </w:r>
            <w:r w:rsidRPr="00806A43">
              <w:rPr>
                <w:noProof/>
              </w:rPr>
              <w:t xml:space="preserve"> </w:t>
            </w:r>
            <w:r w:rsidRPr="00806A43">
              <w:rPr>
                <w:noProof/>
              </w:rPr>
              <w:br/>
            </w:r>
          </w:p>
        </w:tc>
        <w:tc>
          <w:tcPr>
            <w:tcW w:w="1092" w:type="dxa"/>
            <w:vAlign w:val="center"/>
          </w:tcPr>
          <w:p w:rsidR="00012390" w:rsidRPr="00806A43" w:rsidRDefault="00012390">
            <w:pPr>
              <w:jc w:val="center"/>
              <w:rPr>
                <w:noProof/>
              </w:rPr>
            </w:pPr>
            <w:r w:rsidRPr="00806A43">
              <w:rPr>
                <w:noProof/>
                <w:sz w:val="18"/>
              </w:rPr>
              <w:t>CD/CND</w:t>
            </w:r>
            <w:r w:rsidRPr="00806A43">
              <w:rPr>
                <w:rStyle w:val="FootnoteReference"/>
                <w:noProof/>
                <w:sz w:val="18"/>
                <w:szCs w:val="18"/>
              </w:rPr>
              <w:footnoteReference w:id="8"/>
            </w:r>
          </w:p>
        </w:tc>
        <w:tc>
          <w:tcPr>
            <w:tcW w:w="966" w:type="dxa"/>
            <w:vAlign w:val="center"/>
          </w:tcPr>
          <w:p w:rsidR="00012390" w:rsidRPr="00806A43" w:rsidRDefault="00012390">
            <w:pPr>
              <w:jc w:val="center"/>
              <w:rPr>
                <w:b/>
                <w:noProof/>
                <w:sz w:val="18"/>
              </w:rPr>
            </w:pPr>
            <w:r w:rsidRPr="00806A43">
              <w:rPr>
                <w:noProof/>
                <w:sz w:val="18"/>
              </w:rPr>
              <w:t>de pays AELE</w:t>
            </w:r>
            <w:r w:rsidRPr="00806A43">
              <w:rPr>
                <w:rStyle w:val="FootnoteReference"/>
                <w:noProof/>
                <w:sz w:val="18"/>
                <w:szCs w:val="18"/>
              </w:rPr>
              <w:footnoteReference w:id="9"/>
            </w:r>
          </w:p>
        </w:tc>
        <w:tc>
          <w:tcPr>
            <w:tcW w:w="1092" w:type="dxa"/>
            <w:vAlign w:val="center"/>
          </w:tcPr>
          <w:p w:rsidR="00012390" w:rsidRPr="00806A43" w:rsidRDefault="00012390">
            <w:pPr>
              <w:jc w:val="center"/>
              <w:rPr>
                <w:noProof/>
                <w:sz w:val="18"/>
              </w:rPr>
            </w:pPr>
            <w:r w:rsidRPr="00806A43">
              <w:rPr>
                <w:noProof/>
                <w:sz w:val="18"/>
              </w:rPr>
              <w:t>de pays candidats et pays candidats potentiels</w:t>
            </w:r>
            <w:r w:rsidRPr="00806A43">
              <w:rPr>
                <w:rStyle w:val="FootnoteReference"/>
                <w:noProof/>
                <w:sz w:val="18"/>
                <w:szCs w:val="18"/>
              </w:rPr>
              <w:footnoteReference w:id="10"/>
            </w:r>
          </w:p>
        </w:tc>
        <w:tc>
          <w:tcPr>
            <w:tcW w:w="966" w:type="dxa"/>
            <w:vAlign w:val="center"/>
          </w:tcPr>
          <w:p w:rsidR="00012390" w:rsidRPr="00806A43" w:rsidRDefault="00012390">
            <w:pPr>
              <w:jc w:val="center"/>
              <w:rPr>
                <w:noProof/>
                <w:sz w:val="18"/>
              </w:rPr>
            </w:pPr>
            <w:r w:rsidRPr="00806A43">
              <w:rPr>
                <w:noProof/>
                <w:sz w:val="18"/>
              </w:rPr>
              <w:t>d’autres pays tiers</w:t>
            </w:r>
          </w:p>
        </w:tc>
        <w:tc>
          <w:tcPr>
            <w:tcW w:w="1463" w:type="dxa"/>
            <w:vAlign w:val="center"/>
          </w:tcPr>
          <w:p w:rsidR="00012390" w:rsidRPr="00806A43" w:rsidRDefault="00012390">
            <w:pPr>
              <w:jc w:val="center"/>
              <w:rPr>
                <w:noProof/>
              </w:rPr>
            </w:pPr>
            <w:r w:rsidRPr="00806A43">
              <w:rPr>
                <w:noProof/>
                <w:sz w:val="18"/>
              </w:rPr>
              <w:t>autres recettes affectées</w:t>
            </w:r>
          </w:p>
        </w:tc>
      </w:tr>
      <w:tr w:rsidR="00012390" w:rsidRPr="00806A43">
        <w:trPr>
          <w:jc w:val="center"/>
        </w:trPr>
        <w:tc>
          <w:tcPr>
            <w:tcW w:w="1092" w:type="dxa"/>
            <w:vAlign w:val="center"/>
          </w:tcPr>
          <w:p w:rsidR="00012390" w:rsidRPr="00806A43" w:rsidRDefault="00012390">
            <w:pPr>
              <w:jc w:val="center"/>
              <w:rPr>
                <w:noProof/>
                <w:color w:val="0000FF"/>
              </w:rPr>
            </w:pPr>
          </w:p>
        </w:tc>
        <w:tc>
          <w:tcPr>
            <w:tcW w:w="4002"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rPr>
            </w:pPr>
          </w:p>
        </w:tc>
        <w:tc>
          <w:tcPr>
            <w:tcW w:w="1092" w:type="dxa"/>
            <w:vAlign w:val="center"/>
          </w:tcPr>
          <w:p w:rsidR="00012390" w:rsidRPr="00806A43" w:rsidRDefault="00012390">
            <w:pPr>
              <w:jc w:val="center"/>
              <w:rPr>
                <w:noProof/>
                <w:color w:val="0000FF"/>
              </w:rPr>
            </w:pPr>
            <w:r w:rsidRPr="00806A43">
              <w:rPr>
                <w:noProof/>
                <w:sz w:val="22"/>
              </w:rPr>
              <w:t>CD/CND</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092" w:type="dxa"/>
            <w:vAlign w:val="center"/>
          </w:tcPr>
          <w:p w:rsidR="00012390" w:rsidRPr="00806A43" w:rsidRDefault="00012390">
            <w:pPr>
              <w:jc w:val="center"/>
              <w:rPr>
                <w:noProof/>
                <w:sz w:val="20"/>
                <w:szCs w:val="20"/>
              </w:rPr>
            </w:pPr>
            <w:r w:rsidRPr="00806A43">
              <w:rPr>
                <w:noProof/>
                <w:sz w:val="20"/>
              </w:rPr>
              <w:t>OUI/NON</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463" w:type="dxa"/>
            <w:vAlign w:val="center"/>
          </w:tcPr>
          <w:p w:rsidR="00012390" w:rsidRPr="00806A43" w:rsidRDefault="00012390">
            <w:pPr>
              <w:jc w:val="center"/>
              <w:rPr>
                <w:noProof/>
                <w:sz w:val="20"/>
                <w:szCs w:val="20"/>
              </w:rPr>
            </w:pPr>
            <w:r w:rsidRPr="00806A43">
              <w:rPr>
                <w:noProof/>
                <w:sz w:val="20"/>
              </w:rPr>
              <w:t>OUI/NON</w:t>
            </w:r>
          </w:p>
        </w:tc>
      </w:tr>
      <w:tr w:rsidR="00012390" w:rsidRPr="00806A43">
        <w:trPr>
          <w:jc w:val="center"/>
        </w:trPr>
        <w:tc>
          <w:tcPr>
            <w:tcW w:w="1092" w:type="dxa"/>
            <w:vAlign w:val="center"/>
          </w:tcPr>
          <w:p w:rsidR="00012390" w:rsidRPr="00806A43" w:rsidRDefault="00012390">
            <w:pPr>
              <w:jc w:val="center"/>
              <w:rPr>
                <w:noProof/>
                <w:color w:val="0000FF"/>
              </w:rPr>
            </w:pPr>
          </w:p>
        </w:tc>
        <w:tc>
          <w:tcPr>
            <w:tcW w:w="4002"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rPr>
            </w:pPr>
          </w:p>
        </w:tc>
        <w:tc>
          <w:tcPr>
            <w:tcW w:w="1092" w:type="dxa"/>
            <w:vAlign w:val="center"/>
          </w:tcPr>
          <w:p w:rsidR="00012390" w:rsidRPr="00806A43" w:rsidRDefault="00012390">
            <w:pPr>
              <w:jc w:val="center"/>
              <w:rPr>
                <w:noProof/>
                <w:color w:val="0000FF"/>
              </w:rPr>
            </w:pPr>
            <w:r w:rsidRPr="00806A43">
              <w:rPr>
                <w:noProof/>
                <w:sz w:val="22"/>
              </w:rPr>
              <w:t>CD/CND</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092" w:type="dxa"/>
            <w:vAlign w:val="center"/>
          </w:tcPr>
          <w:p w:rsidR="00012390" w:rsidRPr="00806A43" w:rsidRDefault="00012390">
            <w:pPr>
              <w:jc w:val="center"/>
              <w:rPr>
                <w:noProof/>
                <w:sz w:val="20"/>
                <w:szCs w:val="20"/>
              </w:rPr>
            </w:pPr>
            <w:r w:rsidRPr="00806A43">
              <w:rPr>
                <w:noProof/>
                <w:sz w:val="20"/>
              </w:rPr>
              <w:t>OUI/NON</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463" w:type="dxa"/>
            <w:vAlign w:val="center"/>
          </w:tcPr>
          <w:p w:rsidR="00012390" w:rsidRPr="00806A43" w:rsidRDefault="00012390">
            <w:pPr>
              <w:jc w:val="center"/>
              <w:rPr>
                <w:noProof/>
                <w:sz w:val="20"/>
                <w:szCs w:val="20"/>
              </w:rPr>
            </w:pPr>
            <w:r w:rsidRPr="00806A43">
              <w:rPr>
                <w:noProof/>
                <w:sz w:val="20"/>
              </w:rPr>
              <w:t>OUI/NON</w:t>
            </w:r>
          </w:p>
        </w:tc>
      </w:tr>
      <w:tr w:rsidR="00012390" w:rsidRPr="00806A43">
        <w:trPr>
          <w:jc w:val="center"/>
        </w:trPr>
        <w:tc>
          <w:tcPr>
            <w:tcW w:w="1092" w:type="dxa"/>
            <w:vAlign w:val="center"/>
          </w:tcPr>
          <w:p w:rsidR="00012390" w:rsidRPr="00806A43" w:rsidRDefault="00012390">
            <w:pPr>
              <w:jc w:val="center"/>
              <w:rPr>
                <w:noProof/>
                <w:color w:val="0000FF"/>
              </w:rPr>
            </w:pPr>
          </w:p>
        </w:tc>
        <w:tc>
          <w:tcPr>
            <w:tcW w:w="4002"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rPr>
            </w:pPr>
          </w:p>
        </w:tc>
        <w:tc>
          <w:tcPr>
            <w:tcW w:w="1092" w:type="dxa"/>
            <w:vAlign w:val="center"/>
          </w:tcPr>
          <w:p w:rsidR="00012390" w:rsidRPr="00806A43" w:rsidRDefault="00012390">
            <w:pPr>
              <w:jc w:val="center"/>
              <w:rPr>
                <w:noProof/>
                <w:color w:val="0000FF"/>
              </w:rPr>
            </w:pPr>
            <w:r w:rsidRPr="00806A43">
              <w:rPr>
                <w:noProof/>
                <w:sz w:val="22"/>
              </w:rPr>
              <w:t>CD/CND</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092" w:type="dxa"/>
            <w:vAlign w:val="center"/>
          </w:tcPr>
          <w:p w:rsidR="00012390" w:rsidRPr="00806A43" w:rsidRDefault="00012390">
            <w:pPr>
              <w:jc w:val="center"/>
              <w:rPr>
                <w:noProof/>
                <w:sz w:val="20"/>
                <w:szCs w:val="20"/>
              </w:rPr>
            </w:pPr>
            <w:r w:rsidRPr="00806A43">
              <w:rPr>
                <w:noProof/>
                <w:sz w:val="20"/>
              </w:rPr>
              <w:t>OUI/NON</w:t>
            </w:r>
          </w:p>
        </w:tc>
        <w:tc>
          <w:tcPr>
            <w:tcW w:w="966" w:type="dxa"/>
            <w:vAlign w:val="center"/>
          </w:tcPr>
          <w:p w:rsidR="00012390" w:rsidRPr="00806A43" w:rsidRDefault="00012390">
            <w:pPr>
              <w:jc w:val="center"/>
              <w:rPr>
                <w:noProof/>
                <w:sz w:val="20"/>
                <w:szCs w:val="20"/>
              </w:rPr>
            </w:pPr>
            <w:r w:rsidRPr="00806A43">
              <w:rPr>
                <w:noProof/>
                <w:sz w:val="20"/>
              </w:rPr>
              <w:t>OUI/NON</w:t>
            </w:r>
          </w:p>
        </w:tc>
        <w:tc>
          <w:tcPr>
            <w:tcW w:w="1463" w:type="dxa"/>
            <w:vAlign w:val="center"/>
          </w:tcPr>
          <w:p w:rsidR="00012390" w:rsidRPr="00806A43" w:rsidRDefault="00012390">
            <w:pPr>
              <w:jc w:val="center"/>
              <w:rPr>
                <w:noProof/>
                <w:sz w:val="20"/>
                <w:szCs w:val="20"/>
              </w:rPr>
            </w:pPr>
            <w:r w:rsidRPr="00806A43">
              <w:rPr>
                <w:noProof/>
                <w:sz w:val="20"/>
              </w:rPr>
              <w:t>OUI/NON</w:t>
            </w:r>
          </w:p>
        </w:tc>
      </w:tr>
    </w:tbl>
    <w:p w:rsidR="00012390" w:rsidRPr="00806A43" w:rsidRDefault="00012390" w:rsidP="00012390">
      <w:pPr>
        <w:pStyle w:val="ListBullet1"/>
        <w:rPr>
          <w:noProof/>
        </w:rPr>
      </w:pPr>
      <w:r w:rsidRPr="00806A43">
        <w:rPr>
          <w:noProof/>
        </w:rPr>
        <w:t xml:space="preserve">Nouvelles lignes budgétaires, dont la création est demandée </w:t>
      </w:r>
    </w:p>
    <w:p w:rsidR="00012390" w:rsidRPr="00806A43" w:rsidRDefault="00012390" w:rsidP="00012390">
      <w:pPr>
        <w:pStyle w:val="Text1"/>
        <w:rPr>
          <w:i/>
          <w:noProof/>
          <w:sz w:val="20"/>
        </w:rPr>
      </w:pPr>
      <w:r w:rsidRPr="00806A43">
        <w:rPr>
          <w:i/>
          <w:noProof/>
          <w:u w:val="single"/>
        </w:rPr>
        <w:t>Dans l'ordre</w:t>
      </w:r>
      <w:r w:rsidRPr="00806A43">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012390" w:rsidRPr="00806A43">
        <w:trPr>
          <w:jc w:val="center"/>
        </w:trPr>
        <w:tc>
          <w:tcPr>
            <w:tcW w:w="1080" w:type="dxa"/>
            <w:vMerge w:val="restart"/>
            <w:vAlign w:val="center"/>
          </w:tcPr>
          <w:p w:rsidR="00012390" w:rsidRPr="00806A43" w:rsidRDefault="00012390">
            <w:pPr>
              <w:spacing w:before="60" w:after="60"/>
              <w:jc w:val="center"/>
              <w:rPr>
                <w:noProof/>
                <w:sz w:val="18"/>
                <w:szCs w:val="18"/>
              </w:rPr>
            </w:pPr>
            <w:r w:rsidRPr="00806A43">
              <w:rPr>
                <w:noProof/>
                <w:sz w:val="18"/>
              </w:rPr>
              <w:t>Rubrique du cadre financier pluriannuel</w:t>
            </w:r>
          </w:p>
        </w:tc>
        <w:tc>
          <w:tcPr>
            <w:tcW w:w="3960" w:type="dxa"/>
            <w:vAlign w:val="center"/>
          </w:tcPr>
          <w:p w:rsidR="00012390" w:rsidRPr="00806A43" w:rsidRDefault="00012390">
            <w:pPr>
              <w:spacing w:before="60" w:after="60"/>
              <w:jc w:val="center"/>
              <w:rPr>
                <w:noProof/>
              </w:rPr>
            </w:pPr>
            <w:r w:rsidRPr="00806A43">
              <w:rPr>
                <w:noProof/>
                <w:sz w:val="20"/>
              </w:rPr>
              <w:t>Ligne budgétaire</w:t>
            </w:r>
          </w:p>
        </w:tc>
        <w:tc>
          <w:tcPr>
            <w:tcW w:w="1080" w:type="dxa"/>
            <w:vAlign w:val="center"/>
          </w:tcPr>
          <w:p w:rsidR="00012390" w:rsidRPr="00806A43" w:rsidRDefault="00012390">
            <w:pPr>
              <w:spacing w:before="60" w:after="60"/>
              <w:jc w:val="center"/>
              <w:rPr>
                <w:noProof/>
              </w:rPr>
            </w:pPr>
            <w:r w:rsidRPr="00806A43">
              <w:rPr>
                <w:noProof/>
                <w:sz w:val="18"/>
              </w:rPr>
              <w:t>Nature de la dépense</w:t>
            </w:r>
          </w:p>
        </w:tc>
        <w:tc>
          <w:tcPr>
            <w:tcW w:w="4440" w:type="dxa"/>
            <w:gridSpan w:val="4"/>
            <w:vAlign w:val="center"/>
          </w:tcPr>
          <w:p w:rsidR="00012390" w:rsidRPr="00806A43" w:rsidRDefault="00012390">
            <w:pPr>
              <w:spacing w:before="60" w:after="60"/>
              <w:jc w:val="center"/>
              <w:rPr>
                <w:noProof/>
              </w:rPr>
            </w:pPr>
            <w:r w:rsidRPr="00806A43">
              <w:rPr>
                <w:noProof/>
                <w:sz w:val="20"/>
              </w:rPr>
              <w:t xml:space="preserve">Participation </w:t>
            </w:r>
          </w:p>
        </w:tc>
      </w:tr>
      <w:tr w:rsidR="00012390" w:rsidRPr="00806A43">
        <w:trPr>
          <w:cantSplit/>
          <w:jc w:val="center"/>
        </w:trPr>
        <w:tc>
          <w:tcPr>
            <w:tcW w:w="1080" w:type="dxa"/>
            <w:vMerge/>
            <w:vAlign w:val="center"/>
          </w:tcPr>
          <w:p w:rsidR="00012390" w:rsidRPr="00806A43" w:rsidRDefault="00012390">
            <w:pPr>
              <w:jc w:val="center"/>
              <w:rPr>
                <w:noProof/>
              </w:rPr>
            </w:pPr>
          </w:p>
        </w:tc>
        <w:tc>
          <w:tcPr>
            <w:tcW w:w="3960" w:type="dxa"/>
            <w:vAlign w:val="center"/>
          </w:tcPr>
          <w:p w:rsidR="00012390" w:rsidRPr="00806A43" w:rsidRDefault="00012390">
            <w:pPr>
              <w:rPr>
                <w:noProof/>
              </w:rPr>
            </w:pPr>
            <w:r w:rsidRPr="00806A43">
              <w:rPr>
                <w:noProof/>
                <w:sz w:val="20"/>
              </w:rPr>
              <w:t xml:space="preserve">Numéro </w:t>
            </w:r>
            <w:r w:rsidRPr="00806A43">
              <w:rPr>
                <w:noProof/>
              </w:rPr>
              <w:t xml:space="preserve"> </w:t>
            </w:r>
            <w:r w:rsidRPr="00806A43">
              <w:rPr>
                <w:noProof/>
              </w:rPr>
              <w:br/>
            </w:r>
          </w:p>
        </w:tc>
        <w:tc>
          <w:tcPr>
            <w:tcW w:w="1080" w:type="dxa"/>
            <w:vAlign w:val="center"/>
          </w:tcPr>
          <w:p w:rsidR="00012390" w:rsidRPr="00806A43" w:rsidRDefault="00012390">
            <w:pPr>
              <w:jc w:val="center"/>
              <w:rPr>
                <w:noProof/>
              </w:rPr>
            </w:pPr>
            <w:r w:rsidRPr="00806A43">
              <w:rPr>
                <w:noProof/>
                <w:sz w:val="18"/>
              </w:rPr>
              <w:t>CD/CND</w:t>
            </w:r>
          </w:p>
        </w:tc>
        <w:tc>
          <w:tcPr>
            <w:tcW w:w="956" w:type="dxa"/>
            <w:vAlign w:val="center"/>
          </w:tcPr>
          <w:p w:rsidR="00012390" w:rsidRPr="00806A43" w:rsidRDefault="00012390">
            <w:pPr>
              <w:jc w:val="center"/>
              <w:rPr>
                <w:noProof/>
                <w:sz w:val="18"/>
              </w:rPr>
            </w:pPr>
            <w:r w:rsidRPr="00806A43">
              <w:rPr>
                <w:noProof/>
                <w:sz w:val="18"/>
              </w:rPr>
              <w:t>de pays AELE</w:t>
            </w:r>
          </w:p>
        </w:tc>
        <w:tc>
          <w:tcPr>
            <w:tcW w:w="1080" w:type="dxa"/>
            <w:vAlign w:val="center"/>
          </w:tcPr>
          <w:p w:rsidR="00012390" w:rsidRPr="00806A43" w:rsidRDefault="00012390">
            <w:pPr>
              <w:jc w:val="center"/>
              <w:rPr>
                <w:noProof/>
                <w:sz w:val="18"/>
              </w:rPr>
            </w:pPr>
            <w:r w:rsidRPr="00806A43">
              <w:rPr>
                <w:noProof/>
                <w:sz w:val="18"/>
              </w:rPr>
              <w:t>de pays candidats et pays candidats potentiels</w:t>
            </w:r>
          </w:p>
        </w:tc>
        <w:tc>
          <w:tcPr>
            <w:tcW w:w="956" w:type="dxa"/>
            <w:vAlign w:val="center"/>
          </w:tcPr>
          <w:p w:rsidR="00012390" w:rsidRPr="00806A43" w:rsidRDefault="00012390">
            <w:pPr>
              <w:jc w:val="center"/>
              <w:rPr>
                <w:noProof/>
                <w:sz w:val="18"/>
              </w:rPr>
            </w:pPr>
            <w:r w:rsidRPr="00806A43">
              <w:rPr>
                <w:noProof/>
                <w:sz w:val="18"/>
              </w:rPr>
              <w:t>d’autres pays tiers</w:t>
            </w:r>
          </w:p>
        </w:tc>
        <w:tc>
          <w:tcPr>
            <w:tcW w:w="1448" w:type="dxa"/>
            <w:vAlign w:val="center"/>
          </w:tcPr>
          <w:p w:rsidR="00012390" w:rsidRPr="00806A43" w:rsidRDefault="00012390">
            <w:pPr>
              <w:jc w:val="center"/>
              <w:rPr>
                <w:noProof/>
              </w:rPr>
            </w:pPr>
            <w:r w:rsidRPr="00806A43">
              <w:rPr>
                <w:noProof/>
                <w:sz w:val="18"/>
              </w:rPr>
              <w:t xml:space="preserve">autres recettes affectées </w:t>
            </w:r>
          </w:p>
        </w:tc>
      </w:tr>
      <w:tr w:rsidR="00012390" w:rsidRPr="00806A43">
        <w:trPr>
          <w:cantSplit/>
          <w:jc w:val="center"/>
        </w:trPr>
        <w:tc>
          <w:tcPr>
            <w:tcW w:w="1080" w:type="dxa"/>
            <w:vAlign w:val="center"/>
          </w:tcPr>
          <w:p w:rsidR="00012390" w:rsidRPr="00806A43" w:rsidRDefault="00012390">
            <w:pPr>
              <w:jc w:val="center"/>
              <w:rPr>
                <w:noProof/>
                <w:color w:val="0000FF"/>
              </w:rPr>
            </w:pPr>
          </w:p>
        </w:tc>
        <w:tc>
          <w:tcPr>
            <w:tcW w:w="3960"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rPr>
            </w:pPr>
          </w:p>
        </w:tc>
        <w:tc>
          <w:tcPr>
            <w:tcW w:w="1080" w:type="dxa"/>
            <w:vAlign w:val="center"/>
          </w:tcPr>
          <w:p w:rsidR="00012390" w:rsidRPr="00806A43" w:rsidRDefault="00012390">
            <w:pPr>
              <w:jc w:val="center"/>
              <w:rPr>
                <w:noProof/>
                <w:color w:val="0000FF"/>
              </w:rPr>
            </w:pPr>
            <w:r w:rsidRPr="00806A43">
              <w:rPr>
                <w:noProof/>
                <w:sz w:val="22"/>
              </w:rPr>
              <w:t>CD/CND</w:t>
            </w:r>
          </w:p>
        </w:tc>
        <w:tc>
          <w:tcPr>
            <w:tcW w:w="956" w:type="dxa"/>
            <w:vAlign w:val="center"/>
          </w:tcPr>
          <w:p w:rsidR="00012390" w:rsidRPr="00806A43" w:rsidRDefault="00012390">
            <w:pPr>
              <w:jc w:val="center"/>
              <w:rPr>
                <w:noProof/>
                <w:sz w:val="20"/>
                <w:szCs w:val="20"/>
              </w:rPr>
            </w:pPr>
            <w:r w:rsidRPr="00806A43">
              <w:rPr>
                <w:noProof/>
                <w:sz w:val="20"/>
              </w:rPr>
              <w:t>OUI/NON</w:t>
            </w:r>
          </w:p>
        </w:tc>
        <w:tc>
          <w:tcPr>
            <w:tcW w:w="1080" w:type="dxa"/>
            <w:vAlign w:val="center"/>
          </w:tcPr>
          <w:p w:rsidR="00012390" w:rsidRPr="00806A43" w:rsidRDefault="00012390">
            <w:pPr>
              <w:jc w:val="center"/>
              <w:rPr>
                <w:noProof/>
                <w:sz w:val="20"/>
                <w:szCs w:val="20"/>
              </w:rPr>
            </w:pPr>
            <w:r w:rsidRPr="00806A43">
              <w:rPr>
                <w:noProof/>
                <w:sz w:val="20"/>
              </w:rPr>
              <w:t>OUI/NON</w:t>
            </w:r>
          </w:p>
        </w:tc>
        <w:tc>
          <w:tcPr>
            <w:tcW w:w="956" w:type="dxa"/>
            <w:vAlign w:val="center"/>
          </w:tcPr>
          <w:p w:rsidR="00012390" w:rsidRPr="00806A43" w:rsidRDefault="00012390">
            <w:pPr>
              <w:jc w:val="center"/>
              <w:rPr>
                <w:noProof/>
                <w:sz w:val="20"/>
                <w:szCs w:val="20"/>
              </w:rPr>
            </w:pPr>
            <w:r w:rsidRPr="00806A43">
              <w:rPr>
                <w:noProof/>
                <w:sz w:val="20"/>
              </w:rPr>
              <w:t>OUI/NON</w:t>
            </w:r>
          </w:p>
        </w:tc>
        <w:tc>
          <w:tcPr>
            <w:tcW w:w="1448" w:type="dxa"/>
            <w:vAlign w:val="center"/>
          </w:tcPr>
          <w:p w:rsidR="00012390" w:rsidRPr="00806A43" w:rsidRDefault="00012390">
            <w:pPr>
              <w:jc w:val="center"/>
              <w:rPr>
                <w:noProof/>
                <w:sz w:val="20"/>
                <w:szCs w:val="20"/>
              </w:rPr>
            </w:pPr>
            <w:r w:rsidRPr="00806A43">
              <w:rPr>
                <w:noProof/>
                <w:sz w:val="20"/>
              </w:rPr>
              <w:t>OUI/NON</w:t>
            </w:r>
          </w:p>
        </w:tc>
      </w:tr>
      <w:tr w:rsidR="00012390" w:rsidRPr="00806A43">
        <w:trPr>
          <w:cantSplit/>
          <w:jc w:val="center"/>
        </w:trPr>
        <w:tc>
          <w:tcPr>
            <w:tcW w:w="1080" w:type="dxa"/>
            <w:vAlign w:val="center"/>
          </w:tcPr>
          <w:p w:rsidR="00012390" w:rsidRPr="00806A43" w:rsidRDefault="00012390">
            <w:pPr>
              <w:jc w:val="center"/>
              <w:rPr>
                <w:noProof/>
                <w:color w:val="0000FF"/>
              </w:rPr>
            </w:pPr>
          </w:p>
        </w:tc>
        <w:tc>
          <w:tcPr>
            <w:tcW w:w="3960"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rPr>
            </w:pPr>
          </w:p>
        </w:tc>
        <w:tc>
          <w:tcPr>
            <w:tcW w:w="1080" w:type="dxa"/>
            <w:vAlign w:val="center"/>
          </w:tcPr>
          <w:p w:rsidR="00012390" w:rsidRPr="00806A43" w:rsidRDefault="00012390">
            <w:pPr>
              <w:jc w:val="center"/>
              <w:rPr>
                <w:noProof/>
                <w:color w:val="0000FF"/>
              </w:rPr>
            </w:pPr>
            <w:r w:rsidRPr="00806A43">
              <w:rPr>
                <w:noProof/>
                <w:sz w:val="22"/>
              </w:rPr>
              <w:t>CD/CND</w:t>
            </w:r>
          </w:p>
        </w:tc>
        <w:tc>
          <w:tcPr>
            <w:tcW w:w="956" w:type="dxa"/>
            <w:vAlign w:val="center"/>
          </w:tcPr>
          <w:p w:rsidR="00012390" w:rsidRPr="00806A43" w:rsidRDefault="00012390">
            <w:pPr>
              <w:jc w:val="center"/>
              <w:rPr>
                <w:noProof/>
                <w:sz w:val="20"/>
                <w:szCs w:val="20"/>
              </w:rPr>
            </w:pPr>
            <w:r w:rsidRPr="00806A43">
              <w:rPr>
                <w:noProof/>
                <w:sz w:val="20"/>
              </w:rPr>
              <w:t>OUI/NON</w:t>
            </w:r>
          </w:p>
        </w:tc>
        <w:tc>
          <w:tcPr>
            <w:tcW w:w="1080" w:type="dxa"/>
            <w:vAlign w:val="center"/>
          </w:tcPr>
          <w:p w:rsidR="00012390" w:rsidRPr="00806A43" w:rsidRDefault="00012390">
            <w:pPr>
              <w:jc w:val="center"/>
              <w:rPr>
                <w:noProof/>
                <w:sz w:val="20"/>
                <w:szCs w:val="20"/>
              </w:rPr>
            </w:pPr>
            <w:r w:rsidRPr="00806A43">
              <w:rPr>
                <w:noProof/>
                <w:sz w:val="20"/>
              </w:rPr>
              <w:t>OUI/NON</w:t>
            </w:r>
          </w:p>
        </w:tc>
        <w:tc>
          <w:tcPr>
            <w:tcW w:w="956" w:type="dxa"/>
            <w:vAlign w:val="center"/>
          </w:tcPr>
          <w:p w:rsidR="00012390" w:rsidRPr="00806A43" w:rsidRDefault="00012390">
            <w:pPr>
              <w:jc w:val="center"/>
              <w:rPr>
                <w:noProof/>
                <w:sz w:val="20"/>
                <w:szCs w:val="20"/>
              </w:rPr>
            </w:pPr>
            <w:r w:rsidRPr="00806A43">
              <w:rPr>
                <w:noProof/>
                <w:sz w:val="20"/>
              </w:rPr>
              <w:t>OUI/NON</w:t>
            </w:r>
          </w:p>
        </w:tc>
        <w:tc>
          <w:tcPr>
            <w:tcW w:w="1448" w:type="dxa"/>
            <w:vAlign w:val="center"/>
          </w:tcPr>
          <w:p w:rsidR="00012390" w:rsidRPr="00806A43" w:rsidRDefault="00012390">
            <w:pPr>
              <w:jc w:val="center"/>
              <w:rPr>
                <w:noProof/>
                <w:sz w:val="20"/>
                <w:szCs w:val="20"/>
              </w:rPr>
            </w:pPr>
            <w:r w:rsidRPr="00806A43">
              <w:rPr>
                <w:noProof/>
                <w:sz w:val="20"/>
              </w:rPr>
              <w:t>OUI/NON</w:t>
            </w:r>
          </w:p>
        </w:tc>
      </w:tr>
      <w:tr w:rsidR="00012390" w:rsidRPr="00806A43">
        <w:trPr>
          <w:jc w:val="center"/>
        </w:trPr>
        <w:tc>
          <w:tcPr>
            <w:tcW w:w="1080" w:type="dxa"/>
            <w:vAlign w:val="center"/>
          </w:tcPr>
          <w:p w:rsidR="00012390" w:rsidRPr="00806A43" w:rsidRDefault="00012390">
            <w:pPr>
              <w:jc w:val="center"/>
              <w:rPr>
                <w:noProof/>
                <w:color w:val="0000FF"/>
              </w:rPr>
            </w:pPr>
          </w:p>
        </w:tc>
        <w:tc>
          <w:tcPr>
            <w:tcW w:w="3960" w:type="dxa"/>
            <w:vAlign w:val="center"/>
          </w:tcPr>
          <w:p w:rsidR="00012390" w:rsidRPr="00806A43" w:rsidRDefault="00012390">
            <w:pPr>
              <w:spacing w:before="60"/>
              <w:rPr>
                <w:noProof/>
              </w:rPr>
            </w:pPr>
            <w:r w:rsidRPr="00806A43">
              <w:rPr>
                <w:noProof/>
                <w:sz w:val="22"/>
              </w:rPr>
              <w:t>[XX.YY.YY.YY]</w:t>
            </w:r>
          </w:p>
          <w:p w:rsidR="00012390" w:rsidRPr="00806A43" w:rsidRDefault="00012390">
            <w:pPr>
              <w:spacing w:after="60"/>
              <w:rPr>
                <w:noProof/>
                <w:color w:val="0000FF"/>
              </w:rPr>
            </w:pPr>
          </w:p>
        </w:tc>
        <w:tc>
          <w:tcPr>
            <w:tcW w:w="1080" w:type="dxa"/>
            <w:vAlign w:val="center"/>
          </w:tcPr>
          <w:p w:rsidR="00012390" w:rsidRPr="00806A43" w:rsidRDefault="00012390">
            <w:pPr>
              <w:jc w:val="center"/>
              <w:rPr>
                <w:noProof/>
                <w:color w:val="0000FF"/>
              </w:rPr>
            </w:pPr>
            <w:r w:rsidRPr="00806A43">
              <w:rPr>
                <w:noProof/>
                <w:sz w:val="22"/>
              </w:rPr>
              <w:t>CD/CND</w:t>
            </w:r>
          </w:p>
        </w:tc>
        <w:tc>
          <w:tcPr>
            <w:tcW w:w="956" w:type="dxa"/>
            <w:vAlign w:val="center"/>
          </w:tcPr>
          <w:p w:rsidR="00012390" w:rsidRPr="00806A43" w:rsidRDefault="00012390">
            <w:pPr>
              <w:jc w:val="center"/>
              <w:rPr>
                <w:noProof/>
                <w:sz w:val="20"/>
                <w:szCs w:val="20"/>
              </w:rPr>
            </w:pPr>
            <w:r w:rsidRPr="00806A43">
              <w:rPr>
                <w:noProof/>
                <w:sz w:val="20"/>
              </w:rPr>
              <w:t>OUI/NON</w:t>
            </w:r>
          </w:p>
        </w:tc>
        <w:tc>
          <w:tcPr>
            <w:tcW w:w="1080" w:type="dxa"/>
            <w:vAlign w:val="center"/>
          </w:tcPr>
          <w:p w:rsidR="00012390" w:rsidRPr="00806A43" w:rsidRDefault="00012390">
            <w:pPr>
              <w:jc w:val="center"/>
              <w:rPr>
                <w:noProof/>
                <w:color w:val="0000FF"/>
                <w:sz w:val="20"/>
                <w:szCs w:val="20"/>
              </w:rPr>
            </w:pPr>
            <w:r w:rsidRPr="00806A43">
              <w:rPr>
                <w:noProof/>
                <w:sz w:val="20"/>
              </w:rPr>
              <w:t>OUI/NON</w:t>
            </w:r>
          </w:p>
        </w:tc>
        <w:tc>
          <w:tcPr>
            <w:tcW w:w="956" w:type="dxa"/>
            <w:vAlign w:val="center"/>
          </w:tcPr>
          <w:p w:rsidR="00012390" w:rsidRPr="00806A43" w:rsidRDefault="00012390">
            <w:pPr>
              <w:jc w:val="center"/>
              <w:rPr>
                <w:noProof/>
                <w:color w:val="0000FF"/>
                <w:sz w:val="20"/>
                <w:szCs w:val="20"/>
              </w:rPr>
            </w:pPr>
            <w:r w:rsidRPr="00806A43">
              <w:rPr>
                <w:noProof/>
                <w:sz w:val="20"/>
              </w:rPr>
              <w:t>OUI/NON</w:t>
            </w:r>
          </w:p>
        </w:tc>
        <w:tc>
          <w:tcPr>
            <w:tcW w:w="1448" w:type="dxa"/>
            <w:vAlign w:val="center"/>
          </w:tcPr>
          <w:p w:rsidR="00012390" w:rsidRPr="00806A43" w:rsidRDefault="00012390">
            <w:pPr>
              <w:jc w:val="center"/>
              <w:rPr>
                <w:noProof/>
                <w:sz w:val="20"/>
                <w:szCs w:val="20"/>
              </w:rPr>
            </w:pPr>
            <w:r w:rsidRPr="00806A43">
              <w:rPr>
                <w:noProof/>
                <w:sz w:val="20"/>
              </w:rPr>
              <w:t>OUI/NON</w:t>
            </w:r>
          </w:p>
        </w:tc>
      </w:tr>
    </w:tbl>
    <w:p w:rsidR="00012390" w:rsidRPr="00806A43" w:rsidRDefault="00012390" w:rsidP="00012390">
      <w:pPr>
        <w:rPr>
          <w:noProof/>
        </w:rPr>
        <w:sectPr w:rsidR="00012390" w:rsidRPr="00806A43" w:rsidSect="00771ED9">
          <w:pgSz w:w="11907" w:h="16840" w:code="1"/>
          <w:pgMar w:top="1134" w:right="1418" w:bottom="1134" w:left="1418" w:header="709" w:footer="709" w:gutter="0"/>
          <w:cols w:space="708"/>
          <w:docGrid w:linePitch="360"/>
        </w:sectPr>
      </w:pPr>
    </w:p>
    <w:p w:rsidR="00012390" w:rsidRPr="00806A43" w:rsidRDefault="00012390" w:rsidP="00012390">
      <w:pPr>
        <w:pStyle w:val="ManualHeading2"/>
        <w:rPr>
          <w:bCs/>
          <w:noProof/>
          <w:szCs w:val="24"/>
        </w:rPr>
      </w:pPr>
      <w:bookmarkStart w:id="123" w:name="_Toc514938052"/>
      <w:bookmarkStart w:id="124" w:name="_Toc520485051"/>
      <w:bookmarkStart w:id="125" w:name="_Toc160804593"/>
      <w:bookmarkStart w:id="126" w:name="_Toc167220285"/>
      <w:bookmarkStart w:id="127" w:name="_Toc177549018"/>
      <w:r w:rsidRPr="00806A43">
        <w:rPr>
          <w:noProof/>
        </w:rPr>
        <w:t>3.2.</w:t>
      </w:r>
      <w:r w:rsidRPr="00806A43">
        <w:rPr>
          <w:noProof/>
        </w:rPr>
        <w:tab/>
        <w:t>Incidence financière estimée de la proposition sur les crédits</w:t>
      </w:r>
      <w:bookmarkEnd w:id="123"/>
      <w:bookmarkEnd w:id="124"/>
      <w:bookmarkEnd w:id="125"/>
      <w:bookmarkEnd w:id="126"/>
      <w:bookmarkEnd w:id="127"/>
      <w:r w:rsidRPr="00806A43">
        <w:rPr>
          <w:noProof/>
        </w:rPr>
        <w:t xml:space="preserve"> </w:t>
      </w:r>
    </w:p>
    <w:p w:rsidR="00012390" w:rsidRPr="00806A43" w:rsidRDefault="00012390" w:rsidP="00012390">
      <w:pPr>
        <w:pStyle w:val="ManualHeading3"/>
        <w:rPr>
          <w:noProof/>
        </w:rPr>
      </w:pPr>
      <w:bookmarkStart w:id="128" w:name="_Toc514938053"/>
      <w:bookmarkStart w:id="129" w:name="_Toc520485052"/>
      <w:bookmarkStart w:id="130" w:name="_Toc160804594"/>
      <w:bookmarkStart w:id="131" w:name="_Toc167220286"/>
      <w:bookmarkStart w:id="132" w:name="_Toc177549019"/>
      <w:r w:rsidRPr="00806A43">
        <w:rPr>
          <w:noProof/>
        </w:rPr>
        <w:t>3.2.1.</w:t>
      </w:r>
      <w:r w:rsidRPr="00806A43">
        <w:rPr>
          <w:noProof/>
        </w:rPr>
        <w:tab/>
        <w:t>Synthèse de l’incidence estimée sur les crédits opérationnels</w:t>
      </w:r>
      <w:bookmarkEnd w:id="128"/>
      <w:bookmarkEnd w:id="129"/>
      <w:bookmarkEnd w:id="130"/>
      <w:bookmarkEnd w:id="131"/>
      <w:bookmarkEnd w:id="132"/>
      <w:r w:rsidRPr="00806A43">
        <w:rPr>
          <w:noProof/>
        </w:rPr>
        <w:t xml:space="preserve"> </w:t>
      </w:r>
    </w:p>
    <w:p w:rsidR="00012390" w:rsidRPr="00806A43" w:rsidRDefault="00012390" w:rsidP="00012390">
      <w:pPr>
        <w:pStyle w:val="ListDash1"/>
        <w:rPr>
          <w:noProof/>
        </w:rPr>
      </w:pPr>
      <w:r w:rsidRPr="00806A43">
        <w:rPr>
          <w:rFonts w:ascii="Wingdings" w:hAnsi="Wingdings"/>
          <w:noProof/>
        </w:rPr>
        <w:t></w:t>
      </w:r>
      <w:r w:rsidRPr="00806A43">
        <w:rPr>
          <w:noProof/>
        </w:rPr>
        <w:tab/>
        <w:t xml:space="preserve">La proposition/l’initiative n’engendre pas l’utilisation de crédits opérationnels </w:t>
      </w:r>
    </w:p>
    <w:p w:rsidR="00012390" w:rsidRPr="00806A43" w:rsidRDefault="00012390" w:rsidP="00012390">
      <w:pPr>
        <w:pStyle w:val="ListDash1"/>
        <w:rPr>
          <w:noProof/>
        </w:rPr>
      </w:pPr>
      <w:r w:rsidRPr="00806A43">
        <w:rPr>
          <w:rFonts w:ascii="Wingdings" w:hAnsi="Wingdings"/>
          <w:noProof/>
        </w:rPr>
        <w:t></w:t>
      </w:r>
      <w:r w:rsidRPr="00806A43">
        <w:rPr>
          <w:noProof/>
        </w:rPr>
        <w:tab/>
        <w:t>La proposition/l’initiative engendre l’utilisation de crédits opérationnels, comme expliqué ci-après:</w:t>
      </w:r>
    </w:p>
    <w:p w:rsidR="00012390" w:rsidRPr="00806A43" w:rsidRDefault="00012390" w:rsidP="00012390">
      <w:pPr>
        <w:pStyle w:val="ManualHeading3"/>
        <w:rPr>
          <w:noProof/>
        </w:rPr>
      </w:pPr>
      <w:bookmarkStart w:id="133" w:name="_Toc160804595"/>
      <w:bookmarkStart w:id="134" w:name="_Toc167220287"/>
      <w:bookmarkStart w:id="135" w:name="_Toc177549020"/>
      <w:r w:rsidRPr="00806A43">
        <w:rPr>
          <w:noProof/>
        </w:rPr>
        <w:t>3.2.1.1.</w:t>
      </w:r>
      <w:r w:rsidRPr="00806A43">
        <w:rPr>
          <w:noProof/>
        </w:rPr>
        <w:tab/>
        <w:t>Crédits issus du budget voté</w:t>
      </w:r>
      <w:bookmarkEnd w:id="133"/>
      <w:bookmarkEnd w:id="134"/>
      <w:bookmarkEnd w:id="135"/>
    </w:p>
    <w:p w:rsidR="00012390" w:rsidRPr="00806A43" w:rsidRDefault="00012390" w:rsidP="00012390">
      <w:pPr>
        <w:jc w:val="right"/>
        <w:rPr>
          <w:noProof/>
          <w:sz w:val="18"/>
          <w:szCs w:val="18"/>
        </w:rPr>
      </w:pPr>
      <w:r w:rsidRPr="00806A43">
        <w:rPr>
          <w:noProof/>
          <w:sz w:val="18"/>
        </w:rPr>
        <w:t>En Mio EUR (à la 3</w:t>
      </w:r>
      <w:r w:rsidRPr="00806A43">
        <w:rPr>
          <w:noProof/>
          <w:sz w:val="18"/>
          <w:vertAlign w:val="superscript"/>
        </w:rPr>
        <w:t>e</w:t>
      </w:r>
      <w:r w:rsidRPr="00806A43">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806A43">
        <w:tc>
          <w:tcPr>
            <w:tcW w:w="1739" w:type="pct"/>
            <w:shd w:val="thinDiagStripe" w:color="C0C0C0" w:fill="auto"/>
            <w:vAlign w:val="center"/>
          </w:tcPr>
          <w:p w:rsidR="00012390" w:rsidRPr="00806A43" w:rsidRDefault="00012390">
            <w:pPr>
              <w:spacing w:before="60" w:after="60"/>
              <w:jc w:val="center"/>
              <w:rPr>
                <w:b/>
                <w:noProof/>
              </w:rPr>
            </w:pPr>
            <w:r w:rsidRPr="00806A43">
              <w:rPr>
                <w:b/>
                <w:noProof/>
                <w:sz w:val="22"/>
              </w:rPr>
              <w:t xml:space="preserve">Rubrique du cadre financier pluriannuel </w:t>
            </w:r>
          </w:p>
        </w:tc>
        <w:tc>
          <w:tcPr>
            <w:tcW w:w="396" w:type="pct"/>
            <w:vAlign w:val="center"/>
          </w:tcPr>
          <w:p w:rsidR="00012390" w:rsidRPr="00806A43" w:rsidRDefault="00012390">
            <w:pPr>
              <w:spacing w:before="60" w:after="60"/>
              <w:jc w:val="center"/>
              <w:rPr>
                <w:noProof/>
              </w:rPr>
            </w:pPr>
            <w:r w:rsidRPr="00806A43">
              <w:rPr>
                <w:noProof/>
                <w:sz w:val="22"/>
              </w:rPr>
              <w:t>Numéro</w:t>
            </w:r>
          </w:p>
        </w:tc>
        <w:tc>
          <w:tcPr>
            <w:tcW w:w="2865" w:type="pct"/>
            <w:vAlign w:val="center"/>
          </w:tcPr>
          <w:p w:rsidR="00012390" w:rsidRPr="00806A43" w:rsidRDefault="00012390">
            <w:pPr>
              <w:spacing w:before="60" w:after="60"/>
              <w:rPr>
                <w:noProof/>
              </w:rPr>
            </w:pPr>
          </w:p>
        </w:tc>
      </w:tr>
    </w:tbl>
    <w:p w:rsidR="00012390" w:rsidRPr="00806A43"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806A43">
        <w:trPr>
          <w:trHeight w:val="420"/>
        </w:trPr>
        <w:tc>
          <w:tcPr>
            <w:tcW w:w="2444" w:type="pct"/>
            <w:gridSpan w:val="3"/>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 w:val="22"/>
              </w:rPr>
            </w:pPr>
            <w:r w:rsidRPr="00806A43">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rsidTr="2F464BEB">
        <w:trPr>
          <w:trHeight w:val="288"/>
        </w:trPr>
        <w:tc>
          <w:tcPr>
            <w:tcW w:w="2444" w:type="pct"/>
            <w:gridSpan w:val="3"/>
            <w:vMerge/>
            <w:vAlign w:val="center"/>
            <w:hideMark/>
          </w:tcPr>
          <w:p w:rsidR="00012390" w:rsidRPr="00806A43" w:rsidRDefault="00012390">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90" w:type="pct"/>
            <w:vMerge/>
            <w:vAlign w:val="center"/>
            <w:hideMark/>
          </w:tcPr>
          <w:p w:rsidR="00012390" w:rsidRPr="00806A43" w:rsidRDefault="00012390">
            <w:pPr>
              <w:spacing w:before="0" w:after="0"/>
              <w:jc w:val="left"/>
              <w:rPr>
                <w:b/>
                <w:bCs/>
                <w:noProof/>
                <w:color w:val="000000"/>
                <w:sz w:val="20"/>
                <w:szCs w:val="20"/>
                <w:lang w:eastAsia="en-IE"/>
              </w:rPr>
            </w:pPr>
          </w:p>
        </w:tc>
      </w:tr>
      <w:tr w:rsidR="00012390" w:rsidRPr="00806A43">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rPr>
            </w:pPr>
            <w:r w:rsidRPr="00806A43">
              <w:rPr>
                <w:noProof/>
                <w:color w:val="000000"/>
                <w:sz w:val="21"/>
              </w:rPr>
              <w:t xml:space="preserve">Crédits opérationnels </w:t>
            </w:r>
          </w:p>
        </w:tc>
      </w:tr>
      <w:tr w:rsidR="002A2D2A" w:rsidRPr="00806A43" w:rsidTr="2F464BEB">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012390" w:rsidRPr="00806A43" w:rsidRDefault="00012390">
            <w:pPr>
              <w:spacing w:before="0" w:after="0"/>
              <w:jc w:val="left"/>
              <w:rPr>
                <w:noProof/>
                <w:color w:val="000000"/>
                <w:sz w:val="22"/>
              </w:rPr>
            </w:pPr>
            <w:r w:rsidRPr="00806A43">
              <w:rPr>
                <w:noProof/>
                <w:color w:val="000000"/>
                <w:sz w:val="22"/>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(1a)</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2F464BEB">
        <w:trPr>
          <w:trHeight w:val="315"/>
        </w:trPr>
        <w:tc>
          <w:tcPr>
            <w:tcW w:w="1419" w:type="pct"/>
            <w:vMerge/>
            <w:vAlign w:val="center"/>
            <w:hideMark/>
          </w:tcPr>
          <w:p w:rsidR="00012390" w:rsidRPr="00806A43" w:rsidRDefault="00012390">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(2a)</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2F464BEB">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0"/>
                <w:szCs w:val="20"/>
              </w:rPr>
            </w:pPr>
            <w:r w:rsidRPr="00806A43">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(1b)</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2F464BEB">
        <w:trPr>
          <w:trHeight w:val="315"/>
        </w:trPr>
        <w:tc>
          <w:tcPr>
            <w:tcW w:w="1419" w:type="pct"/>
            <w:vMerge/>
            <w:vAlign w:val="center"/>
            <w:hideMark/>
          </w:tcPr>
          <w:p w:rsidR="00012390" w:rsidRPr="00806A43" w:rsidRDefault="00012390">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(2b)</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rsidR="00012390" w:rsidRPr="00806A43" w:rsidRDefault="00012390">
            <w:pPr>
              <w:spacing w:before="0" w:after="0"/>
              <w:jc w:val="left"/>
              <w:rPr>
                <w:noProof/>
              </w:rPr>
            </w:pPr>
            <w:r w:rsidRPr="00806A43">
              <w:rPr>
                <w:noProof/>
                <w:color w:val="000000" w:themeColor="text1"/>
                <w:sz w:val="22"/>
              </w:rPr>
              <w:t>Crédits de nature administrative financés par l’enveloppe de certains programmes spécifiques</w:t>
            </w:r>
            <w:r w:rsidRPr="00806A43">
              <w:rPr>
                <w:noProof/>
              </w:rPr>
              <w:t xml:space="preserve"> </w:t>
            </w:r>
          </w:p>
        </w:tc>
      </w:tr>
      <w:tr w:rsidR="002A2D2A" w:rsidRPr="00806A43" w:rsidTr="2F464BEB">
        <w:trPr>
          <w:trHeight w:val="288"/>
        </w:trPr>
        <w:tc>
          <w:tcPr>
            <w:tcW w:w="1419"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0"/>
                <w:szCs w:val="20"/>
              </w:rPr>
            </w:pPr>
            <w:r w:rsidRPr="00806A43">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18"/>
                <w:szCs w:val="18"/>
              </w:rPr>
            </w:pPr>
            <w:r w:rsidRPr="00806A43">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(3)</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2F464BEB">
        <w:trPr>
          <w:trHeight w:val="288"/>
        </w:trPr>
        <w:tc>
          <w:tcPr>
            <w:tcW w:w="1419" w:type="pct"/>
            <w:vMerge w:val="restart"/>
            <w:tcBorders>
              <w:top w:val="nil"/>
              <w:left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w:t>
            </w:r>
          </w:p>
          <w:p w:rsidR="00012390" w:rsidRPr="00806A43" w:rsidRDefault="00012390">
            <w:pPr>
              <w:spacing w:before="0" w:after="0"/>
              <w:jc w:val="center"/>
              <w:rPr>
                <w:b/>
                <w:bCs/>
                <w:noProof/>
                <w:color w:val="000000"/>
                <w:sz w:val="22"/>
              </w:rPr>
            </w:pPr>
            <w:r w:rsidRPr="00806A43">
              <w:rPr>
                <w:b/>
                <w:noProof/>
                <w:color w:val="000000"/>
                <w:sz w:val="22"/>
              </w:rPr>
              <w:t xml:space="preserve">pour la DG </w:t>
            </w:r>
            <w:r w:rsidRPr="00806A43">
              <w:rPr>
                <w:noProof/>
                <w:color w:val="000000"/>
                <w:sz w:val="22"/>
              </w:rPr>
              <w:t>&lt;…….&gt;</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2F464BEB">
        <w:trPr>
          <w:trHeight w:val="288"/>
        </w:trPr>
        <w:tc>
          <w:tcPr>
            <w:tcW w:w="1419" w:type="pct"/>
            <w:vMerge/>
            <w:vAlign w:val="center"/>
            <w:hideMark/>
          </w:tcPr>
          <w:p w:rsidR="00012390" w:rsidRPr="00806A43" w:rsidRDefault="00012390">
            <w:pPr>
              <w:spacing w:before="0" w:after="0"/>
              <w:jc w:val="center"/>
              <w:rPr>
                <w:b/>
                <w:bCs/>
                <w:noProof/>
                <w:color w:val="000000"/>
                <w:sz w:val="22"/>
                <w:lang w:eastAsia="en-IE"/>
              </w:rPr>
            </w:pPr>
          </w:p>
        </w:tc>
        <w:tc>
          <w:tcPr>
            <w:tcW w:w="529"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rPr>
          <w:noProof/>
        </w:rPr>
      </w:pPr>
    </w:p>
    <w:p w:rsidR="4AD3DA87" w:rsidRPr="00806A43" w:rsidRDefault="4AD3DA87">
      <w:pPr>
        <w:rPr>
          <w:noProof/>
        </w:rPr>
      </w:pPr>
    </w:p>
    <w:p w:rsidR="4AD3DA87" w:rsidRPr="00806A43" w:rsidRDefault="4AD3DA87">
      <w:pPr>
        <w:rPr>
          <w:noProof/>
        </w:rPr>
      </w:pPr>
    </w:p>
    <w:p w:rsidR="4AD3DA87" w:rsidRPr="00806A43" w:rsidRDefault="4AD3DA87">
      <w:pPr>
        <w:rPr>
          <w:noProof/>
        </w:rPr>
      </w:pPr>
    </w:p>
    <w:p w:rsidR="4AD3DA87" w:rsidRPr="00806A43" w:rsidRDefault="4AD3DA87">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806A43">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opérationnels </w:t>
            </w:r>
            <w:r w:rsidRPr="00806A43">
              <w:rPr>
                <w:noProof/>
              </w:rPr>
              <w:t xml:space="preserve"> </w:t>
            </w:r>
            <w:r w:rsidRPr="00806A43">
              <w:rPr>
                <w:noProof/>
              </w:rPr>
              <w:br/>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de nature administrative financés par l’enveloppe de certains programmes spécifiques </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la RUBRIQUE &lt;….&gt;</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noProof/>
                <w:color w:val="000000"/>
                <w:sz w:val="22"/>
              </w:rPr>
            </w:pPr>
            <w:r w:rsidRPr="00806A43">
              <w:rPr>
                <w:noProof/>
                <w:color w:val="000000"/>
                <w:sz w:val="22"/>
              </w:rPr>
              <w:t>du cadre financier pluriannuel</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rPr>
          <w:noProof/>
        </w:rPr>
      </w:pPr>
    </w:p>
    <w:p w:rsidR="4CD9C178" w:rsidRPr="00806A43" w:rsidRDefault="4CD9C178">
      <w:pPr>
        <w:rPr>
          <w:noProof/>
        </w:rPr>
      </w:pPr>
    </w:p>
    <w:p w:rsidR="00012390" w:rsidRPr="00806A43" w:rsidRDefault="00012390" w:rsidP="00012390">
      <w:pPr>
        <w:spacing w:after="40"/>
        <w:rPr>
          <w:noProof/>
        </w:rPr>
      </w:pPr>
    </w:p>
    <w:tbl>
      <w:tblPr>
        <w:tblW w:w="5000" w:type="pct"/>
        <w:tblLook w:val="04A0" w:firstRow="1" w:lastRow="0" w:firstColumn="1" w:lastColumn="0" w:noHBand="0" w:noVBand="1"/>
      </w:tblPr>
      <w:tblGrid>
        <w:gridCol w:w="4328"/>
        <w:gridCol w:w="1339"/>
        <w:gridCol w:w="1038"/>
        <w:gridCol w:w="1041"/>
        <w:gridCol w:w="1243"/>
        <w:gridCol w:w="1243"/>
        <w:gridCol w:w="1243"/>
        <w:gridCol w:w="1243"/>
        <w:gridCol w:w="1502"/>
      </w:tblGrid>
      <w:tr w:rsidR="00012390" w:rsidRPr="00806A43">
        <w:trPr>
          <w:trHeight w:val="288"/>
        </w:trPr>
        <w:tc>
          <w:tcPr>
            <w:tcW w:w="1522" w:type="pct"/>
            <w:tcBorders>
              <w:top w:val="nil"/>
              <w:left w:val="nil"/>
              <w:bottom w:val="nil"/>
              <w:right w:val="nil"/>
            </w:tcBorders>
            <w:noWrap/>
            <w:vAlign w:val="bottom"/>
            <w:hideMark/>
          </w:tcPr>
          <w:p w:rsidR="00012390" w:rsidRPr="00806A43" w:rsidRDefault="00012390">
            <w:pPr>
              <w:spacing w:before="0" w:after="0"/>
              <w:jc w:val="left"/>
              <w:rPr>
                <w:noProof/>
                <w:sz w:val="20"/>
                <w:szCs w:val="24"/>
                <w:lang w:eastAsia="en-IE"/>
              </w:rPr>
            </w:pPr>
          </w:p>
        </w:tc>
        <w:tc>
          <w:tcPr>
            <w:tcW w:w="471"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single" w:sz="4" w:space="0" w:color="auto"/>
            </w:tcBorders>
            <w:noWrap/>
            <w:vAlign w:val="bottom"/>
            <w:hideMark/>
          </w:tcPr>
          <w:p w:rsidR="00012390" w:rsidRPr="00806A43" w:rsidRDefault="00012390">
            <w:pPr>
              <w:spacing w:before="0" w:after="0"/>
              <w:jc w:val="left"/>
              <w:rPr>
                <w:noProof/>
                <w:sz w:val="20"/>
                <w:szCs w:val="20"/>
                <w:lang w:eastAsia="en-IE"/>
              </w:rPr>
            </w:pPr>
          </w:p>
        </w:tc>
        <w:tc>
          <w:tcPr>
            <w:tcW w:w="437" w:type="pct"/>
            <w:tcBorders>
              <w:top w:val="single" w:sz="8" w:space="0" w:color="auto"/>
              <w:left w:val="single" w:sz="4" w:space="0" w:color="auto"/>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9"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1522" w:type="pct"/>
            <w:tcBorders>
              <w:top w:val="nil"/>
              <w:left w:val="nil"/>
              <w:bottom w:val="nil"/>
              <w:right w:val="nil"/>
            </w:tcBorders>
            <w:noWrap/>
            <w:vAlign w:val="bottom"/>
            <w:hideMark/>
          </w:tcPr>
          <w:p w:rsidR="00012390" w:rsidRPr="00806A43" w:rsidRDefault="00012390">
            <w:pPr>
              <w:spacing w:before="0" w:after="0"/>
              <w:jc w:val="center"/>
              <w:rPr>
                <w:b/>
                <w:bCs/>
                <w:noProof/>
                <w:color w:val="000000"/>
                <w:sz w:val="20"/>
                <w:szCs w:val="20"/>
                <w:lang w:eastAsia="en-IE"/>
              </w:rPr>
            </w:pPr>
          </w:p>
        </w:tc>
        <w:tc>
          <w:tcPr>
            <w:tcW w:w="471"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single" w:sz="4" w:space="0" w:color="auto"/>
            </w:tcBorders>
            <w:noWrap/>
            <w:vAlign w:val="bottom"/>
            <w:hideMark/>
          </w:tcPr>
          <w:p w:rsidR="00012390" w:rsidRPr="00806A43" w:rsidRDefault="00012390">
            <w:pPr>
              <w:spacing w:before="0" w:after="0"/>
              <w:jc w:val="left"/>
              <w:rPr>
                <w:noProof/>
                <w:sz w:val="20"/>
                <w:szCs w:val="20"/>
                <w:lang w:eastAsia="en-IE"/>
              </w:rPr>
            </w:pPr>
          </w:p>
        </w:tc>
        <w:tc>
          <w:tcPr>
            <w:tcW w:w="437" w:type="pct"/>
            <w:tcBorders>
              <w:top w:val="nil"/>
              <w:left w:val="single" w:sz="4"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37"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37"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37"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29" w:type="pct"/>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1522"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rFonts w:ascii="Calibri" w:hAnsi="Calibri"/>
                <w:noProof/>
                <w:color w:val="000000"/>
                <w:sz w:val="21"/>
              </w:rPr>
              <w:t xml:space="preserve">• </w:t>
            </w:r>
            <w:r w:rsidRPr="00806A43">
              <w:rPr>
                <w:noProof/>
                <w:color w:val="000000"/>
                <w:sz w:val="21"/>
              </w:rPr>
              <w:t>TOTAL des crédits opérationnels (toutes les rubriques opérationnelles)</w:t>
            </w:r>
          </w:p>
        </w:tc>
        <w:tc>
          <w:tcPr>
            <w:tcW w:w="471"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1522"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lang w:eastAsia="en-IE"/>
              </w:rPr>
            </w:pPr>
          </w:p>
        </w:tc>
        <w:tc>
          <w:tcPr>
            <w:tcW w:w="471"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990"/>
        </w:trPr>
        <w:tc>
          <w:tcPr>
            <w:tcW w:w="1993" w:type="pct"/>
            <w:gridSpan w:val="2"/>
            <w:tcBorders>
              <w:top w:val="single" w:sz="8" w:space="0" w:color="auto"/>
              <w:left w:val="single" w:sz="8" w:space="0" w:color="auto"/>
              <w:bottom w:val="single" w:sz="8" w:space="0" w:color="auto"/>
              <w:right w:val="single" w:sz="8" w:space="0" w:color="000000"/>
            </w:tcBorders>
            <w:vAlign w:val="center"/>
            <w:hideMark/>
          </w:tcPr>
          <w:p w:rsidR="00012390" w:rsidRPr="00806A43" w:rsidRDefault="00012390">
            <w:pPr>
              <w:spacing w:before="0" w:after="0"/>
              <w:rPr>
                <w:noProof/>
                <w:color w:val="000000"/>
                <w:sz w:val="21"/>
                <w:szCs w:val="21"/>
              </w:rPr>
            </w:pPr>
            <w:r w:rsidRPr="00806A43">
              <w:rPr>
                <w:rFonts w:ascii="Calibri" w:hAnsi="Calibri"/>
                <w:noProof/>
                <w:color w:val="000000"/>
                <w:sz w:val="21"/>
              </w:rPr>
              <w:t xml:space="preserve">• </w:t>
            </w:r>
            <w:r w:rsidRPr="00806A43">
              <w:rPr>
                <w:noProof/>
                <w:color w:val="000000"/>
                <w:sz w:val="21"/>
              </w:rPr>
              <w:t>TOTAL des crédits de nature administrative financés par l'enveloppe de certains programmes spécifiques (toutes les rubriques opérationnelles)</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64"/>
        </w:trPr>
        <w:tc>
          <w:tcPr>
            <w:tcW w:w="1522" w:type="pct"/>
            <w:tcBorders>
              <w:top w:val="nil"/>
              <w:left w:val="single" w:sz="8" w:space="0" w:color="auto"/>
              <w:bottom w:val="nil"/>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les            rubriques 1 à 6</w:t>
            </w:r>
          </w:p>
        </w:tc>
        <w:tc>
          <w:tcPr>
            <w:tcW w:w="471" w:type="pct"/>
            <w:tcBorders>
              <w:top w:val="nil"/>
              <w:left w:val="nil"/>
              <w:bottom w:val="nil"/>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731" w:type="pct"/>
            <w:gridSpan w:val="2"/>
            <w:tcBorders>
              <w:top w:val="single" w:sz="8" w:space="0" w:color="auto"/>
              <w:left w:val="nil"/>
              <w:bottom w:val="nil"/>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88"/>
        </w:trPr>
        <w:tc>
          <w:tcPr>
            <w:tcW w:w="1522"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noProof/>
                <w:color w:val="000000"/>
                <w:sz w:val="20"/>
                <w:szCs w:val="20"/>
              </w:rPr>
            </w:pPr>
            <w:r w:rsidRPr="00806A43">
              <w:rPr>
                <w:noProof/>
                <w:color w:val="000000"/>
                <w:sz w:val="20"/>
              </w:rPr>
              <w:t>du cadre financier pluriannuel</w:t>
            </w:r>
            <w:r w:rsidRPr="00806A43">
              <w:rPr>
                <w:noProof/>
              </w:rPr>
              <w:t xml:space="preserve"> </w:t>
            </w:r>
            <w:r w:rsidRPr="00806A43">
              <w:rPr>
                <w:noProof/>
              </w:rPr>
              <w:br/>
            </w:r>
            <w:r w:rsidRPr="00806A43">
              <w:rPr>
                <w:noProof/>
                <w:color w:val="000000"/>
                <w:sz w:val="20"/>
              </w:rPr>
              <w:t>(Montant de référence)</w:t>
            </w:r>
          </w:p>
        </w:tc>
        <w:tc>
          <w:tcPr>
            <w:tcW w:w="471"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731" w:type="pct"/>
            <w:gridSpan w:val="2"/>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=5+6</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29"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806A43" w:rsidTr="0A77DFF4">
        <w:trPr>
          <w:jc w:val="center"/>
        </w:trPr>
        <w:tc>
          <w:tcPr>
            <w:tcW w:w="1739" w:type="pct"/>
            <w:vAlign w:val="center"/>
          </w:tcPr>
          <w:p w:rsidR="00012390" w:rsidRPr="00806A43" w:rsidRDefault="00012390">
            <w:pPr>
              <w:spacing w:before="60" w:after="60"/>
              <w:jc w:val="center"/>
              <w:rPr>
                <w:b/>
                <w:noProof/>
              </w:rPr>
            </w:pPr>
            <w:r w:rsidRPr="00806A43">
              <w:rPr>
                <w:noProof/>
              </w:rPr>
              <w:br w:type="page"/>
            </w:r>
            <w:r w:rsidRPr="00806A43">
              <w:rPr>
                <w:b/>
                <w:noProof/>
                <w:sz w:val="22"/>
              </w:rPr>
              <w:t xml:space="preserve">Rubrique du cadre financier pluriannuel </w:t>
            </w:r>
          </w:p>
        </w:tc>
        <w:tc>
          <w:tcPr>
            <w:tcW w:w="396" w:type="pct"/>
            <w:vAlign w:val="center"/>
          </w:tcPr>
          <w:p w:rsidR="00012390" w:rsidRPr="00806A43" w:rsidRDefault="00012390">
            <w:pPr>
              <w:spacing w:before="60" w:after="60"/>
              <w:jc w:val="center"/>
              <w:rPr>
                <w:noProof/>
              </w:rPr>
            </w:pPr>
            <w:r w:rsidRPr="00806A43">
              <w:rPr>
                <w:b/>
                <w:noProof/>
                <w:sz w:val="22"/>
              </w:rPr>
              <w:t>7</w:t>
            </w:r>
          </w:p>
        </w:tc>
        <w:tc>
          <w:tcPr>
            <w:tcW w:w="2865" w:type="pct"/>
            <w:vAlign w:val="center"/>
          </w:tcPr>
          <w:p w:rsidR="00012390" w:rsidRPr="00806A43" w:rsidRDefault="00012390">
            <w:pPr>
              <w:spacing w:before="60" w:after="60"/>
              <w:rPr>
                <w:noProof/>
              </w:rPr>
            </w:pPr>
            <w:r w:rsidRPr="00806A43">
              <w:rPr>
                <w:noProof/>
                <w:sz w:val="22"/>
              </w:rPr>
              <w:t>«Dépenses administratives»</w:t>
            </w:r>
            <w:r w:rsidRPr="00806A43">
              <w:rPr>
                <w:noProof/>
              </w:rPr>
              <w:t xml:space="preserve"> </w:t>
            </w:r>
          </w:p>
        </w:tc>
      </w:tr>
    </w:tbl>
    <w:p w:rsidR="00012390" w:rsidRPr="00806A43" w:rsidRDefault="00012390" w:rsidP="00012390">
      <w:pPr>
        <w:jc w:val="left"/>
        <w:rPr>
          <w:noProof/>
        </w:rPr>
      </w:pPr>
    </w:p>
    <w:tbl>
      <w:tblPr>
        <w:tblW w:w="5000" w:type="pct"/>
        <w:tblLook w:val="04A0" w:firstRow="1" w:lastRow="0" w:firstColumn="1" w:lastColumn="0" w:noHBand="0" w:noVBand="1"/>
      </w:tblPr>
      <w:tblGrid>
        <w:gridCol w:w="4702"/>
        <w:gridCol w:w="2645"/>
        <w:gridCol w:w="637"/>
        <w:gridCol w:w="640"/>
        <w:gridCol w:w="1069"/>
        <w:gridCol w:w="1069"/>
        <w:gridCol w:w="1069"/>
        <w:gridCol w:w="1069"/>
        <w:gridCol w:w="1320"/>
      </w:tblGrid>
      <w:tr w:rsidR="00012390" w:rsidRPr="00806A43">
        <w:trPr>
          <w:trHeight w:val="288"/>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DG: &lt;…….&gt;</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Ressources humaines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1653"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DG </w:t>
            </w:r>
            <w:r w:rsidRPr="00806A43">
              <w:rPr>
                <w:noProof/>
                <w:color w:val="000000"/>
                <w:sz w:val="22"/>
              </w:rPr>
              <w:t>&lt;…….&gt;</w:t>
            </w:r>
          </w:p>
        </w:tc>
        <w:tc>
          <w:tcPr>
            <w:tcW w:w="1378"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left"/>
              <w:rPr>
                <w:noProof/>
                <w:color w:val="000000"/>
                <w:sz w:val="18"/>
                <w:szCs w:val="18"/>
              </w:rPr>
            </w:pPr>
            <w:r w:rsidRPr="00806A43">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300"/>
        </w:trPr>
        <w:tc>
          <w:tcPr>
            <w:tcW w:w="1653" w:type="pct"/>
            <w:tcBorders>
              <w:top w:val="nil"/>
              <w:left w:val="nil"/>
              <w:bottom w:val="nil"/>
              <w:right w:val="nil"/>
            </w:tcBorders>
            <w:noWrap/>
            <w:vAlign w:val="bottom"/>
            <w:hideMark/>
          </w:tcPr>
          <w:p w:rsidR="00012390" w:rsidRPr="00806A43" w:rsidRDefault="00012390">
            <w:pPr>
              <w:spacing w:before="0" w:after="0"/>
              <w:jc w:val="right"/>
              <w:rPr>
                <w:b/>
                <w:bCs/>
                <w:noProof/>
                <w:color w:val="000000"/>
                <w:sz w:val="20"/>
                <w:szCs w:val="20"/>
                <w:lang w:eastAsia="en-IE"/>
              </w:rPr>
            </w:pPr>
          </w:p>
        </w:tc>
        <w:tc>
          <w:tcPr>
            <w:tcW w:w="929"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224"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22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4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r>
      <w:tr w:rsidR="00012390" w:rsidRPr="00806A43">
        <w:trPr>
          <w:trHeight w:val="315"/>
        </w:trPr>
        <w:tc>
          <w:tcPr>
            <w:tcW w:w="3032" w:type="pct"/>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DG: &lt;…….&gt;</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376"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65"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3032" w:type="pct"/>
            <w:gridSpan w:val="4"/>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37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465" w:type="pct"/>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Ressources humaines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3032" w:type="pct"/>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Autres dépenses administratives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1653"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DG </w:t>
            </w:r>
            <w:r w:rsidRPr="00806A43">
              <w:rPr>
                <w:noProof/>
                <w:color w:val="000000"/>
                <w:sz w:val="22"/>
              </w:rPr>
              <w:t>&lt;…….&gt;</w:t>
            </w:r>
          </w:p>
        </w:tc>
        <w:tc>
          <w:tcPr>
            <w:tcW w:w="1378"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left"/>
              <w:rPr>
                <w:noProof/>
                <w:color w:val="000000"/>
                <w:sz w:val="18"/>
                <w:szCs w:val="18"/>
              </w:rPr>
            </w:pPr>
            <w:r w:rsidRPr="00806A43">
              <w:rPr>
                <w:noProof/>
                <w:color w:val="000000"/>
                <w:sz w:val="18"/>
              </w:rPr>
              <w:t xml:space="preserve">Crédits </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65"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300"/>
        </w:trPr>
        <w:tc>
          <w:tcPr>
            <w:tcW w:w="1653" w:type="pct"/>
            <w:tcBorders>
              <w:top w:val="nil"/>
              <w:left w:val="nil"/>
              <w:bottom w:val="nil"/>
              <w:right w:val="nil"/>
            </w:tcBorders>
            <w:noWrap/>
            <w:vAlign w:val="bottom"/>
            <w:hideMark/>
          </w:tcPr>
          <w:p w:rsidR="00012390" w:rsidRPr="00806A43" w:rsidRDefault="00012390">
            <w:pPr>
              <w:spacing w:before="0" w:after="0"/>
              <w:jc w:val="right"/>
              <w:rPr>
                <w:b/>
                <w:bCs/>
                <w:noProof/>
                <w:color w:val="000000"/>
                <w:sz w:val="20"/>
                <w:szCs w:val="20"/>
                <w:lang w:eastAsia="en-IE"/>
              </w:rPr>
            </w:pPr>
          </w:p>
        </w:tc>
        <w:tc>
          <w:tcPr>
            <w:tcW w:w="929"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224"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22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76"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4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r>
      <w:tr w:rsidR="002A2D2A" w:rsidRPr="00806A43">
        <w:trPr>
          <w:trHeight w:val="900"/>
        </w:trPr>
        <w:tc>
          <w:tcPr>
            <w:tcW w:w="2583" w:type="pct"/>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des crédits pour la RUBRIQUE 7 du cadre financier pluriannuel </w:t>
            </w:r>
          </w:p>
        </w:tc>
        <w:tc>
          <w:tcPr>
            <w:tcW w:w="449"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(Total engagements = Total paiements)</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376" w:type="pct"/>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65" w:type="pct"/>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jc w:val="right"/>
        <w:rPr>
          <w:noProof/>
          <w:sz w:val="20"/>
        </w:rPr>
      </w:pPr>
      <w:r w:rsidRPr="00806A43">
        <w:rPr>
          <w:noProof/>
          <w:sz w:val="20"/>
        </w:rPr>
        <w:t>En Mio EUR (à la 3</w:t>
      </w:r>
      <w:r w:rsidRPr="00806A43">
        <w:rPr>
          <w:noProof/>
          <w:sz w:val="20"/>
          <w:vertAlign w:val="superscript"/>
        </w:rPr>
        <w:t>e</w:t>
      </w:r>
      <w:r w:rsidRPr="00806A43">
        <w:rPr>
          <w:noProof/>
          <w:sz w:val="20"/>
        </w:rPr>
        <w:t> décimale)</w:t>
      </w:r>
    </w:p>
    <w:tbl>
      <w:tblPr>
        <w:tblW w:w="5000" w:type="pct"/>
        <w:tblLook w:val="04A0" w:firstRow="1" w:lastRow="0" w:firstColumn="1" w:lastColumn="0" w:noHBand="0" w:noVBand="1"/>
      </w:tblPr>
      <w:tblGrid>
        <w:gridCol w:w="5607"/>
        <w:gridCol w:w="2080"/>
        <w:gridCol w:w="1255"/>
        <w:gridCol w:w="1254"/>
        <w:gridCol w:w="1254"/>
        <w:gridCol w:w="1254"/>
        <w:gridCol w:w="1516"/>
      </w:tblGrid>
      <w:tr w:rsidR="00012390" w:rsidRPr="00806A43">
        <w:trPr>
          <w:trHeight w:val="288"/>
        </w:trPr>
        <w:tc>
          <w:tcPr>
            <w:tcW w:w="270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 xml:space="preserve"> </w:t>
            </w:r>
          </w:p>
        </w:tc>
        <w:tc>
          <w:tcPr>
            <w:tcW w:w="441"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41"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41"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41"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2702"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441"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41"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41"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41"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564"/>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les RUBRIQUES 1 à 7</w:t>
            </w:r>
          </w:p>
        </w:tc>
        <w:tc>
          <w:tcPr>
            <w:tcW w:w="731"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r>
      <w:tr w:rsidR="002A2D2A" w:rsidRPr="00806A43">
        <w:trPr>
          <w:trHeight w:val="540"/>
        </w:trPr>
        <w:tc>
          <w:tcPr>
            <w:tcW w:w="1971" w:type="pct"/>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806A43" w:rsidRDefault="00012390">
            <w:pPr>
              <w:spacing w:before="0" w:after="0"/>
              <w:jc w:val="center"/>
              <w:rPr>
                <w:noProof/>
                <w:color w:val="000000"/>
                <w:sz w:val="22"/>
              </w:rPr>
            </w:pPr>
            <w:r w:rsidRPr="00806A43">
              <w:rPr>
                <w:noProof/>
                <w:color w:val="000000"/>
                <w:sz w:val="22"/>
              </w:rPr>
              <w:t>du cadre financier pluriannuel</w:t>
            </w:r>
            <w:r w:rsidRPr="00806A43">
              <w:rPr>
                <w:b/>
                <w:noProof/>
                <w:color w:val="000000"/>
                <w:sz w:val="22"/>
              </w:rPr>
              <w:t xml:space="preserve"> </w:t>
            </w:r>
          </w:p>
        </w:tc>
        <w:tc>
          <w:tcPr>
            <w:tcW w:w="731"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441"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53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r>
    </w:tbl>
    <w:p w:rsidR="00012390" w:rsidRPr="00806A43" w:rsidRDefault="00012390" w:rsidP="00920910">
      <w:pPr>
        <w:pStyle w:val="ManualHeading3"/>
        <w:spacing w:after="40"/>
        <w:rPr>
          <w:noProof/>
        </w:rPr>
      </w:pPr>
      <w:bookmarkStart w:id="136" w:name="_Toc160804596"/>
      <w:bookmarkStart w:id="137" w:name="_Toc167220288"/>
      <w:bookmarkStart w:id="138" w:name="_Toc177549021"/>
      <w:r w:rsidRPr="00806A43">
        <w:rPr>
          <w:noProof/>
        </w:rPr>
        <w:t>3.2.1.2.</w:t>
      </w:r>
      <w:r w:rsidRPr="00806A43">
        <w:rPr>
          <w:noProof/>
        </w:rPr>
        <w:tab/>
        <w:t>Crédits issus de recettes affectées externes</w:t>
      </w:r>
      <w:bookmarkEnd w:id="136"/>
      <w:bookmarkEnd w:id="137"/>
      <w:bookmarkEnd w:id="138"/>
    </w:p>
    <w:p w:rsidR="00012390" w:rsidRPr="00806A43" w:rsidRDefault="00012390" w:rsidP="00012390">
      <w:pPr>
        <w:jc w:val="right"/>
        <w:rPr>
          <w:noProof/>
          <w:sz w:val="18"/>
          <w:szCs w:val="18"/>
        </w:rPr>
      </w:pPr>
      <w:r w:rsidRPr="00806A43">
        <w:rPr>
          <w:noProof/>
          <w:sz w:val="18"/>
        </w:rPr>
        <w:t>En Mio EUR (à la 3</w:t>
      </w:r>
      <w:r w:rsidRPr="00806A43">
        <w:rPr>
          <w:noProof/>
          <w:sz w:val="18"/>
          <w:vertAlign w:val="superscript"/>
        </w:rPr>
        <w:t>e</w:t>
      </w:r>
      <w:r w:rsidRPr="00806A43">
        <w:rPr>
          <w:noProof/>
          <w:sz w:val="18"/>
        </w:rPr>
        <w:t xml:space="preserve"> décimale)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806A43">
        <w:trPr>
          <w:jc w:val="center"/>
        </w:trPr>
        <w:tc>
          <w:tcPr>
            <w:tcW w:w="1739" w:type="pct"/>
            <w:shd w:val="thinDiagStripe" w:color="C0C0C0" w:fill="auto"/>
            <w:vAlign w:val="center"/>
          </w:tcPr>
          <w:p w:rsidR="00012390" w:rsidRPr="00806A43" w:rsidRDefault="00012390">
            <w:pPr>
              <w:spacing w:before="60" w:after="60"/>
              <w:jc w:val="center"/>
              <w:rPr>
                <w:b/>
                <w:noProof/>
              </w:rPr>
            </w:pPr>
            <w:r w:rsidRPr="00806A43">
              <w:rPr>
                <w:b/>
                <w:noProof/>
                <w:sz w:val="22"/>
              </w:rPr>
              <w:t xml:space="preserve">Rubrique du cadre financier pluriannuel </w:t>
            </w:r>
          </w:p>
        </w:tc>
        <w:tc>
          <w:tcPr>
            <w:tcW w:w="396" w:type="pct"/>
            <w:vAlign w:val="center"/>
          </w:tcPr>
          <w:p w:rsidR="00012390" w:rsidRPr="00806A43" w:rsidRDefault="00012390">
            <w:pPr>
              <w:spacing w:before="60" w:after="60"/>
              <w:jc w:val="center"/>
              <w:rPr>
                <w:noProof/>
              </w:rPr>
            </w:pPr>
            <w:r w:rsidRPr="00806A43">
              <w:rPr>
                <w:noProof/>
                <w:sz w:val="22"/>
              </w:rPr>
              <w:t>Numéro</w:t>
            </w:r>
          </w:p>
        </w:tc>
        <w:tc>
          <w:tcPr>
            <w:tcW w:w="2865" w:type="pct"/>
            <w:vAlign w:val="center"/>
          </w:tcPr>
          <w:p w:rsidR="00012390" w:rsidRPr="00806A43" w:rsidRDefault="00012390">
            <w:pPr>
              <w:spacing w:before="60" w:after="60"/>
              <w:rPr>
                <w:noProof/>
              </w:rPr>
            </w:pPr>
          </w:p>
        </w:tc>
      </w:tr>
    </w:tbl>
    <w:p w:rsidR="00012390" w:rsidRPr="00806A43" w:rsidRDefault="00012390" w:rsidP="00012390">
      <w:pPr>
        <w:rPr>
          <w:noProof/>
          <w:sz w:val="16"/>
        </w:rPr>
      </w:pPr>
    </w:p>
    <w:tbl>
      <w:tblPr>
        <w:tblW w:w="5000" w:type="pct"/>
        <w:tblLook w:val="04A0" w:firstRow="1" w:lastRow="0" w:firstColumn="1" w:lastColumn="0" w:noHBand="0" w:noVBand="1"/>
      </w:tblPr>
      <w:tblGrid>
        <w:gridCol w:w="4035"/>
        <w:gridCol w:w="1504"/>
        <w:gridCol w:w="1411"/>
        <w:gridCol w:w="1411"/>
        <w:gridCol w:w="1411"/>
        <w:gridCol w:w="1411"/>
        <w:gridCol w:w="1359"/>
        <w:gridCol w:w="1678"/>
      </w:tblGrid>
      <w:tr w:rsidR="00012390" w:rsidRPr="00806A43">
        <w:trPr>
          <w:trHeight w:val="420"/>
        </w:trPr>
        <w:tc>
          <w:tcPr>
            <w:tcW w:w="2444" w:type="pct"/>
            <w:gridSpan w:val="3"/>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 w:val="22"/>
              </w:rPr>
            </w:pPr>
            <w:r w:rsidRPr="00806A43">
              <w:rPr>
                <w:noProof/>
                <w:color w:val="000000"/>
                <w:sz w:val="22"/>
              </w:rPr>
              <w:t>DG: &lt;…….&gt;</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78"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90" w:type="pc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rsidTr="1F350463">
        <w:trPr>
          <w:trHeight w:val="288"/>
        </w:trPr>
        <w:tc>
          <w:tcPr>
            <w:tcW w:w="2444" w:type="pct"/>
            <w:gridSpan w:val="3"/>
            <w:vAlign w:val="center"/>
            <w:hideMark/>
          </w:tcPr>
          <w:p w:rsidR="00012390" w:rsidRPr="00806A43" w:rsidRDefault="00012390">
            <w:pPr>
              <w:spacing w:before="0" w:after="0"/>
              <w:jc w:val="left"/>
              <w:rPr>
                <w:noProof/>
                <w:color w:val="000000"/>
                <w:sz w:val="22"/>
                <w:lang w:eastAsia="en-IE"/>
              </w:rPr>
            </w:pP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90" w:type="pct"/>
            <w:vAlign w:val="center"/>
            <w:hideMark/>
          </w:tcPr>
          <w:p w:rsidR="00012390" w:rsidRPr="00806A43" w:rsidRDefault="00012390">
            <w:pPr>
              <w:spacing w:before="0" w:after="0"/>
              <w:jc w:val="left"/>
              <w:rPr>
                <w:b/>
                <w:bCs/>
                <w:noProof/>
                <w:color w:val="000000"/>
                <w:sz w:val="20"/>
                <w:szCs w:val="20"/>
                <w:lang w:eastAsia="en-IE"/>
              </w:rPr>
            </w:pPr>
          </w:p>
        </w:tc>
      </w:tr>
      <w:tr w:rsidR="00012390" w:rsidRPr="00806A43">
        <w:trPr>
          <w:trHeight w:val="300"/>
        </w:trPr>
        <w:tc>
          <w:tcPr>
            <w:tcW w:w="5000" w:type="pct"/>
            <w:gridSpan w:val="8"/>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rPr>
            </w:pPr>
            <w:r w:rsidRPr="00806A43">
              <w:rPr>
                <w:noProof/>
                <w:color w:val="000000"/>
                <w:sz w:val="21"/>
              </w:rPr>
              <w:t xml:space="preserve">Crédits opérationnels </w:t>
            </w:r>
          </w:p>
        </w:tc>
      </w:tr>
      <w:tr w:rsidR="0067618B" w:rsidRPr="00806A43" w:rsidTr="1F350463">
        <w:trPr>
          <w:trHeight w:val="288"/>
        </w:trPr>
        <w:tc>
          <w:tcPr>
            <w:tcW w:w="1419" w:type="pct"/>
            <w:vMerge w:val="restart"/>
            <w:tcBorders>
              <w:top w:val="nil"/>
              <w:left w:val="single" w:sz="8" w:space="0" w:color="auto"/>
              <w:bottom w:val="single" w:sz="8" w:space="0" w:color="auto"/>
              <w:right w:val="single" w:sz="8" w:space="0" w:color="auto"/>
            </w:tcBorders>
            <w:noWrap/>
            <w:vAlign w:val="center"/>
            <w:hideMark/>
          </w:tcPr>
          <w:p w:rsidR="00012390" w:rsidRPr="00806A43" w:rsidRDefault="00012390">
            <w:pPr>
              <w:spacing w:before="0" w:after="0"/>
              <w:jc w:val="left"/>
              <w:rPr>
                <w:noProof/>
                <w:color w:val="000000"/>
                <w:sz w:val="22"/>
              </w:rPr>
            </w:pPr>
            <w:r w:rsidRPr="00806A43">
              <w:rPr>
                <w:noProof/>
                <w:color w:val="000000"/>
                <w:sz w:val="22"/>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(1a)</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421DA" w:rsidRPr="00806A43" w:rsidTr="1F350463">
        <w:trPr>
          <w:trHeight w:val="315"/>
        </w:trPr>
        <w:tc>
          <w:tcPr>
            <w:tcW w:w="1419" w:type="pct"/>
            <w:vMerge/>
            <w:vAlign w:val="center"/>
            <w:hideMark/>
          </w:tcPr>
          <w:p w:rsidR="00012390" w:rsidRPr="00806A43" w:rsidRDefault="00012390">
            <w:pPr>
              <w:spacing w:before="0" w:after="0"/>
              <w:jc w:val="left"/>
              <w:rPr>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(2a)</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67618B" w:rsidRPr="00806A43" w:rsidTr="1F350463">
        <w:trPr>
          <w:trHeight w:val="315"/>
        </w:trPr>
        <w:tc>
          <w:tcPr>
            <w:tcW w:w="1419"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0"/>
                <w:szCs w:val="20"/>
              </w:rPr>
            </w:pPr>
            <w:r w:rsidRPr="00806A43">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(1b)</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421DA" w:rsidRPr="00806A43" w:rsidTr="1F350463">
        <w:trPr>
          <w:trHeight w:val="315"/>
        </w:trPr>
        <w:tc>
          <w:tcPr>
            <w:tcW w:w="1419" w:type="pct"/>
            <w:vMerge/>
            <w:vAlign w:val="center"/>
            <w:hideMark/>
          </w:tcPr>
          <w:p w:rsidR="00012390" w:rsidRPr="00806A43" w:rsidRDefault="00012390">
            <w:pPr>
              <w:spacing w:before="0" w:after="0"/>
              <w:jc w:val="left"/>
              <w:rPr>
                <w:noProof/>
                <w:color w:val="000000"/>
                <w:sz w:val="20"/>
                <w:szCs w:val="20"/>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(2b)</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20"/>
                <w:szCs w:val="20"/>
              </w:rPr>
            </w:pPr>
            <w:r w:rsidRPr="00806A43">
              <w:rPr>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288"/>
        </w:trPr>
        <w:tc>
          <w:tcPr>
            <w:tcW w:w="5000" w:type="pct"/>
            <w:gridSpan w:val="8"/>
            <w:tcBorders>
              <w:top w:val="single" w:sz="8" w:space="0" w:color="auto"/>
              <w:left w:val="single" w:sz="8" w:space="0" w:color="auto"/>
              <w:bottom w:val="single" w:sz="8" w:space="0" w:color="auto"/>
              <w:right w:val="single" w:sz="8" w:space="0" w:color="auto"/>
            </w:tcBorders>
            <w:noWrap/>
            <w:vAlign w:val="bottom"/>
            <w:hideMark/>
          </w:tcPr>
          <w:p w:rsidR="00012390" w:rsidRPr="00806A43" w:rsidRDefault="00012390">
            <w:pPr>
              <w:spacing w:before="0" w:after="0"/>
              <w:jc w:val="left"/>
              <w:rPr>
                <w:noProof/>
              </w:rPr>
            </w:pPr>
            <w:r w:rsidRPr="00806A43">
              <w:rPr>
                <w:noProof/>
                <w:color w:val="000000" w:themeColor="text1"/>
                <w:sz w:val="22"/>
              </w:rPr>
              <w:t>Crédits de nature administrative financés par l’enveloppe de certains programmes spécifiques</w:t>
            </w:r>
            <w:r w:rsidRPr="00806A43">
              <w:rPr>
                <w:noProof/>
              </w:rPr>
              <w:t xml:space="preserve"> </w:t>
            </w:r>
          </w:p>
        </w:tc>
      </w:tr>
      <w:tr w:rsidR="0067618B" w:rsidRPr="00806A43" w:rsidTr="1F350463">
        <w:trPr>
          <w:trHeight w:val="288"/>
        </w:trPr>
        <w:tc>
          <w:tcPr>
            <w:tcW w:w="1419"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0"/>
                <w:szCs w:val="20"/>
              </w:rPr>
            </w:pPr>
            <w:r w:rsidRPr="00806A43">
              <w:rPr>
                <w:noProof/>
                <w:color w:val="000000"/>
                <w:sz w:val="20"/>
              </w:rPr>
              <w:t>Ligne budgétaire</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noProof/>
                <w:color w:val="000000"/>
                <w:sz w:val="18"/>
                <w:szCs w:val="18"/>
              </w:rPr>
            </w:pPr>
            <w:r w:rsidRPr="00806A43">
              <w:rPr>
                <w:noProof/>
                <w:color w:val="000000"/>
                <w:sz w:val="18"/>
              </w:rPr>
              <w:t xml:space="preserve"> </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(3)</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96"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478" w:type="pct"/>
            <w:tcBorders>
              <w:top w:val="nil"/>
              <w:left w:val="nil"/>
              <w:bottom w:val="single" w:sz="8" w:space="0" w:color="auto"/>
              <w:right w:val="single" w:sz="8" w:space="0" w:color="auto"/>
            </w:tcBorders>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 xml:space="preserve"> </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67618B" w:rsidRPr="00806A43" w:rsidTr="1F350463">
        <w:trPr>
          <w:trHeight w:val="288"/>
        </w:trPr>
        <w:tc>
          <w:tcPr>
            <w:tcW w:w="1419" w:type="pct"/>
            <w:vMerge w:val="restart"/>
            <w:tcBorders>
              <w:top w:val="nil"/>
              <w:left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w:t>
            </w:r>
          </w:p>
          <w:p w:rsidR="00012390" w:rsidRPr="00806A43" w:rsidRDefault="00012390">
            <w:pPr>
              <w:spacing w:before="0" w:after="0"/>
              <w:jc w:val="center"/>
              <w:rPr>
                <w:b/>
                <w:bCs/>
                <w:noProof/>
                <w:color w:val="000000"/>
                <w:sz w:val="22"/>
              </w:rPr>
            </w:pPr>
            <w:r w:rsidRPr="00806A43">
              <w:rPr>
                <w:b/>
                <w:noProof/>
                <w:color w:val="000000"/>
                <w:sz w:val="22"/>
              </w:rPr>
              <w:t xml:space="preserve">pour la DG </w:t>
            </w:r>
            <w:r w:rsidRPr="00806A43">
              <w:rPr>
                <w:noProof/>
                <w:color w:val="000000"/>
                <w:sz w:val="22"/>
              </w:rPr>
              <w:t>&lt;…….&gt;</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=1a+1b+3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421DA" w:rsidRPr="00806A43" w:rsidTr="1F350463">
        <w:trPr>
          <w:trHeight w:val="288"/>
        </w:trPr>
        <w:tc>
          <w:tcPr>
            <w:tcW w:w="1419" w:type="pct"/>
            <w:vMerge/>
            <w:vAlign w:val="center"/>
            <w:hideMark/>
          </w:tcPr>
          <w:p w:rsidR="00012390" w:rsidRPr="00806A43" w:rsidRDefault="00012390">
            <w:pPr>
              <w:spacing w:before="0" w:after="0"/>
              <w:jc w:val="center"/>
              <w:rPr>
                <w:b/>
                <w:bCs/>
                <w:noProof/>
                <w:color w:val="000000"/>
                <w:sz w:val="22"/>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6"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=2a+2b+3</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6"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78"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0" w:type="pct"/>
            <w:tcBorders>
              <w:top w:val="nil"/>
              <w:left w:val="nil"/>
              <w:bottom w:val="single" w:sz="8" w:space="0" w:color="auto"/>
              <w:right w:val="single" w:sz="8" w:space="0" w:color="auto"/>
            </w:tcBorders>
            <w:shd w:val="clear" w:color="auto" w:fill="D9D9D9" w:themeFill="background1" w:themeFillShade="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p w:rsidR="24341164" w:rsidRPr="00806A43" w:rsidRDefault="24341164">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012390" w:rsidRPr="00806A43">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 </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left"/>
              <w:rPr>
                <w:b/>
                <w:bCs/>
                <w:noProof/>
                <w:color w:val="000000"/>
                <w:sz w:val="22"/>
                <w:lang w:eastAsia="en-IE"/>
              </w:rPr>
            </w:pP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9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opérationnels </w:t>
            </w:r>
            <w:r w:rsidRPr="00806A43">
              <w:rPr>
                <w:noProof/>
              </w:rPr>
              <w:t xml:space="preserve"> </w:t>
            </w:r>
            <w:r w:rsidRPr="00806A43">
              <w:rPr>
                <w:noProof/>
              </w:rPr>
              <w:br/>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lang w:eastAsia="en-IE"/>
              </w:rPr>
            </w:pP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de nature administrative financés par l’enveloppe de certains programmes spécifiques </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la RUBRIQUE &lt;….&gt;</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noProof/>
                <w:color w:val="000000"/>
                <w:sz w:val="22"/>
              </w:rPr>
            </w:pPr>
            <w:r w:rsidRPr="00806A43">
              <w:rPr>
                <w:noProof/>
                <w:color w:val="000000"/>
                <w:sz w:val="22"/>
              </w:rPr>
              <w:t>du cadre financier pluriannuel</w:t>
            </w:r>
          </w:p>
        </w:tc>
        <w:tc>
          <w:tcPr>
            <w:tcW w:w="529" w:type="pct"/>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=5+6</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spacing w:after="40"/>
        <w:rPr>
          <w:noProof/>
        </w:rPr>
      </w:pPr>
    </w:p>
    <w:p w:rsidR="00012390" w:rsidRPr="00806A43" w:rsidRDefault="00012390" w:rsidP="00012390">
      <w:pPr>
        <w:spacing w:before="0" w:after="200" w:line="276" w:lineRule="auto"/>
        <w:jc w:val="left"/>
        <w:rPr>
          <w:noProof/>
          <w:sz w:val="16"/>
          <w:szCs w:val="16"/>
        </w:rPr>
      </w:pPr>
    </w:p>
    <w:p w:rsidR="47AA2FDC" w:rsidRPr="00806A43" w:rsidRDefault="47AA2FDC">
      <w:pPr>
        <w:rPr>
          <w:noProof/>
        </w:rPr>
      </w:pPr>
    </w:p>
    <w:p w:rsidR="00012390" w:rsidRPr="00806A43" w:rsidRDefault="00012390" w:rsidP="00012390">
      <w:pPr>
        <w:spacing w:after="40"/>
        <w:rPr>
          <w:noProof/>
        </w:rPr>
      </w:pPr>
    </w:p>
    <w:tbl>
      <w:tblPr>
        <w:tblW w:w="5000" w:type="pct"/>
        <w:tblLook w:val="04A0" w:firstRow="1" w:lastRow="0" w:firstColumn="1" w:lastColumn="0" w:noHBand="0" w:noVBand="1"/>
      </w:tblPr>
      <w:tblGrid>
        <w:gridCol w:w="4013"/>
        <w:gridCol w:w="316"/>
        <w:gridCol w:w="1189"/>
        <w:gridCol w:w="151"/>
        <w:gridCol w:w="1038"/>
        <w:gridCol w:w="210"/>
        <w:gridCol w:w="830"/>
        <w:gridCol w:w="572"/>
        <w:gridCol w:w="671"/>
        <w:gridCol w:w="731"/>
        <w:gridCol w:w="512"/>
        <w:gridCol w:w="890"/>
        <w:gridCol w:w="353"/>
        <w:gridCol w:w="1049"/>
        <w:gridCol w:w="193"/>
        <w:gridCol w:w="1502"/>
      </w:tblGrid>
      <w:tr w:rsidR="00012390" w:rsidRPr="00806A43">
        <w:trPr>
          <w:trHeight w:val="300"/>
        </w:trPr>
        <w:tc>
          <w:tcPr>
            <w:tcW w:w="2432" w:type="pct"/>
            <w:gridSpan w:val="6"/>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 </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93"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96"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2432" w:type="pct"/>
            <w:gridSpan w:val="6"/>
            <w:vMerge/>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left"/>
              <w:rPr>
                <w:b/>
                <w:bCs/>
                <w:noProof/>
                <w:color w:val="000000"/>
                <w:sz w:val="22"/>
                <w:lang w:eastAsia="en-IE"/>
              </w:rPr>
            </w:pPr>
          </w:p>
        </w:tc>
        <w:tc>
          <w:tcPr>
            <w:tcW w:w="493"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93"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93"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93"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96"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opérationnels </w:t>
            </w:r>
            <w:r w:rsidRPr="00806A43">
              <w:rPr>
                <w:noProof/>
              </w:rPr>
              <w:t xml:space="preserve"> </w:t>
            </w:r>
            <w:r w:rsidRPr="00806A43">
              <w:rPr>
                <w:noProof/>
              </w:rPr>
              <w:br/>
            </w:r>
          </w:p>
        </w:tc>
        <w:tc>
          <w:tcPr>
            <w:tcW w:w="529"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456"/>
        </w:trPr>
        <w:tc>
          <w:tcPr>
            <w:tcW w:w="1411" w:type="pct"/>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lang w:eastAsia="en-IE"/>
              </w:rPr>
            </w:pPr>
          </w:p>
        </w:tc>
        <w:tc>
          <w:tcPr>
            <w:tcW w:w="529"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rsidTr="001F4E05">
        <w:trPr>
          <w:trHeight w:val="924"/>
        </w:trPr>
        <w:tc>
          <w:tcPr>
            <w:tcW w:w="1940" w:type="pct"/>
            <w:gridSpan w:val="3"/>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noProof/>
                <w:color w:val="000000"/>
                <w:sz w:val="21"/>
              </w:rPr>
              <w:t xml:space="preserve">TOTAL des crédits de nature administrative financés par l’enveloppe de certains programmes spécifiques </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la RUBRIQUE &lt;….&gt;</w:t>
            </w:r>
          </w:p>
        </w:tc>
        <w:tc>
          <w:tcPr>
            <w:tcW w:w="529"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noProof/>
                <w:color w:val="000000"/>
                <w:sz w:val="22"/>
              </w:rPr>
            </w:pPr>
            <w:r w:rsidRPr="00806A43">
              <w:rPr>
                <w:noProof/>
                <w:color w:val="000000"/>
                <w:sz w:val="22"/>
              </w:rPr>
              <w:t>du cadre financier pluriannuel</w:t>
            </w:r>
          </w:p>
        </w:tc>
        <w:tc>
          <w:tcPr>
            <w:tcW w:w="529"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492" w:type="pct"/>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=5+6</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93"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96"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288"/>
        </w:trPr>
        <w:tc>
          <w:tcPr>
            <w:tcW w:w="1522" w:type="pct"/>
            <w:gridSpan w:val="2"/>
            <w:tcBorders>
              <w:top w:val="nil"/>
              <w:left w:val="nil"/>
              <w:bottom w:val="nil"/>
              <w:right w:val="nil"/>
            </w:tcBorders>
            <w:noWrap/>
            <w:vAlign w:val="bottom"/>
            <w:hideMark/>
          </w:tcPr>
          <w:p w:rsidR="00012390" w:rsidRPr="00806A43" w:rsidRDefault="00012390">
            <w:pPr>
              <w:spacing w:before="0" w:after="0"/>
              <w:jc w:val="left"/>
              <w:rPr>
                <w:noProof/>
                <w:sz w:val="20"/>
                <w:szCs w:val="24"/>
                <w:lang w:eastAsia="en-IE"/>
              </w:rPr>
            </w:pPr>
          </w:p>
        </w:tc>
        <w:tc>
          <w:tcPr>
            <w:tcW w:w="471" w:type="pct"/>
            <w:gridSpan w:val="2"/>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012390" w:rsidRPr="00806A43" w:rsidRDefault="00012390">
            <w:pPr>
              <w:spacing w:before="0" w:after="0"/>
              <w:jc w:val="left"/>
              <w:rPr>
                <w:noProof/>
                <w:sz w:val="20"/>
                <w:szCs w:val="20"/>
                <w:lang w:eastAsia="en-IE"/>
              </w:rPr>
            </w:pPr>
          </w:p>
        </w:tc>
        <w:tc>
          <w:tcPr>
            <w:tcW w:w="437" w:type="pct"/>
            <w:gridSpan w:val="2"/>
            <w:tcBorders>
              <w:top w:val="single" w:sz="8" w:space="0" w:color="auto"/>
              <w:left w:val="single" w:sz="4" w:space="0" w:color="auto"/>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437" w:type="pct"/>
            <w:gridSpan w:val="2"/>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8"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1522" w:type="pct"/>
            <w:gridSpan w:val="2"/>
            <w:tcBorders>
              <w:top w:val="nil"/>
              <w:left w:val="nil"/>
              <w:bottom w:val="nil"/>
              <w:right w:val="nil"/>
            </w:tcBorders>
            <w:noWrap/>
            <w:vAlign w:val="bottom"/>
            <w:hideMark/>
          </w:tcPr>
          <w:p w:rsidR="00012390" w:rsidRPr="00806A43" w:rsidRDefault="00012390">
            <w:pPr>
              <w:spacing w:before="0" w:after="0"/>
              <w:jc w:val="center"/>
              <w:rPr>
                <w:b/>
                <w:bCs/>
                <w:noProof/>
                <w:color w:val="000000"/>
                <w:sz w:val="20"/>
                <w:szCs w:val="20"/>
                <w:lang w:eastAsia="en-IE"/>
              </w:rPr>
            </w:pPr>
          </w:p>
        </w:tc>
        <w:tc>
          <w:tcPr>
            <w:tcW w:w="471" w:type="pct"/>
            <w:gridSpan w:val="2"/>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5" w:type="pct"/>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366" w:type="pct"/>
            <w:gridSpan w:val="2"/>
            <w:tcBorders>
              <w:top w:val="nil"/>
              <w:left w:val="nil"/>
              <w:bottom w:val="nil"/>
              <w:right w:val="single" w:sz="4" w:space="0" w:color="auto"/>
            </w:tcBorders>
            <w:noWrap/>
            <w:vAlign w:val="bottom"/>
            <w:hideMark/>
          </w:tcPr>
          <w:p w:rsidR="00012390" w:rsidRPr="00806A43" w:rsidRDefault="00012390">
            <w:pPr>
              <w:spacing w:before="0" w:after="0"/>
              <w:jc w:val="left"/>
              <w:rPr>
                <w:noProof/>
                <w:sz w:val="20"/>
                <w:szCs w:val="20"/>
                <w:lang w:eastAsia="en-IE"/>
              </w:rPr>
            </w:pPr>
          </w:p>
        </w:tc>
        <w:tc>
          <w:tcPr>
            <w:tcW w:w="437" w:type="pct"/>
            <w:gridSpan w:val="2"/>
            <w:tcBorders>
              <w:top w:val="nil"/>
              <w:left w:val="single" w:sz="4"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437"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437"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437"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528" w:type="pct"/>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1522" w:type="pct"/>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rPr>
                <w:noProof/>
                <w:color w:val="000000"/>
                <w:sz w:val="21"/>
                <w:szCs w:val="21"/>
              </w:rPr>
            </w:pPr>
            <w:r w:rsidRPr="00806A43">
              <w:rPr>
                <w:rFonts w:ascii="Calibri" w:hAnsi="Calibri"/>
                <w:noProof/>
                <w:color w:val="000000"/>
                <w:sz w:val="21"/>
              </w:rPr>
              <w:t xml:space="preserve">• </w:t>
            </w:r>
            <w:r w:rsidRPr="00806A43">
              <w:rPr>
                <w:noProof/>
                <w:color w:val="000000"/>
                <w:sz w:val="21"/>
              </w:rPr>
              <w:t>TOTAL des crédits opérationnels (toutes les rubriques opérationnelles)</w:t>
            </w:r>
          </w:p>
        </w:tc>
        <w:tc>
          <w:tcPr>
            <w:tcW w:w="471" w:type="pct"/>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1522" w:type="pct"/>
            <w:gridSpan w:val="2"/>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21"/>
                <w:szCs w:val="21"/>
                <w:lang w:eastAsia="en-IE"/>
              </w:rPr>
            </w:pPr>
          </w:p>
        </w:tc>
        <w:tc>
          <w:tcPr>
            <w:tcW w:w="471"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990"/>
        </w:trPr>
        <w:tc>
          <w:tcPr>
            <w:tcW w:w="1993" w:type="pct"/>
            <w:gridSpan w:val="4"/>
            <w:tcBorders>
              <w:top w:val="single" w:sz="8" w:space="0" w:color="auto"/>
              <w:left w:val="single" w:sz="8" w:space="0" w:color="auto"/>
              <w:bottom w:val="single" w:sz="8" w:space="0" w:color="auto"/>
              <w:right w:val="single" w:sz="8" w:space="0" w:color="000000"/>
            </w:tcBorders>
            <w:vAlign w:val="center"/>
            <w:hideMark/>
          </w:tcPr>
          <w:p w:rsidR="00012390" w:rsidRPr="00806A43" w:rsidRDefault="00012390">
            <w:pPr>
              <w:spacing w:before="0" w:after="0"/>
              <w:rPr>
                <w:noProof/>
                <w:color w:val="000000"/>
                <w:sz w:val="21"/>
                <w:szCs w:val="21"/>
              </w:rPr>
            </w:pPr>
            <w:r w:rsidRPr="00806A43">
              <w:rPr>
                <w:rFonts w:ascii="Calibri" w:hAnsi="Calibri"/>
                <w:noProof/>
                <w:color w:val="000000"/>
                <w:sz w:val="21"/>
              </w:rPr>
              <w:t xml:space="preserve">• </w:t>
            </w:r>
            <w:r w:rsidRPr="00806A43">
              <w:rPr>
                <w:noProof/>
                <w:color w:val="000000"/>
                <w:sz w:val="21"/>
              </w:rPr>
              <w:t>TOTAL des crédits de nature administrative financés par l'enveloppe de certains programmes spécifiques (toutes les rubriques opérationnelles)</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64"/>
        </w:trPr>
        <w:tc>
          <w:tcPr>
            <w:tcW w:w="1522" w:type="pct"/>
            <w:gridSpan w:val="2"/>
            <w:tcBorders>
              <w:top w:val="nil"/>
              <w:left w:val="single" w:sz="8" w:space="0" w:color="auto"/>
              <w:bottom w:val="nil"/>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les rubriques 1 à 6</w:t>
            </w:r>
          </w:p>
        </w:tc>
        <w:tc>
          <w:tcPr>
            <w:tcW w:w="471" w:type="pct"/>
            <w:gridSpan w:val="2"/>
            <w:tcBorders>
              <w:top w:val="nil"/>
              <w:left w:val="nil"/>
              <w:bottom w:val="nil"/>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731" w:type="pct"/>
            <w:gridSpan w:val="3"/>
            <w:tcBorders>
              <w:top w:val="single" w:sz="8" w:space="0" w:color="auto"/>
              <w:left w:val="nil"/>
              <w:bottom w:val="nil"/>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=4+6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588"/>
        </w:trPr>
        <w:tc>
          <w:tcPr>
            <w:tcW w:w="1522" w:type="pct"/>
            <w:gridSpan w:val="2"/>
            <w:tcBorders>
              <w:top w:val="nil"/>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noProof/>
                <w:color w:val="000000"/>
                <w:sz w:val="20"/>
                <w:szCs w:val="20"/>
              </w:rPr>
            </w:pPr>
            <w:r w:rsidRPr="00806A43">
              <w:rPr>
                <w:noProof/>
                <w:color w:val="000000"/>
                <w:sz w:val="20"/>
              </w:rPr>
              <w:t>du cadre financier pluriannuel (Montant de référence)</w:t>
            </w:r>
          </w:p>
        </w:tc>
        <w:tc>
          <w:tcPr>
            <w:tcW w:w="471" w:type="pct"/>
            <w:gridSpan w:val="2"/>
            <w:tcBorders>
              <w:top w:val="nil"/>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731" w:type="pct"/>
            <w:gridSpan w:val="3"/>
            <w:tcBorders>
              <w:top w:val="single" w:sz="8" w:space="0" w:color="auto"/>
              <w:left w:val="nil"/>
              <w:bottom w:val="single" w:sz="8" w:space="0" w:color="auto"/>
              <w:right w:val="single" w:sz="8" w:space="0" w:color="000000"/>
            </w:tcBorders>
            <w:vAlign w:val="center"/>
            <w:hideMark/>
          </w:tcPr>
          <w:p w:rsidR="00012390" w:rsidRPr="00806A43" w:rsidRDefault="00012390">
            <w:pPr>
              <w:spacing w:before="0" w:after="0"/>
              <w:jc w:val="center"/>
              <w:rPr>
                <w:noProof/>
                <w:color w:val="000000"/>
                <w:sz w:val="14"/>
                <w:szCs w:val="14"/>
              </w:rPr>
            </w:pPr>
            <w:r w:rsidRPr="00806A43">
              <w:rPr>
                <w:noProof/>
                <w:color w:val="000000"/>
                <w:sz w:val="14"/>
              </w:rPr>
              <w:t>=5+6</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437" w:type="pct"/>
            <w:gridSpan w:val="2"/>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528"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012390" w:rsidRPr="00806A43" w:rsidRDefault="00012390" w:rsidP="00012390">
      <w:pPr>
        <w:rPr>
          <w:noProof/>
        </w:rPr>
      </w:pPr>
    </w:p>
    <w:p w:rsidR="00D41E30" w:rsidRPr="00806A43" w:rsidRDefault="00D41E30">
      <w:pPr>
        <w:rPr>
          <w:noProof/>
        </w:rPr>
      </w:pPr>
      <w:r w:rsidRPr="00806A43">
        <w:rPr>
          <w:noProof/>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012390" w:rsidRPr="00806A43" w:rsidTr="001F4E05">
        <w:trPr>
          <w:jc w:val="center"/>
        </w:trPr>
        <w:tc>
          <w:tcPr>
            <w:tcW w:w="1739" w:type="pct"/>
            <w:vAlign w:val="center"/>
          </w:tcPr>
          <w:p w:rsidR="00012390" w:rsidRPr="00806A43" w:rsidRDefault="00012390">
            <w:pPr>
              <w:spacing w:before="60" w:after="60"/>
              <w:jc w:val="center"/>
              <w:rPr>
                <w:b/>
                <w:noProof/>
              </w:rPr>
            </w:pPr>
            <w:r w:rsidRPr="00806A43">
              <w:rPr>
                <w:noProof/>
              </w:rPr>
              <w:br w:type="page"/>
            </w:r>
            <w:r w:rsidRPr="00806A43">
              <w:rPr>
                <w:b/>
                <w:noProof/>
                <w:sz w:val="22"/>
              </w:rPr>
              <w:t xml:space="preserve">Rubrique du cadre financier pluriannuel </w:t>
            </w:r>
          </w:p>
        </w:tc>
        <w:tc>
          <w:tcPr>
            <w:tcW w:w="396" w:type="pct"/>
            <w:vAlign w:val="center"/>
          </w:tcPr>
          <w:p w:rsidR="00012390" w:rsidRPr="00806A43" w:rsidRDefault="00012390">
            <w:pPr>
              <w:spacing w:before="60" w:after="60"/>
              <w:jc w:val="center"/>
              <w:rPr>
                <w:noProof/>
              </w:rPr>
            </w:pPr>
            <w:r w:rsidRPr="00806A43">
              <w:rPr>
                <w:b/>
                <w:noProof/>
                <w:sz w:val="22"/>
              </w:rPr>
              <w:t>7</w:t>
            </w:r>
          </w:p>
        </w:tc>
        <w:tc>
          <w:tcPr>
            <w:tcW w:w="2865" w:type="pct"/>
            <w:vAlign w:val="center"/>
          </w:tcPr>
          <w:p w:rsidR="00012390" w:rsidRPr="00806A43" w:rsidRDefault="00012390">
            <w:pPr>
              <w:spacing w:before="60" w:after="60"/>
              <w:rPr>
                <w:noProof/>
              </w:rPr>
            </w:pPr>
            <w:r w:rsidRPr="00806A43">
              <w:rPr>
                <w:noProof/>
                <w:sz w:val="22"/>
              </w:rPr>
              <w:t>«Dépenses administratives»</w:t>
            </w:r>
            <w:r w:rsidRPr="00806A43">
              <w:rPr>
                <w:noProof/>
              </w:rPr>
              <w:t xml:space="preserve"> </w:t>
            </w:r>
          </w:p>
        </w:tc>
      </w:tr>
    </w:tbl>
    <w:p w:rsidR="00012390" w:rsidRPr="00806A43" w:rsidRDefault="00012390" w:rsidP="3910F78C">
      <w:pPr>
        <w:jc w:val="left"/>
        <w:rPr>
          <w:noProof/>
          <w:sz w:val="20"/>
          <w:szCs w:val="20"/>
        </w:rPr>
      </w:pPr>
      <w:r w:rsidRPr="00806A43">
        <w:rPr>
          <w:noProof/>
          <w:sz w:val="20"/>
        </w:rPr>
        <w:t>En Mio EUR (à la 3</w:t>
      </w:r>
      <w:r w:rsidRPr="00806A43">
        <w:rPr>
          <w:noProof/>
          <w:sz w:val="20"/>
          <w:vertAlign w:val="superscript"/>
        </w:rPr>
        <w:t>e</w:t>
      </w:r>
      <w:r w:rsidRPr="00806A43">
        <w:rPr>
          <w:noProof/>
          <w:sz w:val="20"/>
        </w:rPr>
        <w:t> décimale)</w:t>
      </w:r>
    </w:p>
    <w:tbl>
      <w:tblPr>
        <w:tblW w:w="13140" w:type="dxa"/>
        <w:tblInd w:w="118" w:type="dxa"/>
        <w:tblLook w:val="04A0" w:firstRow="1" w:lastRow="0" w:firstColumn="1" w:lastColumn="0" w:noHBand="0" w:noVBand="1"/>
      </w:tblPr>
      <w:tblGrid>
        <w:gridCol w:w="4405"/>
        <w:gridCol w:w="2477"/>
        <w:gridCol w:w="578"/>
        <w:gridCol w:w="578"/>
        <w:gridCol w:w="1001"/>
        <w:gridCol w:w="1001"/>
        <w:gridCol w:w="1001"/>
        <w:gridCol w:w="1001"/>
        <w:gridCol w:w="1244"/>
      </w:tblGrid>
      <w:tr w:rsidR="00012390" w:rsidRPr="00806A43">
        <w:trPr>
          <w:trHeight w:val="288"/>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DG: &lt;…….&gt;</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4405"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DG </w:t>
            </w:r>
            <w:r w:rsidRPr="00806A43">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left"/>
              <w:rPr>
                <w:noProof/>
                <w:color w:val="000000"/>
                <w:sz w:val="18"/>
                <w:szCs w:val="18"/>
              </w:rPr>
            </w:pPr>
            <w:r w:rsidRPr="00806A43">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300"/>
        </w:trPr>
        <w:tc>
          <w:tcPr>
            <w:tcW w:w="4405" w:type="dxa"/>
            <w:tcBorders>
              <w:top w:val="nil"/>
              <w:left w:val="nil"/>
              <w:bottom w:val="nil"/>
              <w:right w:val="nil"/>
            </w:tcBorders>
            <w:noWrap/>
            <w:vAlign w:val="bottom"/>
            <w:hideMark/>
          </w:tcPr>
          <w:p w:rsidR="00012390" w:rsidRPr="00806A43" w:rsidRDefault="00012390">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r>
      <w:tr w:rsidR="00012390" w:rsidRPr="00806A43">
        <w:trPr>
          <w:trHeight w:val="315"/>
        </w:trPr>
        <w:tc>
          <w:tcPr>
            <w:tcW w:w="7892" w:type="dxa"/>
            <w:gridSpan w:val="4"/>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DG: &lt;…….&gt;</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001"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244"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7892" w:type="dxa"/>
            <w:gridSpan w:val="4"/>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1001"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Ressources humaines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7892" w:type="dxa"/>
            <w:gridSpan w:val="4"/>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rFonts w:ascii="Wingdings" w:hAnsi="Wingdings" w:cs="Calibri"/>
                <w:noProof/>
                <w:color w:val="000000"/>
                <w:sz w:val="22"/>
              </w:rPr>
            </w:pPr>
            <w:r w:rsidRPr="00806A43">
              <w:rPr>
                <w:rFonts w:ascii="Wingdings" w:hAnsi="Wingdings"/>
                <w:noProof/>
                <w:color w:val="000000"/>
                <w:sz w:val="22"/>
              </w:rPr>
              <w:t></w:t>
            </w:r>
            <w:r w:rsidRPr="00806A43">
              <w:rPr>
                <w:noProof/>
                <w:color w:val="000000"/>
                <w:sz w:val="22"/>
              </w:rPr>
              <w:t xml:space="preserve"> Autres dépenses administratives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20"/>
                <w:szCs w:val="20"/>
              </w:rPr>
            </w:pPr>
            <w:r w:rsidRPr="00806A43">
              <w:rPr>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2A2D2A" w:rsidRPr="00806A43">
        <w:trPr>
          <w:trHeight w:val="300"/>
        </w:trPr>
        <w:tc>
          <w:tcPr>
            <w:tcW w:w="4405"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DG </w:t>
            </w:r>
            <w:r w:rsidRPr="00806A43">
              <w:rPr>
                <w:noProof/>
                <w:color w:val="000000"/>
                <w:sz w:val="22"/>
              </w:rPr>
              <w:t>&lt;…….&gt;</w:t>
            </w:r>
          </w:p>
        </w:tc>
        <w:tc>
          <w:tcPr>
            <w:tcW w:w="3487" w:type="dxa"/>
            <w:gridSpan w:val="3"/>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left"/>
              <w:rPr>
                <w:noProof/>
                <w:color w:val="000000"/>
                <w:sz w:val="18"/>
                <w:szCs w:val="18"/>
              </w:rPr>
            </w:pPr>
            <w:r w:rsidRPr="00806A43">
              <w:rPr>
                <w:noProof/>
                <w:color w:val="000000"/>
                <w:sz w:val="18"/>
              </w:rPr>
              <w:t xml:space="preserve">Crédits </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244"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r w:rsidR="00012390" w:rsidRPr="00806A43">
        <w:trPr>
          <w:trHeight w:val="300"/>
        </w:trPr>
        <w:tc>
          <w:tcPr>
            <w:tcW w:w="4405" w:type="dxa"/>
            <w:tcBorders>
              <w:top w:val="nil"/>
              <w:left w:val="nil"/>
              <w:bottom w:val="nil"/>
              <w:right w:val="nil"/>
            </w:tcBorders>
            <w:noWrap/>
            <w:vAlign w:val="bottom"/>
            <w:hideMark/>
          </w:tcPr>
          <w:p w:rsidR="00012390" w:rsidRPr="00806A43" w:rsidRDefault="00012390">
            <w:pPr>
              <w:spacing w:before="0" w:after="0"/>
              <w:jc w:val="right"/>
              <w:rPr>
                <w:b/>
                <w:bCs/>
                <w:noProof/>
                <w:color w:val="000000"/>
                <w:sz w:val="20"/>
                <w:szCs w:val="20"/>
                <w:lang w:eastAsia="en-IE"/>
              </w:rPr>
            </w:pPr>
          </w:p>
        </w:tc>
        <w:tc>
          <w:tcPr>
            <w:tcW w:w="2477"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505"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001"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c>
          <w:tcPr>
            <w:tcW w:w="1244" w:type="dxa"/>
            <w:tcBorders>
              <w:top w:val="nil"/>
              <w:left w:val="nil"/>
              <w:bottom w:val="nil"/>
              <w:right w:val="nil"/>
            </w:tcBorders>
            <w:noWrap/>
            <w:vAlign w:val="bottom"/>
            <w:hideMark/>
          </w:tcPr>
          <w:p w:rsidR="00012390" w:rsidRPr="00806A43" w:rsidRDefault="00012390">
            <w:pPr>
              <w:spacing w:before="0" w:after="0"/>
              <w:jc w:val="left"/>
              <w:rPr>
                <w:noProof/>
                <w:sz w:val="20"/>
                <w:szCs w:val="20"/>
                <w:lang w:eastAsia="en-IE"/>
              </w:rPr>
            </w:pPr>
          </w:p>
        </w:tc>
      </w:tr>
      <w:tr w:rsidR="002A2D2A" w:rsidRPr="00806A43">
        <w:trPr>
          <w:trHeight w:val="900"/>
        </w:trPr>
        <w:tc>
          <w:tcPr>
            <w:tcW w:w="6882" w:type="dxa"/>
            <w:gridSpan w:val="2"/>
            <w:tcBorders>
              <w:top w:val="single" w:sz="8" w:space="0" w:color="auto"/>
              <w:left w:val="single" w:sz="8" w:space="0" w:color="auto"/>
              <w:bottom w:val="single" w:sz="8" w:space="0" w:color="auto"/>
              <w:right w:val="single" w:sz="8" w:space="0" w:color="auto"/>
            </w:tcBorders>
            <w:shd w:val="thinDiagStripe" w:color="C0C0C0" w:fill="F1F1F1"/>
            <w:vAlign w:val="center"/>
            <w:hideMark/>
          </w:tcPr>
          <w:p w:rsidR="00012390" w:rsidRPr="00806A43" w:rsidRDefault="00012390">
            <w:pPr>
              <w:spacing w:before="0" w:after="0"/>
              <w:jc w:val="center"/>
              <w:rPr>
                <w:b/>
                <w:bCs/>
                <w:noProof/>
                <w:color w:val="000000"/>
                <w:sz w:val="22"/>
              </w:rPr>
            </w:pPr>
            <w:r w:rsidRPr="00806A43">
              <w:rPr>
                <w:b/>
                <w:noProof/>
                <w:color w:val="000000"/>
                <w:sz w:val="22"/>
              </w:rPr>
              <w:t xml:space="preserve">TOTAL des crédits pour la RUBRIQUE 7 du cadre financier pluriannuel </w:t>
            </w:r>
          </w:p>
        </w:tc>
        <w:tc>
          <w:tcPr>
            <w:tcW w:w="1010" w:type="dxa"/>
            <w:gridSpan w:val="2"/>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(Total engagements = Total paiements)</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001" w:type="dxa"/>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c>
          <w:tcPr>
            <w:tcW w:w="1244" w:type="dxa"/>
            <w:tcBorders>
              <w:top w:val="single" w:sz="8" w:space="0" w:color="auto"/>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20"/>
                <w:szCs w:val="20"/>
              </w:rPr>
            </w:pPr>
            <w:r w:rsidRPr="00806A43">
              <w:rPr>
                <w:b/>
                <w:noProof/>
                <w:color w:val="000000"/>
                <w:sz w:val="20"/>
              </w:rPr>
              <w:t>0,000</w:t>
            </w:r>
          </w:p>
        </w:tc>
      </w:tr>
    </w:tbl>
    <w:p w:rsidR="00D41E30" w:rsidRPr="00806A43" w:rsidRDefault="00012390" w:rsidP="00012390">
      <w:pPr>
        <w:jc w:val="right"/>
        <w:rPr>
          <w:noProof/>
          <w:sz w:val="20"/>
        </w:rPr>
      </w:pPr>
      <w:r w:rsidRPr="00806A43">
        <w:rPr>
          <w:noProof/>
          <w:sz w:val="20"/>
        </w:rPr>
        <w:t>En Mio EUR (à la 3</w:t>
      </w:r>
      <w:r w:rsidRPr="00806A43">
        <w:rPr>
          <w:noProof/>
          <w:sz w:val="20"/>
          <w:vertAlign w:val="superscript"/>
        </w:rPr>
        <w:t>e</w:t>
      </w:r>
      <w:r w:rsidRPr="00806A43">
        <w:rPr>
          <w:noProof/>
          <w:sz w:val="20"/>
        </w:rPr>
        <w:t> décimale)</w:t>
      </w:r>
    </w:p>
    <w:p w:rsidR="00012390" w:rsidRPr="00806A43" w:rsidRDefault="00012390" w:rsidP="00012390">
      <w:pPr>
        <w:jc w:val="right"/>
        <w:rPr>
          <w:noProof/>
          <w:sz w:val="20"/>
        </w:rPr>
      </w:pPr>
    </w:p>
    <w:tbl>
      <w:tblPr>
        <w:tblW w:w="13140" w:type="dxa"/>
        <w:tblInd w:w="118" w:type="dxa"/>
        <w:tblLook w:val="04A0" w:firstRow="1" w:lastRow="0" w:firstColumn="1" w:lastColumn="0" w:noHBand="0" w:noVBand="1"/>
      </w:tblPr>
      <w:tblGrid>
        <w:gridCol w:w="5180"/>
        <w:gridCol w:w="1920"/>
        <w:gridCol w:w="1160"/>
        <w:gridCol w:w="1160"/>
        <w:gridCol w:w="1160"/>
        <w:gridCol w:w="1160"/>
        <w:gridCol w:w="1400"/>
      </w:tblGrid>
      <w:tr w:rsidR="00012390" w:rsidRPr="00806A43">
        <w:trPr>
          <w:trHeight w:val="288"/>
        </w:trPr>
        <w:tc>
          <w:tcPr>
            <w:tcW w:w="7100" w:type="dxa"/>
            <w:gridSpan w:val="2"/>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Cs w:val="24"/>
              </w:rPr>
            </w:pPr>
            <w:r w:rsidRPr="00806A43">
              <w:rPr>
                <w:noProof/>
                <w:color w:val="000000"/>
              </w:rPr>
              <w:t xml:space="preserve"> </w:t>
            </w:r>
          </w:p>
        </w:tc>
        <w:tc>
          <w:tcPr>
            <w:tcW w:w="11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1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1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1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140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TOTAL CFP 2021-2027</w:t>
            </w:r>
          </w:p>
        </w:tc>
      </w:tr>
      <w:tr w:rsidR="00012390" w:rsidRPr="00806A43">
        <w:trPr>
          <w:trHeight w:val="300"/>
        </w:trPr>
        <w:tc>
          <w:tcPr>
            <w:tcW w:w="7100" w:type="dxa"/>
            <w:gridSpan w:val="2"/>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Cs w:val="24"/>
                <w:lang w:eastAsia="en-IE"/>
              </w:rPr>
            </w:pPr>
          </w:p>
        </w:tc>
        <w:tc>
          <w:tcPr>
            <w:tcW w:w="11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11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11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11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c>
          <w:tcPr>
            <w:tcW w:w="1400" w:type="dxa"/>
            <w:vMerge/>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left"/>
              <w:rPr>
                <w:b/>
                <w:bCs/>
                <w:noProof/>
                <w:color w:val="000000"/>
                <w:sz w:val="20"/>
                <w:szCs w:val="20"/>
                <w:lang w:eastAsia="en-IE"/>
              </w:rPr>
            </w:pPr>
          </w:p>
        </w:tc>
      </w:tr>
      <w:tr w:rsidR="002A2D2A" w:rsidRPr="00806A43">
        <w:trPr>
          <w:trHeight w:val="564"/>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806A43" w:rsidRDefault="00012390">
            <w:pPr>
              <w:spacing w:before="0" w:after="0"/>
              <w:jc w:val="center"/>
              <w:rPr>
                <w:b/>
                <w:bCs/>
                <w:noProof/>
                <w:color w:val="000000"/>
                <w:sz w:val="22"/>
              </w:rPr>
            </w:pPr>
            <w:r w:rsidRPr="00806A43">
              <w:rPr>
                <w:b/>
                <w:noProof/>
                <w:color w:val="000000"/>
                <w:sz w:val="22"/>
              </w:rPr>
              <w:t>TOTAL des crédits pour les RUBRIQUES 1 à 7</w:t>
            </w:r>
          </w:p>
        </w:tc>
        <w:tc>
          <w:tcPr>
            <w:tcW w:w="1920" w:type="dxa"/>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Engagements</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r>
      <w:tr w:rsidR="002A2D2A" w:rsidRPr="00806A43">
        <w:trPr>
          <w:trHeight w:val="540"/>
        </w:trPr>
        <w:tc>
          <w:tcPr>
            <w:tcW w:w="5180" w:type="dxa"/>
            <w:tcBorders>
              <w:top w:val="single" w:sz="8" w:space="0" w:color="auto"/>
              <w:left w:val="single" w:sz="8" w:space="0" w:color="auto"/>
              <w:bottom w:val="single" w:sz="8" w:space="0" w:color="auto"/>
              <w:right w:val="single" w:sz="8" w:space="0" w:color="000000"/>
            </w:tcBorders>
            <w:shd w:val="clear" w:color="000000" w:fill="C0C0C0"/>
            <w:vAlign w:val="center"/>
            <w:hideMark/>
          </w:tcPr>
          <w:p w:rsidR="00012390" w:rsidRPr="00806A43" w:rsidRDefault="00012390">
            <w:pPr>
              <w:spacing w:before="0" w:after="0"/>
              <w:jc w:val="center"/>
              <w:rPr>
                <w:noProof/>
                <w:color w:val="000000"/>
                <w:sz w:val="22"/>
              </w:rPr>
            </w:pPr>
            <w:r w:rsidRPr="00806A43">
              <w:rPr>
                <w:noProof/>
                <w:color w:val="000000"/>
                <w:sz w:val="22"/>
              </w:rPr>
              <w:t>du cadre financier pluriannuel</w:t>
            </w:r>
            <w:r w:rsidRPr="00806A43">
              <w:rPr>
                <w:b/>
                <w:noProof/>
                <w:color w:val="000000"/>
                <w:sz w:val="22"/>
              </w:rPr>
              <w:t xml:space="preserve"> </w:t>
            </w:r>
          </w:p>
        </w:tc>
        <w:tc>
          <w:tcPr>
            <w:tcW w:w="1920" w:type="dxa"/>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rPr>
                <w:noProof/>
                <w:color w:val="000000"/>
                <w:sz w:val="18"/>
                <w:szCs w:val="18"/>
              </w:rPr>
            </w:pPr>
            <w:r w:rsidRPr="00806A43">
              <w:rPr>
                <w:noProof/>
                <w:color w:val="000000"/>
                <w:sz w:val="18"/>
              </w:rPr>
              <w:t>Paiements</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1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c>
          <w:tcPr>
            <w:tcW w:w="140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Cs w:val="24"/>
              </w:rPr>
            </w:pPr>
            <w:r w:rsidRPr="00806A43">
              <w:rPr>
                <w:b/>
                <w:noProof/>
                <w:color w:val="000000"/>
              </w:rPr>
              <w:t>0,000</w:t>
            </w:r>
          </w:p>
        </w:tc>
      </w:tr>
    </w:tbl>
    <w:p w:rsidR="00D41E30" w:rsidRPr="00806A43" w:rsidRDefault="00D41E30" w:rsidP="00012390">
      <w:pPr>
        <w:pStyle w:val="ManualHeading3"/>
        <w:rPr>
          <w:noProof/>
        </w:rPr>
      </w:pPr>
      <w:bookmarkStart w:id="139" w:name="_Toc514938054"/>
      <w:bookmarkStart w:id="140" w:name="_Toc520485053"/>
      <w:bookmarkStart w:id="141" w:name="_Toc160804597"/>
      <w:bookmarkStart w:id="142" w:name="_Toc167220289"/>
      <w:bookmarkStart w:id="143" w:name="_Toc177549022"/>
    </w:p>
    <w:p w:rsidR="00012390" w:rsidRPr="00806A43" w:rsidRDefault="00012390" w:rsidP="00012390">
      <w:pPr>
        <w:pStyle w:val="ManualHeading3"/>
        <w:rPr>
          <w:bCs/>
          <w:noProof/>
          <w:szCs w:val="24"/>
        </w:rPr>
      </w:pPr>
      <w:r w:rsidRPr="00806A43">
        <w:rPr>
          <w:noProof/>
        </w:rPr>
        <w:t>3.2.2.</w:t>
      </w:r>
      <w:r w:rsidRPr="00806A43">
        <w:rPr>
          <w:noProof/>
        </w:rPr>
        <w:tab/>
        <w:t>Estimation des réalisations financées à partir des crédits opérationnels</w:t>
      </w:r>
      <w:bookmarkEnd w:id="139"/>
      <w:bookmarkEnd w:id="140"/>
      <w:r w:rsidRPr="00806A43">
        <w:rPr>
          <w:noProof/>
        </w:rPr>
        <w:t xml:space="preserve"> (cette section ne doit pas être complétée pour les organismes décentralisés)</w:t>
      </w:r>
      <w:bookmarkEnd w:id="141"/>
      <w:bookmarkEnd w:id="142"/>
      <w:bookmarkEnd w:id="143"/>
    </w:p>
    <w:p w:rsidR="00012390" w:rsidRPr="00806A43" w:rsidRDefault="00012390" w:rsidP="00012390">
      <w:pPr>
        <w:jc w:val="right"/>
        <w:rPr>
          <w:noProof/>
          <w:sz w:val="20"/>
        </w:rPr>
      </w:pPr>
      <w:r w:rsidRPr="00806A43">
        <w:rPr>
          <w:noProof/>
          <w:sz w:val="20"/>
        </w:rPr>
        <w:t>Crédits d’engagement en Mio EUR (à la 3</w:t>
      </w:r>
      <w:r w:rsidRPr="00806A43">
        <w:rPr>
          <w:noProof/>
          <w:sz w:val="20"/>
          <w:vertAlign w:val="superscript"/>
        </w:rPr>
        <w:t>e</w:t>
      </w:r>
      <w:r w:rsidRPr="00806A43">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012390" w:rsidRPr="00806A43">
        <w:trPr>
          <w:jc w:val="center"/>
        </w:trPr>
        <w:tc>
          <w:tcPr>
            <w:tcW w:w="1423" w:type="dxa"/>
            <w:vMerge w:val="restart"/>
            <w:vAlign w:val="center"/>
          </w:tcPr>
          <w:p w:rsidR="00012390" w:rsidRPr="00806A43" w:rsidRDefault="00012390">
            <w:pPr>
              <w:ind w:right="-29"/>
              <w:jc w:val="center"/>
              <w:rPr>
                <w:b/>
                <w:noProof/>
                <w:sz w:val="18"/>
                <w:szCs w:val="18"/>
              </w:rPr>
            </w:pPr>
            <w:r w:rsidRPr="00806A43">
              <w:rPr>
                <w:b/>
                <w:noProof/>
                <w:sz w:val="18"/>
              </w:rPr>
              <w:t xml:space="preserve">Indiquer les objectifs et les réalisations </w:t>
            </w:r>
          </w:p>
          <w:p w:rsidR="00012390" w:rsidRPr="00806A43" w:rsidRDefault="00012390">
            <w:pPr>
              <w:ind w:right="-29"/>
              <w:jc w:val="center"/>
              <w:rPr>
                <w:b/>
                <w:noProof/>
                <w:sz w:val="18"/>
                <w:szCs w:val="18"/>
              </w:rPr>
            </w:pPr>
          </w:p>
          <w:p w:rsidR="00012390" w:rsidRPr="00806A43" w:rsidRDefault="00012390">
            <w:pPr>
              <w:ind w:right="-29"/>
              <w:jc w:val="center"/>
              <w:rPr>
                <w:noProof/>
                <w:sz w:val="18"/>
                <w:szCs w:val="18"/>
              </w:rPr>
            </w:pPr>
            <w:r w:rsidRPr="00806A43">
              <w:rPr>
                <w:rFonts w:ascii="Wingdings" w:hAnsi="Wingdings"/>
                <w:noProof/>
                <w:sz w:val="18"/>
              </w:rPr>
              <w:t></w:t>
            </w:r>
          </w:p>
        </w:tc>
        <w:tc>
          <w:tcPr>
            <w:tcW w:w="720" w:type="dxa"/>
            <w:vAlign w:val="center"/>
          </w:tcPr>
          <w:p w:rsidR="00012390" w:rsidRPr="00806A43" w:rsidRDefault="00012390">
            <w:pPr>
              <w:ind w:right="-29"/>
              <w:jc w:val="center"/>
              <w:rPr>
                <w:noProof/>
                <w:sz w:val="18"/>
                <w:szCs w:val="18"/>
              </w:rPr>
            </w:pPr>
          </w:p>
        </w:tc>
        <w:tc>
          <w:tcPr>
            <w:tcW w:w="701" w:type="dxa"/>
            <w:vAlign w:val="center"/>
          </w:tcPr>
          <w:p w:rsidR="00012390" w:rsidRPr="00806A43" w:rsidRDefault="00012390">
            <w:pPr>
              <w:ind w:right="-29"/>
              <w:jc w:val="center"/>
              <w:rPr>
                <w:noProof/>
                <w:sz w:val="18"/>
                <w:szCs w:val="18"/>
              </w:rPr>
            </w:pPr>
          </w:p>
        </w:tc>
        <w:tc>
          <w:tcPr>
            <w:tcW w:w="1224" w:type="dxa"/>
            <w:gridSpan w:val="2"/>
            <w:tcBorders>
              <w:left w:val="nil"/>
            </w:tcBorders>
            <w:vAlign w:val="center"/>
          </w:tcPr>
          <w:p w:rsidR="00012390" w:rsidRPr="00806A43" w:rsidRDefault="00012390">
            <w:pPr>
              <w:ind w:right="-29"/>
              <w:jc w:val="center"/>
              <w:rPr>
                <w:noProof/>
                <w:sz w:val="18"/>
                <w:szCs w:val="18"/>
              </w:rPr>
            </w:pPr>
            <w:r w:rsidRPr="00806A43">
              <w:rPr>
                <w:noProof/>
                <w:sz w:val="18"/>
              </w:rPr>
              <w:t xml:space="preserve">Année </w:t>
            </w:r>
            <w:r w:rsidRPr="00806A43">
              <w:rPr>
                <w:noProof/>
              </w:rPr>
              <w:br/>
            </w:r>
            <w:r w:rsidRPr="00806A43">
              <w:rPr>
                <w:b/>
                <w:noProof/>
                <w:sz w:val="18"/>
              </w:rPr>
              <w:t>2024</w:t>
            </w:r>
          </w:p>
        </w:tc>
        <w:tc>
          <w:tcPr>
            <w:tcW w:w="1260" w:type="dxa"/>
            <w:gridSpan w:val="2"/>
            <w:vAlign w:val="center"/>
          </w:tcPr>
          <w:p w:rsidR="00012390" w:rsidRPr="00806A43" w:rsidRDefault="00012390">
            <w:pPr>
              <w:ind w:right="-29"/>
              <w:jc w:val="center"/>
              <w:rPr>
                <w:noProof/>
                <w:sz w:val="18"/>
                <w:szCs w:val="18"/>
              </w:rPr>
            </w:pPr>
            <w:r w:rsidRPr="00806A43">
              <w:rPr>
                <w:noProof/>
                <w:sz w:val="18"/>
              </w:rPr>
              <w:t xml:space="preserve">Année </w:t>
            </w:r>
            <w:r w:rsidRPr="00806A43">
              <w:rPr>
                <w:noProof/>
              </w:rPr>
              <w:br/>
            </w:r>
            <w:r w:rsidRPr="00806A43">
              <w:rPr>
                <w:b/>
                <w:noProof/>
                <w:sz w:val="18"/>
              </w:rPr>
              <w:t>2025</w:t>
            </w:r>
          </w:p>
        </w:tc>
        <w:tc>
          <w:tcPr>
            <w:tcW w:w="1440" w:type="dxa"/>
            <w:gridSpan w:val="2"/>
            <w:vAlign w:val="center"/>
          </w:tcPr>
          <w:p w:rsidR="00012390" w:rsidRPr="00806A43" w:rsidRDefault="00012390">
            <w:pPr>
              <w:ind w:right="-29"/>
              <w:jc w:val="center"/>
              <w:rPr>
                <w:noProof/>
                <w:sz w:val="18"/>
                <w:szCs w:val="18"/>
              </w:rPr>
            </w:pPr>
            <w:r w:rsidRPr="00806A43">
              <w:rPr>
                <w:noProof/>
                <w:sz w:val="18"/>
              </w:rPr>
              <w:t xml:space="preserve">Année </w:t>
            </w:r>
            <w:r w:rsidRPr="00806A43">
              <w:rPr>
                <w:noProof/>
              </w:rPr>
              <w:br/>
            </w:r>
            <w:r w:rsidRPr="00806A43">
              <w:rPr>
                <w:b/>
                <w:noProof/>
                <w:sz w:val="18"/>
              </w:rPr>
              <w:t>2026</w:t>
            </w:r>
          </w:p>
        </w:tc>
        <w:tc>
          <w:tcPr>
            <w:tcW w:w="1620" w:type="dxa"/>
            <w:gridSpan w:val="3"/>
            <w:vAlign w:val="center"/>
          </w:tcPr>
          <w:p w:rsidR="00012390" w:rsidRPr="00806A43" w:rsidRDefault="00012390">
            <w:pPr>
              <w:ind w:right="-29"/>
              <w:jc w:val="center"/>
              <w:rPr>
                <w:noProof/>
                <w:sz w:val="18"/>
                <w:szCs w:val="18"/>
              </w:rPr>
            </w:pPr>
            <w:r w:rsidRPr="00806A43">
              <w:rPr>
                <w:noProof/>
                <w:sz w:val="18"/>
              </w:rPr>
              <w:t xml:space="preserve">Année </w:t>
            </w:r>
            <w:r w:rsidRPr="00806A43">
              <w:rPr>
                <w:noProof/>
              </w:rPr>
              <w:br/>
            </w:r>
            <w:r w:rsidRPr="00806A43">
              <w:rPr>
                <w:b/>
                <w:noProof/>
                <w:sz w:val="18"/>
              </w:rPr>
              <w:t>2027</w:t>
            </w:r>
          </w:p>
        </w:tc>
        <w:tc>
          <w:tcPr>
            <w:tcW w:w="3600" w:type="dxa"/>
            <w:gridSpan w:val="6"/>
            <w:vAlign w:val="center"/>
          </w:tcPr>
          <w:p w:rsidR="00012390" w:rsidRPr="00806A43" w:rsidRDefault="00012390">
            <w:pPr>
              <w:jc w:val="center"/>
              <w:rPr>
                <w:noProof/>
                <w:sz w:val="18"/>
                <w:szCs w:val="18"/>
              </w:rPr>
            </w:pPr>
            <w:r w:rsidRPr="00806A43">
              <w:rPr>
                <w:noProof/>
                <w:sz w:val="18"/>
              </w:rPr>
              <w:t>Insérer autant d’années que nécessaire, pour refléter la durée de l’incidence (cf. section 1.6)</w:t>
            </w:r>
          </w:p>
        </w:tc>
        <w:tc>
          <w:tcPr>
            <w:tcW w:w="1620" w:type="dxa"/>
            <w:gridSpan w:val="2"/>
            <w:tcBorders>
              <w:left w:val="nil"/>
              <w:bottom w:val="nil"/>
            </w:tcBorders>
            <w:vAlign w:val="center"/>
          </w:tcPr>
          <w:p w:rsidR="00012390" w:rsidRPr="00806A43" w:rsidRDefault="00012390">
            <w:pPr>
              <w:ind w:right="-29"/>
              <w:jc w:val="center"/>
              <w:rPr>
                <w:noProof/>
                <w:sz w:val="18"/>
                <w:szCs w:val="18"/>
              </w:rPr>
            </w:pPr>
            <w:r w:rsidRPr="00806A43">
              <w:rPr>
                <w:b/>
                <w:noProof/>
                <w:sz w:val="18"/>
              </w:rPr>
              <w:t>TOTAL</w:t>
            </w:r>
          </w:p>
        </w:tc>
      </w:tr>
      <w:tr w:rsidR="00012390" w:rsidRPr="00806A43">
        <w:trPr>
          <w:jc w:val="center"/>
        </w:trPr>
        <w:tc>
          <w:tcPr>
            <w:tcW w:w="1423" w:type="dxa"/>
            <w:vMerge/>
            <w:vAlign w:val="center"/>
          </w:tcPr>
          <w:p w:rsidR="00012390" w:rsidRPr="00806A43" w:rsidRDefault="00012390">
            <w:pPr>
              <w:ind w:right="-29"/>
              <w:jc w:val="center"/>
              <w:rPr>
                <w:noProof/>
                <w:sz w:val="18"/>
                <w:szCs w:val="18"/>
              </w:rPr>
            </w:pPr>
          </w:p>
        </w:tc>
        <w:tc>
          <w:tcPr>
            <w:tcW w:w="12185" w:type="dxa"/>
            <w:gridSpan w:val="19"/>
            <w:vAlign w:val="center"/>
          </w:tcPr>
          <w:p w:rsidR="00012390" w:rsidRPr="00806A43" w:rsidRDefault="00012390">
            <w:pPr>
              <w:spacing w:before="60" w:after="60"/>
              <w:ind w:right="-29"/>
              <w:jc w:val="center"/>
              <w:rPr>
                <w:noProof/>
                <w:sz w:val="18"/>
                <w:szCs w:val="18"/>
              </w:rPr>
            </w:pPr>
            <w:r w:rsidRPr="00806A43">
              <w:rPr>
                <w:b/>
                <w:noProof/>
                <w:sz w:val="18"/>
              </w:rPr>
              <w:t>RÉALISATIONS (outputs)</w:t>
            </w:r>
          </w:p>
        </w:tc>
      </w:tr>
      <w:tr w:rsidR="006F5F2E" w:rsidRPr="00806A43" w:rsidTr="1A8735B3">
        <w:trPr>
          <w:cantSplit/>
          <w:trHeight w:val="1134"/>
          <w:jc w:val="center"/>
        </w:trPr>
        <w:tc>
          <w:tcPr>
            <w:tcW w:w="1423" w:type="dxa"/>
            <w:vMerge/>
            <w:vAlign w:val="center"/>
          </w:tcPr>
          <w:p w:rsidR="00012390" w:rsidRPr="00806A43" w:rsidRDefault="00012390">
            <w:pPr>
              <w:rPr>
                <w:noProof/>
                <w:sz w:val="18"/>
                <w:szCs w:val="18"/>
              </w:rPr>
            </w:pPr>
          </w:p>
        </w:tc>
        <w:tc>
          <w:tcPr>
            <w:tcW w:w="720" w:type="dxa"/>
            <w:vAlign w:val="center"/>
          </w:tcPr>
          <w:p w:rsidR="00012390" w:rsidRPr="00806A43" w:rsidRDefault="00012390">
            <w:pPr>
              <w:jc w:val="center"/>
              <w:rPr>
                <w:noProof/>
                <w:sz w:val="18"/>
                <w:szCs w:val="18"/>
              </w:rPr>
            </w:pPr>
            <w:r w:rsidRPr="00806A43">
              <w:rPr>
                <w:noProof/>
                <w:sz w:val="18"/>
              </w:rPr>
              <w:t>Type</w:t>
            </w:r>
            <w:r w:rsidRPr="00806A43">
              <w:rPr>
                <w:rStyle w:val="FootnoteReference"/>
                <w:noProof/>
                <w:sz w:val="18"/>
                <w:szCs w:val="18"/>
              </w:rPr>
              <w:footnoteReference w:id="11"/>
            </w:r>
          </w:p>
          <w:p w:rsidR="00012390" w:rsidRPr="00806A43" w:rsidRDefault="00012390">
            <w:pPr>
              <w:spacing w:before="0" w:after="0"/>
              <w:jc w:val="center"/>
              <w:rPr>
                <w:noProof/>
                <w:sz w:val="18"/>
                <w:szCs w:val="18"/>
              </w:rPr>
            </w:pPr>
          </w:p>
        </w:tc>
        <w:tc>
          <w:tcPr>
            <w:tcW w:w="701" w:type="dxa"/>
            <w:vAlign w:val="center"/>
          </w:tcPr>
          <w:p w:rsidR="00012390" w:rsidRPr="00806A43" w:rsidRDefault="00012390">
            <w:pPr>
              <w:jc w:val="center"/>
              <w:rPr>
                <w:noProof/>
                <w:sz w:val="18"/>
                <w:szCs w:val="18"/>
              </w:rPr>
            </w:pPr>
            <w:r w:rsidRPr="00806A43">
              <w:rPr>
                <w:noProof/>
                <w:sz w:val="18"/>
              </w:rPr>
              <w:t>Coût moyen</w:t>
            </w:r>
          </w:p>
        </w:tc>
        <w:tc>
          <w:tcPr>
            <w:tcW w:w="504" w:type="dxa"/>
            <w:tcBorders>
              <w:left w:val="nil"/>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540"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720"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900"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gridSpan w:val="2"/>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540"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648"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432"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540" w:type="dxa"/>
            <w:tcBorders>
              <w:right w:val="dashSmallGap" w:sz="4" w:space="0" w:color="auto"/>
            </w:tcBorders>
            <w:textDirection w:val="btLr"/>
            <w:vAlign w:val="center"/>
          </w:tcPr>
          <w:p w:rsidR="00012390" w:rsidRPr="00806A43" w:rsidRDefault="00012390">
            <w:pPr>
              <w:ind w:left="113" w:right="113"/>
              <w:jc w:val="center"/>
              <w:rPr>
                <w:noProof/>
                <w:sz w:val="18"/>
                <w:szCs w:val="18"/>
              </w:rPr>
            </w:pPr>
            <w:r w:rsidRPr="00806A43">
              <w:rPr>
                <w:noProof/>
                <w:sz w:val="18"/>
              </w:rPr>
              <w:t>Nbre</w:t>
            </w:r>
          </w:p>
        </w:tc>
        <w:tc>
          <w:tcPr>
            <w:tcW w:w="72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w:t>
            </w:r>
          </w:p>
        </w:tc>
        <w:tc>
          <w:tcPr>
            <w:tcW w:w="720" w:type="dxa"/>
            <w:tcBorders>
              <w:right w:val="dashSmallGap" w:sz="4" w:space="0" w:color="auto"/>
            </w:tcBorders>
            <w:vAlign w:val="center"/>
          </w:tcPr>
          <w:p w:rsidR="00012390" w:rsidRPr="00806A43" w:rsidRDefault="00012390">
            <w:pPr>
              <w:jc w:val="center"/>
              <w:rPr>
                <w:noProof/>
                <w:sz w:val="18"/>
                <w:szCs w:val="18"/>
              </w:rPr>
            </w:pPr>
            <w:r w:rsidRPr="00806A43">
              <w:rPr>
                <w:noProof/>
                <w:sz w:val="18"/>
              </w:rPr>
              <w:t>Nbre total</w:t>
            </w:r>
          </w:p>
        </w:tc>
        <w:tc>
          <w:tcPr>
            <w:tcW w:w="900" w:type="dxa"/>
            <w:tcBorders>
              <w:left w:val="dashSmallGap" w:sz="4" w:space="0" w:color="auto"/>
            </w:tcBorders>
            <w:vAlign w:val="center"/>
          </w:tcPr>
          <w:p w:rsidR="00012390" w:rsidRPr="00806A43" w:rsidRDefault="00012390">
            <w:pPr>
              <w:jc w:val="center"/>
              <w:rPr>
                <w:noProof/>
                <w:sz w:val="18"/>
                <w:szCs w:val="18"/>
              </w:rPr>
            </w:pPr>
            <w:r w:rsidRPr="00806A43">
              <w:rPr>
                <w:noProof/>
                <w:sz w:val="18"/>
              </w:rPr>
              <w:t>Coût total</w:t>
            </w:r>
          </w:p>
        </w:tc>
      </w:tr>
      <w:tr w:rsidR="00012390" w:rsidRPr="00806A43">
        <w:trPr>
          <w:jc w:val="center"/>
        </w:trPr>
        <w:tc>
          <w:tcPr>
            <w:tcW w:w="2844" w:type="dxa"/>
            <w:gridSpan w:val="3"/>
            <w:vAlign w:val="center"/>
          </w:tcPr>
          <w:p w:rsidR="00012390" w:rsidRPr="00806A43" w:rsidRDefault="00012390">
            <w:pPr>
              <w:spacing w:before="60" w:after="60"/>
              <w:ind w:right="-29"/>
              <w:jc w:val="center"/>
              <w:rPr>
                <w:noProof/>
                <w:sz w:val="18"/>
                <w:szCs w:val="18"/>
              </w:rPr>
            </w:pPr>
            <w:r w:rsidRPr="00806A43">
              <w:rPr>
                <w:noProof/>
                <w:sz w:val="18"/>
              </w:rPr>
              <w:t>OBJECTIF SPÉCIFIQUE nº 1</w:t>
            </w:r>
            <w:r w:rsidRPr="00806A43">
              <w:rPr>
                <w:rStyle w:val="FootnoteReference"/>
                <w:noProof/>
                <w:sz w:val="18"/>
                <w:szCs w:val="18"/>
              </w:rPr>
              <w:footnoteReference w:id="12"/>
            </w:r>
            <w:r w:rsidRPr="00806A43">
              <w:rPr>
                <w:noProof/>
                <w:sz w:val="18"/>
              </w:rPr>
              <w:t>...</w:t>
            </w:r>
          </w:p>
        </w:tc>
        <w:tc>
          <w:tcPr>
            <w:tcW w:w="504"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90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gridSpan w:val="2"/>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648"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432"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900" w:type="dxa"/>
            <w:tcBorders>
              <w:top w:val="nil"/>
              <w:left w:val="nil"/>
              <w:bottom w:val="nil"/>
              <w:right w:val="nil"/>
            </w:tcBorders>
          </w:tcPr>
          <w:p w:rsidR="00012390" w:rsidRPr="00806A43" w:rsidRDefault="00012390">
            <w:pPr>
              <w:spacing w:before="60" w:after="60"/>
              <w:ind w:right="-29"/>
              <w:jc w:val="center"/>
              <w:rPr>
                <w:noProof/>
                <w:sz w:val="18"/>
                <w:szCs w:val="18"/>
              </w:rPr>
            </w:pPr>
          </w:p>
        </w:tc>
      </w:tr>
      <w:tr w:rsidR="00012390" w:rsidRPr="00806A43">
        <w:trPr>
          <w:trHeight w:hRule="exact" w:val="369"/>
          <w:jc w:val="center"/>
        </w:trPr>
        <w:tc>
          <w:tcPr>
            <w:tcW w:w="1423" w:type="dxa"/>
          </w:tcPr>
          <w:p w:rsidR="00012390" w:rsidRPr="00806A43" w:rsidRDefault="00012390">
            <w:pPr>
              <w:ind w:right="-29"/>
              <w:jc w:val="center"/>
              <w:rPr>
                <w:noProof/>
                <w:sz w:val="18"/>
                <w:szCs w:val="18"/>
              </w:rPr>
            </w:pPr>
            <w:r w:rsidRPr="00806A43">
              <w:rPr>
                <w:noProof/>
                <w:sz w:val="18"/>
              </w:rPr>
              <w:t>- Réalisation</w:t>
            </w:r>
          </w:p>
        </w:tc>
        <w:tc>
          <w:tcPr>
            <w:tcW w:w="720" w:type="dxa"/>
          </w:tcPr>
          <w:p w:rsidR="00012390" w:rsidRPr="00806A43" w:rsidRDefault="00012390">
            <w:pPr>
              <w:ind w:right="-29"/>
              <w:jc w:val="center"/>
              <w:rPr>
                <w:noProof/>
                <w:sz w:val="18"/>
                <w:szCs w:val="18"/>
              </w:rPr>
            </w:pPr>
          </w:p>
        </w:tc>
        <w:tc>
          <w:tcPr>
            <w:tcW w:w="701" w:type="dxa"/>
          </w:tcPr>
          <w:p w:rsidR="00012390" w:rsidRPr="00806A43" w:rsidRDefault="00012390">
            <w:pPr>
              <w:ind w:right="-29"/>
              <w:jc w:val="center"/>
              <w:rPr>
                <w:noProof/>
                <w:sz w:val="18"/>
                <w:szCs w:val="18"/>
              </w:rPr>
            </w:pPr>
          </w:p>
        </w:tc>
        <w:tc>
          <w:tcPr>
            <w:tcW w:w="504"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72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900" w:type="dxa"/>
            <w:tcBorders>
              <w:right w:val="dashSmallGap" w:sz="4" w:space="0" w:color="auto"/>
            </w:tcBorders>
          </w:tcPr>
          <w:p w:rsidR="00012390" w:rsidRPr="00806A43" w:rsidRDefault="00012390">
            <w:pPr>
              <w:ind w:right="-29"/>
              <w:jc w:val="center"/>
              <w:rPr>
                <w:noProof/>
                <w:sz w:val="18"/>
                <w:szCs w:val="18"/>
              </w:rPr>
            </w:pPr>
          </w:p>
        </w:tc>
        <w:tc>
          <w:tcPr>
            <w:tcW w:w="720" w:type="dxa"/>
            <w:gridSpan w:val="2"/>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648" w:type="dxa"/>
            <w:tcBorders>
              <w:left w:val="dashSmallGap" w:sz="4" w:space="0" w:color="auto"/>
            </w:tcBorders>
          </w:tcPr>
          <w:p w:rsidR="00012390" w:rsidRPr="00806A43" w:rsidRDefault="00012390">
            <w:pPr>
              <w:ind w:right="-29"/>
              <w:jc w:val="center"/>
              <w:rPr>
                <w:noProof/>
                <w:sz w:val="18"/>
                <w:szCs w:val="18"/>
              </w:rPr>
            </w:pPr>
          </w:p>
        </w:tc>
        <w:tc>
          <w:tcPr>
            <w:tcW w:w="432"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r>
      <w:tr w:rsidR="00012390" w:rsidRPr="00806A43">
        <w:trPr>
          <w:trHeight w:hRule="exact" w:val="369"/>
          <w:jc w:val="center"/>
        </w:trPr>
        <w:tc>
          <w:tcPr>
            <w:tcW w:w="1423" w:type="dxa"/>
          </w:tcPr>
          <w:p w:rsidR="00012390" w:rsidRPr="00806A43" w:rsidRDefault="00012390">
            <w:pPr>
              <w:ind w:right="-29"/>
              <w:jc w:val="center"/>
              <w:rPr>
                <w:noProof/>
                <w:sz w:val="18"/>
                <w:szCs w:val="18"/>
              </w:rPr>
            </w:pPr>
            <w:r w:rsidRPr="00806A43">
              <w:rPr>
                <w:noProof/>
                <w:sz w:val="18"/>
              </w:rPr>
              <w:t>- Réalisation</w:t>
            </w:r>
          </w:p>
        </w:tc>
        <w:tc>
          <w:tcPr>
            <w:tcW w:w="720" w:type="dxa"/>
          </w:tcPr>
          <w:p w:rsidR="00012390" w:rsidRPr="00806A43" w:rsidRDefault="00012390">
            <w:pPr>
              <w:ind w:right="-29"/>
              <w:jc w:val="center"/>
              <w:rPr>
                <w:noProof/>
                <w:sz w:val="18"/>
                <w:szCs w:val="18"/>
              </w:rPr>
            </w:pPr>
          </w:p>
        </w:tc>
        <w:tc>
          <w:tcPr>
            <w:tcW w:w="701" w:type="dxa"/>
          </w:tcPr>
          <w:p w:rsidR="00012390" w:rsidRPr="00806A43" w:rsidRDefault="00012390">
            <w:pPr>
              <w:ind w:right="-29"/>
              <w:jc w:val="center"/>
              <w:rPr>
                <w:noProof/>
                <w:sz w:val="18"/>
                <w:szCs w:val="18"/>
              </w:rPr>
            </w:pPr>
          </w:p>
        </w:tc>
        <w:tc>
          <w:tcPr>
            <w:tcW w:w="504"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72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900" w:type="dxa"/>
            <w:tcBorders>
              <w:right w:val="dashSmallGap" w:sz="4" w:space="0" w:color="auto"/>
            </w:tcBorders>
          </w:tcPr>
          <w:p w:rsidR="00012390" w:rsidRPr="00806A43" w:rsidRDefault="00012390">
            <w:pPr>
              <w:ind w:right="-29"/>
              <w:jc w:val="center"/>
              <w:rPr>
                <w:noProof/>
                <w:sz w:val="18"/>
                <w:szCs w:val="18"/>
              </w:rPr>
            </w:pPr>
          </w:p>
        </w:tc>
        <w:tc>
          <w:tcPr>
            <w:tcW w:w="720" w:type="dxa"/>
            <w:gridSpan w:val="2"/>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648" w:type="dxa"/>
            <w:tcBorders>
              <w:left w:val="dashSmallGap" w:sz="4" w:space="0" w:color="auto"/>
            </w:tcBorders>
          </w:tcPr>
          <w:p w:rsidR="00012390" w:rsidRPr="00806A43" w:rsidRDefault="00012390">
            <w:pPr>
              <w:ind w:right="-29"/>
              <w:jc w:val="center"/>
              <w:rPr>
                <w:noProof/>
                <w:sz w:val="18"/>
                <w:szCs w:val="18"/>
              </w:rPr>
            </w:pPr>
          </w:p>
        </w:tc>
        <w:tc>
          <w:tcPr>
            <w:tcW w:w="432"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540" w:type="dxa"/>
            <w:tcBorders>
              <w:right w:val="dashSmallGap" w:sz="4" w:space="0" w:color="auto"/>
            </w:tcBorders>
          </w:tcPr>
          <w:p w:rsidR="00012390" w:rsidRPr="00806A43" w:rsidRDefault="00012390">
            <w:pPr>
              <w:ind w:right="-29"/>
              <w:jc w:val="center"/>
              <w:rPr>
                <w:noProof/>
                <w:sz w:val="18"/>
                <w:szCs w:val="18"/>
              </w:rPr>
            </w:pPr>
          </w:p>
        </w:tc>
        <w:tc>
          <w:tcPr>
            <w:tcW w:w="720" w:type="dxa"/>
            <w:tcBorders>
              <w:left w:val="dashSmallGap" w:sz="4" w:space="0" w:color="auto"/>
            </w:tcBorders>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r>
      <w:tr w:rsidR="00012390" w:rsidRPr="00806A43">
        <w:trPr>
          <w:trHeight w:hRule="exact" w:val="369"/>
          <w:jc w:val="center"/>
        </w:trPr>
        <w:tc>
          <w:tcPr>
            <w:tcW w:w="1423" w:type="dxa"/>
          </w:tcPr>
          <w:p w:rsidR="00012390" w:rsidRPr="00806A43" w:rsidRDefault="00012390">
            <w:pPr>
              <w:ind w:right="-29"/>
              <w:jc w:val="center"/>
              <w:rPr>
                <w:noProof/>
                <w:sz w:val="18"/>
                <w:szCs w:val="18"/>
              </w:rPr>
            </w:pPr>
            <w:r w:rsidRPr="00806A43">
              <w:rPr>
                <w:noProof/>
                <w:sz w:val="18"/>
              </w:rPr>
              <w:t>- Réalisation</w:t>
            </w:r>
          </w:p>
        </w:tc>
        <w:tc>
          <w:tcPr>
            <w:tcW w:w="720" w:type="dxa"/>
          </w:tcPr>
          <w:p w:rsidR="00012390" w:rsidRPr="00806A43" w:rsidRDefault="00012390">
            <w:pPr>
              <w:ind w:right="-29"/>
              <w:jc w:val="center"/>
              <w:rPr>
                <w:noProof/>
                <w:sz w:val="18"/>
                <w:szCs w:val="18"/>
              </w:rPr>
            </w:pPr>
          </w:p>
        </w:tc>
        <w:tc>
          <w:tcPr>
            <w:tcW w:w="701" w:type="dxa"/>
          </w:tcPr>
          <w:p w:rsidR="00012390" w:rsidRPr="00806A43" w:rsidRDefault="00012390">
            <w:pPr>
              <w:ind w:right="-29"/>
              <w:jc w:val="center"/>
              <w:rPr>
                <w:noProof/>
                <w:sz w:val="18"/>
                <w:szCs w:val="18"/>
              </w:rPr>
            </w:pPr>
          </w:p>
        </w:tc>
        <w:tc>
          <w:tcPr>
            <w:tcW w:w="504"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c>
          <w:tcPr>
            <w:tcW w:w="720" w:type="dxa"/>
            <w:gridSpan w:val="2"/>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648" w:type="dxa"/>
          </w:tcPr>
          <w:p w:rsidR="00012390" w:rsidRPr="00806A43" w:rsidRDefault="00012390">
            <w:pPr>
              <w:ind w:right="-29"/>
              <w:jc w:val="center"/>
              <w:rPr>
                <w:noProof/>
                <w:sz w:val="18"/>
                <w:szCs w:val="18"/>
              </w:rPr>
            </w:pPr>
          </w:p>
        </w:tc>
        <w:tc>
          <w:tcPr>
            <w:tcW w:w="432"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r>
      <w:tr w:rsidR="00012390" w:rsidRPr="00806A43">
        <w:trPr>
          <w:trHeight w:val="77"/>
          <w:jc w:val="center"/>
        </w:trPr>
        <w:tc>
          <w:tcPr>
            <w:tcW w:w="2844" w:type="dxa"/>
            <w:gridSpan w:val="3"/>
            <w:tcBorders>
              <w:bottom w:val="single" w:sz="12" w:space="0" w:color="auto"/>
            </w:tcBorders>
            <w:vAlign w:val="center"/>
          </w:tcPr>
          <w:p w:rsidR="00012390" w:rsidRPr="00806A43" w:rsidRDefault="00012390">
            <w:pPr>
              <w:ind w:right="-29"/>
              <w:jc w:val="center"/>
              <w:rPr>
                <w:noProof/>
                <w:sz w:val="18"/>
                <w:szCs w:val="18"/>
              </w:rPr>
            </w:pPr>
            <w:r w:rsidRPr="00806A43">
              <w:rPr>
                <w:noProof/>
                <w:sz w:val="18"/>
              </w:rPr>
              <w:t>Sous-total objectif spécifique nº 1</w:t>
            </w:r>
          </w:p>
        </w:tc>
        <w:tc>
          <w:tcPr>
            <w:tcW w:w="504"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900" w:type="dxa"/>
            <w:tcBorders>
              <w:bottom w:val="single" w:sz="12" w:space="0" w:color="auto"/>
            </w:tcBorders>
          </w:tcPr>
          <w:p w:rsidR="00012390" w:rsidRPr="00806A43" w:rsidRDefault="00012390">
            <w:pPr>
              <w:ind w:right="-29"/>
              <w:jc w:val="center"/>
              <w:rPr>
                <w:noProof/>
                <w:sz w:val="18"/>
                <w:szCs w:val="18"/>
              </w:rPr>
            </w:pPr>
          </w:p>
        </w:tc>
        <w:tc>
          <w:tcPr>
            <w:tcW w:w="720" w:type="dxa"/>
            <w:gridSpan w:val="2"/>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648" w:type="dxa"/>
            <w:tcBorders>
              <w:bottom w:val="single" w:sz="12" w:space="0" w:color="auto"/>
            </w:tcBorders>
          </w:tcPr>
          <w:p w:rsidR="00012390" w:rsidRPr="00806A43" w:rsidRDefault="00012390">
            <w:pPr>
              <w:ind w:right="-29"/>
              <w:jc w:val="center"/>
              <w:rPr>
                <w:noProof/>
                <w:sz w:val="18"/>
                <w:szCs w:val="18"/>
              </w:rPr>
            </w:pPr>
          </w:p>
        </w:tc>
        <w:tc>
          <w:tcPr>
            <w:tcW w:w="432"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900" w:type="dxa"/>
            <w:tcBorders>
              <w:bottom w:val="single" w:sz="12" w:space="0" w:color="auto"/>
            </w:tcBorders>
          </w:tcPr>
          <w:p w:rsidR="00012390" w:rsidRPr="00806A43" w:rsidRDefault="00012390">
            <w:pPr>
              <w:ind w:right="-29"/>
              <w:jc w:val="center"/>
              <w:rPr>
                <w:noProof/>
                <w:sz w:val="18"/>
                <w:szCs w:val="18"/>
              </w:rPr>
            </w:pPr>
          </w:p>
        </w:tc>
      </w:tr>
      <w:tr w:rsidR="00012390" w:rsidRPr="00806A43">
        <w:trPr>
          <w:jc w:val="center"/>
        </w:trPr>
        <w:tc>
          <w:tcPr>
            <w:tcW w:w="2844" w:type="dxa"/>
            <w:gridSpan w:val="3"/>
            <w:vAlign w:val="center"/>
          </w:tcPr>
          <w:p w:rsidR="00012390" w:rsidRPr="00806A43" w:rsidRDefault="00012390">
            <w:pPr>
              <w:spacing w:before="60" w:after="60"/>
              <w:ind w:right="-29"/>
              <w:jc w:val="center"/>
              <w:rPr>
                <w:noProof/>
                <w:sz w:val="18"/>
                <w:szCs w:val="18"/>
              </w:rPr>
            </w:pPr>
            <w:r w:rsidRPr="00806A43">
              <w:rPr>
                <w:noProof/>
                <w:sz w:val="18"/>
              </w:rPr>
              <w:t>OBJECTIF SPÉCIFIQUE nº 2…</w:t>
            </w:r>
          </w:p>
        </w:tc>
        <w:tc>
          <w:tcPr>
            <w:tcW w:w="504"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90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gridSpan w:val="2"/>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648"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432"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54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720" w:type="dxa"/>
            <w:tcBorders>
              <w:top w:val="nil"/>
              <w:left w:val="nil"/>
              <w:bottom w:val="nil"/>
              <w:right w:val="nil"/>
            </w:tcBorders>
          </w:tcPr>
          <w:p w:rsidR="00012390" w:rsidRPr="00806A43" w:rsidRDefault="00012390">
            <w:pPr>
              <w:spacing w:before="60" w:after="60"/>
              <w:ind w:right="-29"/>
              <w:jc w:val="center"/>
              <w:rPr>
                <w:noProof/>
                <w:sz w:val="18"/>
                <w:szCs w:val="18"/>
              </w:rPr>
            </w:pPr>
          </w:p>
        </w:tc>
        <w:tc>
          <w:tcPr>
            <w:tcW w:w="900" w:type="dxa"/>
            <w:tcBorders>
              <w:top w:val="nil"/>
              <w:left w:val="nil"/>
              <w:bottom w:val="nil"/>
              <w:right w:val="nil"/>
            </w:tcBorders>
          </w:tcPr>
          <w:p w:rsidR="00012390" w:rsidRPr="00806A43" w:rsidRDefault="00012390">
            <w:pPr>
              <w:spacing w:before="60" w:after="60"/>
              <w:ind w:right="-29"/>
              <w:jc w:val="center"/>
              <w:rPr>
                <w:noProof/>
                <w:sz w:val="18"/>
                <w:szCs w:val="18"/>
              </w:rPr>
            </w:pPr>
          </w:p>
        </w:tc>
      </w:tr>
      <w:tr w:rsidR="00012390" w:rsidRPr="00806A43">
        <w:trPr>
          <w:trHeight w:hRule="exact" w:val="369"/>
          <w:jc w:val="center"/>
        </w:trPr>
        <w:tc>
          <w:tcPr>
            <w:tcW w:w="1423" w:type="dxa"/>
          </w:tcPr>
          <w:p w:rsidR="00012390" w:rsidRPr="00806A43" w:rsidRDefault="00012390">
            <w:pPr>
              <w:ind w:right="-29"/>
              <w:jc w:val="center"/>
              <w:rPr>
                <w:noProof/>
                <w:sz w:val="18"/>
                <w:szCs w:val="18"/>
              </w:rPr>
            </w:pPr>
            <w:r w:rsidRPr="00806A43">
              <w:rPr>
                <w:noProof/>
                <w:sz w:val="18"/>
              </w:rPr>
              <w:t>- Réalisation</w:t>
            </w:r>
          </w:p>
        </w:tc>
        <w:tc>
          <w:tcPr>
            <w:tcW w:w="720" w:type="dxa"/>
          </w:tcPr>
          <w:p w:rsidR="00012390" w:rsidRPr="00806A43" w:rsidRDefault="00012390">
            <w:pPr>
              <w:ind w:right="-29"/>
              <w:jc w:val="center"/>
              <w:rPr>
                <w:noProof/>
                <w:sz w:val="18"/>
                <w:szCs w:val="18"/>
              </w:rPr>
            </w:pPr>
          </w:p>
        </w:tc>
        <w:tc>
          <w:tcPr>
            <w:tcW w:w="701" w:type="dxa"/>
          </w:tcPr>
          <w:p w:rsidR="00012390" w:rsidRPr="00806A43" w:rsidRDefault="00012390">
            <w:pPr>
              <w:ind w:right="-29"/>
              <w:jc w:val="center"/>
              <w:rPr>
                <w:noProof/>
                <w:sz w:val="18"/>
                <w:szCs w:val="18"/>
              </w:rPr>
            </w:pPr>
          </w:p>
        </w:tc>
        <w:tc>
          <w:tcPr>
            <w:tcW w:w="504"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c>
          <w:tcPr>
            <w:tcW w:w="720" w:type="dxa"/>
            <w:gridSpan w:val="2"/>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648" w:type="dxa"/>
          </w:tcPr>
          <w:p w:rsidR="00012390" w:rsidRPr="00806A43" w:rsidRDefault="00012390">
            <w:pPr>
              <w:ind w:right="-29"/>
              <w:jc w:val="center"/>
              <w:rPr>
                <w:noProof/>
                <w:sz w:val="18"/>
                <w:szCs w:val="18"/>
              </w:rPr>
            </w:pPr>
          </w:p>
        </w:tc>
        <w:tc>
          <w:tcPr>
            <w:tcW w:w="432"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54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720" w:type="dxa"/>
          </w:tcPr>
          <w:p w:rsidR="00012390" w:rsidRPr="00806A43" w:rsidRDefault="00012390">
            <w:pPr>
              <w:ind w:right="-29"/>
              <w:jc w:val="center"/>
              <w:rPr>
                <w:noProof/>
                <w:sz w:val="18"/>
                <w:szCs w:val="18"/>
              </w:rPr>
            </w:pPr>
          </w:p>
        </w:tc>
        <w:tc>
          <w:tcPr>
            <w:tcW w:w="900" w:type="dxa"/>
          </w:tcPr>
          <w:p w:rsidR="00012390" w:rsidRPr="00806A43" w:rsidRDefault="00012390">
            <w:pPr>
              <w:ind w:right="-29"/>
              <w:jc w:val="center"/>
              <w:rPr>
                <w:noProof/>
                <w:sz w:val="18"/>
                <w:szCs w:val="18"/>
              </w:rPr>
            </w:pPr>
          </w:p>
        </w:tc>
      </w:tr>
      <w:tr w:rsidR="00012390" w:rsidRPr="00806A43">
        <w:trPr>
          <w:jc w:val="center"/>
        </w:trPr>
        <w:tc>
          <w:tcPr>
            <w:tcW w:w="2844" w:type="dxa"/>
            <w:gridSpan w:val="3"/>
            <w:tcBorders>
              <w:bottom w:val="single" w:sz="12" w:space="0" w:color="auto"/>
            </w:tcBorders>
            <w:vAlign w:val="center"/>
          </w:tcPr>
          <w:p w:rsidR="00012390" w:rsidRPr="00806A43" w:rsidRDefault="00012390">
            <w:pPr>
              <w:jc w:val="center"/>
              <w:rPr>
                <w:noProof/>
                <w:sz w:val="18"/>
                <w:szCs w:val="18"/>
              </w:rPr>
            </w:pPr>
            <w:r w:rsidRPr="00806A43">
              <w:rPr>
                <w:noProof/>
                <w:sz w:val="18"/>
              </w:rPr>
              <w:t>Sous-total objectif spécifique nº 2</w:t>
            </w:r>
          </w:p>
        </w:tc>
        <w:tc>
          <w:tcPr>
            <w:tcW w:w="504"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951" w:type="dxa"/>
            <w:gridSpan w:val="2"/>
            <w:tcBorders>
              <w:bottom w:val="single" w:sz="12" w:space="0" w:color="auto"/>
            </w:tcBorders>
          </w:tcPr>
          <w:p w:rsidR="00012390" w:rsidRPr="00806A43" w:rsidRDefault="00012390">
            <w:pPr>
              <w:ind w:right="-29"/>
              <w:jc w:val="center"/>
              <w:rPr>
                <w:noProof/>
                <w:sz w:val="18"/>
                <w:szCs w:val="18"/>
              </w:rPr>
            </w:pPr>
          </w:p>
        </w:tc>
        <w:tc>
          <w:tcPr>
            <w:tcW w:w="669" w:type="dxa"/>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648" w:type="dxa"/>
            <w:tcBorders>
              <w:bottom w:val="single" w:sz="12" w:space="0" w:color="auto"/>
            </w:tcBorders>
          </w:tcPr>
          <w:p w:rsidR="00012390" w:rsidRPr="00806A43" w:rsidRDefault="00012390">
            <w:pPr>
              <w:ind w:right="-29"/>
              <w:jc w:val="center"/>
              <w:rPr>
                <w:noProof/>
                <w:sz w:val="18"/>
                <w:szCs w:val="18"/>
              </w:rPr>
            </w:pPr>
          </w:p>
        </w:tc>
        <w:tc>
          <w:tcPr>
            <w:tcW w:w="432"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54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720" w:type="dxa"/>
            <w:tcBorders>
              <w:bottom w:val="single" w:sz="12" w:space="0" w:color="auto"/>
            </w:tcBorders>
          </w:tcPr>
          <w:p w:rsidR="00012390" w:rsidRPr="00806A43" w:rsidRDefault="00012390">
            <w:pPr>
              <w:ind w:right="-29"/>
              <w:jc w:val="center"/>
              <w:rPr>
                <w:noProof/>
                <w:sz w:val="18"/>
                <w:szCs w:val="18"/>
              </w:rPr>
            </w:pPr>
          </w:p>
        </w:tc>
        <w:tc>
          <w:tcPr>
            <w:tcW w:w="900" w:type="dxa"/>
            <w:tcBorders>
              <w:bottom w:val="single" w:sz="12" w:space="0" w:color="auto"/>
            </w:tcBorders>
          </w:tcPr>
          <w:p w:rsidR="00012390" w:rsidRPr="00806A43" w:rsidRDefault="00012390">
            <w:pPr>
              <w:ind w:right="-29"/>
              <w:jc w:val="center"/>
              <w:rPr>
                <w:noProof/>
                <w:sz w:val="18"/>
                <w:szCs w:val="18"/>
              </w:rPr>
            </w:pPr>
          </w:p>
        </w:tc>
      </w:tr>
      <w:tr w:rsidR="00012390" w:rsidRPr="00806A43">
        <w:trPr>
          <w:jc w:val="center"/>
        </w:trPr>
        <w:tc>
          <w:tcPr>
            <w:tcW w:w="2844" w:type="dxa"/>
            <w:gridSpan w:val="3"/>
            <w:tcBorders>
              <w:top w:val="single" w:sz="12" w:space="0" w:color="auto"/>
              <w:left w:val="single" w:sz="12" w:space="0" w:color="auto"/>
              <w:bottom w:val="single" w:sz="12" w:space="0" w:color="auto"/>
            </w:tcBorders>
            <w:vAlign w:val="center"/>
          </w:tcPr>
          <w:p w:rsidR="00012390" w:rsidRPr="00806A43" w:rsidRDefault="00012390">
            <w:pPr>
              <w:ind w:right="-29"/>
              <w:jc w:val="center"/>
              <w:rPr>
                <w:noProof/>
                <w:sz w:val="18"/>
                <w:szCs w:val="18"/>
              </w:rPr>
            </w:pPr>
            <w:r w:rsidRPr="00806A43">
              <w:rPr>
                <w:b/>
                <w:noProof/>
                <w:sz w:val="18"/>
              </w:rPr>
              <w:t>TOTAUX</w:t>
            </w:r>
          </w:p>
        </w:tc>
        <w:tc>
          <w:tcPr>
            <w:tcW w:w="504"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90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648"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432"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54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720" w:type="dxa"/>
            <w:tcBorders>
              <w:top w:val="single" w:sz="12" w:space="0" w:color="auto"/>
              <w:bottom w:val="single" w:sz="12" w:space="0" w:color="auto"/>
            </w:tcBorders>
          </w:tcPr>
          <w:p w:rsidR="00012390" w:rsidRPr="00806A43" w:rsidRDefault="00012390">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012390" w:rsidRPr="00806A43" w:rsidRDefault="00012390">
            <w:pPr>
              <w:spacing w:before="180" w:after="180"/>
              <w:ind w:right="-29"/>
              <w:jc w:val="center"/>
              <w:rPr>
                <w:noProof/>
                <w:sz w:val="18"/>
                <w:szCs w:val="18"/>
              </w:rPr>
            </w:pPr>
          </w:p>
        </w:tc>
      </w:tr>
    </w:tbl>
    <w:p w:rsidR="00012390" w:rsidRPr="00806A43" w:rsidRDefault="00012390" w:rsidP="00012390">
      <w:pPr>
        <w:rPr>
          <w:noProof/>
        </w:rPr>
        <w:sectPr w:rsidR="00012390" w:rsidRPr="00806A43" w:rsidSect="00771ED9">
          <w:headerReference w:type="default" r:id="rId19"/>
          <w:footerReference w:type="default" r:id="rId20"/>
          <w:pgSz w:w="16840" w:h="11907" w:orient="landscape" w:code="9"/>
          <w:pgMar w:top="1134" w:right="1418" w:bottom="567" w:left="1418" w:header="709" w:footer="709" w:gutter="0"/>
          <w:cols w:space="708"/>
          <w:docGrid w:linePitch="360"/>
        </w:sectPr>
      </w:pPr>
    </w:p>
    <w:p w:rsidR="00012390" w:rsidRPr="00806A43" w:rsidRDefault="00012390" w:rsidP="00012390">
      <w:pPr>
        <w:pStyle w:val="ManualHeading3"/>
        <w:rPr>
          <w:bCs/>
          <w:noProof/>
          <w:szCs w:val="24"/>
        </w:rPr>
      </w:pPr>
      <w:bookmarkStart w:id="144" w:name="_Toc514938055"/>
      <w:bookmarkStart w:id="145" w:name="_Toc520485054"/>
      <w:bookmarkStart w:id="146" w:name="_Toc160804598"/>
      <w:bookmarkStart w:id="147" w:name="_Toc167220290"/>
      <w:bookmarkStart w:id="148" w:name="_Toc177549023"/>
      <w:r w:rsidRPr="00806A43">
        <w:rPr>
          <w:noProof/>
        </w:rPr>
        <w:t>3.2.3.</w:t>
      </w:r>
      <w:r w:rsidRPr="00806A43">
        <w:rPr>
          <w:noProof/>
        </w:rPr>
        <w:tab/>
        <w:t>Synthèse de l’incidence estimée sur les crédits administratifs</w:t>
      </w:r>
      <w:bookmarkEnd w:id="144"/>
      <w:bookmarkEnd w:id="145"/>
      <w:bookmarkEnd w:id="146"/>
      <w:bookmarkEnd w:id="147"/>
      <w:bookmarkEnd w:id="148"/>
      <w:r w:rsidRPr="00806A43">
        <w:rPr>
          <w:noProof/>
        </w:rPr>
        <w:t xml:space="preserve"> </w:t>
      </w:r>
    </w:p>
    <w:p w:rsidR="00012390" w:rsidRPr="00806A43" w:rsidRDefault="00012390" w:rsidP="00012390">
      <w:pPr>
        <w:pStyle w:val="ListDash1"/>
        <w:rPr>
          <w:noProof/>
        </w:rPr>
      </w:pPr>
      <w:r w:rsidRPr="00806A43">
        <w:rPr>
          <w:rFonts w:ascii="Wingdings" w:hAnsi="Wingdings"/>
          <w:noProof/>
        </w:rPr>
        <w:t></w:t>
      </w:r>
      <w:r w:rsidRPr="00806A43">
        <w:rPr>
          <w:noProof/>
        </w:rPr>
        <w:tab/>
        <w:t xml:space="preserve">La proposition/l’initiative n’engendre pas l’utilisation de crédits de nature administrative </w:t>
      </w:r>
    </w:p>
    <w:p w:rsidR="00012390" w:rsidRPr="00806A43" w:rsidRDefault="00012390" w:rsidP="00012390">
      <w:pPr>
        <w:pStyle w:val="ListDash1"/>
        <w:rPr>
          <w:noProof/>
        </w:rPr>
      </w:pPr>
      <w:r w:rsidRPr="00806A43">
        <w:rPr>
          <w:rFonts w:ascii="Wingdings" w:hAnsi="Wingdings"/>
          <w:noProof/>
        </w:rPr>
        <w:t></w:t>
      </w:r>
      <w:r w:rsidRPr="00806A43">
        <w:rPr>
          <w:noProof/>
        </w:rPr>
        <w:tab/>
        <w:t>La proposition/l’initiative engendre l’utilisation de crédits de nature administrative, comme expliqué ci-après:</w:t>
      </w:r>
    </w:p>
    <w:p w:rsidR="00012390" w:rsidRPr="00806A43" w:rsidRDefault="00012390" w:rsidP="00012390">
      <w:pPr>
        <w:pStyle w:val="ManualHeading3"/>
        <w:rPr>
          <w:noProof/>
        </w:rPr>
      </w:pPr>
      <w:bookmarkStart w:id="149" w:name="_Toc167220291"/>
      <w:bookmarkStart w:id="150" w:name="_Toc177549024"/>
      <w:r w:rsidRPr="00806A43">
        <w:rPr>
          <w:noProof/>
        </w:rPr>
        <w:t>3.2.3.1. Crédits issus du budget voté</w:t>
      </w:r>
      <w:bookmarkEnd w:id="149"/>
      <w:bookmarkEnd w:id="150"/>
    </w:p>
    <w:tbl>
      <w:tblPr>
        <w:tblW w:w="5000" w:type="pct"/>
        <w:tblLook w:val="04A0" w:firstRow="1" w:lastRow="0" w:firstColumn="1" w:lastColumn="0" w:noHBand="0" w:noVBand="1"/>
      </w:tblPr>
      <w:tblGrid>
        <w:gridCol w:w="3994"/>
        <w:gridCol w:w="995"/>
        <w:gridCol w:w="996"/>
        <w:gridCol w:w="996"/>
        <w:gridCol w:w="996"/>
        <w:gridCol w:w="1312"/>
      </w:tblGrid>
      <w:tr w:rsidR="00012390" w:rsidRPr="00806A43">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CRÉDITS VOTÉS</w:t>
            </w:r>
          </w:p>
        </w:tc>
        <w:tc>
          <w:tcPr>
            <w:tcW w:w="55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single" w:sz="8" w:space="0" w:color="auto"/>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TOTAL 2021-2027</w:t>
            </w:r>
          </w:p>
        </w:tc>
      </w:tr>
      <w:tr w:rsidR="00012390" w:rsidRPr="00806A43">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2024</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2025</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2026</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RUBRIQUE 7</w:t>
            </w:r>
          </w:p>
        </w:tc>
      </w:tr>
      <w:tr w:rsidR="002A2D2A" w:rsidRPr="00806A43">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Hors RUBRIQUE 7</w:t>
            </w:r>
          </w:p>
        </w:tc>
      </w:tr>
      <w:tr w:rsidR="002A2D2A" w:rsidRPr="00806A43">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012390" w:rsidRPr="00806A43" w:rsidRDefault="00012390">
            <w:pPr>
              <w:spacing w:before="0" w:after="0"/>
              <w:jc w:val="center"/>
              <w:rPr>
                <w:noProof/>
                <w:color w:val="000000"/>
                <w:sz w:val="16"/>
                <w:szCs w:val="16"/>
              </w:rPr>
            </w:pPr>
            <w:r w:rsidRPr="00806A43">
              <w:rPr>
                <w:noProof/>
                <w:color w:val="000000"/>
                <w:sz w:val="16"/>
              </w:rPr>
              <w:t xml:space="preserve"> </w:t>
            </w:r>
          </w:p>
        </w:tc>
      </w:tr>
      <w:tr w:rsidR="002A2D2A" w:rsidRPr="00806A43">
        <w:trPr>
          <w:trHeight w:val="300"/>
        </w:trPr>
        <w:tc>
          <w:tcPr>
            <w:tcW w:w="2167"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TOTAL</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bl>
    <w:p w:rsidR="00012390" w:rsidRPr="00806A43" w:rsidRDefault="00012390" w:rsidP="00920910">
      <w:pPr>
        <w:pStyle w:val="ManualHeading3"/>
        <w:spacing w:after="40"/>
        <w:rPr>
          <w:noProof/>
        </w:rPr>
      </w:pPr>
      <w:bookmarkStart w:id="151" w:name="_Toc167220292"/>
      <w:bookmarkStart w:id="152" w:name="_Toc177549025"/>
      <w:r w:rsidRPr="00806A43">
        <w:rPr>
          <w:noProof/>
        </w:rPr>
        <w:t>3.2.3.2.</w:t>
      </w:r>
      <w:r w:rsidRPr="00806A43">
        <w:rPr>
          <w:noProof/>
        </w:rPr>
        <w:tab/>
        <w:t>Crédits issus de recettes affectées externes</w:t>
      </w:r>
      <w:bookmarkEnd w:id="151"/>
      <w:bookmarkEnd w:id="152"/>
    </w:p>
    <w:tbl>
      <w:tblPr>
        <w:tblW w:w="5000" w:type="pct"/>
        <w:tblLook w:val="04A0" w:firstRow="1" w:lastRow="0" w:firstColumn="1" w:lastColumn="0" w:noHBand="0" w:noVBand="1"/>
      </w:tblPr>
      <w:tblGrid>
        <w:gridCol w:w="3993"/>
        <w:gridCol w:w="996"/>
        <w:gridCol w:w="996"/>
        <w:gridCol w:w="996"/>
        <w:gridCol w:w="996"/>
        <w:gridCol w:w="1312"/>
      </w:tblGrid>
      <w:tr w:rsidR="00012390" w:rsidRPr="00806A43">
        <w:trPr>
          <w:trHeight w:val="300"/>
        </w:trPr>
        <w:tc>
          <w:tcPr>
            <w:tcW w:w="2166"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RECETTES AFFECTÉES EXTERNES</w:t>
            </w:r>
          </w:p>
        </w:tc>
        <w:tc>
          <w:tcPr>
            <w:tcW w:w="553"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553"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622" w:type="pct"/>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TOTAL 2021-2027</w:t>
            </w:r>
          </w:p>
        </w:tc>
      </w:tr>
      <w:tr w:rsidR="00012390" w:rsidRPr="00806A43">
        <w:trPr>
          <w:trHeight w:val="300"/>
        </w:trPr>
        <w:tc>
          <w:tcPr>
            <w:tcW w:w="2166"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2024</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2025</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2026</w:t>
            </w:r>
          </w:p>
        </w:tc>
        <w:tc>
          <w:tcPr>
            <w:tcW w:w="553"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RUBRIQUE 7</w:t>
            </w:r>
          </w:p>
        </w:tc>
      </w:tr>
      <w:tr w:rsidR="002A2D2A" w:rsidRPr="00806A43">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Autres dépenses administratives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RUBRIQUE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Hors RUBRIQUE 7</w:t>
            </w:r>
          </w:p>
        </w:tc>
      </w:tr>
      <w:tr w:rsidR="002A2D2A" w:rsidRPr="00806A43">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2166" w:type="pc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Autres dépenses de nature administrative</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2166" w:type="pct"/>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hors RUBRIQUE 7</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012390" w:rsidRPr="00806A43" w:rsidRDefault="00012390">
            <w:pPr>
              <w:spacing w:before="0" w:after="0"/>
              <w:jc w:val="center"/>
              <w:rPr>
                <w:noProof/>
                <w:color w:val="000000"/>
                <w:sz w:val="16"/>
                <w:szCs w:val="16"/>
              </w:rPr>
            </w:pPr>
            <w:r w:rsidRPr="00806A43">
              <w:rPr>
                <w:noProof/>
                <w:color w:val="000000"/>
                <w:sz w:val="16"/>
              </w:rPr>
              <w:t xml:space="preserve"> </w:t>
            </w:r>
          </w:p>
        </w:tc>
      </w:tr>
      <w:tr w:rsidR="002A2D2A" w:rsidRPr="00806A43">
        <w:trPr>
          <w:trHeight w:val="312"/>
        </w:trPr>
        <w:tc>
          <w:tcPr>
            <w:tcW w:w="2166" w:type="pct"/>
            <w:tcBorders>
              <w:top w:val="single" w:sz="12" w:space="0" w:color="auto"/>
              <w:left w:val="single" w:sz="12" w:space="0" w:color="auto"/>
              <w:bottom w:val="single" w:sz="12" w:space="0" w:color="auto"/>
              <w:right w:val="single" w:sz="8" w:space="0" w:color="auto"/>
            </w:tcBorders>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TOTAL</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553" w:type="pct"/>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622" w:type="pct"/>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bl>
    <w:p w:rsidR="00012390" w:rsidRPr="00806A43" w:rsidRDefault="00012390" w:rsidP="00012390">
      <w:pPr>
        <w:pStyle w:val="ManualHeading3"/>
        <w:rPr>
          <w:noProof/>
        </w:rPr>
      </w:pPr>
      <w:bookmarkStart w:id="153" w:name="_Toc167220293"/>
      <w:bookmarkStart w:id="154" w:name="_Toc177549026"/>
      <w:r w:rsidRPr="00806A43">
        <w:rPr>
          <w:noProof/>
        </w:rPr>
        <w:t>3.2.3.3.</w:t>
      </w:r>
      <w:r w:rsidRPr="00806A43">
        <w:rPr>
          <w:noProof/>
        </w:rPr>
        <w:tab/>
        <w:t>Total des crédits</w:t>
      </w:r>
      <w:bookmarkEnd w:id="153"/>
      <w:bookmarkEnd w:id="154"/>
    </w:p>
    <w:tbl>
      <w:tblPr>
        <w:tblW w:w="8680" w:type="dxa"/>
        <w:tblLook w:val="04A0" w:firstRow="1" w:lastRow="0" w:firstColumn="1" w:lastColumn="0" w:noHBand="0" w:noVBand="1"/>
      </w:tblPr>
      <w:tblGrid>
        <w:gridCol w:w="3685"/>
        <w:gridCol w:w="932"/>
        <w:gridCol w:w="925"/>
        <w:gridCol w:w="918"/>
        <w:gridCol w:w="912"/>
        <w:gridCol w:w="1312"/>
      </w:tblGrid>
      <w:tr w:rsidR="00012390" w:rsidRPr="00806A43">
        <w:trPr>
          <w:trHeight w:val="519"/>
        </w:trPr>
        <w:tc>
          <w:tcPr>
            <w:tcW w:w="376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TOTAL</w:t>
            </w:r>
            <w:r w:rsidRPr="00806A43">
              <w:rPr>
                <w:noProof/>
              </w:rPr>
              <w:t xml:space="preserve"> </w:t>
            </w:r>
            <w:r w:rsidRPr="00806A43">
              <w:rPr>
                <w:noProof/>
              </w:rPr>
              <w:br/>
            </w:r>
            <w:r w:rsidRPr="00806A43">
              <w:rPr>
                <w:b/>
                <w:noProof/>
                <w:color w:val="000000"/>
                <w:sz w:val="18"/>
              </w:rPr>
              <w:t>CRÉDITS VOTÉS                            +                                                               RECETTES AFFECTÉES EXTERNES</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18"/>
                <w:szCs w:val="18"/>
              </w:rPr>
            </w:pPr>
            <w:r w:rsidRPr="00806A43">
              <w:rPr>
                <w:noProof/>
                <w:color w:val="000000"/>
                <w:sz w:val="18"/>
              </w:rPr>
              <w:t>Année</w:t>
            </w:r>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TOTAL 2021-2027</w:t>
            </w:r>
          </w:p>
        </w:tc>
      </w:tr>
      <w:tr w:rsidR="00012390" w:rsidRPr="00806A43">
        <w:trPr>
          <w:trHeight w:val="519"/>
        </w:trPr>
        <w:tc>
          <w:tcPr>
            <w:tcW w:w="3760" w:type="dxa"/>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2024</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2025</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2026</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2027</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b/>
                <w:bCs/>
                <w:noProof/>
                <w:color w:val="000000"/>
                <w:sz w:val="18"/>
                <w:szCs w:val="18"/>
                <w:lang w:eastAsia="en-IE"/>
              </w:rPr>
            </w:pPr>
          </w:p>
        </w:tc>
      </w:tr>
      <w:tr w:rsidR="00012390" w:rsidRPr="00806A43">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RUBRIQUE 7</w:t>
            </w:r>
          </w:p>
        </w:tc>
      </w:tr>
      <w:tr w:rsidR="002A2D2A" w:rsidRPr="00806A43">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Autres dépenses administratives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RUBRIQUE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8680" w:type="dxa"/>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b/>
                <w:bCs/>
                <w:noProof/>
                <w:sz w:val="16"/>
                <w:szCs w:val="16"/>
              </w:rPr>
            </w:pPr>
            <w:r w:rsidRPr="00806A43">
              <w:rPr>
                <w:b/>
                <w:noProof/>
                <w:sz w:val="16"/>
              </w:rPr>
              <w:t>Hors RUBRIQUE 7</w:t>
            </w:r>
          </w:p>
        </w:tc>
      </w:tr>
      <w:tr w:rsidR="002A2D2A" w:rsidRPr="00806A43">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 xml:space="preserve">Ressources humaines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2A2D2A" w:rsidRPr="00806A43">
        <w:trPr>
          <w:trHeight w:val="300"/>
        </w:trPr>
        <w:tc>
          <w:tcPr>
            <w:tcW w:w="3760" w:type="dxa"/>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rPr>
            </w:pPr>
            <w:r w:rsidRPr="00806A43">
              <w:rPr>
                <w:noProof/>
                <w:color w:val="000000"/>
                <w:sz w:val="16"/>
              </w:rPr>
              <w:t>Autres dépenses de nature administrative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noProof/>
                <w:color w:val="000000"/>
                <w:sz w:val="16"/>
                <w:szCs w:val="16"/>
              </w:rPr>
            </w:pPr>
            <w:r w:rsidRPr="00806A43">
              <w:rPr>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3760" w:type="dxa"/>
            <w:tcBorders>
              <w:top w:val="nil"/>
              <w:left w:val="single" w:sz="8" w:space="0" w:color="auto"/>
              <w:bottom w:val="single" w:sz="8" w:space="0" w:color="auto"/>
              <w:right w:val="single" w:sz="8" w:space="0" w:color="auto"/>
            </w:tcBorders>
            <w:shd w:val="clear" w:color="000000" w:fill="CCCCCC"/>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Sous-total hors RUBRIQUE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108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r w:rsidR="00012390" w:rsidRPr="00806A43">
        <w:trPr>
          <w:trHeight w:val="300"/>
        </w:trPr>
        <w:tc>
          <w:tcPr>
            <w:tcW w:w="8680" w:type="dxa"/>
            <w:gridSpan w:val="6"/>
            <w:tcBorders>
              <w:top w:val="single" w:sz="8" w:space="0" w:color="auto"/>
              <w:left w:val="single" w:sz="8" w:space="0" w:color="auto"/>
              <w:bottom w:val="single" w:sz="8" w:space="0" w:color="auto"/>
              <w:right w:val="single" w:sz="4" w:space="0" w:color="auto"/>
            </w:tcBorders>
            <w:noWrap/>
            <w:vAlign w:val="center"/>
            <w:hideMark/>
          </w:tcPr>
          <w:p w:rsidR="00012390" w:rsidRPr="00806A43" w:rsidRDefault="00012390">
            <w:pPr>
              <w:spacing w:before="0" w:after="0"/>
              <w:jc w:val="center"/>
              <w:rPr>
                <w:noProof/>
                <w:color w:val="000000"/>
                <w:sz w:val="16"/>
                <w:szCs w:val="16"/>
              </w:rPr>
            </w:pPr>
            <w:r w:rsidRPr="00806A43">
              <w:rPr>
                <w:noProof/>
                <w:color w:val="000000"/>
                <w:sz w:val="16"/>
              </w:rPr>
              <w:t xml:space="preserve"> </w:t>
            </w:r>
          </w:p>
        </w:tc>
      </w:tr>
      <w:tr w:rsidR="002A2D2A" w:rsidRPr="00806A43">
        <w:trPr>
          <w:trHeight w:val="312"/>
        </w:trPr>
        <w:tc>
          <w:tcPr>
            <w:tcW w:w="3760" w:type="dxa"/>
            <w:tcBorders>
              <w:top w:val="single" w:sz="12" w:space="0" w:color="auto"/>
              <w:left w:val="single" w:sz="12" w:space="0" w:color="auto"/>
              <w:bottom w:val="single" w:sz="12" w:space="0" w:color="auto"/>
              <w:right w:val="single" w:sz="8" w:space="0" w:color="auto"/>
            </w:tcBorders>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TOTAL</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960" w:type="dxa"/>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c>
          <w:tcPr>
            <w:tcW w:w="1080" w:type="dxa"/>
            <w:tcBorders>
              <w:top w:val="single" w:sz="12" w:space="0" w:color="auto"/>
              <w:left w:val="nil"/>
              <w:bottom w:val="single" w:sz="12" w:space="0" w:color="auto"/>
              <w:right w:val="single" w:sz="8" w:space="0" w:color="auto"/>
            </w:tcBorders>
            <w:shd w:val="clear" w:color="000000" w:fill="D9D9D9"/>
            <w:vAlign w:val="center"/>
            <w:hideMark/>
          </w:tcPr>
          <w:p w:rsidR="00012390" w:rsidRPr="00806A43" w:rsidRDefault="00012390">
            <w:pPr>
              <w:spacing w:before="0" w:after="0"/>
              <w:jc w:val="right"/>
              <w:rPr>
                <w:b/>
                <w:bCs/>
                <w:noProof/>
                <w:color w:val="000000"/>
                <w:sz w:val="16"/>
                <w:szCs w:val="16"/>
              </w:rPr>
            </w:pPr>
            <w:r w:rsidRPr="00806A43">
              <w:rPr>
                <w:b/>
                <w:noProof/>
                <w:color w:val="000000"/>
                <w:sz w:val="16"/>
              </w:rPr>
              <w:t>0,000</w:t>
            </w:r>
          </w:p>
        </w:tc>
      </w:tr>
    </w:tbl>
    <w:p w:rsidR="00012390" w:rsidRPr="00806A43" w:rsidRDefault="00012390" w:rsidP="00012390">
      <w:pPr>
        <w:rPr>
          <w:noProof/>
          <w:sz w:val="22"/>
          <w:szCs w:val="28"/>
        </w:rPr>
      </w:pPr>
      <w:r w:rsidRPr="00806A43">
        <w:rPr>
          <w:noProof/>
          <w:sz w:val="22"/>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rsidR="00012390" w:rsidRPr="00806A43" w:rsidRDefault="00012390" w:rsidP="00012390">
      <w:pPr>
        <w:pStyle w:val="ManualHeading3"/>
        <w:rPr>
          <w:bCs/>
          <w:noProof/>
          <w:szCs w:val="24"/>
        </w:rPr>
      </w:pPr>
      <w:bookmarkStart w:id="155" w:name="_Toc167220294"/>
      <w:bookmarkStart w:id="156" w:name="_Toc177549027"/>
      <w:r w:rsidRPr="00806A43">
        <w:rPr>
          <w:noProof/>
        </w:rPr>
        <w:t>3.2.4.</w:t>
      </w:r>
      <w:r w:rsidRPr="00806A43">
        <w:rPr>
          <w:noProof/>
        </w:rPr>
        <w:tab/>
        <w:t>Besoins estimés en ressources humaines</w:t>
      </w:r>
      <w:bookmarkEnd w:id="155"/>
      <w:bookmarkEnd w:id="156"/>
      <w:r w:rsidRPr="00806A43">
        <w:rPr>
          <w:noProof/>
        </w:rPr>
        <w:t xml:space="preserve"> </w:t>
      </w:r>
    </w:p>
    <w:p w:rsidR="00012390" w:rsidRPr="00806A43" w:rsidRDefault="00012390" w:rsidP="00012390">
      <w:pPr>
        <w:pStyle w:val="ListDash1"/>
        <w:rPr>
          <w:noProof/>
        </w:rPr>
      </w:pPr>
      <w:r w:rsidRPr="00806A43">
        <w:rPr>
          <w:rFonts w:ascii="Wingdings" w:hAnsi="Wingdings"/>
          <w:noProof/>
        </w:rPr>
        <w:t></w:t>
      </w:r>
      <w:r w:rsidRPr="00806A43">
        <w:rPr>
          <w:noProof/>
        </w:rPr>
        <w:tab/>
        <w:t xml:space="preserve">La proposition/l’initiative n’engendre pas l’utilisation de ressources humaines </w:t>
      </w:r>
    </w:p>
    <w:p w:rsidR="00012390" w:rsidRPr="00806A43" w:rsidRDefault="00012390" w:rsidP="00012390">
      <w:pPr>
        <w:pStyle w:val="ListDash1"/>
        <w:rPr>
          <w:noProof/>
        </w:rPr>
      </w:pPr>
      <w:r w:rsidRPr="00806A43">
        <w:rPr>
          <w:rFonts w:ascii="Wingdings" w:hAnsi="Wingdings"/>
          <w:noProof/>
        </w:rPr>
        <w:t></w:t>
      </w:r>
      <w:r w:rsidRPr="00806A43">
        <w:rPr>
          <w:noProof/>
        </w:rPr>
        <w:tab/>
        <w:t>La proposition/l’initiative engendre l’utilisation de ressources humaines, comme expliqué ci-après:</w:t>
      </w:r>
    </w:p>
    <w:p w:rsidR="00012390" w:rsidRPr="00806A43" w:rsidRDefault="00012390" w:rsidP="00012390">
      <w:pPr>
        <w:pStyle w:val="ManualHeading3"/>
        <w:rPr>
          <w:noProof/>
        </w:rPr>
      </w:pPr>
      <w:bookmarkStart w:id="157" w:name="_Toc167220295"/>
      <w:bookmarkStart w:id="158" w:name="_Toc177549028"/>
      <w:r w:rsidRPr="00806A43">
        <w:rPr>
          <w:noProof/>
        </w:rPr>
        <w:t>3.2.4.1.</w:t>
      </w:r>
      <w:r w:rsidRPr="00806A43">
        <w:rPr>
          <w:noProof/>
        </w:rPr>
        <w:tab/>
        <w:t>Financement sur le budget voté</w:t>
      </w:r>
      <w:bookmarkEnd w:id="157"/>
      <w:bookmarkEnd w:id="158"/>
    </w:p>
    <w:p w:rsidR="00012390" w:rsidRPr="00806A43" w:rsidRDefault="00012390" w:rsidP="00012390">
      <w:pPr>
        <w:spacing w:after="60"/>
        <w:jc w:val="right"/>
        <w:rPr>
          <w:i/>
          <w:noProof/>
          <w:sz w:val="20"/>
        </w:rPr>
      </w:pPr>
      <w:r w:rsidRPr="00806A43">
        <w:rPr>
          <w:i/>
          <w:noProof/>
          <w:sz w:val="20"/>
        </w:rPr>
        <w:t>Estimation à exprimer en équivalents temps plein (ETP)</w:t>
      </w:r>
    </w:p>
    <w:p w:rsidR="00012390" w:rsidRPr="00806A43" w:rsidRDefault="00012390" w:rsidP="00920910">
      <w:pPr>
        <w:pStyle w:val="Text1"/>
        <w:spacing w:before="60" w:after="60"/>
        <w:ind w:left="-142"/>
        <w:rPr>
          <w:noProof/>
        </w:rPr>
      </w:pPr>
      <w:bookmarkStart w:id="159" w:name="_Hlk156979231"/>
    </w:p>
    <w:tbl>
      <w:tblPr>
        <w:tblW w:w="5000" w:type="pct"/>
        <w:tblLook w:val="04A0" w:firstRow="1" w:lastRow="0" w:firstColumn="1" w:lastColumn="0" w:noHBand="0" w:noVBand="1"/>
      </w:tblPr>
      <w:tblGrid>
        <w:gridCol w:w="1513"/>
        <w:gridCol w:w="3898"/>
        <w:gridCol w:w="970"/>
        <w:gridCol w:w="970"/>
        <w:gridCol w:w="970"/>
        <w:gridCol w:w="968"/>
      </w:tblGrid>
      <w:tr w:rsidR="00012390" w:rsidRPr="00806A43">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CRÉDITS VOTÉS</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r>
      <w:tr w:rsidR="00012390" w:rsidRPr="00806A43">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012390" w:rsidRPr="00806A43" w:rsidRDefault="0001239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Wingdings" w:hAnsi="Wingdings"/>
                <w:b/>
                <w:noProof/>
                <w:color w:val="000000"/>
                <w:sz w:val="16"/>
              </w:rPr>
              <w:t></w:t>
            </w:r>
            <w:r w:rsidRPr="00806A43">
              <w:rPr>
                <w:b/>
                <w:noProof/>
                <w:color w:val="000000"/>
                <w:sz w:val="16"/>
              </w:rPr>
              <w:t xml:space="preserve"> Emplois du tableau des effectifs (fonctionnaires et agents temporaires)</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20 01 02 01</w:t>
            </w:r>
            <w:r w:rsidRPr="00806A43">
              <w:rPr>
                <w:rFonts w:ascii="Arial Narrow" w:hAnsi="Arial Narrow"/>
                <w:noProof/>
                <w:color w:val="000000"/>
                <w:sz w:val="20"/>
              </w:rPr>
              <w:t xml:space="preserve"> </w:t>
            </w:r>
            <w:r w:rsidRPr="00806A43">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01 01 01 01</w:t>
            </w:r>
            <w:r w:rsidRPr="00806A43">
              <w:rPr>
                <w:rFonts w:ascii="Arial Narrow" w:hAnsi="Arial Narrow"/>
                <w:noProof/>
                <w:color w:val="000000"/>
                <w:sz w:val="20"/>
              </w:rPr>
              <w:t xml:space="preserve"> </w:t>
            </w:r>
            <w:r w:rsidRPr="00806A43">
              <w:rPr>
                <w:noProof/>
                <w:color w:val="000000"/>
                <w:sz w:val="16"/>
              </w:rPr>
              <w:t xml:space="preserve">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Calibri" w:hAnsi="Calibri"/>
                <w:b/>
                <w:noProof/>
                <w:color w:val="000000"/>
                <w:sz w:val="16"/>
              </w:rPr>
              <w:t>•</w:t>
            </w:r>
            <w:r w:rsidRPr="00806A43">
              <w:rPr>
                <w:b/>
                <w:noProof/>
                <w:color w:val="000000"/>
                <w:sz w:val="16"/>
              </w:rPr>
              <w:t xml:space="preserve"> Personnel externe (en ETP)</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20 02 01</w:t>
            </w:r>
            <w:r w:rsidRPr="00806A43">
              <w:rPr>
                <w:rFonts w:ascii="Arial Narrow" w:hAnsi="Arial Narrow"/>
                <w:noProof/>
                <w:color w:val="000000"/>
                <w:sz w:val="20"/>
              </w:rPr>
              <w:t xml:space="preserve"> </w:t>
            </w:r>
            <w:r w:rsidRPr="00806A43">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 w:val="16"/>
                <w:szCs w:val="16"/>
              </w:rPr>
            </w:pPr>
            <w:r w:rsidRPr="00806A43">
              <w:rPr>
                <w:noProof/>
                <w:color w:val="000000"/>
                <w:sz w:val="16"/>
              </w:rPr>
              <w:t>Ligne d’appui administratif</w:t>
            </w:r>
            <w:r w:rsidRPr="00806A43">
              <w:rPr>
                <w:noProof/>
              </w:rPr>
              <w:t xml:space="preserve"> </w:t>
            </w:r>
            <w:r w:rsidRPr="00806A43">
              <w:rPr>
                <w:noProof/>
              </w:rPr>
              <w:br/>
            </w:r>
            <w:r w:rsidRPr="00806A43">
              <w:rPr>
                <w:noProof/>
                <w:color w:val="000000"/>
                <w:sz w:val="16"/>
              </w:rPr>
              <w:t>[XX.01.YY.YY]</w:t>
            </w:r>
          </w:p>
        </w:tc>
        <w:tc>
          <w:tcPr>
            <w:tcW w:w="2098" w:type="pct"/>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815" w:type="pct"/>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01 01 01 02</w:t>
            </w:r>
            <w:r w:rsidRPr="00806A43">
              <w:rPr>
                <w:rFonts w:ascii="Arial Narrow" w:hAnsi="Arial Narrow"/>
                <w:noProof/>
                <w:color w:val="000000"/>
                <w:sz w:val="20"/>
              </w:rPr>
              <w:t xml:space="preserve"> </w:t>
            </w:r>
            <w:r w:rsidRPr="00806A43">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b/>
                <w:bCs/>
                <w:noProof/>
                <w:color w:val="000000"/>
                <w:sz w:val="16"/>
                <w:szCs w:val="16"/>
              </w:rPr>
            </w:pPr>
            <w:r w:rsidRPr="00806A43">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r>
    </w:tbl>
    <w:p w:rsidR="00012390" w:rsidRPr="00806A43" w:rsidRDefault="00012390" w:rsidP="00E87201">
      <w:pPr>
        <w:pStyle w:val="ManualHeading3"/>
        <w:rPr>
          <w:noProof/>
        </w:rPr>
      </w:pPr>
      <w:bookmarkStart w:id="160" w:name="_Toc167220296"/>
      <w:bookmarkStart w:id="161" w:name="_Toc177549029"/>
      <w:r w:rsidRPr="00806A43">
        <w:rPr>
          <w:noProof/>
        </w:rPr>
        <w:t>3.2.4.2.</w:t>
      </w:r>
      <w:r w:rsidRPr="00806A43">
        <w:rPr>
          <w:noProof/>
        </w:rPr>
        <w:tab/>
        <w:t>Financement par des recettes affectées externes</w:t>
      </w:r>
      <w:bookmarkEnd w:id="160"/>
      <w:bookmarkEnd w:id="161"/>
    </w:p>
    <w:tbl>
      <w:tblPr>
        <w:tblW w:w="5000" w:type="pct"/>
        <w:tblLook w:val="04A0" w:firstRow="1" w:lastRow="0" w:firstColumn="1" w:lastColumn="0" w:noHBand="0" w:noVBand="1"/>
      </w:tblPr>
      <w:tblGrid>
        <w:gridCol w:w="1513"/>
        <w:gridCol w:w="3898"/>
        <w:gridCol w:w="970"/>
        <w:gridCol w:w="970"/>
        <w:gridCol w:w="970"/>
        <w:gridCol w:w="968"/>
      </w:tblGrid>
      <w:tr w:rsidR="00012390" w:rsidRPr="00806A43">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RECETTES AFFECTÉES EXTERNES</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522" w:type="pct"/>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r>
      <w:tr w:rsidR="00012390" w:rsidRPr="00806A43">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012390" w:rsidRPr="00806A43" w:rsidRDefault="00012390">
            <w:pPr>
              <w:spacing w:before="0" w:after="0"/>
              <w:jc w:val="left"/>
              <w:rPr>
                <w:b/>
                <w:bCs/>
                <w:noProof/>
                <w:color w:val="000000"/>
                <w:sz w:val="18"/>
                <w:szCs w:val="18"/>
                <w:lang w:eastAsia="en-IE"/>
              </w:rPr>
            </w:pP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522" w:type="pct"/>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Wingdings" w:hAnsi="Wingdings"/>
                <w:b/>
                <w:noProof/>
                <w:color w:val="000000"/>
                <w:sz w:val="16"/>
              </w:rPr>
              <w:t></w:t>
            </w:r>
            <w:r w:rsidRPr="00806A43">
              <w:rPr>
                <w:b/>
                <w:noProof/>
                <w:color w:val="000000"/>
                <w:sz w:val="16"/>
              </w:rPr>
              <w:t xml:space="preserve"> Emplois du tableau des effectifs (fonctionnaires et agents temporaires)</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20 01 02 01</w:t>
            </w:r>
            <w:r w:rsidRPr="00806A43">
              <w:rPr>
                <w:rFonts w:ascii="Arial Narrow" w:hAnsi="Arial Narrow"/>
                <w:noProof/>
                <w:color w:val="000000"/>
                <w:sz w:val="20"/>
              </w:rPr>
              <w:t xml:space="preserve"> </w:t>
            </w:r>
            <w:r w:rsidRPr="00806A43">
              <w:rPr>
                <w:noProof/>
                <w:color w:val="000000"/>
                <w:sz w:val="16"/>
              </w:rPr>
              <w:t>(Au siège et dans les bureaux de représentation de la Commission)</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03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01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11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Calibri" w:hAnsi="Calibri"/>
                <w:b/>
                <w:noProof/>
                <w:color w:val="000000"/>
                <w:sz w:val="16"/>
              </w:rPr>
              <w:t>•</w:t>
            </w:r>
            <w:r w:rsidRPr="00806A43">
              <w:rPr>
                <w:b/>
                <w:noProof/>
                <w:color w:val="000000"/>
                <w:sz w:val="16"/>
              </w:rPr>
              <w:t xml:space="preserve"> Personnel externe (en équivalents temps plein)</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20 02 01</w:t>
            </w:r>
            <w:r w:rsidRPr="00806A43">
              <w:rPr>
                <w:rFonts w:ascii="Arial Narrow" w:hAnsi="Arial Narrow"/>
                <w:noProof/>
                <w:color w:val="000000"/>
                <w:sz w:val="20"/>
              </w:rPr>
              <w:t xml:space="preserve"> </w:t>
            </w:r>
            <w:r w:rsidRPr="00806A43">
              <w:rPr>
                <w:noProof/>
                <w:color w:val="000000"/>
                <w:sz w:val="16"/>
              </w:rPr>
              <w:t>(AC, END de l’«enveloppe globale»)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03 (AC, AL, END et JPD dans les délégations de l’UE)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 w:val="16"/>
                <w:szCs w:val="16"/>
              </w:rPr>
            </w:pPr>
            <w:r w:rsidRPr="00806A43">
              <w:rPr>
                <w:noProof/>
                <w:color w:val="000000"/>
                <w:sz w:val="16"/>
              </w:rPr>
              <w:t xml:space="preserve">Ligne d’appui administratif </w:t>
            </w:r>
            <w:r w:rsidRPr="00806A43">
              <w:rPr>
                <w:noProof/>
              </w:rPr>
              <w:t xml:space="preserve"> </w:t>
            </w:r>
            <w:r w:rsidRPr="00806A43">
              <w:rPr>
                <w:noProof/>
              </w:rPr>
              <w:br/>
            </w:r>
            <w:r w:rsidRPr="00806A43">
              <w:rPr>
                <w:noProof/>
                <w:color w:val="000000"/>
                <w:sz w:val="16"/>
              </w:rPr>
              <w:t>[XX.01.YY.YY]</w:t>
            </w:r>
          </w:p>
        </w:tc>
        <w:tc>
          <w:tcPr>
            <w:tcW w:w="2098" w:type="pct"/>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au siège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815" w:type="pct"/>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lang w:eastAsia="en-IE"/>
              </w:rPr>
            </w:pPr>
          </w:p>
        </w:tc>
        <w:tc>
          <w:tcPr>
            <w:tcW w:w="2098" w:type="pct"/>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dans les délégations de l’UE </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01 01 01 02</w:t>
            </w:r>
            <w:r w:rsidRPr="00806A43">
              <w:rPr>
                <w:rFonts w:ascii="Arial Narrow" w:hAnsi="Arial Narrow"/>
                <w:noProof/>
                <w:color w:val="000000"/>
                <w:sz w:val="20"/>
              </w:rPr>
              <w:t xml:space="preserve"> </w:t>
            </w:r>
            <w:r w:rsidRPr="00806A43">
              <w:rPr>
                <w:noProof/>
                <w:color w:val="000000"/>
                <w:sz w:val="16"/>
              </w:rPr>
              <w:t>(AC, END - Recherche indirecte)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01 01 01 12 (AC, END - Recherche directe)</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Rubrique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Hors rubrique 7</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b/>
                <w:bCs/>
                <w:noProof/>
                <w:color w:val="000000"/>
                <w:sz w:val="16"/>
                <w:szCs w:val="16"/>
              </w:rPr>
            </w:pPr>
            <w:r w:rsidRPr="00806A43">
              <w:rPr>
                <w:b/>
                <w:noProof/>
                <w:color w:val="000000"/>
                <w:sz w:val="16"/>
              </w:rPr>
              <w:t>TOTAL</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522" w:type="pct"/>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r>
    </w:tbl>
    <w:p w:rsidR="00012390" w:rsidRPr="00806A43" w:rsidRDefault="00012390" w:rsidP="00012390">
      <w:pPr>
        <w:pStyle w:val="ManualHeading3"/>
        <w:rPr>
          <w:noProof/>
        </w:rPr>
      </w:pPr>
      <w:bookmarkStart w:id="162" w:name="_Toc167220297"/>
      <w:bookmarkStart w:id="163" w:name="_Toc177549030"/>
      <w:r w:rsidRPr="00806A43">
        <w:rPr>
          <w:noProof/>
        </w:rPr>
        <w:t>3.2.4.3.</w:t>
      </w:r>
      <w:r w:rsidRPr="00806A43">
        <w:rPr>
          <w:noProof/>
        </w:rPr>
        <w:tab/>
        <w:t>Total des besoins en ressources humaines</w:t>
      </w:r>
      <w:bookmarkEnd w:id="162"/>
      <w:bookmarkEnd w:id="163"/>
    </w:p>
    <w:tbl>
      <w:tblPr>
        <w:tblW w:w="9200" w:type="dxa"/>
        <w:tblLook w:val="04A0" w:firstRow="1" w:lastRow="0" w:firstColumn="1" w:lastColumn="0" w:noHBand="0" w:noVBand="1"/>
      </w:tblPr>
      <w:tblGrid>
        <w:gridCol w:w="1500"/>
        <w:gridCol w:w="3860"/>
        <w:gridCol w:w="960"/>
        <w:gridCol w:w="960"/>
        <w:gridCol w:w="960"/>
        <w:gridCol w:w="960"/>
      </w:tblGrid>
      <w:tr w:rsidR="00012390" w:rsidRPr="00806A43">
        <w:trPr>
          <w:trHeight w:val="492"/>
        </w:trPr>
        <w:tc>
          <w:tcPr>
            <w:tcW w:w="5360" w:type="dxa"/>
            <w:gridSpan w:val="2"/>
            <w:vMerge w:val="restart"/>
            <w:tcBorders>
              <w:top w:val="single" w:sz="8" w:space="0" w:color="auto"/>
              <w:left w:val="single" w:sz="8" w:space="0" w:color="auto"/>
              <w:bottom w:val="single" w:sz="8" w:space="0" w:color="000000"/>
              <w:right w:val="single" w:sz="8" w:space="0" w:color="000000"/>
            </w:tcBorders>
            <w:vAlign w:val="center"/>
            <w:hideMark/>
          </w:tcPr>
          <w:p w:rsidR="00012390" w:rsidRPr="00806A43" w:rsidRDefault="00012390">
            <w:pPr>
              <w:spacing w:before="0" w:after="0"/>
              <w:jc w:val="center"/>
              <w:rPr>
                <w:b/>
                <w:bCs/>
                <w:noProof/>
                <w:color w:val="000000"/>
                <w:sz w:val="18"/>
                <w:szCs w:val="18"/>
              </w:rPr>
            </w:pPr>
            <w:r w:rsidRPr="00806A43">
              <w:rPr>
                <w:b/>
                <w:noProof/>
                <w:color w:val="000000"/>
                <w:sz w:val="18"/>
              </w:rPr>
              <w:t>TOTAL CRÉDITS VOTÉS + RECETTES AFFECTÉES EXTERNES</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c>
          <w:tcPr>
            <w:tcW w:w="960" w:type="dxa"/>
            <w:tcBorders>
              <w:top w:val="single" w:sz="8" w:space="0" w:color="auto"/>
              <w:left w:val="nil"/>
              <w:bottom w:val="nil"/>
              <w:right w:val="single" w:sz="8" w:space="0" w:color="auto"/>
            </w:tcBorders>
            <w:vAlign w:val="center"/>
            <w:hideMark/>
          </w:tcPr>
          <w:p w:rsidR="00012390" w:rsidRPr="00806A43" w:rsidRDefault="00012390">
            <w:pPr>
              <w:spacing w:before="0" w:after="0"/>
              <w:jc w:val="center"/>
              <w:rPr>
                <w:noProof/>
                <w:color w:val="000000"/>
                <w:sz w:val="20"/>
                <w:szCs w:val="20"/>
              </w:rPr>
            </w:pPr>
            <w:r w:rsidRPr="00806A43">
              <w:rPr>
                <w:noProof/>
                <w:color w:val="000000"/>
                <w:sz w:val="20"/>
              </w:rPr>
              <w:t>Année</w:t>
            </w:r>
          </w:p>
        </w:tc>
      </w:tr>
      <w:tr w:rsidR="00012390" w:rsidRPr="00806A43">
        <w:trPr>
          <w:trHeight w:val="492"/>
        </w:trPr>
        <w:tc>
          <w:tcPr>
            <w:tcW w:w="5360" w:type="dxa"/>
            <w:gridSpan w:val="2"/>
            <w:vMerge/>
            <w:tcBorders>
              <w:top w:val="single" w:sz="8" w:space="0" w:color="auto"/>
              <w:left w:val="single" w:sz="8" w:space="0" w:color="auto"/>
              <w:bottom w:val="single" w:sz="8" w:space="0" w:color="auto"/>
              <w:right w:val="single" w:sz="8" w:space="0" w:color="000000"/>
            </w:tcBorders>
            <w:vAlign w:val="center"/>
            <w:hideMark/>
          </w:tcPr>
          <w:p w:rsidR="00012390" w:rsidRPr="00806A43" w:rsidRDefault="00012390">
            <w:pPr>
              <w:spacing w:before="0" w:after="0"/>
              <w:jc w:val="left"/>
              <w:rPr>
                <w:b/>
                <w:bCs/>
                <w:noProof/>
                <w:color w:val="000000"/>
                <w:sz w:val="18"/>
                <w:szCs w:val="18"/>
                <w:lang w:eastAsia="en-IE"/>
              </w:rPr>
            </w:pP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2024</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2025</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2026</w:t>
            </w:r>
          </w:p>
        </w:tc>
        <w:tc>
          <w:tcPr>
            <w:tcW w:w="960" w:type="dxa"/>
            <w:tcBorders>
              <w:top w:val="nil"/>
              <w:left w:val="nil"/>
              <w:bottom w:val="single" w:sz="8" w:space="0" w:color="auto"/>
              <w:right w:val="single" w:sz="8" w:space="0" w:color="auto"/>
            </w:tcBorders>
            <w:vAlign w:val="center"/>
            <w:hideMark/>
          </w:tcPr>
          <w:p w:rsidR="00012390" w:rsidRPr="00806A43" w:rsidRDefault="00012390">
            <w:pPr>
              <w:spacing w:before="0" w:after="0"/>
              <w:jc w:val="center"/>
              <w:rPr>
                <w:b/>
                <w:bCs/>
                <w:noProof/>
                <w:color w:val="000000"/>
                <w:sz w:val="20"/>
                <w:szCs w:val="20"/>
              </w:rPr>
            </w:pPr>
            <w:r w:rsidRPr="00806A43">
              <w:rPr>
                <w:b/>
                <w:noProof/>
                <w:color w:val="000000"/>
                <w:sz w:val="20"/>
              </w:rPr>
              <w:t>2027</w:t>
            </w:r>
          </w:p>
        </w:tc>
      </w:tr>
      <w:tr w:rsidR="00012390" w:rsidRPr="00806A43">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Wingdings" w:hAnsi="Wingdings"/>
                <w:b/>
                <w:noProof/>
                <w:color w:val="000000"/>
                <w:sz w:val="16"/>
              </w:rPr>
              <w:t></w:t>
            </w:r>
            <w:r w:rsidRPr="00806A43">
              <w:rPr>
                <w:b/>
                <w:noProof/>
                <w:color w:val="000000"/>
                <w:sz w:val="16"/>
              </w:rPr>
              <w:t xml:space="preserve"> Emplois du tableau des effectifs (fonctionnaires et agents temporaires)</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20 01 02 01</w:t>
            </w:r>
            <w:r w:rsidRPr="00806A43">
              <w:rPr>
                <w:rFonts w:ascii="Arial Narrow" w:hAnsi="Arial Narrow"/>
                <w:noProof/>
                <w:color w:val="000000"/>
                <w:sz w:val="20"/>
              </w:rPr>
              <w:t xml:space="preserve"> </w:t>
            </w:r>
            <w:r w:rsidRPr="00806A43">
              <w:rPr>
                <w:noProof/>
                <w:color w:val="000000"/>
                <w:sz w:val="16"/>
              </w:rPr>
              <w:t>(Au siège et dans les bureaux de représentation de la Commission)</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01 02 03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01 01 01 01</w:t>
            </w:r>
            <w:r w:rsidRPr="00806A43">
              <w:rPr>
                <w:rFonts w:ascii="Arial Narrow" w:hAnsi="Arial Narrow"/>
                <w:noProof/>
                <w:color w:val="000000"/>
                <w:sz w:val="20"/>
              </w:rPr>
              <w:t xml:space="preserve"> </w:t>
            </w:r>
            <w:r w:rsidRPr="00806A43">
              <w:rPr>
                <w:noProof/>
                <w:color w:val="000000"/>
                <w:sz w:val="16"/>
              </w:rPr>
              <w:t xml:space="preserve"> (Recherche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11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9200" w:type="dxa"/>
            <w:gridSpan w:val="6"/>
            <w:tcBorders>
              <w:top w:val="single" w:sz="8" w:space="0" w:color="auto"/>
              <w:left w:val="single" w:sz="8" w:space="0" w:color="auto"/>
              <w:bottom w:val="single" w:sz="8" w:space="0" w:color="auto"/>
              <w:right w:val="single" w:sz="4" w:space="0" w:color="auto"/>
            </w:tcBorders>
            <w:vAlign w:val="center"/>
            <w:hideMark/>
          </w:tcPr>
          <w:p w:rsidR="00012390" w:rsidRPr="00806A43" w:rsidRDefault="00012390">
            <w:pPr>
              <w:spacing w:before="0" w:after="0"/>
              <w:jc w:val="left"/>
              <w:rPr>
                <w:rFonts w:ascii="Wingdings" w:hAnsi="Wingdings" w:cs="Calibri"/>
                <w:b/>
                <w:bCs/>
                <w:noProof/>
                <w:color w:val="000000"/>
                <w:sz w:val="16"/>
                <w:szCs w:val="16"/>
              </w:rPr>
            </w:pPr>
            <w:r w:rsidRPr="00806A43">
              <w:rPr>
                <w:rFonts w:ascii="Calibri" w:hAnsi="Calibri"/>
                <w:b/>
                <w:noProof/>
                <w:color w:val="000000"/>
                <w:sz w:val="16"/>
              </w:rPr>
              <w:t>•</w:t>
            </w:r>
            <w:r w:rsidRPr="00806A43">
              <w:rPr>
                <w:b/>
                <w:noProof/>
                <w:color w:val="000000"/>
                <w:sz w:val="16"/>
              </w:rPr>
              <w:t xml:space="preserve"> Personnel externe (en équivalents temps plein)</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20 02 01</w:t>
            </w:r>
            <w:r w:rsidRPr="00806A43">
              <w:rPr>
                <w:rFonts w:ascii="Arial Narrow" w:hAnsi="Arial Narrow"/>
                <w:noProof/>
                <w:color w:val="000000"/>
                <w:sz w:val="20"/>
              </w:rPr>
              <w:t xml:space="preserve"> </w:t>
            </w:r>
            <w:r w:rsidRPr="00806A43">
              <w:rPr>
                <w:noProof/>
                <w:color w:val="000000"/>
                <w:sz w:val="16"/>
              </w:rPr>
              <w:t>(AC, END de l’«enveloppe globale»)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20 02 03 (AC, AL, END et JPD dans les délégations de l’UE)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1500" w:type="dxa"/>
            <w:vMerge w:val="restart"/>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center"/>
              <w:rPr>
                <w:noProof/>
                <w:color w:val="000000"/>
                <w:sz w:val="16"/>
                <w:szCs w:val="16"/>
              </w:rPr>
            </w:pPr>
            <w:r w:rsidRPr="00806A43">
              <w:rPr>
                <w:noProof/>
                <w:color w:val="000000"/>
                <w:sz w:val="16"/>
              </w:rPr>
              <w:t xml:space="preserve">Ligne d’appui administratif </w:t>
            </w:r>
            <w:r w:rsidRPr="00806A43">
              <w:rPr>
                <w:noProof/>
              </w:rPr>
              <w:t xml:space="preserve"> </w:t>
            </w:r>
            <w:r w:rsidRPr="00806A43">
              <w:rPr>
                <w:noProof/>
              </w:rPr>
              <w:br/>
            </w:r>
            <w:r w:rsidRPr="00806A43">
              <w:rPr>
                <w:noProof/>
                <w:color w:val="000000"/>
                <w:sz w:val="16"/>
              </w:rPr>
              <w:t>[XX.01.YY.YY]</w:t>
            </w:r>
          </w:p>
        </w:tc>
        <w:tc>
          <w:tcPr>
            <w:tcW w:w="3860" w:type="dxa"/>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au siège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2A2D2A" w:rsidRPr="00806A43">
        <w:trPr>
          <w:trHeight w:val="300"/>
        </w:trPr>
        <w:tc>
          <w:tcPr>
            <w:tcW w:w="1500" w:type="dxa"/>
            <w:vMerge/>
            <w:tcBorders>
              <w:top w:val="nil"/>
              <w:left w:val="single" w:sz="8" w:space="0" w:color="auto"/>
              <w:bottom w:val="single" w:sz="8" w:space="0" w:color="auto"/>
              <w:right w:val="single" w:sz="8" w:space="0" w:color="auto"/>
            </w:tcBorders>
            <w:vAlign w:val="center"/>
            <w:hideMark/>
          </w:tcPr>
          <w:p w:rsidR="00012390" w:rsidRPr="00806A43" w:rsidRDefault="00012390">
            <w:pPr>
              <w:spacing w:before="0" w:after="0"/>
              <w:jc w:val="left"/>
              <w:rPr>
                <w:noProof/>
                <w:color w:val="000000"/>
                <w:sz w:val="16"/>
                <w:szCs w:val="16"/>
                <w:lang w:eastAsia="en-IE"/>
              </w:rPr>
            </w:pPr>
          </w:p>
        </w:tc>
        <w:tc>
          <w:tcPr>
            <w:tcW w:w="3860" w:type="dxa"/>
            <w:tcBorders>
              <w:top w:val="nil"/>
              <w:left w:val="nil"/>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dans les délégations de l’UE </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01 01 01 02</w:t>
            </w:r>
            <w:r w:rsidRPr="00806A43">
              <w:rPr>
                <w:rFonts w:ascii="Arial Narrow" w:hAnsi="Arial Narrow"/>
                <w:noProof/>
                <w:color w:val="000000"/>
                <w:sz w:val="20"/>
              </w:rPr>
              <w:t xml:space="preserve"> </w:t>
            </w:r>
            <w:r w:rsidRPr="00806A43">
              <w:rPr>
                <w:noProof/>
                <w:color w:val="000000"/>
                <w:sz w:val="16"/>
              </w:rPr>
              <w:t>(AC, END - Recherche indirecte)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 xml:space="preserve"> 01 01 01 12 (AC, END - Recherche directe)</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Rubrique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noProof/>
                <w:color w:val="000000"/>
                <w:sz w:val="16"/>
                <w:szCs w:val="16"/>
              </w:rPr>
            </w:pPr>
            <w:r w:rsidRPr="00806A43">
              <w:rPr>
                <w:noProof/>
                <w:color w:val="000000"/>
                <w:sz w:val="16"/>
              </w:rPr>
              <w:t>Autres lignes budgétaires (à préciser) - Hors rubrique 7</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noProof/>
                <w:color w:val="000000"/>
                <w:sz w:val="16"/>
                <w:szCs w:val="16"/>
              </w:rPr>
            </w:pPr>
            <w:r w:rsidRPr="00806A43">
              <w:rPr>
                <w:noProof/>
                <w:color w:val="000000"/>
                <w:sz w:val="16"/>
              </w:rPr>
              <w:t>0</w:t>
            </w:r>
          </w:p>
        </w:tc>
      </w:tr>
      <w:tr w:rsidR="00012390" w:rsidRPr="00806A43">
        <w:trPr>
          <w:trHeight w:val="300"/>
        </w:trPr>
        <w:tc>
          <w:tcPr>
            <w:tcW w:w="5360" w:type="dxa"/>
            <w:gridSpan w:val="2"/>
            <w:tcBorders>
              <w:top w:val="single" w:sz="8" w:space="0" w:color="auto"/>
              <w:left w:val="single" w:sz="8" w:space="0" w:color="auto"/>
              <w:bottom w:val="single" w:sz="8" w:space="0" w:color="auto"/>
              <w:right w:val="single" w:sz="8" w:space="0" w:color="auto"/>
            </w:tcBorders>
            <w:vAlign w:val="center"/>
            <w:hideMark/>
          </w:tcPr>
          <w:p w:rsidR="00012390" w:rsidRPr="00806A43" w:rsidRDefault="00012390">
            <w:pPr>
              <w:spacing w:before="0" w:after="0"/>
              <w:ind w:firstLineChars="100" w:firstLine="160"/>
              <w:jc w:val="left"/>
              <w:rPr>
                <w:b/>
                <w:bCs/>
                <w:noProof/>
                <w:color w:val="000000"/>
                <w:sz w:val="16"/>
                <w:szCs w:val="16"/>
              </w:rPr>
            </w:pPr>
            <w:r w:rsidRPr="00806A43">
              <w:rPr>
                <w:b/>
                <w:noProof/>
                <w:color w:val="000000"/>
                <w:sz w:val="16"/>
              </w:rPr>
              <w:t>TOTAL</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c>
          <w:tcPr>
            <w:tcW w:w="960" w:type="dxa"/>
            <w:tcBorders>
              <w:top w:val="nil"/>
              <w:left w:val="nil"/>
              <w:bottom w:val="single" w:sz="8" w:space="0" w:color="auto"/>
              <w:right w:val="single" w:sz="8" w:space="0" w:color="auto"/>
            </w:tcBorders>
            <w:shd w:val="clear" w:color="000000" w:fill="D9D9D9"/>
            <w:vAlign w:val="center"/>
            <w:hideMark/>
          </w:tcPr>
          <w:p w:rsidR="00012390" w:rsidRPr="00806A43" w:rsidRDefault="00012390">
            <w:pPr>
              <w:spacing w:before="0" w:after="0"/>
              <w:jc w:val="center"/>
              <w:rPr>
                <w:b/>
                <w:bCs/>
                <w:noProof/>
                <w:color w:val="000000"/>
                <w:sz w:val="16"/>
                <w:szCs w:val="16"/>
              </w:rPr>
            </w:pPr>
            <w:r w:rsidRPr="00806A43">
              <w:rPr>
                <w:b/>
                <w:noProof/>
                <w:color w:val="000000"/>
                <w:sz w:val="16"/>
              </w:rPr>
              <w:t>0</w:t>
            </w:r>
          </w:p>
        </w:tc>
      </w:tr>
    </w:tbl>
    <w:p w:rsidR="00012390" w:rsidRPr="00806A43" w:rsidRDefault="00012390" w:rsidP="00920910">
      <w:pPr>
        <w:pStyle w:val="Text1"/>
        <w:rPr>
          <w:noProof/>
          <w:color w:val="000000" w:themeColor="text1"/>
        </w:rPr>
      </w:pPr>
      <w:bookmarkStart w:id="164" w:name="_Hlk167692843"/>
      <w:bookmarkEnd w:id="159"/>
      <w:r w:rsidRPr="00806A43">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012390" w:rsidRPr="00806A43">
        <w:trPr>
          <w:trHeight w:val="300"/>
        </w:trPr>
        <w:tc>
          <w:tcPr>
            <w:tcW w:w="1845" w:type="dxa"/>
          </w:tcPr>
          <w:p w:rsidR="00012390" w:rsidRPr="00806A43" w:rsidRDefault="00012390">
            <w:pPr>
              <w:pStyle w:val="Text1"/>
              <w:ind w:left="0"/>
              <w:jc w:val="center"/>
              <w:rPr>
                <w:b/>
                <w:bCs/>
                <w:noProof/>
                <w:sz w:val="22"/>
                <w:szCs w:val="28"/>
              </w:rPr>
            </w:pPr>
          </w:p>
        </w:tc>
        <w:tc>
          <w:tcPr>
            <w:tcW w:w="2031" w:type="dxa"/>
          </w:tcPr>
          <w:p w:rsidR="00012390" w:rsidRPr="00806A43" w:rsidRDefault="00012390">
            <w:pPr>
              <w:pStyle w:val="Text1"/>
              <w:ind w:left="0"/>
              <w:jc w:val="center"/>
              <w:rPr>
                <w:b/>
                <w:bCs/>
                <w:noProof/>
                <w:sz w:val="22"/>
              </w:rPr>
            </w:pPr>
            <w:r w:rsidRPr="00806A43">
              <w:rPr>
                <w:b/>
                <w:noProof/>
                <w:sz w:val="22"/>
              </w:rPr>
              <w:t xml:space="preserve">À couvrir par le personnel actuellement disponible dans les services de la Commission </w:t>
            </w:r>
          </w:p>
        </w:tc>
        <w:tc>
          <w:tcPr>
            <w:tcW w:w="5611" w:type="dxa"/>
            <w:gridSpan w:val="3"/>
          </w:tcPr>
          <w:p w:rsidR="00012390" w:rsidRPr="00806A43" w:rsidRDefault="00012390">
            <w:pPr>
              <w:pStyle w:val="Text1"/>
              <w:ind w:left="0"/>
              <w:jc w:val="center"/>
              <w:rPr>
                <w:b/>
                <w:bCs/>
                <w:noProof/>
                <w:sz w:val="22"/>
              </w:rPr>
            </w:pPr>
            <w:r w:rsidRPr="00806A43">
              <w:rPr>
                <w:b/>
                <w:noProof/>
                <w:sz w:val="22"/>
              </w:rPr>
              <w:t>Personnel supplémentaire exceptionnel*</w:t>
            </w:r>
          </w:p>
        </w:tc>
      </w:tr>
      <w:tr w:rsidR="00012390" w:rsidRPr="00806A43">
        <w:trPr>
          <w:trHeight w:val="300"/>
        </w:trPr>
        <w:tc>
          <w:tcPr>
            <w:tcW w:w="1845" w:type="dxa"/>
          </w:tcPr>
          <w:p w:rsidR="00012390" w:rsidRPr="00806A43" w:rsidRDefault="00012390">
            <w:pPr>
              <w:pStyle w:val="Text1"/>
              <w:ind w:left="0"/>
              <w:jc w:val="center"/>
              <w:rPr>
                <w:b/>
                <w:bCs/>
                <w:noProof/>
                <w:sz w:val="22"/>
                <w:szCs w:val="28"/>
              </w:rPr>
            </w:pPr>
          </w:p>
        </w:tc>
        <w:tc>
          <w:tcPr>
            <w:tcW w:w="2031" w:type="dxa"/>
          </w:tcPr>
          <w:p w:rsidR="00012390" w:rsidRPr="00806A43" w:rsidRDefault="00012390">
            <w:pPr>
              <w:pStyle w:val="Text1"/>
              <w:ind w:left="0"/>
              <w:jc w:val="center"/>
              <w:rPr>
                <w:b/>
                <w:bCs/>
                <w:noProof/>
                <w:sz w:val="22"/>
                <w:szCs w:val="28"/>
              </w:rPr>
            </w:pPr>
          </w:p>
        </w:tc>
        <w:tc>
          <w:tcPr>
            <w:tcW w:w="1925" w:type="dxa"/>
          </w:tcPr>
          <w:p w:rsidR="00012390" w:rsidRPr="00806A43" w:rsidRDefault="00012390">
            <w:pPr>
              <w:pStyle w:val="Text1"/>
              <w:ind w:left="0"/>
              <w:jc w:val="center"/>
              <w:rPr>
                <w:b/>
                <w:bCs/>
                <w:noProof/>
                <w:sz w:val="22"/>
              </w:rPr>
            </w:pPr>
            <w:r w:rsidRPr="00806A43">
              <w:rPr>
                <w:b/>
                <w:noProof/>
                <w:sz w:val="22"/>
              </w:rPr>
              <w:t>À financer sur la rubrique 7 ou la recherche</w:t>
            </w:r>
          </w:p>
        </w:tc>
        <w:tc>
          <w:tcPr>
            <w:tcW w:w="1938" w:type="dxa"/>
          </w:tcPr>
          <w:p w:rsidR="00012390" w:rsidRPr="00806A43" w:rsidRDefault="00012390">
            <w:pPr>
              <w:pStyle w:val="Text1"/>
              <w:ind w:left="0"/>
              <w:jc w:val="center"/>
              <w:rPr>
                <w:b/>
                <w:bCs/>
                <w:noProof/>
                <w:sz w:val="22"/>
                <w:szCs w:val="28"/>
              </w:rPr>
            </w:pPr>
            <w:r w:rsidRPr="00806A43">
              <w:rPr>
                <w:b/>
                <w:noProof/>
                <w:sz w:val="22"/>
              </w:rPr>
              <w:t>À financer sur la ligne BA</w:t>
            </w:r>
          </w:p>
        </w:tc>
        <w:tc>
          <w:tcPr>
            <w:tcW w:w="1748" w:type="dxa"/>
          </w:tcPr>
          <w:p w:rsidR="00012390" w:rsidRPr="00806A43" w:rsidRDefault="00012390">
            <w:pPr>
              <w:pStyle w:val="Text1"/>
              <w:ind w:left="0"/>
              <w:jc w:val="center"/>
              <w:rPr>
                <w:b/>
                <w:bCs/>
                <w:noProof/>
                <w:sz w:val="22"/>
                <w:szCs w:val="28"/>
              </w:rPr>
            </w:pPr>
            <w:r w:rsidRPr="00806A43">
              <w:rPr>
                <w:b/>
                <w:noProof/>
                <w:sz w:val="22"/>
              </w:rPr>
              <w:t>À financer sur les redevances</w:t>
            </w:r>
          </w:p>
        </w:tc>
      </w:tr>
      <w:tr w:rsidR="00012390" w:rsidRPr="00806A43">
        <w:trPr>
          <w:trHeight w:val="300"/>
        </w:trPr>
        <w:tc>
          <w:tcPr>
            <w:tcW w:w="1845" w:type="dxa"/>
          </w:tcPr>
          <w:p w:rsidR="00012390" w:rsidRPr="00806A43" w:rsidRDefault="00012390">
            <w:pPr>
              <w:pStyle w:val="Text1"/>
              <w:ind w:left="0"/>
              <w:rPr>
                <w:noProof/>
                <w:sz w:val="22"/>
                <w:szCs w:val="28"/>
              </w:rPr>
            </w:pPr>
            <w:r w:rsidRPr="00806A43">
              <w:rPr>
                <w:noProof/>
                <w:sz w:val="22"/>
              </w:rPr>
              <w:t>Emplois du tableau des effectifs</w:t>
            </w:r>
          </w:p>
        </w:tc>
        <w:tc>
          <w:tcPr>
            <w:tcW w:w="2031" w:type="dxa"/>
          </w:tcPr>
          <w:p w:rsidR="00012390" w:rsidRPr="00806A43" w:rsidRDefault="00012390">
            <w:pPr>
              <w:pStyle w:val="Text1"/>
              <w:ind w:left="0"/>
              <w:rPr>
                <w:noProof/>
                <w:sz w:val="22"/>
                <w:szCs w:val="28"/>
              </w:rPr>
            </w:pPr>
          </w:p>
        </w:tc>
        <w:tc>
          <w:tcPr>
            <w:tcW w:w="1925" w:type="dxa"/>
          </w:tcPr>
          <w:p w:rsidR="00012390" w:rsidRPr="00806A43" w:rsidRDefault="00012390">
            <w:pPr>
              <w:pStyle w:val="Text1"/>
              <w:ind w:left="0"/>
              <w:rPr>
                <w:noProof/>
                <w:sz w:val="22"/>
                <w:szCs w:val="28"/>
              </w:rPr>
            </w:pPr>
          </w:p>
        </w:tc>
        <w:tc>
          <w:tcPr>
            <w:tcW w:w="1938" w:type="dxa"/>
          </w:tcPr>
          <w:p w:rsidR="00012390" w:rsidRPr="00806A43" w:rsidRDefault="00012390">
            <w:pPr>
              <w:pStyle w:val="Text1"/>
              <w:ind w:left="0"/>
              <w:rPr>
                <w:noProof/>
                <w:sz w:val="22"/>
                <w:szCs w:val="28"/>
              </w:rPr>
            </w:pPr>
            <w:r w:rsidRPr="00806A43">
              <w:rPr>
                <w:noProof/>
                <w:sz w:val="22"/>
              </w:rPr>
              <w:t>s.o.</w:t>
            </w:r>
          </w:p>
        </w:tc>
        <w:tc>
          <w:tcPr>
            <w:tcW w:w="1748" w:type="dxa"/>
          </w:tcPr>
          <w:p w:rsidR="00012390" w:rsidRPr="00806A43" w:rsidRDefault="00012390">
            <w:pPr>
              <w:pStyle w:val="Text1"/>
              <w:ind w:left="0"/>
              <w:rPr>
                <w:noProof/>
                <w:sz w:val="22"/>
                <w:szCs w:val="28"/>
              </w:rPr>
            </w:pPr>
          </w:p>
        </w:tc>
      </w:tr>
      <w:tr w:rsidR="00012390" w:rsidRPr="00806A43">
        <w:trPr>
          <w:trHeight w:val="300"/>
        </w:trPr>
        <w:tc>
          <w:tcPr>
            <w:tcW w:w="1845" w:type="dxa"/>
          </w:tcPr>
          <w:p w:rsidR="00012390" w:rsidRPr="00806A43" w:rsidRDefault="00012390">
            <w:pPr>
              <w:pStyle w:val="Text1"/>
              <w:ind w:left="0"/>
              <w:rPr>
                <w:noProof/>
                <w:sz w:val="22"/>
                <w:szCs w:val="28"/>
              </w:rPr>
            </w:pPr>
            <w:r w:rsidRPr="00806A43">
              <w:rPr>
                <w:noProof/>
                <w:sz w:val="22"/>
              </w:rPr>
              <w:t>Personnel externe (AC, END, INT)</w:t>
            </w:r>
          </w:p>
        </w:tc>
        <w:tc>
          <w:tcPr>
            <w:tcW w:w="2031" w:type="dxa"/>
          </w:tcPr>
          <w:p w:rsidR="00012390" w:rsidRPr="00806A43" w:rsidRDefault="00012390">
            <w:pPr>
              <w:pStyle w:val="Text1"/>
              <w:ind w:left="0"/>
              <w:rPr>
                <w:noProof/>
                <w:sz w:val="22"/>
                <w:szCs w:val="28"/>
              </w:rPr>
            </w:pPr>
          </w:p>
        </w:tc>
        <w:tc>
          <w:tcPr>
            <w:tcW w:w="1925" w:type="dxa"/>
          </w:tcPr>
          <w:p w:rsidR="00012390" w:rsidRPr="00806A43" w:rsidRDefault="00012390">
            <w:pPr>
              <w:pStyle w:val="Text1"/>
              <w:ind w:left="0"/>
              <w:rPr>
                <w:noProof/>
                <w:sz w:val="22"/>
                <w:szCs w:val="28"/>
              </w:rPr>
            </w:pPr>
          </w:p>
        </w:tc>
        <w:tc>
          <w:tcPr>
            <w:tcW w:w="1938" w:type="dxa"/>
          </w:tcPr>
          <w:p w:rsidR="00012390" w:rsidRPr="00806A43" w:rsidRDefault="00012390">
            <w:pPr>
              <w:pStyle w:val="Text1"/>
              <w:ind w:left="0"/>
              <w:rPr>
                <w:noProof/>
                <w:sz w:val="22"/>
                <w:szCs w:val="28"/>
              </w:rPr>
            </w:pPr>
          </w:p>
        </w:tc>
        <w:tc>
          <w:tcPr>
            <w:tcW w:w="1748" w:type="dxa"/>
          </w:tcPr>
          <w:p w:rsidR="00012390" w:rsidRPr="00806A43" w:rsidRDefault="00012390">
            <w:pPr>
              <w:pStyle w:val="Text1"/>
              <w:ind w:left="0"/>
              <w:rPr>
                <w:noProof/>
                <w:sz w:val="22"/>
                <w:szCs w:val="28"/>
              </w:rPr>
            </w:pPr>
          </w:p>
        </w:tc>
      </w:tr>
    </w:tbl>
    <w:p w:rsidR="00012390" w:rsidRPr="00806A43" w:rsidRDefault="00012390" w:rsidP="00920910">
      <w:pPr>
        <w:pStyle w:val="Text1"/>
        <w:rPr>
          <w:noProof/>
        </w:rPr>
      </w:pPr>
      <w:r w:rsidRPr="00806A43">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012390" w:rsidRPr="00806A43">
        <w:tc>
          <w:tcPr>
            <w:tcW w:w="3240" w:type="dxa"/>
          </w:tcPr>
          <w:p w:rsidR="00012390" w:rsidRPr="00806A43" w:rsidRDefault="00012390">
            <w:pPr>
              <w:rPr>
                <w:noProof/>
                <w:sz w:val="20"/>
              </w:rPr>
            </w:pPr>
            <w:r w:rsidRPr="00806A43">
              <w:rPr>
                <w:noProof/>
                <w:sz w:val="20"/>
              </w:rPr>
              <w:t>les fonctionnaires et agents temporaires</w:t>
            </w:r>
          </w:p>
        </w:tc>
        <w:tc>
          <w:tcPr>
            <w:tcW w:w="7200" w:type="dxa"/>
          </w:tcPr>
          <w:p w:rsidR="00012390" w:rsidRPr="00806A43" w:rsidRDefault="00012390">
            <w:pPr>
              <w:rPr>
                <w:noProof/>
                <w:sz w:val="20"/>
              </w:rPr>
            </w:pPr>
          </w:p>
        </w:tc>
      </w:tr>
      <w:tr w:rsidR="00012390" w:rsidRPr="00806A43">
        <w:tc>
          <w:tcPr>
            <w:tcW w:w="3240" w:type="dxa"/>
          </w:tcPr>
          <w:p w:rsidR="00012390" w:rsidRPr="00806A43" w:rsidRDefault="00012390">
            <w:pPr>
              <w:spacing w:before="60" w:after="60"/>
              <w:rPr>
                <w:noProof/>
                <w:sz w:val="20"/>
              </w:rPr>
            </w:pPr>
            <w:r w:rsidRPr="00806A43">
              <w:rPr>
                <w:noProof/>
                <w:sz w:val="20"/>
              </w:rPr>
              <w:t>le personnel externe</w:t>
            </w:r>
          </w:p>
        </w:tc>
        <w:tc>
          <w:tcPr>
            <w:tcW w:w="7200" w:type="dxa"/>
          </w:tcPr>
          <w:p w:rsidR="00012390" w:rsidRPr="00806A43" w:rsidRDefault="00012390">
            <w:pPr>
              <w:rPr>
                <w:noProof/>
                <w:sz w:val="20"/>
              </w:rPr>
            </w:pPr>
          </w:p>
        </w:tc>
      </w:tr>
    </w:tbl>
    <w:p w:rsidR="00012390" w:rsidRPr="00806A43" w:rsidRDefault="00012390" w:rsidP="00012390">
      <w:pPr>
        <w:pStyle w:val="ManualHeading3"/>
        <w:rPr>
          <w:noProof/>
        </w:rPr>
      </w:pPr>
      <w:bookmarkStart w:id="165" w:name="_Toc177549031"/>
      <w:r w:rsidRPr="00806A43">
        <w:rPr>
          <w:noProof/>
        </w:rPr>
        <w:t>3.2.5.</w:t>
      </w:r>
      <w:r w:rsidRPr="00806A43">
        <w:rPr>
          <w:noProof/>
        </w:rPr>
        <w:tab/>
        <w:t>Vue d’ensemble de l’incidence estimée sur les investissements liés aux technologies numériques</w:t>
      </w:r>
      <w:bookmarkEnd w:id="165"/>
    </w:p>
    <w:p w:rsidR="00012390" w:rsidRPr="00806A43" w:rsidRDefault="00012390" w:rsidP="00012390">
      <w:pPr>
        <w:pStyle w:val="Text1"/>
        <w:spacing w:line="259" w:lineRule="auto"/>
        <w:rPr>
          <w:noProof/>
        </w:rPr>
      </w:pPr>
      <w:r w:rsidRPr="00806A43">
        <w:rPr>
          <w:noProof/>
        </w:rPr>
        <w:t xml:space="preserve">Obligatoire: il convient d’indiquer dans le tableau figurant ci-dessous la meilleure estimation des investissements liés aux technologies numériques découlant de la proposition/de l’initiative. </w:t>
      </w:r>
    </w:p>
    <w:p w:rsidR="00012390" w:rsidRPr="00806A43" w:rsidRDefault="00012390" w:rsidP="00012390">
      <w:pPr>
        <w:pStyle w:val="Text1"/>
        <w:spacing w:line="259" w:lineRule="auto"/>
        <w:rPr>
          <w:noProof/>
        </w:rPr>
      </w:pPr>
      <w:r w:rsidRPr="00806A43">
        <w:rPr>
          <w:noProof/>
        </w:rPr>
        <w:t xml:space="preserve">À titre exceptionnel, lorsque la mise en œuvre de la proposition/de l’initiative l’exige, les crédits de la rubrique 7 doivent être présentés sur la ligne spécifique. </w:t>
      </w:r>
    </w:p>
    <w:p w:rsidR="00012390" w:rsidRPr="00806A43" w:rsidRDefault="00012390" w:rsidP="00012390">
      <w:pPr>
        <w:pStyle w:val="Text1"/>
        <w:spacing w:line="259" w:lineRule="auto"/>
        <w:rPr>
          <w:noProof/>
        </w:rPr>
      </w:pPr>
      <w:r w:rsidRPr="00806A43">
        <w:rPr>
          <w:noProof/>
        </w:rPr>
        <w:t>Les crédits des rubriques 1-6 doivent être présentés comme des «Dépenses pour les systèmes informatiques soutenant une politique consacrées aux programmes opérationnels». Ces dépenses correspondent au budget opérationnel à affecter à la réutilisation/à l’achat/au développement de plateformes et d’outils informatiques directement liés à la mise en œuvre de l’initiative et aux investissements qui y sont associés (par exemple, licences, études, stockage de données, etc.). Les informations figurant dans ce tableau doivent être cohérentes avec les données détaillées présentées à la section 4 «Dimensions numériques».</w:t>
      </w:r>
    </w:p>
    <w:tbl>
      <w:tblPr>
        <w:tblW w:w="0" w:type="auto"/>
        <w:tblLayout w:type="fixed"/>
        <w:tblLook w:val="04A0" w:firstRow="1" w:lastRow="0" w:firstColumn="1" w:lastColumn="0" w:noHBand="0" w:noVBand="1"/>
      </w:tblPr>
      <w:tblGrid>
        <w:gridCol w:w="3214"/>
        <w:gridCol w:w="835"/>
        <w:gridCol w:w="835"/>
        <w:gridCol w:w="835"/>
        <w:gridCol w:w="835"/>
        <w:gridCol w:w="981"/>
      </w:tblGrid>
      <w:tr w:rsidR="00012390" w:rsidRPr="00806A43">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TOTAL des crédits numériques et informatiques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012390" w:rsidRPr="00806A43" w:rsidRDefault="00012390">
            <w:pPr>
              <w:spacing w:before="0" w:after="0"/>
              <w:jc w:val="center"/>
              <w:rPr>
                <w:noProof/>
                <w:color w:val="000000" w:themeColor="text1"/>
                <w:sz w:val="18"/>
                <w:szCs w:val="18"/>
              </w:rPr>
            </w:pPr>
            <w:r w:rsidRPr="00806A43">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806A43" w:rsidRDefault="00012390">
            <w:pPr>
              <w:spacing w:before="0" w:after="0"/>
              <w:jc w:val="center"/>
              <w:rPr>
                <w:noProof/>
                <w:color w:val="000000" w:themeColor="text1"/>
                <w:sz w:val="18"/>
                <w:szCs w:val="18"/>
              </w:rPr>
            </w:pPr>
            <w:r w:rsidRPr="00806A43">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806A43" w:rsidRDefault="00012390">
            <w:pPr>
              <w:spacing w:before="0" w:after="0"/>
              <w:jc w:val="center"/>
              <w:rPr>
                <w:noProof/>
                <w:color w:val="000000" w:themeColor="text1"/>
                <w:sz w:val="18"/>
                <w:szCs w:val="18"/>
              </w:rPr>
            </w:pPr>
            <w:r w:rsidRPr="00806A43">
              <w:rPr>
                <w:noProof/>
                <w:color w:val="000000" w:themeColor="text1"/>
                <w:sz w:val="18"/>
              </w:rPr>
              <w:t>Année</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012390" w:rsidRPr="00806A43" w:rsidRDefault="00012390">
            <w:pPr>
              <w:spacing w:before="0" w:after="0"/>
              <w:jc w:val="center"/>
              <w:rPr>
                <w:noProof/>
                <w:color w:val="000000" w:themeColor="text1"/>
                <w:sz w:val="18"/>
                <w:szCs w:val="18"/>
              </w:rPr>
            </w:pPr>
            <w:r w:rsidRPr="00806A43">
              <w:rPr>
                <w:noProof/>
                <w:color w:val="000000" w:themeColor="text1"/>
                <w:sz w:val="18"/>
              </w:rPr>
              <w:t>Année</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TOTAL CFP 2021-2027</w:t>
            </w:r>
          </w:p>
        </w:tc>
      </w:tr>
      <w:tr w:rsidR="00012390" w:rsidRPr="00806A43">
        <w:trPr>
          <w:trHeight w:val="525"/>
        </w:trPr>
        <w:tc>
          <w:tcPr>
            <w:tcW w:w="3214" w:type="dxa"/>
            <w:vMerge/>
            <w:tcBorders>
              <w:top w:val="single" w:sz="8" w:space="0" w:color="auto"/>
              <w:left w:val="single" w:sz="4" w:space="0" w:color="auto"/>
              <w:right w:val="single" w:sz="4" w:space="0" w:color="auto"/>
            </w:tcBorders>
            <w:vAlign w:val="center"/>
          </w:tcPr>
          <w:p w:rsidR="00012390" w:rsidRPr="00806A43" w:rsidRDefault="00012390">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8"/>
                <w:szCs w:val="18"/>
              </w:rPr>
            </w:pPr>
            <w:r w:rsidRPr="00806A43">
              <w:rPr>
                <w:b/>
                <w:noProof/>
                <w:color w:val="000000" w:themeColor="text1"/>
                <w:sz w:val="18"/>
              </w:rPr>
              <w:t>2027</w:t>
            </w:r>
          </w:p>
        </w:tc>
        <w:tc>
          <w:tcPr>
            <w:tcW w:w="981" w:type="dxa"/>
            <w:vMerge/>
            <w:tcBorders>
              <w:bottom w:val="single" w:sz="4" w:space="0" w:color="auto"/>
              <w:right w:val="single" w:sz="4" w:space="0" w:color="auto"/>
            </w:tcBorders>
            <w:vAlign w:val="center"/>
          </w:tcPr>
          <w:p w:rsidR="00012390" w:rsidRPr="00806A43" w:rsidRDefault="00012390">
            <w:pPr>
              <w:rPr>
                <w:noProof/>
              </w:rPr>
            </w:pPr>
          </w:p>
        </w:tc>
      </w:tr>
      <w:tr w:rsidR="00012390" w:rsidRPr="00806A43">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left"/>
              <w:rPr>
                <w:b/>
                <w:bCs/>
                <w:noProof/>
                <w:sz w:val="16"/>
                <w:szCs w:val="16"/>
              </w:rPr>
            </w:pPr>
            <w:r w:rsidRPr="00806A43">
              <w:rPr>
                <w:b/>
                <w:noProof/>
                <w:sz w:val="16"/>
              </w:rPr>
              <w:t>RUBRIQUE 7</w:t>
            </w:r>
          </w:p>
        </w:tc>
      </w:tr>
      <w:tr w:rsidR="00012390" w:rsidRPr="00806A43">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left"/>
              <w:rPr>
                <w:noProof/>
                <w:color w:val="000000" w:themeColor="text1"/>
                <w:sz w:val="16"/>
                <w:szCs w:val="16"/>
              </w:rPr>
            </w:pPr>
            <w:r w:rsidRPr="00806A43">
              <w:rPr>
                <w:rFonts w:ascii="Arial Narrow" w:hAnsi="Arial Narrow"/>
                <w:noProof/>
                <w:color w:val="000000" w:themeColor="text1"/>
                <w:sz w:val="20"/>
              </w:rPr>
              <w:t>Dépenses informatiques (institutionnelles)</w:t>
            </w:r>
            <w:r w:rsidRPr="00806A43">
              <w:rPr>
                <w:noProof/>
                <w:color w:val="000000" w:themeColor="text1"/>
                <w:sz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r>
      <w:tr w:rsidR="00012390" w:rsidRPr="00806A43">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012390" w:rsidRPr="00806A43" w:rsidRDefault="00012390">
            <w:pPr>
              <w:spacing w:before="0" w:after="0"/>
              <w:jc w:val="center"/>
              <w:rPr>
                <w:b/>
                <w:bCs/>
                <w:noProof/>
                <w:color w:val="000000" w:themeColor="text1"/>
                <w:sz w:val="16"/>
                <w:szCs w:val="16"/>
              </w:rPr>
            </w:pPr>
            <w:r w:rsidRPr="00806A43">
              <w:rPr>
                <w:b/>
                <w:noProof/>
                <w:color w:val="000000" w:themeColor="text1"/>
                <w:sz w:val="16"/>
              </w:rPr>
              <w:t>Sous-total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r>
      <w:tr w:rsidR="00012390" w:rsidRPr="00806A43">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left"/>
              <w:rPr>
                <w:b/>
                <w:bCs/>
                <w:noProof/>
                <w:sz w:val="16"/>
                <w:szCs w:val="16"/>
              </w:rPr>
            </w:pPr>
            <w:r w:rsidRPr="00806A43">
              <w:rPr>
                <w:b/>
                <w:noProof/>
                <w:sz w:val="16"/>
              </w:rPr>
              <w:t>Hors RUBRIQUE 7</w:t>
            </w:r>
          </w:p>
        </w:tc>
      </w:tr>
      <w:tr w:rsidR="00012390" w:rsidRPr="00806A43">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left"/>
              <w:rPr>
                <w:rFonts w:ascii="Arial Narrow" w:eastAsia="Arial Narrow" w:hAnsi="Arial Narrow" w:cs="Arial Narrow"/>
                <w:noProof/>
                <w:color w:val="000000" w:themeColor="text1"/>
                <w:sz w:val="20"/>
                <w:szCs w:val="20"/>
              </w:rPr>
            </w:pPr>
            <w:r w:rsidRPr="00806A43">
              <w:rPr>
                <w:rFonts w:ascii="Arial Narrow" w:hAnsi="Arial Narrow"/>
                <w:noProof/>
                <w:color w:val="000000" w:themeColor="text1"/>
                <w:sz w:val="20"/>
              </w:rPr>
              <w:t>Dépenses pour les systèmes informatiques soutenant une politique consacrées aux programmes opérationnels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noProof/>
                <w:color w:val="000000" w:themeColor="text1"/>
                <w:sz w:val="16"/>
                <w:szCs w:val="16"/>
              </w:rPr>
            </w:pPr>
            <w:r w:rsidRPr="00806A43">
              <w:rPr>
                <w:noProof/>
                <w:color w:val="000000" w:themeColor="text1"/>
                <w:sz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r>
      <w:tr w:rsidR="00012390" w:rsidRPr="00806A43">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012390" w:rsidRPr="00806A43" w:rsidRDefault="00012390">
            <w:pPr>
              <w:spacing w:before="0" w:after="0"/>
              <w:jc w:val="center"/>
              <w:rPr>
                <w:b/>
                <w:bCs/>
                <w:noProof/>
                <w:color w:val="000000" w:themeColor="text1"/>
                <w:sz w:val="16"/>
                <w:szCs w:val="16"/>
              </w:rPr>
            </w:pPr>
            <w:r w:rsidRPr="00806A43">
              <w:rPr>
                <w:b/>
                <w:noProof/>
                <w:color w:val="000000" w:themeColor="text1"/>
                <w:sz w:val="16"/>
              </w:rPr>
              <w:t>Sous-total hors RUBRIQUE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r>
      <w:tr w:rsidR="00012390" w:rsidRPr="00806A43">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012390" w:rsidRPr="00806A43" w:rsidRDefault="00012390">
            <w:pPr>
              <w:spacing w:before="0" w:after="0"/>
              <w:jc w:val="center"/>
              <w:rPr>
                <w:noProof/>
                <w:color w:val="000000" w:themeColor="text1"/>
                <w:sz w:val="16"/>
                <w:szCs w:val="16"/>
              </w:rPr>
            </w:pPr>
            <w:r w:rsidRPr="00806A43">
              <w:rPr>
                <w:noProof/>
                <w:color w:val="000000" w:themeColor="text1"/>
                <w:sz w:val="16"/>
              </w:rPr>
              <w:t xml:space="preserve"> </w:t>
            </w:r>
          </w:p>
        </w:tc>
      </w:tr>
      <w:tr w:rsidR="00012390" w:rsidRPr="00806A43">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012390" w:rsidRPr="00806A43" w:rsidRDefault="00012390">
            <w:pPr>
              <w:spacing w:before="0" w:after="0"/>
              <w:jc w:val="center"/>
              <w:rPr>
                <w:b/>
                <w:bCs/>
                <w:noProof/>
                <w:color w:val="000000" w:themeColor="text1"/>
                <w:sz w:val="16"/>
                <w:szCs w:val="16"/>
              </w:rPr>
            </w:pPr>
            <w:r w:rsidRPr="00806A43">
              <w:rPr>
                <w:b/>
                <w:noProof/>
                <w:color w:val="000000" w:themeColor="text1"/>
                <w:sz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012390" w:rsidRPr="00806A43" w:rsidRDefault="00012390">
            <w:pPr>
              <w:spacing w:before="0" w:after="0"/>
              <w:jc w:val="right"/>
              <w:rPr>
                <w:b/>
                <w:bCs/>
                <w:noProof/>
                <w:color w:val="000000" w:themeColor="text1"/>
                <w:sz w:val="16"/>
                <w:szCs w:val="16"/>
              </w:rPr>
            </w:pPr>
            <w:r w:rsidRPr="00806A43">
              <w:rPr>
                <w:b/>
                <w:noProof/>
                <w:color w:val="000000" w:themeColor="text1"/>
                <w:sz w:val="16"/>
              </w:rPr>
              <w:t>0,000</w:t>
            </w:r>
          </w:p>
        </w:tc>
      </w:tr>
    </w:tbl>
    <w:p w:rsidR="00012390" w:rsidRPr="00806A43" w:rsidRDefault="00012390" w:rsidP="00012390">
      <w:pPr>
        <w:pStyle w:val="ManualHeading3"/>
        <w:rPr>
          <w:noProof/>
        </w:rPr>
      </w:pPr>
      <w:bookmarkStart w:id="166" w:name="_Toc514938056"/>
      <w:bookmarkStart w:id="167" w:name="_Toc520485055"/>
      <w:bookmarkStart w:id="168" w:name="_Toc160804599"/>
      <w:bookmarkStart w:id="169" w:name="_Toc167220298"/>
      <w:bookmarkStart w:id="170" w:name="_Toc177549032"/>
      <w:bookmarkEnd w:id="164"/>
      <w:r w:rsidRPr="00806A43">
        <w:rPr>
          <w:noProof/>
        </w:rPr>
        <w:t>3.2.6.</w:t>
      </w:r>
      <w:r w:rsidRPr="00806A43">
        <w:rPr>
          <w:noProof/>
        </w:rPr>
        <w:tab/>
        <w:t>Compatibilité avec le cadre financier pluriannuel actuel</w:t>
      </w:r>
      <w:bookmarkEnd w:id="166"/>
      <w:bookmarkEnd w:id="167"/>
      <w:bookmarkEnd w:id="168"/>
      <w:bookmarkEnd w:id="169"/>
      <w:bookmarkEnd w:id="170"/>
      <w:r w:rsidRPr="00806A43">
        <w:rPr>
          <w:noProof/>
        </w:rPr>
        <w:t xml:space="preserve"> </w:t>
      </w:r>
    </w:p>
    <w:p w:rsidR="00012390" w:rsidRPr="00806A43" w:rsidRDefault="00012390" w:rsidP="00012390">
      <w:pPr>
        <w:pStyle w:val="Text1"/>
        <w:rPr>
          <w:noProof/>
        </w:rPr>
      </w:pPr>
      <w:r w:rsidRPr="00806A43">
        <w:rPr>
          <w:noProof/>
        </w:rPr>
        <w:t>La proposition/l’initiative:</w:t>
      </w:r>
    </w:p>
    <w:p w:rsidR="00012390" w:rsidRPr="00806A43" w:rsidRDefault="00012390" w:rsidP="00012390">
      <w:pPr>
        <w:pStyle w:val="ListDash1"/>
        <w:rPr>
          <w:noProof/>
        </w:rPr>
      </w:pPr>
      <w:r w:rsidRPr="00806A43">
        <w:rPr>
          <w:rFonts w:ascii="Wingdings" w:hAnsi="Wingdings"/>
          <w:noProof/>
        </w:rPr>
        <w:t></w:t>
      </w:r>
      <w:r w:rsidRPr="00806A43">
        <w:rPr>
          <w:noProof/>
        </w:rPr>
        <w:tab/>
        <w:t>peut être intégralement financée par voie de redéploiement au sein de la rubrique concernée du cadre financier pluriannuel (CFP).</w:t>
      </w:r>
    </w:p>
    <w:p w:rsidR="00012390" w:rsidRPr="00806A43" w:rsidRDefault="00012390" w:rsidP="5A6E0D10">
      <w:pPr>
        <w:pStyle w:val="ListDash1"/>
        <w:pBdr>
          <w:top w:val="single" w:sz="4" w:space="1" w:color="auto"/>
          <w:left w:val="single" w:sz="4" w:space="4" w:color="auto"/>
          <w:bottom w:val="single" w:sz="4" w:space="1" w:color="auto"/>
          <w:right w:val="single" w:sz="4" w:space="4" w:color="auto"/>
        </w:pBdr>
        <w:rPr>
          <w:noProof/>
        </w:rPr>
      </w:pPr>
      <w:r w:rsidRPr="00806A43">
        <w:rPr>
          <w:rFonts w:ascii="Wingdings" w:hAnsi="Wingdings"/>
          <w:noProof/>
        </w:rPr>
        <w:t></w:t>
      </w:r>
      <w:r w:rsidRPr="00806A43">
        <w:rPr>
          <w:noProof/>
        </w:rPr>
        <w:tab/>
        <w:t>nécessite l’utilisation de la marge non allouée sous la rubrique correspondante du CFP et/ou le recours aux instruments spéciaux comme le prévoit le règlement CFP.</w:t>
      </w:r>
    </w:p>
    <w:p w:rsidR="00012390" w:rsidRPr="00806A43" w:rsidRDefault="00012390" w:rsidP="5A6E0D10">
      <w:pPr>
        <w:pStyle w:val="ListDash1"/>
        <w:pBdr>
          <w:top w:val="single" w:sz="4" w:space="0" w:color="auto"/>
          <w:left w:val="single" w:sz="4" w:space="4" w:color="auto"/>
          <w:bottom w:val="single" w:sz="4" w:space="1" w:color="auto"/>
          <w:right w:val="single" w:sz="4" w:space="4" w:color="auto"/>
        </w:pBdr>
        <w:rPr>
          <w:noProof/>
        </w:rPr>
      </w:pPr>
      <w:r w:rsidRPr="00806A43">
        <w:rPr>
          <w:rFonts w:ascii="Wingdings" w:hAnsi="Wingdings"/>
          <w:noProof/>
        </w:rPr>
        <w:t></w:t>
      </w:r>
      <w:r w:rsidRPr="00806A43">
        <w:rPr>
          <w:noProof/>
        </w:rPr>
        <w:tab/>
        <w:t>nécessite une révision du CFP.</w:t>
      </w:r>
    </w:p>
    <w:p w:rsidR="00012390" w:rsidRPr="00806A43" w:rsidRDefault="00012390" w:rsidP="5A6E0D10">
      <w:pPr>
        <w:pStyle w:val="ManualHeading3"/>
        <w:pBdr>
          <w:top w:val="single" w:sz="4" w:space="1" w:color="auto"/>
          <w:left w:val="single" w:sz="4" w:space="4" w:color="auto"/>
          <w:bottom w:val="single" w:sz="4" w:space="1" w:color="auto"/>
          <w:right w:val="single" w:sz="4" w:space="4" w:color="auto"/>
        </w:pBdr>
        <w:rPr>
          <w:noProof/>
        </w:rPr>
      </w:pPr>
      <w:bookmarkStart w:id="171" w:name="_Toc514938058"/>
      <w:bookmarkStart w:id="172" w:name="_Toc520485056"/>
      <w:bookmarkStart w:id="173" w:name="_Toc160804600"/>
      <w:bookmarkStart w:id="174" w:name="_Toc167220299"/>
      <w:bookmarkStart w:id="175" w:name="_Toc177549033"/>
      <w:r w:rsidRPr="00806A43">
        <w:rPr>
          <w:noProof/>
        </w:rPr>
        <w:t>3.2.7.</w:t>
      </w:r>
      <w:r w:rsidRPr="00806A43">
        <w:rPr>
          <w:noProof/>
        </w:rPr>
        <w:tab/>
        <w:t>Participation de tiers au financement</w:t>
      </w:r>
      <w:bookmarkEnd w:id="171"/>
      <w:bookmarkEnd w:id="172"/>
      <w:bookmarkEnd w:id="173"/>
      <w:bookmarkEnd w:id="174"/>
      <w:bookmarkEnd w:id="175"/>
      <w:r w:rsidRPr="00806A43">
        <w:rPr>
          <w:noProof/>
        </w:rPr>
        <w:t xml:space="preserve"> </w:t>
      </w:r>
    </w:p>
    <w:p w:rsidR="00012390" w:rsidRPr="00806A43" w:rsidRDefault="00012390" w:rsidP="00012390">
      <w:pPr>
        <w:pStyle w:val="Text1"/>
        <w:rPr>
          <w:noProof/>
        </w:rPr>
      </w:pPr>
      <w:r w:rsidRPr="00806A43">
        <w:rPr>
          <w:noProof/>
        </w:rPr>
        <w:t>La proposition/l’initiative:</w:t>
      </w:r>
    </w:p>
    <w:p w:rsidR="00012390" w:rsidRPr="00806A43" w:rsidRDefault="00012390" w:rsidP="00012390">
      <w:pPr>
        <w:pStyle w:val="ListDash1"/>
        <w:rPr>
          <w:noProof/>
        </w:rPr>
      </w:pPr>
      <w:r w:rsidRPr="00806A43">
        <w:rPr>
          <w:rFonts w:ascii="Wingdings" w:hAnsi="Wingdings"/>
          <w:noProof/>
        </w:rPr>
        <w:t></w:t>
      </w:r>
      <w:r w:rsidRPr="00806A43">
        <w:rPr>
          <w:noProof/>
        </w:rPr>
        <w:tab/>
        <w:t>ne prévoit pas de cofinancement par des tierces parties</w:t>
      </w:r>
    </w:p>
    <w:p w:rsidR="00012390" w:rsidRPr="00806A43" w:rsidRDefault="556418A5" w:rsidP="00012390">
      <w:pPr>
        <w:pStyle w:val="ListDash1"/>
        <w:rPr>
          <w:noProof/>
        </w:rPr>
      </w:pPr>
      <w:r w:rsidRPr="00806A43">
        <w:rPr>
          <w:rFonts w:ascii="Wingdings" w:hAnsi="Wingdings"/>
          <w:noProof/>
        </w:rPr>
        <w:t></w:t>
      </w:r>
      <w:r w:rsidRPr="00806A43">
        <w:rPr>
          <w:noProof/>
        </w:rPr>
        <w:tab/>
        <w:t>prévoit le cofinancement par des tierces parties estimé ci‑après:</w:t>
      </w:r>
    </w:p>
    <w:p w:rsidR="00012390" w:rsidRPr="00806A43" w:rsidRDefault="00012390" w:rsidP="00012390">
      <w:pPr>
        <w:jc w:val="right"/>
        <w:rPr>
          <w:noProof/>
          <w:sz w:val="20"/>
        </w:rPr>
      </w:pPr>
      <w:r w:rsidRPr="00806A43">
        <w:rPr>
          <w:noProof/>
          <w:sz w:val="20"/>
        </w:rPr>
        <w:t>Crédits en Mio EUR (à la 3</w:t>
      </w:r>
      <w:r w:rsidRPr="00806A43">
        <w:rPr>
          <w:noProof/>
          <w:sz w:val="20"/>
          <w:vertAlign w:val="superscript"/>
        </w:rPr>
        <w:t>e</w:t>
      </w:r>
      <w:r w:rsidRPr="00806A43">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012390" w:rsidRPr="00806A43">
        <w:trPr>
          <w:cantSplit/>
        </w:trPr>
        <w:tc>
          <w:tcPr>
            <w:tcW w:w="1591" w:type="pct"/>
          </w:tcPr>
          <w:p w:rsidR="00012390" w:rsidRPr="00806A43" w:rsidRDefault="00012390">
            <w:pPr>
              <w:spacing w:before="60" w:after="60"/>
              <w:rPr>
                <w:noProof/>
                <w:sz w:val="20"/>
              </w:rPr>
            </w:pPr>
          </w:p>
        </w:tc>
        <w:tc>
          <w:tcPr>
            <w:tcW w:w="655" w:type="pct"/>
            <w:vAlign w:val="center"/>
          </w:tcPr>
          <w:p w:rsidR="00012390" w:rsidRPr="00806A43" w:rsidRDefault="00012390">
            <w:pPr>
              <w:jc w:val="center"/>
              <w:rPr>
                <w:noProof/>
                <w:sz w:val="20"/>
              </w:rPr>
            </w:pPr>
            <w:r w:rsidRPr="00806A43">
              <w:rPr>
                <w:noProof/>
                <w:sz w:val="20"/>
              </w:rPr>
              <w:t xml:space="preserve">Année </w:t>
            </w:r>
            <w:r w:rsidRPr="00806A43">
              <w:rPr>
                <w:noProof/>
              </w:rPr>
              <w:br/>
            </w:r>
            <w:r w:rsidRPr="00806A43">
              <w:rPr>
                <w:b/>
                <w:noProof/>
                <w:sz w:val="20"/>
              </w:rPr>
              <w:t>2024</w:t>
            </w:r>
          </w:p>
        </w:tc>
        <w:tc>
          <w:tcPr>
            <w:tcW w:w="655" w:type="pct"/>
            <w:vAlign w:val="center"/>
          </w:tcPr>
          <w:p w:rsidR="00012390" w:rsidRPr="00806A43" w:rsidRDefault="00012390">
            <w:pPr>
              <w:jc w:val="center"/>
              <w:rPr>
                <w:noProof/>
                <w:sz w:val="20"/>
              </w:rPr>
            </w:pPr>
            <w:r w:rsidRPr="00806A43">
              <w:rPr>
                <w:noProof/>
                <w:sz w:val="20"/>
              </w:rPr>
              <w:t xml:space="preserve">Année </w:t>
            </w:r>
            <w:r w:rsidRPr="00806A43">
              <w:rPr>
                <w:noProof/>
              </w:rPr>
              <w:br/>
            </w:r>
            <w:r w:rsidRPr="00806A43">
              <w:rPr>
                <w:b/>
                <w:noProof/>
                <w:sz w:val="20"/>
              </w:rPr>
              <w:t>2025</w:t>
            </w:r>
          </w:p>
        </w:tc>
        <w:tc>
          <w:tcPr>
            <w:tcW w:w="655" w:type="pct"/>
            <w:vAlign w:val="center"/>
          </w:tcPr>
          <w:p w:rsidR="00012390" w:rsidRPr="00806A43" w:rsidRDefault="00012390">
            <w:pPr>
              <w:jc w:val="center"/>
              <w:rPr>
                <w:noProof/>
                <w:sz w:val="20"/>
              </w:rPr>
            </w:pPr>
            <w:r w:rsidRPr="00806A43">
              <w:rPr>
                <w:noProof/>
                <w:sz w:val="20"/>
              </w:rPr>
              <w:t xml:space="preserve">Année </w:t>
            </w:r>
            <w:r w:rsidRPr="00806A43">
              <w:rPr>
                <w:noProof/>
              </w:rPr>
              <w:br/>
            </w:r>
            <w:r w:rsidRPr="00806A43">
              <w:rPr>
                <w:b/>
                <w:noProof/>
                <w:sz w:val="20"/>
              </w:rPr>
              <w:t>2026</w:t>
            </w:r>
          </w:p>
        </w:tc>
        <w:tc>
          <w:tcPr>
            <w:tcW w:w="655" w:type="pct"/>
            <w:vAlign w:val="center"/>
          </w:tcPr>
          <w:p w:rsidR="00012390" w:rsidRPr="00806A43" w:rsidRDefault="00012390">
            <w:pPr>
              <w:jc w:val="center"/>
              <w:rPr>
                <w:noProof/>
                <w:sz w:val="20"/>
              </w:rPr>
            </w:pPr>
            <w:r w:rsidRPr="00806A43">
              <w:rPr>
                <w:noProof/>
                <w:sz w:val="20"/>
              </w:rPr>
              <w:t xml:space="preserve">Année </w:t>
            </w:r>
            <w:r w:rsidRPr="00806A43">
              <w:rPr>
                <w:noProof/>
              </w:rPr>
              <w:br/>
            </w:r>
            <w:r w:rsidRPr="00806A43">
              <w:rPr>
                <w:b/>
                <w:noProof/>
                <w:sz w:val="20"/>
              </w:rPr>
              <w:t>2027</w:t>
            </w:r>
          </w:p>
        </w:tc>
        <w:tc>
          <w:tcPr>
            <w:tcW w:w="787" w:type="pct"/>
            <w:vAlign w:val="center"/>
          </w:tcPr>
          <w:p w:rsidR="00012390" w:rsidRPr="00806A43" w:rsidRDefault="00012390">
            <w:pPr>
              <w:spacing w:before="60" w:after="60"/>
              <w:jc w:val="center"/>
              <w:rPr>
                <w:noProof/>
                <w:sz w:val="20"/>
              </w:rPr>
            </w:pPr>
            <w:r w:rsidRPr="00806A43">
              <w:rPr>
                <w:noProof/>
                <w:sz w:val="20"/>
              </w:rPr>
              <w:t>Total</w:t>
            </w:r>
          </w:p>
        </w:tc>
      </w:tr>
      <w:tr w:rsidR="00012390" w:rsidRPr="00806A43">
        <w:trPr>
          <w:cantSplit/>
        </w:trPr>
        <w:tc>
          <w:tcPr>
            <w:tcW w:w="1591" w:type="pct"/>
          </w:tcPr>
          <w:p w:rsidR="00012390" w:rsidRPr="00806A43" w:rsidRDefault="00012390">
            <w:pPr>
              <w:rPr>
                <w:noProof/>
              </w:rPr>
            </w:pPr>
            <w:r w:rsidRPr="00806A43">
              <w:rPr>
                <w:noProof/>
                <w:sz w:val="20"/>
              </w:rPr>
              <w:t>Préciser l'organisme de cofinancement</w:t>
            </w:r>
            <w:r w:rsidRPr="00806A43">
              <w:rPr>
                <w:i/>
                <w:noProof/>
                <w:sz w:val="20"/>
              </w:rPr>
              <w:t xml:space="preserve"> </w:t>
            </w: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787" w:type="pct"/>
            <w:vAlign w:val="center"/>
          </w:tcPr>
          <w:p w:rsidR="00012390" w:rsidRPr="00806A43" w:rsidRDefault="00012390">
            <w:pPr>
              <w:spacing w:before="60" w:after="60"/>
              <w:jc w:val="center"/>
              <w:rPr>
                <w:noProof/>
                <w:sz w:val="20"/>
              </w:rPr>
            </w:pPr>
          </w:p>
        </w:tc>
      </w:tr>
      <w:tr w:rsidR="00012390" w:rsidRPr="00806A43">
        <w:trPr>
          <w:cantSplit/>
        </w:trPr>
        <w:tc>
          <w:tcPr>
            <w:tcW w:w="1591" w:type="pct"/>
          </w:tcPr>
          <w:p w:rsidR="00012390" w:rsidRPr="00806A43" w:rsidRDefault="00012390">
            <w:pPr>
              <w:spacing w:before="60" w:after="60"/>
              <w:jc w:val="left"/>
              <w:rPr>
                <w:noProof/>
                <w:sz w:val="20"/>
              </w:rPr>
            </w:pPr>
            <w:r w:rsidRPr="00806A43">
              <w:rPr>
                <w:noProof/>
                <w:sz w:val="20"/>
              </w:rPr>
              <w:t xml:space="preserve">TOTAL crédits cofinancés </w:t>
            </w: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655" w:type="pct"/>
            <w:vAlign w:val="center"/>
          </w:tcPr>
          <w:p w:rsidR="00012390" w:rsidRPr="00806A43" w:rsidRDefault="00012390">
            <w:pPr>
              <w:spacing w:before="60" w:after="60"/>
              <w:jc w:val="center"/>
              <w:rPr>
                <w:noProof/>
                <w:sz w:val="20"/>
              </w:rPr>
            </w:pPr>
          </w:p>
        </w:tc>
        <w:tc>
          <w:tcPr>
            <w:tcW w:w="787" w:type="pct"/>
            <w:vAlign w:val="center"/>
          </w:tcPr>
          <w:p w:rsidR="00012390" w:rsidRPr="00806A43" w:rsidRDefault="00012390">
            <w:pPr>
              <w:spacing w:before="60" w:after="60"/>
              <w:jc w:val="center"/>
              <w:rPr>
                <w:noProof/>
                <w:sz w:val="20"/>
              </w:rPr>
            </w:pPr>
          </w:p>
        </w:tc>
      </w:tr>
    </w:tbl>
    <w:p w:rsidR="00012390" w:rsidRPr="00806A43" w:rsidRDefault="00012390" w:rsidP="00012390">
      <w:pPr>
        <w:outlineLvl w:val="1"/>
        <w:rPr>
          <w:noProof/>
          <w:szCs w:val="24"/>
        </w:rPr>
      </w:pPr>
      <w:r w:rsidRPr="00806A43">
        <w:rPr>
          <w:noProof/>
        </w:rPr>
        <w:t xml:space="preserve"> </w:t>
      </w:r>
      <w:r w:rsidRPr="00806A43">
        <w:rPr>
          <w:noProof/>
        </w:rPr>
        <w:br/>
      </w:r>
      <w:bookmarkStart w:id="176" w:name="_Toc514938059"/>
      <w:bookmarkStart w:id="177" w:name="_Toc520485057"/>
      <w:bookmarkStart w:id="178" w:name="_Toc160804602"/>
      <w:bookmarkStart w:id="179" w:name="_Toc167220300"/>
      <w:bookmarkStart w:id="180" w:name="_Toc177549034"/>
      <w:bookmarkStart w:id="181" w:name="_Hlk166860179"/>
      <w:r w:rsidRPr="00806A43">
        <w:rPr>
          <w:noProof/>
        </w:rPr>
        <w:t>3.3.</w:t>
      </w:r>
      <w:r w:rsidRPr="00806A43">
        <w:rPr>
          <w:noProof/>
        </w:rPr>
        <w:tab/>
        <w:t>Incidence estimée sur les recettes</w:t>
      </w:r>
      <w:bookmarkEnd w:id="176"/>
      <w:bookmarkEnd w:id="177"/>
      <w:bookmarkEnd w:id="178"/>
      <w:bookmarkEnd w:id="179"/>
      <w:bookmarkEnd w:id="180"/>
      <w:r w:rsidRPr="00806A43">
        <w:rPr>
          <w:noProof/>
        </w:rPr>
        <w:t xml:space="preserve"> </w:t>
      </w:r>
    </w:p>
    <w:bookmarkEnd w:id="181"/>
    <w:p w:rsidR="00012390" w:rsidRPr="00806A43" w:rsidRDefault="00012390" w:rsidP="00012390">
      <w:pPr>
        <w:pStyle w:val="ListDash1"/>
        <w:rPr>
          <w:noProof/>
        </w:rPr>
      </w:pPr>
      <w:r w:rsidRPr="00806A43">
        <w:rPr>
          <w:rFonts w:ascii="Wingdings" w:hAnsi="Wingdings"/>
          <w:noProof/>
        </w:rPr>
        <w:t></w:t>
      </w:r>
      <w:r w:rsidRPr="00806A43">
        <w:rPr>
          <w:noProof/>
        </w:rPr>
        <w:tab/>
        <w:t>La proposition/l’initiative est sans incidence financière sur les recettes</w:t>
      </w:r>
    </w:p>
    <w:p w:rsidR="00012390" w:rsidRPr="00806A43" w:rsidRDefault="00012390" w:rsidP="00012390">
      <w:pPr>
        <w:pStyle w:val="ListDash1"/>
        <w:rPr>
          <w:noProof/>
        </w:rPr>
      </w:pPr>
      <w:r w:rsidRPr="00806A43">
        <w:rPr>
          <w:rFonts w:ascii="Wingdings" w:hAnsi="Wingdings"/>
          <w:noProof/>
        </w:rPr>
        <w:t></w:t>
      </w:r>
      <w:r w:rsidRPr="00806A43">
        <w:rPr>
          <w:noProof/>
        </w:rPr>
        <w:tab/>
        <w:t>La proposition/l’initiative a une incidence financière décrite ci‑après:</w:t>
      </w:r>
    </w:p>
    <w:p w:rsidR="00012390" w:rsidRPr="00806A43" w:rsidRDefault="00012390" w:rsidP="00012390">
      <w:pPr>
        <w:pStyle w:val="ListNumberLevel3"/>
        <w:rPr>
          <w:noProof/>
        </w:rPr>
      </w:pPr>
      <w:r w:rsidRPr="00806A43">
        <w:rPr>
          <w:rFonts w:ascii="Wingdings" w:hAnsi="Wingdings"/>
          <w:noProof/>
        </w:rPr>
        <w:t></w:t>
      </w:r>
      <w:r w:rsidRPr="00806A43">
        <w:rPr>
          <w:noProof/>
        </w:rPr>
        <w:tab/>
        <w:t xml:space="preserve">sur les ressources propres </w:t>
      </w:r>
    </w:p>
    <w:p w:rsidR="00012390" w:rsidRPr="00806A43" w:rsidRDefault="00012390" w:rsidP="00012390">
      <w:pPr>
        <w:pStyle w:val="ListNumberLevel3"/>
        <w:rPr>
          <w:noProof/>
        </w:rPr>
      </w:pPr>
      <w:r w:rsidRPr="00806A43">
        <w:rPr>
          <w:rFonts w:ascii="Wingdings" w:hAnsi="Wingdings"/>
          <w:noProof/>
        </w:rPr>
        <w:t></w:t>
      </w:r>
      <w:r w:rsidRPr="00806A43">
        <w:rPr>
          <w:noProof/>
        </w:rPr>
        <w:tab/>
        <w:t>sur les autres recettes</w:t>
      </w:r>
    </w:p>
    <w:p w:rsidR="00012390" w:rsidRPr="00806A43" w:rsidRDefault="00012390" w:rsidP="00012390">
      <w:pPr>
        <w:pStyle w:val="ListNumberLevel3"/>
        <w:rPr>
          <w:noProof/>
        </w:rPr>
      </w:pPr>
      <w:r w:rsidRPr="00806A43">
        <w:rPr>
          <w:rFonts w:ascii="Wingdings" w:hAnsi="Wingdings"/>
          <w:noProof/>
        </w:rPr>
        <w:t></w:t>
      </w:r>
      <w:r w:rsidRPr="00806A43">
        <w:rPr>
          <w:noProof/>
        </w:rPr>
        <w:tab/>
        <w:t>veuillez indiquer si les recettes sont affectées à des lignes de dépenses</w:t>
      </w:r>
    </w:p>
    <w:p w:rsidR="00012390" w:rsidRPr="00806A43" w:rsidRDefault="00012390" w:rsidP="00012390">
      <w:pPr>
        <w:jc w:val="right"/>
        <w:rPr>
          <w:noProof/>
          <w:sz w:val="20"/>
        </w:rPr>
      </w:pPr>
      <w:r w:rsidRPr="00806A43">
        <w:rPr>
          <w:noProof/>
          <w:sz w:val="20"/>
        </w:rPr>
        <w:t xml:space="preserve">     En Mio EUR (à la 3</w:t>
      </w:r>
      <w:r w:rsidRPr="00806A43">
        <w:rPr>
          <w:noProof/>
          <w:sz w:val="20"/>
          <w:vertAlign w:val="superscript"/>
        </w:rPr>
        <w:t>e</w:t>
      </w:r>
      <w:r w:rsidRPr="00806A43">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012390" w:rsidRPr="00806A43">
        <w:trPr>
          <w:trHeight w:val="388"/>
        </w:trPr>
        <w:tc>
          <w:tcPr>
            <w:tcW w:w="1423" w:type="pct"/>
            <w:vMerge w:val="restart"/>
            <w:vAlign w:val="center"/>
          </w:tcPr>
          <w:p w:rsidR="00012390" w:rsidRPr="00806A43" w:rsidRDefault="00012390">
            <w:pPr>
              <w:spacing w:before="40" w:after="40"/>
              <w:rPr>
                <w:noProof/>
                <w:sz w:val="18"/>
              </w:rPr>
            </w:pPr>
            <w:r w:rsidRPr="00806A43">
              <w:rPr>
                <w:noProof/>
                <w:sz w:val="18"/>
              </w:rPr>
              <w:t>Ligne budgétaire de recettes:</w:t>
            </w:r>
          </w:p>
        </w:tc>
        <w:tc>
          <w:tcPr>
            <w:tcW w:w="869" w:type="pct"/>
            <w:vMerge w:val="restart"/>
            <w:vAlign w:val="center"/>
          </w:tcPr>
          <w:p w:rsidR="00012390" w:rsidRPr="00806A43" w:rsidRDefault="00012390">
            <w:pPr>
              <w:jc w:val="center"/>
              <w:rPr>
                <w:noProof/>
                <w:sz w:val="18"/>
              </w:rPr>
            </w:pPr>
            <w:r w:rsidRPr="00806A43">
              <w:rPr>
                <w:noProof/>
                <w:sz w:val="18"/>
              </w:rPr>
              <w:t>Montants inscrits pour l'exercice en cours</w:t>
            </w:r>
          </w:p>
        </w:tc>
        <w:tc>
          <w:tcPr>
            <w:tcW w:w="2709" w:type="pct"/>
            <w:gridSpan w:val="4"/>
            <w:vAlign w:val="center"/>
          </w:tcPr>
          <w:p w:rsidR="00012390" w:rsidRPr="00806A43" w:rsidRDefault="00012390">
            <w:pPr>
              <w:jc w:val="center"/>
              <w:rPr>
                <w:noProof/>
                <w:sz w:val="18"/>
              </w:rPr>
            </w:pPr>
            <w:r w:rsidRPr="00806A43">
              <w:rPr>
                <w:noProof/>
                <w:sz w:val="18"/>
              </w:rPr>
              <w:t>Incidence de la proposition/de l’initiative</w:t>
            </w:r>
            <w:r w:rsidRPr="00806A43">
              <w:rPr>
                <w:rStyle w:val="FootnoteReference"/>
                <w:noProof/>
                <w:sz w:val="18"/>
                <w:szCs w:val="18"/>
              </w:rPr>
              <w:footnoteReference w:id="13"/>
            </w:r>
          </w:p>
        </w:tc>
      </w:tr>
      <w:tr w:rsidR="00012390" w:rsidRPr="00806A43">
        <w:trPr>
          <w:trHeight w:val="388"/>
        </w:trPr>
        <w:tc>
          <w:tcPr>
            <w:tcW w:w="1423" w:type="pct"/>
            <w:vMerge/>
          </w:tcPr>
          <w:p w:rsidR="00012390" w:rsidRPr="00806A43" w:rsidRDefault="00012390">
            <w:pPr>
              <w:spacing w:before="40" w:after="40"/>
              <w:rPr>
                <w:noProof/>
                <w:sz w:val="18"/>
              </w:rPr>
            </w:pPr>
          </w:p>
        </w:tc>
        <w:tc>
          <w:tcPr>
            <w:tcW w:w="869" w:type="pct"/>
            <w:vMerge/>
          </w:tcPr>
          <w:p w:rsidR="00012390" w:rsidRPr="00806A43" w:rsidRDefault="00012390">
            <w:pPr>
              <w:spacing w:beforeLines="40" w:before="96" w:afterLines="40" w:after="96"/>
              <w:rPr>
                <w:i/>
                <w:noProof/>
                <w:sz w:val="18"/>
              </w:rPr>
            </w:pPr>
          </w:p>
        </w:tc>
        <w:tc>
          <w:tcPr>
            <w:tcW w:w="911" w:type="pct"/>
            <w:vAlign w:val="center"/>
          </w:tcPr>
          <w:p w:rsidR="00012390" w:rsidRPr="00806A43" w:rsidRDefault="00012390">
            <w:pPr>
              <w:jc w:val="center"/>
              <w:rPr>
                <w:noProof/>
                <w:sz w:val="18"/>
              </w:rPr>
            </w:pPr>
            <w:r w:rsidRPr="00806A43">
              <w:rPr>
                <w:noProof/>
                <w:sz w:val="18"/>
              </w:rPr>
              <w:t xml:space="preserve">Année </w:t>
            </w:r>
            <w:r w:rsidRPr="00806A43">
              <w:rPr>
                <w:b/>
                <w:noProof/>
                <w:sz w:val="18"/>
              </w:rPr>
              <w:t>2024</w:t>
            </w:r>
          </w:p>
        </w:tc>
        <w:tc>
          <w:tcPr>
            <w:tcW w:w="562" w:type="pct"/>
            <w:vAlign w:val="center"/>
          </w:tcPr>
          <w:p w:rsidR="00012390" w:rsidRPr="00806A43" w:rsidRDefault="00012390">
            <w:pPr>
              <w:jc w:val="center"/>
              <w:rPr>
                <w:noProof/>
                <w:sz w:val="18"/>
              </w:rPr>
            </w:pPr>
            <w:r w:rsidRPr="00806A43">
              <w:rPr>
                <w:noProof/>
                <w:sz w:val="18"/>
              </w:rPr>
              <w:t xml:space="preserve">Année </w:t>
            </w:r>
            <w:r w:rsidRPr="00806A43">
              <w:rPr>
                <w:b/>
                <w:noProof/>
                <w:sz w:val="18"/>
              </w:rPr>
              <w:t>2025</w:t>
            </w:r>
          </w:p>
        </w:tc>
        <w:tc>
          <w:tcPr>
            <w:tcW w:w="557" w:type="pct"/>
            <w:vAlign w:val="center"/>
          </w:tcPr>
          <w:p w:rsidR="00012390" w:rsidRPr="00806A43" w:rsidRDefault="00012390">
            <w:pPr>
              <w:jc w:val="center"/>
              <w:rPr>
                <w:noProof/>
                <w:sz w:val="18"/>
              </w:rPr>
            </w:pPr>
            <w:r w:rsidRPr="00806A43">
              <w:rPr>
                <w:noProof/>
                <w:sz w:val="18"/>
              </w:rPr>
              <w:t xml:space="preserve">Année </w:t>
            </w:r>
            <w:r w:rsidRPr="00806A43">
              <w:rPr>
                <w:b/>
                <w:noProof/>
                <w:sz w:val="18"/>
              </w:rPr>
              <w:t>2026</w:t>
            </w:r>
          </w:p>
        </w:tc>
        <w:tc>
          <w:tcPr>
            <w:tcW w:w="679" w:type="pct"/>
            <w:vAlign w:val="center"/>
          </w:tcPr>
          <w:p w:rsidR="00012390" w:rsidRPr="00806A43" w:rsidRDefault="00012390">
            <w:pPr>
              <w:jc w:val="center"/>
              <w:rPr>
                <w:noProof/>
                <w:sz w:val="18"/>
              </w:rPr>
            </w:pPr>
            <w:r w:rsidRPr="00806A43">
              <w:rPr>
                <w:noProof/>
                <w:sz w:val="18"/>
              </w:rPr>
              <w:t xml:space="preserve">Année </w:t>
            </w:r>
            <w:r w:rsidRPr="00806A43">
              <w:rPr>
                <w:b/>
                <w:noProof/>
                <w:sz w:val="18"/>
              </w:rPr>
              <w:t>2027</w:t>
            </w:r>
          </w:p>
        </w:tc>
      </w:tr>
      <w:tr w:rsidR="00012390" w:rsidRPr="00806A43">
        <w:trPr>
          <w:trHeight w:val="388"/>
        </w:trPr>
        <w:tc>
          <w:tcPr>
            <w:tcW w:w="1423" w:type="pct"/>
            <w:vAlign w:val="center"/>
          </w:tcPr>
          <w:p w:rsidR="00012390" w:rsidRPr="00806A43" w:rsidRDefault="00012390">
            <w:pPr>
              <w:spacing w:before="40" w:after="40"/>
              <w:rPr>
                <w:noProof/>
                <w:sz w:val="18"/>
              </w:rPr>
            </w:pPr>
            <w:r w:rsidRPr="00806A43">
              <w:rPr>
                <w:noProof/>
                <w:sz w:val="18"/>
              </w:rPr>
              <w:t>Article ………….</w:t>
            </w:r>
          </w:p>
        </w:tc>
        <w:tc>
          <w:tcPr>
            <w:tcW w:w="869" w:type="pct"/>
          </w:tcPr>
          <w:p w:rsidR="00012390" w:rsidRPr="00806A43" w:rsidRDefault="00012390">
            <w:pPr>
              <w:spacing w:beforeLines="40" w:before="96" w:afterLines="40" w:after="96"/>
              <w:jc w:val="center"/>
              <w:rPr>
                <w:i/>
                <w:noProof/>
                <w:sz w:val="18"/>
              </w:rPr>
            </w:pPr>
          </w:p>
        </w:tc>
        <w:tc>
          <w:tcPr>
            <w:tcW w:w="911" w:type="pct"/>
          </w:tcPr>
          <w:p w:rsidR="00012390" w:rsidRPr="00806A43" w:rsidRDefault="00012390">
            <w:pPr>
              <w:spacing w:beforeLines="40" w:before="96" w:afterLines="40" w:after="96"/>
              <w:jc w:val="center"/>
              <w:rPr>
                <w:noProof/>
                <w:sz w:val="18"/>
              </w:rPr>
            </w:pPr>
          </w:p>
        </w:tc>
        <w:tc>
          <w:tcPr>
            <w:tcW w:w="562" w:type="pct"/>
          </w:tcPr>
          <w:p w:rsidR="00012390" w:rsidRPr="00806A43" w:rsidRDefault="00012390">
            <w:pPr>
              <w:spacing w:beforeLines="40" w:before="96" w:afterLines="40" w:after="96"/>
              <w:jc w:val="center"/>
              <w:rPr>
                <w:noProof/>
                <w:sz w:val="18"/>
              </w:rPr>
            </w:pPr>
          </w:p>
        </w:tc>
        <w:tc>
          <w:tcPr>
            <w:tcW w:w="557" w:type="pct"/>
          </w:tcPr>
          <w:p w:rsidR="00012390" w:rsidRPr="00806A43" w:rsidRDefault="00012390">
            <w:pPr>
              <w:spacing w:beforeLines="40" w:before="96" w:afterLines="40" w:after="96"/>
              <w:jc w:val="center"/>
              <w:rPr>
                <w:noProof/>
                <w:sz w:val="18"/>
              </w:rPr>
            </w:pPr>
          </w:p>
        </w:tc>
        <w:tc>
          <w:tcPr>
            <w:tcW w:w="679" w:type="pct"/>
          </w:tcPr>
          <w:p w:rsidR="00012390" w:rsidRPr="00806A43" w:rsidRDefault="00012390">
            <w:pPr>
              <w:spacing w:beforeLines="40" w:before="96" w:afterLines="40" w:after="96"/>
              <w:jc w:val="center"/>
              <w:rPr>
                <w:noProof/>
                <w:sz w:val="18"/>
              </w:rPr>
            </w:pPr>
          </w:p>
        </w:tc>
      </w:tr>
    </w:tbl>
    <w:p w:rsidR="00012390" w:rsidRPr="00806A43" w:rsidRDefault="00012390" w:rsidP="00012390">
      <w:pPr>
        <w:pStyle w:val="Text1"/>
        <w:rPr>
          <w:noProof/>
          <w:szCs w:val="24"/>
        </w:rPr>
      </w:pPr>
      <w:r w:rsidRPr="00806A43">
        <w:rPr>
          <w:noProof/>
        </w:rPr>
        <w:t>Pour les recettes affectées, préciser la(les) ligne(s) budgétaire(s) de dépenses concernée(s).</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Text1"/>
        <w:rPr>
          <w:noProof/>
          <w:szCs w:val="24"/>
        </w:rPr>
      </w:pPr>
      <w:r w:rsidRPr="00806A43">
        <w:rPr>
          <w:noProof/>
        </w:rPr>
        <w:t>Autres remarques (relatives par exemple à la méthode/formule utilisée pour le calcul de l’incidence sur les recettes ou toute autre information).</w:t>
      </w:r>
    </w:p>
    <w:p w:rsidR="00012390" w:rsidRPr="00806A43" w:rsidRDefault="00012390" w:rsidP="00012390">
      <w:pPr>
        <w:pStyle w:val="Text1"/>
        <w:pBdr>
          <w:top w:val="single" w:sz="4" w:space="1" w:color="auto"/>
          <w:left w:val="single" w:sz="4" w:space="4" w:color="auto"/>
          <w:bottom w:val="single" w:sz="4" w:space="1" w:color="auto"/>
          <w:right w:val="single" w:sz="4" w:space="4" w:color="auto"/>
        </w:pBdr>
        <w:rPr>
          <w:noProof/>
        </w:rPr>
      </w:pPr>
    </w:p>
    <w:p w:rsidR="00012390" w:rsidRPr="00806A43" w:rsidRDefault="00012390" w:rsidP="00012390">
      <w:pPr>
        <w:pStyle w:val="ManualHeading1"/>
        <w:rPr>
          <w:caps/>
          <w:noProof/>
        </w:rPr>
      </w:pPr>
      <w:bookmarkStart w:id="182" w:name="_Toc167220301"/>
      <w:bookmarkStart w:id="183" w:name="_Toc177549035"/>
      <w:r w:rsidRPr="00806A43">
        <w:rPr>
          <w:noProof/>
        </w:rPr>
        <w:t>4.</w:t>
      </w:r>
      <w:r w:rsidRPr="00806A43">
        <w:rPr>
          <w:noProof/>
        </w:rPr>
        <w:tab/>
      </w:r>
      <w:bookmarkStart w:id="184" w:name="_Hlk167692977"/>
      <w:r w:rsidRPr="00806A43">
        <w:rPr>
          <w:caps/>
          <w:noProof/>
        </w:rPr>
        <w:t>Dimensions numériques</w:t>
      </w:r>
      <w:bookmarkEnd w:id="182"/>
      <w:bookmarkEnd w:id="183"/>
    </w:p>
    <w:p w:rsidR="00012390" w:rsidRPr="00806A43" w:rsidRDefault="00012390" w:rsidP="00920910">
      <w:pPr>
        <w:pStyle w:val="ManualHeading2"/>
        <w:pBdr>
          <w:top w:val="single" w:sz="4" w:space="1" w:color="000000"/>
          <w:left w:val="single" w:sz="4" w:space="4" w:color="000000"/>
          <w:bottom w:val="single" w:sz="4" w:space="1" w:color="000000"/>
          <w:right w:val="single" w:sz="4" w:space="4" w:color="000000"/>
        </w:pBdr>
        <w:spacing w:line="259" w:lineRule="auto"/>
        <w:rPr>
          <w:noProof/>
        </w:rPr>
      </w:pPr>
      <w:bookmarkStart w:id="185" w:name="_Toc167220302"/>
      <w:bookmarkStart w:id="186" w:name="_Toc177549037"/>
      <w:r w:rsidRPr="00806A43">
        <w:rPr>
          <w:noProof/>
        </w:rPr>
        <w:t>4.1.</w:t>
      </w:r>
      <w:r w:rsidRPr="00806A43">
        <w:rPr>
          <w:noProof/>
        </w:rPr>
        <w:tab/>
        <w:t>Exigences pertinentes en matière numérique</w:t>
      </w:r>
      <w:bookmarkEnd w:id="185"/>
      <w:bookmarkEnd w:id="186"/>
    </w:p>
    <w:tbl>
      <w:tblPr>
        <w:tblStyle w:val="TableGrid"/>
        <w:tblW w:w="9072" w:type="dxa"/>
        <w:tblInd w:w="-5" w:type="dxa"/>
        <w:tblLayout w:type="fixed"/>
        <w:tblLook w:val="06A0" w:firstRow="1" w:lastRow="0" w:firstColumn="1" w:lastColumn="0" w:noHBand="1" w:noVBand="1"/>
      </w:tblPr>
      <w:tblGrid>
        <w:gridCol w:w="9072"/>
      </w:tblGrid>
      <w:tr w:rsidR="00012390" w:rsidRPr="00806A43">
        <w:trPr>
          <w:trHeight w:val="300"/>
        </w:trPr>
        <w:tc>
          <w:tcPr>
            <w:tcW w:w="9072" w:type="dxa"/>
          </w:tcPr>
          <w:p w:rsidR="00012390" w:rsidRPr="00806A43" w:rsidRDefault="27AC6EFD">
            <w:pPr>
              <w:rPr>
                <w:noProof/>
              </w:rPr>
            </w:pPr>
            <w:r w:rsidRPr="00806A43">
              <w:rPr>
                <w:noProof/>
              </w:rPr>
              <w:t xml:space="preserve">L’initiative apporte un soutien à un pays tiers et n’établit pas de nouveaux services publics numériques à l’échelle de l’UE pour des personnes physiques ou morales au sein de l’Union. Toutefois, le prêt de soutien à l’Ukraine est soutenu par des éléments numériques. En effet, la gestion de l’assistance financière, le soutien aux capacités industrielles dans le domaine de la défense et les initiatives de prêt nécessitent l’échange, la vérification et le stockage d’informations ainsi que leur communication au Conseil et au Parlement européen, s’il y a lieu. </w:t>
            </w:r>
          </w:p>
          <w:p w:rsidR="00012390" w:rsidRPr="00806A43" w:rsidRDefault="27AC6EFD">
            <w:pPr>
              <w:rPr>
                <w:noProof/>
              </w:rPr>
            </w:pPr>
            <w:r w:rsidRPr="00806A43">
              <w:rPr>
                <w:b/>
                <w:noProof/>
              </w:rPr>
              <w:t>Exigence 1</w:t>
            </w:r>
            <w:r w:rsidRPr="00806A43">
              <w:rPr>
                <w:noProof/>
              </w:rPr>
              <w:t xml:space="preserve"> – Processus numériques pour le financement et l’exécution. </w:t>
            </w:r>
          </w:p>
          <w:p w:rsidR="00012390" w:rsidRPr="00806A43" w:rsidRDefault="27AC6EFD">
            <w:pPr>
              <w:rPr>
                <w:noProof/>
                <w:szCs w:val="24"/>
              </w:rPr>
            </w:pPr>
            <w:r w:rsidRPr="00806A43">
              <w:rPr>
                <w:b/>
                <w:noProof/>
              </w:rPr>
              <w:t>Description</w:t>
            </w:r>
            <w:r w:rsidRPr="00806A43">
              <w:rPr>
                <w:noProof/>
              </w:rPr>
              <w:t>: transmission, par voie électronique, de rapports, de déclarations ou de pièces justificatives au moyen de canaux sécurisés et de systèmes de la Commission pour les procédures telles que les demandes, les vérifications, les décisions d’exécution ou les décaissements.</w:t>
            </w:r>
          </w:p>
          <w:p w:rsidR="00012390" w:rsidRPr="00806A43" w:rsidRDefault="27AC6EFD">
            <w:pPr>
              <w:rPr>
                <w:noProof/>
                <w:szCs w:val="24"/>
              </w:rPr>
            </w:pPr>
            <w:r w:rsidRPr="00806A43">
              <w:rPr>
                <w:b/>
                <w:noProof/>
              </w:rPr>
              <w:t>Parties prenantes</w:t>
            </w:r>
            <w:r w:rsidRPr="00806A43">
              <w:rPr>
                <w:noProof/>
              </w:rPr>
              <w:t>: services de la Commission et Conseil; autorités bénéficiaires et SEAE pour le suivi des conditions préalables définies à l’article 5.</w:t>
            </w:r>
          </w:p>
          <w:p w:rsidR="00012390" w:rsidRPr="00806A43" w:rsidRDefault="27AC6EFD">
            <w:pPr>
              <w:rPr>
                <w:noProof/>
                <w:szCs w:val="24"/>
              </w:rPr>
            </w:pPr>
            <w:r w:rsidRPr="00806A43">
              <w:rPr>
                <w:b/>
                <w:noProof/>
              </w:rPr>
              <w:t>Processus</w:t>
            </w:r>
            <w:r w:rsidRPr="00806A43">
              <w:rPr>
                <w:noProof/>
              </w:rPr>
              <w:t>: rapports, suivi, gestion financière et échange d’informations.</w:t>
            </w:r>
          </w:p>
          <w:p w:rsidR="00012390" w:rsidRPr="00806A43" w:rsidRDefault="27AC6EFD">
            <w:pPr>
              <w:rPr>
                <w:noProof/>
              </w:rPr>
            </w:pPr>
            <w:r w:rsidRPr="00806A43">
              <w:rPr>
                <w:noProof/>
              </w:rPr>
              <w:t xml:space="preserve"> </w:t>
            </w:r>
          </w:p>
          <w:p w:rsidR="00012390" w:rsidRPr="00806A43" w:rsidRDefault="27AC6EFD">
            <w:pPr>
              <w:rPr>
                <w:noProof/>
              </w:rPr>
            </w:pPr>
            <w:r w:rsidRPr="00806A43">
              <w:rPr>
                <w:b/>
                <w:noProof/>
              </w:rPr>
              <w:t>Exigence 2</w:t>
            </w:r>
            <w:r w:rsidRPr="00806A43">
              <w:rPr>
                <w:noProof/>
              </w:rPr>
              <w:t xml:space="preserve"> – Échanges avec le Parlement européen et le Conseil, y compris d’informations pertinentes pour l’audit (en particulier articles 37 et 39) </w:t>
            </w:r>
          </w:p>
          <w:p w:rsidR="00012390" w:rsidRPr="00806A43" w:rsidRDefault="27AC6EFD" w:rsidP="2BD41B1E">
            <w:pPr>
              <w:rPr>
                <w:noProof/>
              </w:rPr>
            </w:pPr>
            <w:r w:rsidRPr="00806A43">
              <w:rPr>
                <w:b/>
                <w:noProof/>
              </w:rPr>
              <w:t>Description</w:t>
            </w:r>
            <w:r w:rsidRPr="00806A43">
              <w:rPr>
                <w:noProof/>
              </w:rPr>
              <w:t xml:space="preserve">: la Commission doit, au besoin, fournir au Parlement européen et au Conseil les rapports et les informations sensibles via des systèmes sécurisés. </w:t>
            </w:r>
            <w:r w:rsidRPr="00806A43">
              <w:rPr>
                <w:noProof/>
              </w:rPr>
              <w:br/>
              <w:t xml:space="preserve"> </w:t>
            </w:r>
            <w:r w:rsidRPr="00806A43">
              <w:rPr>
                <w:b/>
                <w:noProof/>
              </w:rPr>
              <w:t>Parties prenantes</w:t>
            </w:r>
            <w:r w:rsidRPr="00806A43">
              <w:rPr>
                <w:noProof/>
              </w:rPr>
              <w:t xml:space="preserve">: services de la Commission; Parlement européen; Conseil; autorités bénéficiaires (en amont). </w:t>
            </w:r>
            <w:r w:rsidRPr="00806A43">
              <w:rPr>
                <w:noProof/>
              </w:rPr>
              <w:br/>
              <w:t xml:space="preserve"> </w:t>
            </w:r>
            <w:r w:rsidRPr="00806A43">
              <w:rPr>
                <w:b/>
                <w:noProof/>
              </w:rPr>
              <w:t>Processus</w:t>
            </w:r>
            <w:r w:rsidRPr="00806A43">
              <w:rPr>
                <w:noProof/>
              </w:rPr>
              <w:t xml:space="preserve">: établissement de rapports; échange d’informations d’audit; transmission de documents classifiés/sensibles. </w:t>
            </w:r>
          </w:p>
        </w:tc>
      </w:tr>
    </w:tbl>
    <w:p w:rsidR="00012390" w:rsidRPr="00806A43" w:rsidRDefault="00012390" w:rsidP="00012390">
      <w:pPr>
        <w:pStyle w:val="ManualHeading2"/>
        <w:rPr>
          <w:noProof/>
        </w:rPr>
      </w:pPr>
      <w:bookmarkStart w:id="187" w:name="_Toc167220303"/>
      <w:bookmarkStart w:id="188" w:name="_Toc177549038"/>
      <w:r w:rsidRPr="00806A43">
        <w:rPr>
          <w:noProof/>
        </w:rPr>
        <w:t>4.2.</w:t>
      </w:r>
      <w:r w:rsidRPr="00806A43">
        <w:rPr>
          <w:noProof/>
        </w:rPr>
        <w:tab/>
        <w:t>Données</w:t>
      </w:r>
      <w:bookmarkEnd w:id="187"/>
      <w:bookmarkEnd w:id="188"/>
    </w:p>
    <w:tbl>
      <w:tblPr>
        <w:tblStyle w:val="TableGrid"/>
        <w:tblW w:w="0" w:type="auto"/>
        <w:tblLook w:val="04A0" w:firstRow="1" w:lastRow="0" w:firstColumn="1" w:lastColumn="0" w:noHBand="0" w:noVBand="1"/>
      </w:tblPr>
      <w:tblGrid>
        <w:gridCol w:w="9063"/>
      </w:tblGrid>
      <w:tr w:rsidR="00012390" w:rsidRPr="00806A43">
        <w:tc>
          <w:tcPr>
            <w:tcW w:w="9063" w:type="dxa"/>
          </w:tcPr>
          <w:p w:rsidR="00012390" w:rsidRPr="00806A43" w:rsidRDefault="73FF0DFA">
            <w:pPr>
              <w:rPr>
                <w:noProof/>
              </w:rPr>
            </w:pPr>
            <w:r w:rsidRPr="00806A43">
              <w:rPr>
                <w:noProof/>
              </w:rPr>
              <w:t>Pour les exigences 1 et 2, les données comprennent des chiffres financiers, des documents relatifs aux décaissements et d’autres informations (y compris des documents potentiellement sensibles/classifiés).</w:t>
            </w:r>
          </w:p>
          <w:p w:rsidR="00012390" w:rsidRPr="00806A43" w:rsidRDefault="73FF0DFA">
            <w:pPr>
              <w:rPr>
                <w:noProof/>
                <w:szCs w:val="24"/>
              </w:rPr>
            </w:pPr>
            <w:r w:rsidRPr="00806A43">
              <w:rPr>
                <w:noProof/>
              </w:rPr>
              <w:t>Les échanges de données sont liés à une finalité bien précise, minimaux, interopérables et réalisés au moyen des systèmes sécurisés existants de l’UE, évitent la duplication de la collecte de données et sont en conformité avec la stratégie européenne pour les données.</w:t>
            </w:r>
          </w:p>
          <w:p w:rsidR="00012390" w:rsidRPr="00806A43" w:rsidRDefault="73FF0DFA">
            <w:pPr>
              <w:rPr>
                <w:noProof/>
                <w:szCs w:val="24"/>
              </w:rPr>
            </w:pPr>
            <w:r w:rsidRPr="00806A43">
              <w:rPr>
                <w:noProof/>
              </w:rPr>
              <w:t>Les ensembles de données et canaux d’information existants de la Commission seront réutilisés, l’objectif étant que les données déjà soumises à des fins de décaissement ou de suivi ne soient pas à nouveau demandées, conformément au principe «une fois pour toutes».</w:t>
            </w:r>
          </w:p>
          <w:p w:rsidR="00012390" w:rsidRPr="00806A43" w:rsidRDefault="73FF0DFA">
            <w:pPr>
              <w:rPr>
                <w:noProof/>
              </w:rPr>
            </w:pPr>
            <w:r w:rsidRPr="00806A43">
              <w:rPr>
                <w:b/>
                <w:noProof/>
              </w:rPr>
              <w:t>Fournisseurs:</w:t>
            </w:r>
            <w:r w:rsidRPr="00806A43">
              <w:rPr>
                <w:noProof/>
              </w:rPr>
              <w:t xml:space="preserve"> Autorités bénéficiaires (exigence 1).</w:t>
            </w:r>
          </w:p>
          <w:p w:rsidR="00012390" w:rsidRPr="00806A43" w:rsidRDefault="73FF0DFA">
            <w:pPr>
              <w:rPr>
                <w:noProof/>
              </w:rPr>
            </w:pPr>
            <w:r w:rsidRPr="00806A43">
              <w:rPr>
                <w:b/>
                <w:noProof/>
              </w:rPr>
              <w:t>Destinataires:</w:t>
            </w:r>
            <w:r w:rsidRPr="00806A43">
              <w:rPr>
                <w:noProof/>
              </w:rPr>
              <w:t xml:space="preserve"> services de la Commission; Parlement européen et Conseil pour les rapports (exigence 2).</w:t>
            </w:r>
          </w:p>
          <w:p w:rsidR="00012390" w:rsidRPr="00806A43" w:rsidRDefault="73FF0DFA">
            <w:pPr>
              <w:rPr>
                <w:noProof/>
                <w:szCs w:val="24"/>
              </w:rPr>
            </w:pPr>
            <w:r w:rsidRPr="00806A43">
              <w:rPr>
                <w:b/>
                <w:noProof/>
              </w:rPr>
              <w:t>Éléments déclencheurs:</w:t>
            </w:r>
            <w:r w:rsidRPr="00806A43">
              <w:rPr>
                <w:noProof/>
              </w:rPr>
              <w:t xml:space="preserve"> cycles de rapports, demandes de décaissement, notifications de garanties et exigences en matière d’audit.</w:t>
            </w:r>
          </w:p>
          <w:p w:rsidR="00012390" w:rsidRPr="00806A43" w:rsidRDefault="73FF0DFA" w:rsidP="40E70155">
            <w:pPr>
              <w:rPr>
                <w:noProof/>
              </w:rPr>
            </w:pPr>
            <w:r w:rsidRPr="00806A43">
              <w:rPr>
                <w:b/>
                <w:noProof/>
              </w:rPr>
              <w:t>Fréquence:</w:t>
            </w:r>
            <w:r w:rsidRPr="00806A43">
              <w:rPr>
                <w:noProof/>
              </w:rPr>
              <w:t xml:space="preserve"> périodiques (par exemple, mensuelle, ou de toute autre manière définie dans le règlement) et ad hoc pour les besoins financiers ou d’audit. </w:t>
            </w:r>
          </w:p>
        </w:tc>
      </w:tr>
    </w:tbl>
    <w:p w:rsidR="00012390" w:rsidRPr="00806A43" w:rsidRDefault="00012390" w:rsidP="00012390">
      <w:pPr>
        <w:pStyle w:val="ManualHeading2"/>
        <w:rPr>
          <w:noProof/>
        </w:rPr>
      </w:pPr>
      <w:bookmarkStart w:id="189" w:name="_Toc167220305"/>
      <w:bookmarkStart w:id="190" w:name="_Toc177549039"/>
      <w:r w:rsidRPr="00806A43">
        <w:rPr>
          <w:noProof/>
        </w:rPr>
        <w:t>4.3.</w:t>
      </w:r>
      <w:r w:rsidRPr="00806A43">
        <w:rPr>
          <w:noProof/>
        </w:rPr>
        <w:tab/>
        <w:t>Solutions numériques</w:t>
      </w:r>
      <w:bookmarkEnd w:id="189"/>
      <w:bookmarkEnd w:id="190"/>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012390" w:rsidRPr="00806A43">
        <w:tc>
          <w:tcPr>
            <w:tcW w:w="9067" w:type="dxa"/>
          </w:tcPr>
          <w:tbl>
            <w:tblPr>
              <w:tblW w:w="0" w:type="auto"/>
              <w:tblLook w:val="06A0" w:firstRow="1" w:lastRow="0" w:firstColumn="1" w:lastColumn="0" w:noHBand="1" w:noVBand="1"/>
            </w:tblPr>
            <w:tblGrid>
              <w:gridCol w:w="8851"/>
            </w:tblGrid>
            <w:tr w:rsidR="2214917E" w:rsidRPr="00806A43" w:rsidTr="2214917E">
              <w:trPr>
                <w:trHeight w:val="300"/>
              </w:trPr>
              <w:tc>
                <w:tcPr>
                  <w:tcW w:w="8857" w:type="dxa"/>
                  <w:tcMar>
                    <w:left w:w="141" w:type="dxa"/>
                    <w:right w:w="141" w:type="dxa"/>
                  </w:tcMar>
                </w:tcPr>
                <w:p w:rsidR="2214917E" w:rsidRPr="00806A43" w:rsidRDefault="2214917E">
                  <w:pPr>
                    <w:framePr w:hSpace="141" w:wrap="around" w:vAnchor="text" w:hAnchor="margin" w:y="2"/>
                    <w:rPr>
                      <w:rFonts w:eastAsia="Times New Roman"/>
                      <w:noProof/>
                      <w:color w:val="000000" w:themeColor="text1"/>
                    </w:rPr>
                  </w:pPr>
                  <w:r w:rsidRPr="00806A43">
                    <w:rPr>
                      <w:noProof/>
                    </w:rPr>
                    <w:t xml:space="preserve">En ce qui concerne l’ensemble des exigences pertinentes en matière numérique (exigences 1 et 2), la Commission doit utiliser un système d’échange sécurisé et des modèles de données </w:t>
                  </w:r>
                  <w:r w:rsidRPr="00806A43">
                    <w:rPr>
                      <w:noProof/>
                      <w:color w:val="000000" w:themeColor="text1"/>
                    </w:rPr>
                    <w:t xml:space="preserve">afin de faciliter l’échange d’informations classifiées et d’informations sensibles entre la Commission et l’Ukraine ainsi que, s’il y a lieu, avec les États membres ou les pays tiers. </w:t>
                  </w:r>
                </w:p>
                <w:p w:rsidR="2214917E" w:rsidRPr="00806A43" w:rsidRDefault="2214917E">
                  <w:pPr>
                    <w:framePr w:hSpace="141" w:wrap="around" w:vAnchor="text" w:hAnchor="margin" w:y="2"/>
                    <w:rPr>
                      <w:rFonts w:eastAsia="Times New Roman"/>
                      <w:noProof/>
                    </w:rPr>
                  </w:pPr>
                  <w:r w:rsidRPr="00806A43">
                    <w:rPr>
                      <w:noProof/>
                    </w:rPr>
                    <w:t>Responsabilité: services de la Commission et autorités bénéficiaires ou États membres ou pays tiers, selon le cas.</w:t>
                  </w:r>
                </w:p>
                <w:p w:rsidR="2214917E" w:rsidRPr="00806A43" w:rsidRDefault="2214917E">
                  <w:pPr>
                    <w:framePr w:hSpace="141" w:wrap="around" w:vAnchor="text" w:hAnchor="margin" w:y="2"/>
                    <w:rPr>
                      <w:rFonts w:eastAsia="Times New Roman"/>
                      <w:noProof/>
                      <w:szCs w:val="24"/>
                    </w:rPr>
                  </w:pPr>
                  <w:r w:rsidRPr="00806A43">
                    <w:rPr>
                      <w:noProof/>
                    </w:rPr>
                    <w:t>IA: aucune fonctionnalité d’IA n’est obligatoire.</w:t>
                  </w:r>
                </w:p>
                <w:p w:rsidR="2214917E" w:rsidRPr="00806A43" w:rsidRDefault="2214917E">
                  <w:pPr>
                    <w:framePr w:hSpace="141" w:wrap="around" w:vAnchor="text" w:hAnchor="margin" w:y="2"/>
                    <w:rPr>
                      <w:rFonts w:eastAsia="Times New Roman"/>
                      <w:noProof/>
                      <w:szCs w:val="24"/>
                    </w:rPr>
                  </w:pPr>
                  <w:r w:rsidRPr="00806A43">
                    <w:rPr>
                      <w:noProof/>
                    </w:rPr>
                    <w:t>Conformité: tous les systèmes doivent être conformes au cadre de cybersécurité de l’UE, à eIDAS, aux règles de protection des données et aux règles de la Commission relatives au traitement des informations classifiées.</w:t>
                  </w:r>
                </w:p>
              </w:tc>
            </w:tr>
          </w:tbl>
          <w:p w:rsidR="00012390" w:rsidRPr="00806A43" w:rsidRDefault="4EDF9567">
            <w:pPr>
              <w:rPr>
                <w:noProof/>
              </w:rPr>
            </w:pPr>
            <w:r w:rsidRPr="00806A43">
              <w:rPr>
                <w:noProof/>
              </w:rPr>
              <w:t>Réutilisabilité</w:t>
            </w:r>
            <w:r w:rsidRPr="00806A43">
              <w:rPr>
                <w:noProof/>
                <w:color w:val="000000" w:themeColor="text1"/>
              </w:rPr>
              <w:t>: toutes les solutions numériques reposent</w:t>
            </w:r>
            <w:r w:rsidRPr="00806A43">
              <w:rPr>
                <w:noProof/>
              </w:rPr>
              <w:t xml:space="preserve"> sur les infrastructures existantes de la Commission. </w:t>
            </w:r>
          </w:p>
        </w:tc>
      </w:tr>
    </w:tbl>
    <w:p w:rsidR="00012390" w:rsidRPr="00806A43" w:rsidRDefault="00012390" w:rsidP="00012390">
      <w:pPr>
        <w:pStyle w:val="ManualHeading2"/>
        <w:rPr>
          <w:rStyle w:val="Emphasis"/>
          <w:b w:val="0"/>
          <w:bCs/>
          <w:i w:val="0"/>
          <w:iCs w:val="0"/>
          <w:noProof/>
        </w:rPr>
      </w:pPr>
      <w:bookmarkStart w:id="191" w:name="_Toc167220304"/>
      <w:bookmarkStart w:id="192" w:name="_Toc177549040"/>
      <w:r w:rsidRPr="00806A43">
        <w:rPr>
          <w:rStyle w:val="Emphasis"/>
          <w:noProof/>
        </w:rPr>
        <w:t>4.4.</w:t>
      </w:r>
      <w:r w:rsidRPr="00806A43">
        <w:rPr>
          <w:noProof/>
        </w:rPr>
        <w:tab/>
      </w:r>
      <w:r w:rsidRPr="00806A43">
        <w:rPr>
          <w:rStyle w:val="Emphasis"/>
          <w:noProof/>
        </w:rPr>
        <w:t>Évaluation de l’interopérabilité</w:t>
      </w:r>
      <w:bookmarkEnd w:id="191"/>
      <w:bookmarkEnd w:id="192"/>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012390" w:rsidRPr="00806A43">
        <w:trPr>
          <w:trHeight w:val="300"/>
        </w:trPr>
        <w:tc>
          <w:tcPr>
            <w:tcW w:w="9067" w:type="dxa"/>
          </w:tcPr>
          <w:p w:rsidR="00012390" w:rsidRPr="00806A43" w:rsidRDefault="52E1633D">
            <w:pPr>
              <w:rPr>
                <w:noProof/>
              </w:rPr>
            </w:pPr>
            <w:r w:rsidRPr="00806A43">
              <w:rPr>
                <w:noProof/>
              </w:rPr>
              <w:t xml:space="preserve">Le règlement exige l’échange sécurisé des informations classifiées/sensibles et l’accès, par la Commission, à toutes les données nécessaires pour satisfaire aux obligations énoncées dans le règlement, y compris la vérification et la protection des données. Toutes les obligations devraient être remplies au moyen des systèmes sécurisés existants de la Commission, sans lacunes en matière d’interopérabilité. Cela contribue au respect des exigences 1 et 2. </w:t>
            </w:r>
          </w:p>
          <w:p w:rsidR="00012390" w:rsidRPr="00806A43" w:rsidRDefault="00012390" w:rsidP="55CD37CB">
            <w:pPr>
              <w:spacing w:line="259" w:lineRule="auto"/>
              <w:rPr>
                <w:noProof/>
              </w:rPr>
            </w:pPr>
          </w:p>
        </w:tc>
      </w:tr>
    </w:tbl>
    <w:p w:rsidR="00012390" w:rsidRPr="00806A43" w:rsidRDefault="00012390" w:rsidP="00012390">
      <w:pPr>
        <w:pStyle w:val="ManualHeading2"/>
        <w:rPr>
          <w:noProof/>
        </w:rPr>
      </w:pPr>
      <w:bookmarkStart w:id="193" w:name="_Toc167220306"/>
      <w:bookmarkStart w:id="194" w:name="_Toc177549041"/>
      <w:r w:rsidRPr="00806A43">
        <w:rPr>
          <w:noProof/>
        </w:rPr>
        <w:t>4.5.</w:t>
      </w:r>
      <w:r w:rsidRPr="00806A43">
        <w:rPr>
          <w:noProof/>
        </w:rPr>
        <w:tab/>
        <w:t>Mesures de soutien de la mise en œuvre numérique</w:t>
      </w:r>
      <w:bookmarkEnd w:id="193"/>
      <w:bookmarkEnd w:id="194"/>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012390" w:rsidRPr="00806A43" w:rsidTr="7B1A5236">
        <w:tc>
          <w:tcPr>
            <w:tcW w:w="9067" w:type="dxa"/>
          </w:tcPr>
          <w:p w:rsidR="7B1A5236" w:rsidRPr="00806A43" w:rsidRDefault="7B1A5236">
            <w:pPr>
              <w:rPr>
                <w:rFonts w:eastAsiaTheme="minorEastAsia"/>
                <w:noProof/>
              </w:rPr>
            </w:pPr>
            <w:r w:rsidRPr="00806A43">
              <w:rPr>
                <w:noProof/>
              </w:rPr>
              <w:t xml:space="preserve">Comme la Commission fournit déjà une assistance au pays bénéficiaire sur la base de cadres de soutien financier et opérationnel existants, aucune mesure supplémentaire en matière de mise en œuvre numérique n’est nécessaire pour les exigences 1 et 2. </w:t>
            </w:r>
            <w:r w:rsidRPr="00806A43">
              <w:rPr>
                <w:b/>
                <w:noProof/>
              </w:rPr>
              <w:t xml:space="preserve"> </w:t>
            </w:r>
          </w:p>
        </w:tc>
      </w:tr>
      <w:bookmarkEnd w:id="184"/>
    </w:tbl>
    <w:p w:rsidR="00012390" w:rsidRPr="00806A43" w:rsidRDefault="00012390" w:rsidP="5D0711BD">
      <w:pPr>
        <w:pStyle w:val="Text1"/>
        <w:rPr>
          <w:noProof/>
        </w:rPr>
      </w:pPr>
    </w:p>
    <w:sectPr w:rsidR="00012390" w:rsidRPr="00806A43" w:rsidSect="00771ED9">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7ED6" w:rsidRDefault="00C27ED6" w:rsidP="00337BB6">
      <w:pPr>
        <w:spacing w:before="0" w:after="0"/>
      </w:pPr>
      <w:r>
        <w:separator/>
      </w:r>
    </w:p>
  </w:endnote>
  <w:endnote w:type="continuationSeparator" w:id="0">
    <w:p w:rsidR="00C27ED6" w:rsidRDefault="00C27ED6" w:rsidP="00337BB6">
      <w:pPr>
        <w:spacing w:before="0" w:after="0"/>
      </w:pPr>
      <w:r>
        <w:continuationSeparator/>
      </w:r>
    </w:p>
  </w:endnote>
  <w:endnote w:type="continuationNotice" w:id="1">
    <w:p w:rsidR="00C27ED6" w:rsidRDefault="00C27ED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EU Albertin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Footer"/>
      <w:rPr>
        <w:rFonts w:ascii="Arial" w:hAnsi="Arial" w:cs="Arial"/>
        <w:b/>
        <w:sz w:val="48"/>
      </w:rPr>
    </w:pPr>
    <w:r w:rsidRPr="00771ED9">
      <w:rPr>
        <w:rFonts w:ascii="Arial" w:hAnsi="Arial" w:cs="Arial"/>
        <w:b/>
        <w:sz w:val="48"/>
      </w:rPr>
      <w:t>FR</w:t>
    </w:r>
    <w:r w:rsidRPr="00771ED9">
      <w:rPr>
        <w:rFonts w:ascii="Arial" w:hAnsi="Arial" w:cs="Arial"/>
        <w:b/>
        <w:sz w:val="48"/>
      </w:rPr>
      <w:tab/>
    </w:r>
    <w:r w:rsidRPr="00771ED9">
      <w:rPr>
        <w:rFonts w:ascii="Arial" w:hAnsi="Arial" w:cs="Arial"/>
        <w:b/>
        <w:sz w:val="48"/>
      </w:rPr>
      <w:tab/>
    </w:r>
    <w:r w:rsidRPr="00771ED9">
      <w:tab/>
    </w:r>
    <w:r w:rsidRPr="00771ED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Footer"/>
      <w:rPr>
        <w:rFonts w:ascii="Arial" w:hAnsi="Arial" w:cs="Arial"/>
        <w:b/>
        <w:sz w:val="48"/>
      </w:rPr>
    </w:pPr>
    <w:r w:rsidRPr="00771ED9">
      <w:rPr>
        <w:rFonts w:ascii="Arial" w:hAnsi="Arial" w:cs="Arial"/>
        <w:b/>
        <w:sz w:val="48"/>
      </w:rPr>
      <w:t>FR</w:t>
    </w:r>
    <w:r w:rsidRPr="00771ED9">
      <w:rPr>
        <w:rFonts w:ascii="Arial" w:hAnsi="Arial" w:cs="Arial"/>
        <w:b/>
        <w:sz w:val="48"/>
      </w:rPr>
      <w:tab/>
    </w:r>
    <w:r w:rsidRPr="00771ED9">
      <w:rPr>
        <w:rFonts w:ascii="Arial" w:hAnsi="Arial" w:cs="Arial"/>
        <w:b/>
        <w:sz w:val="48"/>
      </w:rPr>
      <w:tab/>
    </w:r>
    <w:r w:rsidRPr="00771ED9">
      <w:tab/>
    </w:r>
    <w:r w:rsidRPr="00771ED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Default="00771ED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Footer"/>
      <w:rPr>
        <w:rFonts w:ascii="Arial" w:hAnsi="Arial" w:cs="Arial"/>
        <w:b/>
        <w:sz w:val="48"/>
      </w:rPr>
    </w:pPr>
    <w:r w:rsidRPr="00771ED9">
      <w:rPr>
        <w:rFonts w:ascii="Arial" w:hAnsi="Arial" w:cs="Arial"/>
        <w:b/>
        <w:sz w:val="48"/>
      </w:rPr>
      <w:t>FR</w:t>
    </w:r>
    <w:r w:rsidRPr="00771ED9">
      <w:rPr>
        <w:rFonts w:ascii="Arial" w:hAnsi="Arial" w:cs="Arial"/>
        <w:b/>
        <w:sz w:val="48"/>
      </w:rPr>
      <w:tab/>
    </w:r>
    <w:r>
      <w:fldChar w:fldCharType="begin"/>
    </w:r>
    <w:r>
      <w:instrText xml:space="preserve"> PAGE  \* MERGEFORMAT </w:instrText>
    </w:r>
    <w:r>
      <w:fldChar w:fldCharType="separate"/>
    </w:r>
    <w:r w:rsidR="00D10569">
      <w:rPr>
        <w:noProof/>
      </w:rPr>
      <w:t>1</w:t>
    </w:r>
    <w:r>
      <w:fldChar w:fldCharType="end"/>
    </w:r>
    <w:r>
      <w:tab/>
    </w:r>
    <w:r w:rsidRPr="00771ED9">
      <w:tab/>
    </w:r>
    <w:r w:rsidRPr="00771ED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Default="00771ED9" w:rsidP="00771ED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FooterLandscape"/>
      <w:rPr>
        <w:rFonts w:ascii="Arial" w:hAnsi="Arial" w:cs="Arial"/>
        <w:b/>
        <w:sz w:val="48"/>
      </w:rPr>
    </w:pPr>
    <w:r w:rsidRPr="00771ED9">
      <w:rPr>
        <w:rFonts w:ascii="Arial" w:hAnsi="Arial" w:cs="Arial"/>
        <w:b/>
        <w:sz w:val="48"/>
      </w:rPr>
      <w:t>FR</w:t>
    </w:r>
    <w:r w:rsidRPr="00771ED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71ED9">
      <w:tab/>
    </w:r>
    <w:r w:rsidRPr="00771ED9">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Footer"/>
      <w:rPr>
        <w:rFonts w:ascii="Arial" w:hAnsi="Arial" w:cs="Arial"/>
        <w:b/>
        <w:sz w:val="48"/>
      </w:rPr>
    </w:pPr>
    <w:r w:rsidRPr="00771ED9">
      <w:rPr>
        <w:rFonts w:ascii="Arial" w:hAnsi="Arial" w:cs="Arial"/>
        <w:b/>
        <w:sz w:val="48"/>
      </w:rPr>
      <w:t>FR</w:t>
    </w:r>
    <w:r w:rsidRPr="00771ED9">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771ED9">
      <w:tab/>
    </w:r>
    <w:r w:rsidRPr="00771ED9">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7ED6" w:rsidRDefault="00C27ED6" w:rsidP="00337BB6">
      <w:pPr>
        <w:spacing w:before="0" w:after="0"/>
      </w:pPr>
      <w:r>
        <w:separator/>
      </w:r>
    </w:p>
  </w:footnote>
  <w:footnote w:type="continuationSeparator" w:id="0">
    <w:p w:rsidR="00C27ED6" w:rsidRDefault="00C27ED6" w:rsidP="00337BB6">
      <w:pPr>
        <w:spacing w:before="0" w:after="0"/>
      </w:pPr>
      <w:r>
        <w:continuationSeparator/>
      </w:r>
    </w:p>
  </w:footnote>
  <w:footnote w:type="continuationNotice" w:id="1">
    <w:p w:rsidR="00C27ED6" w:rsidRDefault="00C27ED6">
      <w:pPr>
        <w:spacing w:before="0" w:after="0"/>
      </w:pPr>
    </w:p>
  </w:footnote>
  <w:footnote w:id="2">
    <w:p w:rsidR="05459D09" w:rsidRPr="00806A43" w:rsidRDefault="05459D09" w:rsidP="05459D09">
      <w:pPr>
        <w:pStyle w:val="FootnoteText"/>
      </w:pPr>
      <w:r>
        <w:rPr>
          <w:rStyle w:val="FootnoteReference"/>
        </w:rPr>
        <w:footnoteRef/>
      </w:r>
      <w:r w:rsidRPr="00806A43">
        <w:tab/>
        <w:t>Règlement (UE) 2024/792 du Parlement européen et du Conseil du 29 février 2024 établissant la facilité pour l’Ukraine (JO L, 2024/792, 29.2.2024, ELI: http://data.europa.eu/eli/reg/2024/792/oj).</w:t>
      </w:r>
    </w:p>
  </w:footnote>
  <w:footnote w:id="3">
    <w:p w:rsidR="54CABECD" w:rsidRPr="00806A43" w:rsidRDefault="54CABECD" w:rsidP="54CABECD">
      <w:pPr>
        <w:pStyle w:val="FootnoteText"/>
      </w:pPr>
      <w:r>
        <w:rPr>
          <w:rStyle w:val="FootnoteReference"/>
        </w:rPr>
        <w:footnoteRef/>
      </w:r>
      <w:r w:rsidRPr="00806A43">
        <w:tab/>
        <w:t>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 (Texte présentant de l’intérêt pour l’EEE) (JO L 209 du 14.6.2021, p. 1, ELI: http://data.europa.eu/eli/reg/2021/947/2021-06-14).</w:t>
      </w:r>
    </w:p>
  </w:footnote>
  <w:footnote w:id="4">
    <w:p w:rsidR="1A8735B3" w:rsidRPr="00806A43" w:rsidRDefault="1A8735B3" w:rsidP="1A8735B3">
      <w:pPr>
        <w:pStyle w:val="FootnoteText"/>
      </w:pPr>
      <w:r>
        <w:rPr>
          <w:rStyle w:val="FootnoteReference"/>
        </w:rPr>
        <w:footnoteRef/>
      </w:r>
      <w:r w:rsidRPr="00806A43">
        <w:tab/>
        <w:t>Règlement (CE) nº 1257/96 du Conseil du 20 juin 1996 concernant l’aide humanitaire (JO L 163 du</w:t>
      </w:r>
      <w:r w:rsidR="00806A43">
        <w:t> </w:t>
      </w:r>
      <w:r w:rsidRPr="00806A43">
        <w:t>2.7.1996, p. 1, ELI: http://data.europa.eu/eli/reg/1996/1257/2019-07-26).</w:t>
      </w:r>
    </w:p>
  </w:footnote>
  <w:footnote w:id="5">
    <w:p w:rsidR="00337BB6" w:rsidRPr="00806A43" w:rsidRDefault="00337BB6" w:rsidP="00337BB6">
      <w:pPr>
        <w:pStyle w:val="FootnoteText"/>
      </w:pPr>
      <w:r>
        <w:rPr>
          <w:rStyle w:val="FootnoteReference"/>
        </w:rPr>
        <w:footnoteRef/>
      </w:r>
      <w:r w:rsidRPr="00806A43">
        <w:tab/>
        <w:t xml:space="preserve">Règlement (UE) 2024/792 du Parlement européen et du Conseil du 29 février 2024 établissant la facilité pour l’Ukraine (JO L, 2024/792, 29.2.2024, ELI: </w:t>
      </w:r>
      <w:hyperlink r:id="rId1">
        <w:r w:rsidRPr="00806A43">
          <w:rPr>
            <w:rStyle w:val="Hyperlink"/>
          </w:rPr>
          <w:t>http://data.europa.eu/eli/reg/2024/792/oj</w:t>
        </w:r>
      </w:hyperlink>
      <w:r w:rsidRPr="00806A43">
        <w:t>).</w:t>
      </w:r>
    </w:p>
  </w:footnote>
  <w:footnote w:id="6">
    <w:p w:rsidR="008112FB" w:rsidRPr="00806A43" w:rsidRDefault="008112FB" w:rsidP="008112FB">
      <w:pPr>
        <w:pStyle w:val="FootnoteText"/>
      </w:pPr>
      <w:r>
        <w:rPr>
          <w:rStyle w:val="FootnoteReference"/>
        </w:rPr>
        <w:footnoteRef/>
      </w:r>
      <w:r w:rsidRPr="00806A43">
        <w:tab/>
        <w:t>Proposition de règlement du Parlement européen et du Conseil mettant en œuvre une coopération renforcée concernant l’établissement du prêt de soutien à l’Ukraine pour 2026 et 2027 (JO …, ELI: …</w:t>
      </w:r>
    </w:p>
  </w:footnote>
  <w:footnote w:id="7">
    <w:p w:rsidR="00012390" w:rsidRPr="00806A43" w:rsidRDefault="00012390" w:rsidP="00012390">
      <w:pPr>
        <w:pStyle w:val="FootnoteText"/>
      </w:pPr>
      <w:r>
        <w:rPr>
          <w:rStyle w:val="FootnoteReference"/>
        </w:rPr>
        <w:footnoteRef/>
      </w:r>
      <w:r w:rsidRPr="00806A43">
        <w:tab/>
        <w:t>Tel(le) que visé(e) à l’article 58, paragraphe 2, point a) ou b), du règlement financier.</w:t>
      </w:r>
    </w:p>
  </w:footnote>
  <w:footnote w:id="8">
    <w:p w:rsidR="00012390" w:rsidRPr="00806A43" w:rsidRDefault="00012390" w:rsidP="00012390">
      <w:pPr>
        <w:pStyle w:val="FootnoteText"/>
        <w:rPr>
          <w:szCs w:val="24"/>
        </w:rPr>
      </w:pPr>
      <w:r>
        <w:rPr>
          <w:rStyle w:val="FootnoteReference"/>
        </w:rPr>
        <w:footnoteRef/>
      </w:r>
      <w:r w:rsidRPr="00806A43">
        <w:tab/>
        <w:t>CD = crédits dissociés / CND = crédits non dissociés.</w:t>
      </w:r>
    </w:p>
  </w:footnote>
  <w:footnote w:id="9">
    <w:p w:rsidR="00012390" w:rsidRPr="00806A43" w:rsidRDefault="00012390" w:rsidP="00012390">
      <w:pPr>
        <w:pStyle w:val="FootnoteText"/>
        <w:rPr>
          <w:szCs w:val="24"/>
        </w:rPr>
      </w:pPr>
      <w:r>
        <w:rPr>
          <w:rStyle w:val="FootnoteReference"/>
        </w:rPr>
        <w:footnoteRef/>
      </w:r>
      <w:r w:rsidRPr="00806A43">
        <w:tab/>
        <w:t xml:space="preserve">AELE: Association européenne de libre-échange. </w:t>
      </w:r>
    </w:p>
  </w:footnote>
  <w:footnote w:id="10">
    <w:p w:rsidR="00012390" w:rsidRPr="00806A43" w:rsidRDefault="00012390" w:rsidP="00012390">
      <w:pPr>
        <w:pStyle w:val="FootnoteText"/>
        <w:rPr>
          <w:szCs w:val="24"/>
        </w:rPr>
      </w:pPr>
      <w:r>
        <w:rPr>
          <w:rStyle w:val="FootnoteReference"/>
        </w:rPr>
        <w:footnoteRef/>
      </w:r>
      <w:r w:rsidRPr="00806A43">
        <w:tab/>
        <w:t>Pays candidats et, le cas échéant, pays candidats potentiels des Balkans occidentaux.</w:t>
      </w:r>
    </w:p>
  </w:footnote>
  <w:footnote w:id="11">
    <w:p w:rsidR="00012390" w:rsidRPr="00806A43" w:rsidRDefault="00012390" w:rsidP="00012390">
      <w:pPr>
        <w:pStyle w:val="FootnoteText"/>
        <w:rPr>
          <w:szCs w:val="24"/>
        </w:rPr>
      </w:pPr>
      <w:r>
        <w:rPr>
          <w:rStyle w:val="FootnoteReference"/>
        </w:rPr>
        <w:footnoteRef/>
      </w:r>
      <w:r w:rsidRPr="00806A43">
        <w:tab/>
        <w:t>Les réalisations se réfèrent aux produits et services qui seront fournis (par exemple: nombre d’échanges d’étudiants financés, nombre de km de routes construites, etc.).</w:t>
      </w:r>
    </w:p>
  </w:footnote>
  <w:footnote w:id="12">
    <w:p w:rsidR="00012390" w:rsidRPr="00806A43" w:rsidRDefault="00012390" w:rsidP="00012390">
      <w:pPr>
        <w:pStyle w:val="FootnoteText"/>
        <w:rPr>
          <w:szCs w:val="24"/>
        </w:rPr>
      </w:pPr>
      <w:r>
        <w:rPr>
          <w:rStyle w:val="FootnoteReference"/>
        </w:rPr>
        <w:footnoteRef/>
      </w:r>
      <w:r w:rsidRPr="00806A43">
        <w:tab/>
        <w:t xml:space="preserve">Tel que décrit dans la section 1.3.2. «Objectif(s) spécifique(s)». </w:t>
      </w:r>
    </w:p>
  </w:footnote>
  <w:footnote w:id="13">
    <w:p w:rsidR="00012390" w:rsidRPr="00806A43" w:rsidRDefault="00012390" w:rsidP="00012390">
      <w:pPr>
        <w:pStyle w:val="FootnoteText"/>
        <w:rPr>
          <w:szCs w:val="24"/>
        </w:rPr>
      </w:pPr>
      <w:r>
        <w:rPr>
          <w:rStyle w:val="FootnoteReference"/>
        </w:rPr>
        <w:footnoteRef/>
      </w:r>
      <w:r w:rsidRPr="00806A43">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Default="00771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Default="00771ED9" w:rsidP="00771E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ED9" w:rsidRPr="00771ED9" w:rsidRDefault="00771ED9" w:rsidP="00771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3:48: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9F9E95-EED4-40D8-A307-F501E1E1FE55"/>
    <w:docVar w:name="LW_COVERPAGE_TYPE" w:val="1"/>
    <w:docVar w:name="LW_CreatedUtc" w:val="2025-12-22T10:25:18.8553552Z"/>
    <w:docVar w:name="LW_CROSSREFERENCE" w:val="&lt;UNUSED&gt;"/>
    <w:docVar w:name="LW_DocType" w:val="COM"/>
    <w:docVar w:name="LW_EMISSION" w:val="14.1.2026"/>
    <w:docVar w:name="LW_EMISSION_ISODATE" w:val="2026-01-1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10"/>
    <w:docVar w:name="LW_REF.II.NEW.CP_YEAR" w:val="2026"/>
    <w:docVar w:name="LW_REF.INST.NEW" w:val="COM"/>
    <w:docVar w:name="LW_REF.INST.NEW_ADOPTED" w:val="final"/>
    <w:docVar w:name="LW_REF.INST.NEW_TEXT" w:val="(2026)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24/792 établissant la facilité pour l\u8217?Ukraine"/>
    <w:docVar w:name="LW_TYPE.DOC.CP" w:val="RÈGLEMENT DU PARLEMENT EUROPÉEN ET DU CONSEIL"/>
    <w:docVar w:name="LwApiVersions" w:val="LW4CoDe 1.24.5.0; LW 9.2, Build 20251112"/>
  </w:docVars>
  <w:rsids>
    <w:rsidRoot w:val="00337BB6"/>
    <w:rsid w:val="00000188"/>
    <w:rsid w:val="00000238"/>
    <w:rsid w:val="000003BA"/>
    <w:rsid w:val="000005A2"/>
    <w:rsid w:val="000006A9"/>
    <w:rsid w:val="00000CC5"/>
    <w:rsid w:val="00000D05"/>
    <w:rsid w:val="00001B23"/>
    <w:rsid w:val="000023CD"/>
    <w:rsid w:val="00003259"/>
    <w:rsid w:val="00003421"/>
    <w:rsid w:val="000047D3"/>
    <w:rsid w:val="00004EFE"/>
    <w:rsid w:val="00004FD8"/>
    <w:rsid w:val="00005608"/>
    <w:rsid w:val="0000584A"/>
    <w:rsid w:val="00006121"/>
    <w:rsid w:val="00006123"/>
    <w:rsid w:val="0000627D"/>
    <w:rsid w:val="000068B5"/>
    <w:rsid w:val="00006F32"/>
    <w:rsid w:val="00007029"/>
    <w:rsid w:val="00007C85"/>
    <w:rsid w:val="00010285"/>
    <w:rsid w:val="00010399"/>
    <w:rsid w:val="00010973"/>
    <w:rsid w:val="00010C33"/>
    <w:rsid w:val="00010CF1"/>
    <w:rsid w:val="00010F08"/>
    <w:rsid w:val="00012390"/>
    <w:rsid w:val="00012A43"/>
    <w:rsid w:val="000133B5"/>
    <w:rsid w:val="00013639"/>
    <w:rsid w:val="000138F8"/>
    <w:rsid w:val="000139DD"/>
    <w:rsid w:val="0001536B"/>
    <w:rsid w:val="000156C1"/>
    <w:rsid w:val="00015E75"/>
    <w:rsid w:val="00015F53"/>
    <w:rsid w:val="000163DC"/>
    <w:rsid w:val="00016670"/>
    <w:rsid w:val="000170E9"/>
    <w:rsid w:val="0001716E"/>
    <w:rsid w:val="00017242"/>
    <w:rsid w:val="00017BA9"/>
    <w:rsid w:val="00020F56"/>
    <w:rsid w:val="00020F6D"/>
    <w:rsid w:val="000213EB"/>
    <w:rsid w:val="000215AA"/>
    <w:rsid w:val="00021699"/>
    <w:rsid w:val="00023050"/>
    <w:rsid w:val="00023225"/>
    <w:rsid w:val="0002328F"/>
    <w:rsid w:val="000241FA"/>
    <w:rsid w:val="000244E4"/>
    <w:rsid w:val="00024AFC"/>
    <w:rsid w:val="00024D22"/>
    <w:rsid w:val="0002522A"/>
    <w:rsid w:val="00025749"/>
    <w:rsid w:val="00025E12"/>
    <w:rsid w:val="0002628C"/>
    <w:rsid w:val="0002665E"/>
    <w:rsid w:val="000267E6"/>
    <w:rsid w:val="00026EBB"/>
    <w:rsid w:val="0002720E"/>
    <w:rsid w:val="000277F9"/>
    <w:rsid w:val="00030491"/>
    <w:rsid w:val="00030824"/>
    <w:rsid w:val="000309BC"/>
    <w:rsid w:val="000313DB"/>
    <w:rsid w:val="00031F31"/>
    <w:rsid w:val="000329E5"/>
    <w:rsid w:val="00032A1E"/>
    <w:rsid w:val="00032B14"/>
    <w:rsid w:val="00032B49"/>
    <w:rsid w:val="00032BF7"/>
    <w:rsid w:val="00032C12"/>
    <w:rsid w:val="00033258"/>
    <w:rsid w:val="00033FE1"/>
    <w:rsid w:val="000342CC"/>
    <w:rsid w:val="00034D29"/>
    <w:rsid w:val="00034E32"/>
    <w:rsid w:val="00035BCD"/>
    <w:rsid w:val="00035F28"/>
    <w:rsid w:val="00036B74"/>
    <w:rsid w:val="00037046"/>
    <w:rsid w:val="000373BD"/>
    <w:rsid w:val="00037546"/>
    <w:rsid w:val="00037814"/>
    <w:rsid w:val="000379B1"/>
    <w:rsid w:val="00037D5B"/>
    <w:rsid w:val="000400E4"/>
    <w:rsid w:val="000402D8"/>
    <w:rsid w:val="00040C0C"/>
    <w:rsid w:val="00040FF0"/>
    <w:rsid w:val="00041743"/>
    <w:rsid w:val="00041A2A"/>
    <w:rsid w:val="00041B0F"/>
    <w:rsid w:val="00041B80"/>
    <w:rsid w:val="00041E5C"/>
    <w:rsid w:val="00042028"/>
    <w:rsid w:val="000421DA"/>
    <w:rsid w:val="000428BD"/>
    <w:rsid w:val="00042A9A"/>
    <w:rsid w:val="00043224"/>
    <w:rsid w:val="000433DF"/>
    <w:rsid w:val="00043659"/>
    <w:rsid w:val="00044713"/>
    <w:rsid w:val="00044A12"/>
    <w:rsid w:val="00044BE5"/>
    <w:rsid w:val="0004534A"/>
    <w:rsid w:val="00045760"/>
    <w:rsid w:val="000458B1"/>
    <w:rsid w:val="00045B49"/>
    <w:rsid w:val="000462BE"/>
    <w:rsid w:val="00046E6F"/>
    <w:rsid w:val="0004700E"/>
    <w:rsid w:val="00047D31"/>
    <w:rsid w:val="000506F6"/>
    <w:rsid w:val="00050A6E"/>
    <w:rsid w:val="00050DC1"/>
    <w:rsid w:val="00050F70"/>
    <w:rsid w:val="0005158E"/>
    <w:rsid w:val="00051C0B"/>
    <w:rsid w:val="00052069"/>
    <w:rsid w:val="00052122"/>
    <w:rsid w:val="000523BF"/>
    <w:rsid w:val="00053A93"/>
    <w:rsid w:val="000545D3"/>
    <w:rsid w:val="00054969"/>
    <w:rsid w:val="00054BCF"/>
    <w:rsid w:val="00054BFC"/>
    <w:rsid w:val="00054E7D"/>
    <w:rsid w:val="000551A2"/>
    <w:rsid w:val="00056068"/>
    <w:rsid w:val="0005650B"/>
    <w:rsid w:val="00056A5F"/>
    <w:rsid w:val="00056EDD"/>
    <w:rsid w:val="00056F1B"/>
    <w:rsid w:val="000578E4"/>
    <w:rsid w:val="00061035"/>
    <w:rsid w:val="000611C2"/>
    <w:rsid w:val="000612EF"/>
    <w:rsid w:val="00061417"/>
    <w:rsid w:val="00061A96"/>
    <w:rsid w:val="00061C3C"/>
    <w:rsid w:val="000624A3"/>
    <w:rsid w:val="0006281D"/>
    <w:rsid w:val="0006282F"/>
    <w:rsid w:val="0006297B"/>
    <w:rsid w:val="00062DF2"/>
    <w:rsid w:val="00062EB9"/>
    <w:rsid w:val="0006313E"/>
    <w:rsid w:val="00063355"/>
    <w:rsid w:val="00063848"/>
    <w:rsid w:val="000638F2"/>
    <w:rsid w:val="0006397D"/>
    <w:rsid w:val="00063C12"/>
    <w:rsid w:val="0006407A"/>
    <w:rsid w:val="0006515B"/>
    <w:rsid w:val="000651E5"/>
    <w:rsid w:val="00065358"/>
    <w:rsid w:val="0006542E"/>
    <w:rsid w:val="0006610F"/>
    <w:rsid w:val="00066563"/>
    <w:rsid w:val="00066813"/>
    <w:rsid w:val="000668BB"/>
    <w:rsid w:val="00066C07"/>
    <w:rsid w:val="0006733F"/>
    <w:rsid w:val="000679ED"/>
    <w:rsid w:val="00067CE9"/>
    <w:rsid w:val="00067D2D"/>
    <w:rsid w:val="00070A53"/>
    <w:rsid w:val="00070ADE"/>
    <w:rsid w:val="00070F06"/>
    <w:rsid w:val="00070F12"/>
    <w:rsid w:val="000710FE"/>
    <w:rsid w:val="000716BD"/>
    <w:rsid w:val="000717D7"/>
    <w:rsid w:val="000717EE"/>
    <w:rsid w:val="0007326C"/>
    <w:rsid w:val="0007333E"/>
    <w:rsid w:val="0007347D"/>
    <w:rsid w:val="000743C1"/>
    <w:rsid w:val="00075832"/>
    <w:rsid w:val="00075920"/>
    <w:rsid w:val="00075A21"/>
    <w:rsid w:val="00077270"/>
    <w:rsid w:val="000773B1"/>
    <w:rsid w:val="000775DF"/>
    <w:rsid w:val="0007769F"/>
    <w:rsid w:val="00080847"/>
    <w:rsid w:val="000808AB"/>
    <w:rsid w:val="00080A29"/>
    <w:rsid w:val="00080EB8"/>
    <w:rsid w:val="00080FAC"/>
    <w:rsid w:val="000810E4"/>
    <w:rsid w:val="0008130C"/>
    <w:rsid w:val="00081CED"/>
    <w:rsid w:val="000826BB"/>
    <w:rsid w:val="000827D7"/>
    <w:rsid w:val="00082817"/>
    <w:rsid w:val="00082961"/>
    <w:rsid w:val="00083140"/>
    <w:rsid w:val="0008350B"/>
    <w:rsid w:val="0008461F"/>
    <w:rsid w:val="00084750"/>
    <w:rsid w:val="00084780"/>
    <w:rsid w:val="00084F5D"/>
    <w:rsid w:val="00085255"/>
    <w:rsid w:val="00085C73"/>
    <w:rsid w:val="00086455"/>
    <w:rsid w:val="000864F0"/>
    <w:rsid w:val="00086539"/>
    <w:rsid w:val="0008680F"/>
    <w:rsid w:val="00086965"/>
    <w:rsid w:val="00086AC7"/>
    <w:rsid w:val="00086D0C"/>
    <w:rsid w:val="0008702A"/>
    <w:rsid w:val="000870BB"/>
    <w:rsid w:val="00087B4F"/>
    <w:rsid w:val="00090463"/>
    <w:rsid w:val="00090B2B"/>
    <w:rsid w:val="00090E1B"/>
    <w:rsid w:val="0009106B"/>
    <w:rsid w:val="0009153C"/>
    <w:rsid w:val="0009159A"/>
    <w:rsid w:val="000915E2"/>
    <w:rsid w:val="00091843"/>
    <w:rsid w:val="0009292F"/>
    <w:rsid w:val="000929C9"/>
    <w:rsid w:val="0009316D"/>
    <w:rsid w:val="000931D9"/>
    <w:rsid w:val="00093EF2"/>
    <w:rsid w:val="00094418"/>
    <w:rsid w:val="00094ABD"/>
    <w:rsid w:val="00094EB0"/>
    <w:rsid w:val="00095171"/>
    <w:rsid w:val="000951DC"/>
    <w:rsid w:val="00095203"/>
    <w:rsid w:val="00095780"/>
    <w:rsid w:val="000965A5"/>
    <w:rsid w:val="00096DF7"/>
    <w:rsid w:val="00097298"/>
    <w:rsid w:val="000977CC"/>
    <w:rsid w:val="000A0C4A"/>
    <w:rsid w:val="000A0D42"/>
    <w:rsid w:val="000A0ED1"/>
    <w:rsid w:val="000A114F"/>
    <w:rsid w:val="000A15A9"/>
    <w:rsid w:val="000A1C1B"/>
    <w:rsid w:val="000A1E64"/>
    <w:rsid w:val="000A2259"/>
    <w:rsid w:val="000A2EF5"/>
    <w:rsid w:val="000A34AB"/>
    <w:rsid w:val="000A379B"/>
    <w:rsid w:val="000A3921"/>
    <w:rsid w:val="000A3BD7"/>
    <w:rsid w:val="000A4C35"/>
    <w:rsid w:val="000A5698"/>
    <w:rsid w:val="000A5BB2"/>
    <w:rsid w:val="000A5F45"/>
    <w:rsid w:val="000A6295"/>
    <w:rsid w:val="000A631A"/>
    <w:rsid w:val="000A669C"/>
    <w:rsid w:val="000A6A1B"/>
    <w:rsid w:val="000A7479"/>
    <w:rsid w:val="000A75ED"/>
    <w:rsid w:val="000A760A"/>
    <w:rsid w:val="000A7A50"/>
    <w:rsid w:val="000A7E32"/>
    <w:rsid w:val="000B0104"/>
    <w:rsid w:val="000B01D8"/>
    <w:rsid w:val="000B0283"/>
    <w:rsid w:val="000B0342"/>
    <w:rsid w:val="000B08E8"/>
    <w:rsid w:val="000B091B"/>
    <w:rsid w:val="000B0C34"/>
    <w:rsid w:val="000B0CDA"/>
    <w:rsid w:val="000B1ACE"/>
    <w:rsid w:val="000B2405"/>
    <w:rsid w:val="000B28FA"/>
    <w:rsid w:val="000B2CE6"/>
    <w:rsid w:val="000B33F9"/>
    <w:rsid w:val="000B36D0"/>
    <w:rsid w:val="000B3A2B"/>
    <w:rsid w:val="000B3B8F"/>
    <w:rsid w:val="000B3EA8"/>
    <w:rsid w:val="000B4A2F"/>
    <w:rsid w:val="000B5542"/>
    <w:rsid w:val="000B5F90"/>
    <w:rsid w:val="000B60E7"/>
    <w:rsid w:val="000B6125"/>
    <w:rsid w:val="000B62D8"/>
    <w:rsid w:val="000B6E36"/>
    <w:rsid w:val="000B7B4B"/>
    <w:rsid w:val="000C032F"/>
    <w:rsid w:val="000C08E5"/>
    <w:rsid w:val="000C0AAF"/>
    <w:rsid w:val="000C0DD3"/>
    <w:rsid w:val="000C121A"/>
    <w:rsid w:val="000C12B8"/>
    <w:rsid w:val="000C15DA"/>
    <w:rsid w:val="000C1616"/>
    <w:rsid w:val="000C1C81"/>
    <w:rsid w:val="000C1D48"/>
    <w:rsid w:val="000C1E00"/>
    <w:rsid w:val="000C2172"/>
    <w:rsid w:val="000C230F"/>
    <w:rsid w:val="000C25B2"/>
    <w:rsid w:val="000C28A5"/>
    <w:rsid w:val="000C2AD9"/>
    <w:rsid w:val="000C45A7"/>
    <w:rsid w:val="000C4EBA"/>
    <w:rsid w:val="000C4F2A"/>
    <w:rsid w:val="000C5095"/>
    <w:rsid w:val="000C524F"/>
    <w:rsid w:val="000C6122"/>
    <w:rsid w:val="000C61AF"/>
    <w:rsid w:val="000C6765"/>
    <w:rsid w:val="000C7185"/>
    <w:rsid w:val="000C7469"/>
    <w:rsid w:val="000D0615"/>
    <w:rsid w:val="000D0BEC"/>
    <w:rsid w:val="000D0FB4"/>
    <w:rsid w:val="000D121C"/>
    <w:rsid w:val="000D13DD"/>
    <w:rsid w:val="000D155F"/>
    <w:rsid w:val="000D1E48"/>
    <w:rsid w:val="000D1E84"/>
    <w:rsid w:val="000D25E0"/>
    <w:rsid w:val="000D2AF0"/>
    <w:rsid w:val="000D3293"/>
    <w:rsid w:val="000D3DDF"/>
    <w:rsid w:val="000D3EAF"/>
    <w:rsid w:val="000D3FB4"/>
    <w:rsid w:val="000D4078"/>
    <w:rsid w:val="000D4FC3"/>
    <w:rsid w:val="000D522C"/>
    <w:rsid w:val="000D54AE"/>
    <w:rsid w:val="000D5874"/>
    <w:rsid w:val="000D66E8"/>
    <w:rsid w:val="000D685D"/>
    <w:rsid w:val="000D7814"/>
    <w:rsid w:val="000D7CEF"/>
    <w:rsid w:val="000D7E96"/>
    <w:rsid w:val="000E053B"/>
    <w:rsid w:val="000E15B1"/>
    <w:rsid w:val="000E2FAB"/>
    <w:rsid w:val="000E3204"/>
    <w:rsid w:val="000E3FD6"/>
    <w:rsid w:val="000E406F"/>
    <w:rsid w:val="000E472B"/>
    <w:rsid w:val="000E4C0D"/>
    <w:rsid w:val="000E51D6"/>
    <w:rsid w:val="000E54C3"/>
    <w:rsid w:val="000E5B71"/>
    <w:rsid w:val="000E709B"/>
    <w:rsid w:val="000E73D4"/>
    <w:rsid w:val="000E7591"/>
    <w:rsid w:val="000E7F91"/>
    <w:rsid w:val="000F015F"/>
    <w:rsid w:val="000F0462"/>
    <w:rsid w:val="000F0B26"/>
    <w:rsid w:val="000F0B52"/>
    <w:rsid w:val="000F16C9"/>
    <w:rsid w:val="000F187E"/>
    <w:rsid w:val="000F24C4"/>
    <w:rsid w:val="000F26D3"/>
    <w:rsid w:val="000F39DD"/>
    <w:rsid w:val="000F3F4E"/>
    <w:rsid w:val="000F4C2B"/>
    <w:rsid w:val="000F4FEF"/>
    <w:rsid w:val="000F5C57"/>
    <w:rsid w:val="000F5D8C"/>
    <w:rsid w:val="000F6512"/>
    <w:rsid w:val="000F656E"/>
    <w:rsid w:val="000F67EB"/>
    <w:rsid w:val="000F69E5"/>
    <w:rsid w:val="000F72EA"/>
    <w:rsid w:val="00100207"/>
    <w:rsid w:val="001003B4"/>
    <w:rsid w:val="00101AB4"/>
    <w:rsid w:val="00101DC7"/>
    <w:rsid w:val="00103097"/>
    <w:rsid w:val="00103206"/>
    <w:rsid w:val="00103ABE"/>
    <w:rsid w:val="00103CE3"/>
    <w:rsid w:val="00104411"/>
    <w:rsid w:val="0010487A"/>
    <w:rsid w:val="001049FA"/>
    <w:rsid w:val="00104A73"/>
    <w:rsid w:val="00104CA1"/>
    <w:rsid w:val="00104CC7"/>
    <w:rsid w:val="00105682"/>
    <w:rsid w:val="001056F5"/>
    <w:rsid w:val="001065F5"/>
    <w:rsid w:val="00107610"/>
    <w:rsid w:val="0011045B"/>
    <w:rsid w:val="00110D62"/>
    <w:rsid w:val="001117AE"/>
    <w:rsid w:val="00111F07"/>
    <w:rsid w:val="00112E93"/>
    <w:rsid w:val="001131EB"/>
    <w:rsid w:val="001133DA"/>
    <w:rsid w:val="00113A66"/>
    <w:rsid w:val="00113E97"/>
    <w:rsid w:val="00114079"/>
    <w:rsid w:val="00114B4C"/>
    <w:rsid w:val="001154A3"/>
    <w:rsid w:val="001162D7"/>
    <w:rsid w:val="00116783"/>
    <w:rsid w:val="00116FE1"/>
    <w:rsid w:val="001174AC"/>
    <w:rsid w:val="00117596"/>
    <w:rsid w:val="00120378"/>
    <w:rsid w:val="00120E92"/>
    <w:rsid w:val="00121786"/>
    <w:rsid w:val="00121A63"/>
    <w:rsid w:val="00121D27"/>
    <w:rsid w:val="0012261F"/>
    <w:rsid w:val="0012285C"/>
    <w:rsid w:val="00122B91"/>
    <w:rsid w:val="001236E9"/>
    <w:rsid w:val="001238EF"/>
    <w:rsid w:val="00123950"/>
    <w:rsid w:val="00123AB5"/>
    <w:rsid w:val="00124205"/>
    <w:rsid w:val="00124C0E"/>
    <w:rsid w:val="0012500C"/>
    <w:rsid w:val="0012519B"/>
    <w:rsid w:val="001252A5"/>
    <w:rsid w:val="001258EC"/>
    <w:rsid w:val="001268DA"/>
    <w:rsid w:val="00126F72"/>
    <w:rsid w:val="001270DB"/>
    <w:rsid w:val="0012760C"/>
    <w:rsid w:val="001303DF"/>
    <w:rsid w:val="0013047F"/>
    <w:rsid w:val="001306C2"/>
    <w:rsid w:val="00130B4E"/>
    <w:rsid w:val="001315AE"/>
    <w:rsid w:val="001320B9"/>
    <w:rsid w:val="0013220C"/>
    <w:rsid w:val="00132334"/>
    <w:rsid w:val="00132382"/>
    <w:rsid w:val="00132B62"/>
    <w:rsid w:val="00133231"/>
    <w:rsid w:val="0013324D"/>
    <w:rsid w:val="0013387C"/>
    <w:rsid w:val="00133A9E"/>
    <w:rsid w:val="00133ABE"/>
    <w:rsid w:val="00133B0D"/>
    <w:rsid w:val="00133F13"/>
    <w:rsid w:val="001340E2"/>
    <w:rsid w:val="0013480C"/>
    <w:rsid w:val="00134C58"/>
    <w:rsid w:val="00135395"/>
    <w:rsid w:val="00135409"/>
    <w:rsid w:val="00135593"/>
    <w:rsid w:val="00136918"/>
    <w:rsid w:val="00136966"/>
    <w:rsid w:val="00136E82"/>
    <w:rsid w:val="001404EC"/>
    <w:rsid w:val="001409A8"/>
    <w:rsid w:val="001409DB"/>
    <w:rsid w:val="00140BE6"/>
    <w:rsid w:val="00140D38"/>
    <w:rsid w:val="001416AE"/>
    <w:rsid w:val="00142572"/>
    <w:rsid w:val="00142C7F"/>
    <w:rsid w:val="001432DE"/>
    <w:rsid w:val="00143BD8"/>
    <w:rsid w:val="00143FC7"/>
    <w:rsid w:val="00144568"/>
    <w:rsid w:val="0014463E"/>
    <w:rsid w:val="001448A1"/>
    <w:rsid w:val="0014497D"/>
    <w:rsid w:val="00145169"/>
    <w:rsid w:val="00145189"/>
    <w:rsid w:val="0014566C"/>
    <w:rsid w:val="00145B45"/>
    <w:rsid w:val="001462B4"/>
    <w:rsid w:val="00146883"/>
    <w:rsid w:val="00146D5F"/>
    <w:rsid w:val="0014725A"/>
    <w:rsid w:val="00147776"/>
    <w:rsid w:val="00147A5D"/>
    <w:rsid w:val="00147E1D"/>
    <w:rsid w:val="00147EC8"/>
    <w:rsid w:val="001503EF"/>
    <w:rsid w:val="00150793"/>
    <w:rsid w:val="00150F89"/>
    <w:rsid w:val="00151419"/>
    <w:rsid w:val="001519FD"/>
    <w:rsid w:val="0015222A"/>
    <w:rsid w:val="00152F44"/>
    <w:rsid w:val="00152F7D"/>
    <w:rsid w:val="00153674"/>
    <w:rsid w:val="00153C1C"/>
    <w:rsid w:val="00154076"/>
    <w:rsid w:val="001541AA"/>
    <w:rsid w:val="001541FA"/>
    <w:rsid w:val="00154C60"/>
    <w:rsid w:val="001554EA"/>
    <w:rsid w:val="00155D7B"/>
    <w:rsid w:val="00155F50"/>
    <w:rsid w:val="0015651E"/>
    <w:rsid w:val="00156967"/>
    <w:rsid w:val="00157295"/>
    <w:rsid w:val="00157577"/>
    <w:rsid w:val="0015769B"/>
    <w:rsid w:val="00160024"/>
    <w:rsid w:val="00160B48"/>
    <w:rsid w:val="00160BBF"/>
    <w:rsid w:val="00160F40"/>
    <w:rsid w:val="0016107E"/>
    <w:rsid w:val="00161E19"/>
    <w:rsid w:val="00162537"/>
    <w:rsid w:val="00162B62"/>
    <w:rsid w:val="001631F3"/>
    <w:rsid w:val="00163307"/>
    <w:rsid w:val="00163506"/>
    <w:rsid w:val="001639CD"/>
    <w:rsid w:val="00163C0F"/>
    <w:rsid w:val="00164036"/>
    <w:rsid w:val="00164D21"/>
    <w:rsid w:val="001654A1"/>
    <w:rsid w:val="00165966"/>
    <w:rsid w:val="00165A9D"/>
    <w:rsid w:val="00166063"/>
    <w:rsid w:val="001667EB"/>
    <w:rsid w:val="00166BA0"/>
    <w:rsid w:val="00166DFD"/>
    <w:rsid w:val="0016735C"/>
    <w:rsid w:val="0017076B"/>
    <w:rsid w:val="001707D9"/>
    <w:rsid w:val="00170FBC"/>
    <w:rsid w:val="00171157"/>
    <w:rsid w:val="001713A1"/>
    <w:rsid w:val="00171B6F"/>
    <w:rsid w:val="00172734"/>
    <w:rsid w:val="00172AC2"/>
    <w:rsid w:val="00173497"/>
    <w:rsid w:val="00173B02"/>
    <w:rsid w:val="001744F6"/>
    <w:rsid w:val="001744FC"/>
    <w:rsid w:val="00174B07"/>
    <w:rsid w:val="0017575E"/>
    <w:rsid w:val="00175765"/>
    <w:rsid w:val="00175EB1"/>
    <w:rsid w:val="00175EC2"/>
    <w:rsid w:val="0017653C"/>
    <w:rsid w:val="00176657"/>
    <w:rsid w:val="00176AB7"/>
    <w:rsid w:val="00177058"/>
    <w:rsid w:val="00177232"/>
    <w:rsid w:val="001773FB"/>
    <w:rsid w:val="00177703"/>
    <w:rsid w:val="001778CA"/>
    <w:rsid w:val="00177B41"/>
    <w:rsid w:val="0018004B"/>
    <w:rsid w:val="00180242"/>
    <w:rsid w:val="00180384"/>
    <w:rsid w:val="00180581"/>
    <w:rsid w:val="0018115A"/>
    <w:rsid w:val="0018160E"/>
    <w:rsid w:val="00181D72"/>
    <w:rsid w:val="0018319C"/>
    <w:rsid w:val="00183B67"/>
    <w:rsid w:val="00183CAB"/>
    <w:rsid w:val="0018414E"/>
    <w:rsid w:val="00184438"/>
    <w:rsid w:val="00184DF9"/>
    <w:rsid w:val="001859BA"/>
    <w:rsid w:val="00185B10"/>
    <w:rsid w:val="00185C0D"/>
    <w:rsid w:val="00186C66"/>
    <w:rsid w:val="00186D7B"/>
    <w:rsid w:val="00186F5C"/>
    <w:rsid w:val="0018720E"/>
    <w:rsid w:val="0018763D"/>
    <w:rsid w:val="00187705"/>
    <w:rsid w:val="00187B60"/>
    <w:rsid w:val="00187F06"/>
    <w:rsid w:val="001901CB"/>
    <w:rsid w:val="001901CF"/>
    <w:rsid w:val="00190A9F"/>
    <w:rsid w:val="00190C22"/>
    <w:rsid w:val="00190C8E"/>
    <w:rsid w:val="001919F3"/>
    <w:rsid w:val="00191F8E"/>
    <w:rsid w:val="0019424A"/>
    <w:rsid w:val="00194810"/>
    <w:rsid w:val="00195AD2"/>
    <w:rsid w:val="00196296"/>
    <w:rsid w:val="0019657F"/>
    <w:rsid w:val="00196C71"/>
    <w:rsid w:val="00197590"/>
    <w:rsid w:val="00197613"/>
    <w:rsid w:val="001A08B3"/>
    <w:rsid w:val="001A0990"/>
    <w:rsid w:val="001A0F12"/>
    <w:rsid w:val="001A1308"/>
    <w:rsid w:val="001A1418"/>
    <w:rsid w:val="001A1A86"/>
    <w:rsid w:val="001A2360"/>
    <w:rsid w:val="001A2620"/>
    <w:rsid w:val="001A33B7"/>
    <w:rsid w:val="001A34FD"/>
    <w:rsid w:val="001A36A5"/>
    <w:rsid w:val="001A3839"/>
    <w:rsid w:val="001A3E4C"/>
    <w:rsid w:val="001A3F27"/>
    <w:rsid w:val="001A427A"/>
    <w:rsid w:val="001A51DA"/>
    <w:rsid w:val="001A54F9"/>
    <w:rsid w:val="001A587C"/>
    <w:rsid w:val="001A5A49"/>
    <w:rsid w:val="001A5CDB"/>
    <w:rsid w:val="001A727F"/>
    <w:rsid w:val="001A7D88"/>
    <w:rsid w:val="001A7F08"/>
    <w:rsid w:val="001B0584"/>
    <w:rsid w:val="001B0753"/>
    <w:rsid w:val="001B0A86"/>
    <w:rsid w:val="001B0AB8"/>
    <w:rsid w:val="001B1A80"/>
    <w:rsid w:val="001B1A86"/>
    <w:rsid w:val="001B2A14"/>
    <w:rsid w:val="001B33D8"/>
    <w:rsid w:val="001B3895"/>
    <w:rsid w:val="001B438D"/>
    <w:rsid w:val="001B5517"/>
    <w:rsid w:val="001B5B66"/>
    <w:rsid w:val="001B5DC1"/>
    <w:rsid w:val="001B76D3"/>
    <w:rsid w:val="001B77E0"/>
    <w:rsid w:val="001B79FB"/>
    <w:rsid w:val="001C17F1"/>
    <w:rsid w:val="001C1B23"/>
    <w:rsid w:val="001C220F"/>
    <w:rsid w:val="001C33C0"/>
    <w:rsid w:val="001C377A"/>
    <w:rsid w:val="001C377F"/>
    <w:rsid w:val="001C384C"/>
    <w:rsid w:val="001C3BD6"/>
    <w:rsid w:val="001C3F77"/>
    <w:rsid w:val="001C412E"/>
    <w:rsid w:val="001C43D7"/>
    <w:rsid w:val="001C454F"/>
    <w:rsid w:val="001C4667"/>
    <w:rsid w:val="001C4F08"/>
    <w:rsid w:val="001C5058"/>
    <w:rsid w:val="001C5420"/>
    <w:rsid w:val="001C6C52"/>
    <w:rsid w:val="001C70F9"/>
    <w:rsid w:val="001C7181"/>
    <w:rsid w:val="001C7393"/>
    <w:rsid w:val="001C7828"/>
    <w:rsid w:val="001C79DB"/>
    <w:rsid w:val="001C7C6B"/>
    <w:rsid w:val="001D01BE"/>
    <w:rsid w:val="001D0A44"/>
    <w:rsid w:val="001D0B7C"/>
    <w:rsid w:val="001D13E9"/>
    <w:rsid w:val="001D1484"/>
    <w:rsid w:val="001D17DA"/>
    <w:rsid w:val="001D1A69"/>
    <w:rsid w:val="001D25B8"/>
    <w:rsid w:val="001D2A2F"/>
    <w:rsid w:val="001D2ADC"/>
    <w:rsid w:val="001D3F70"/>
    <w:rsid w:val="001D40FE"/>
    <w:rsid w:val="001D44E3"/>
    <w:rsid w:val="001D45E8"/>
    <w:rsid w:val="001D4FA6"/>
    <w:rsid w:val="001D51F7"/>
    <w:rsid w:val="001D5317"/>
    <w:rsid w:val="001D556D"/>
    <w:rsid w:val="001D57EC"/>
    <w:rsid w:val="001D64CF"/>
    <w:rsid w:val="001D6D83"/>
    <w:rsid w:val="001D72D8"/>
    <w:rsid w:val="001D7521"/>
    <w:rsid w:val="001D77C2"/>
    <w:rsid w:val="001D783A"/>
    <w:rsid w:val="001D79CA"/>
    <w:rsid w:val="001E03F1"/>
    <w:rsid w:val="001E071D"/>
    <w:rsid w:val="001E1961"/>
    <w:rsid w:val="001E1A7E"/>
    <w:rsid w:val="001E1D8C"/>
    <w:rsid w:val="001E238A"/>
    <w:rsid w:val="001E2BBA"/>
    <w:rsid w:val="001E3037"/>
    <w:rsid w:val="001E337C"/>
    <w:rsid w:val="001E3CE8"/>
    <w:rsid w:val="001E43FB"/>
    <w:rsid w:val="001E4CFE"/>
    <w:rsid w:val="001E5193"/>
    <w:rsid w:val="001E5537"/>
    <w:rsid w:val="001E5689"/>
    <w:rsid w:val="001E634F"/>
    <w:rsid w:val="001E66B8"/>
    <w:rsid w:val="001E68D7"/>
    <w:rsid w:val="001E72E1"/>
    <w:rsid w:val="001E7AAF"/>
    <w:rsid w:val="001E7BB0"/>
    <w:rsid w:val="001F039A"/>
    <w:rsid w:val="001F041C"/>
    <w:rsid w:val="001F0953"/>
    <w:rsid w:val="001F169D"/>
    <w:rsid w:val="001F17FA"/>
    <w:rsid w:val="001F1B05"/>
    <w:rsid w:val="001F2E7B"/>
    <w:rsid w:val="001F3059"/>
    <w:rsid w:val="001F32CC"/>
    <w:rsid w:val="001F39C2"/>
    <w:rsid w:val="001F4238"/>
    <w:rsid w:val="001F4790"/>
    <w:rsid w:val="001F4E05"/>
    <w:rsid w:val="001F5361"/>
    <w:rsid w:val="001F5390"/>
    <w:rsid w:val="001F5AC2"/>
    <w:rsid w:val="001F5D6A"/>
    <w:rsid w:val="001F5F2A"/>
    <w:rsid w:val="001F7015"/>
    <w:rsid w:val="001F763A"/>
    <w:rsid w:val="001F781D"/>
    <w:rsid w:val="001F7BDF"/>
    <w:rsid w:val="002008B6"/>
    <w:rsid w:val="00201864"/>
    <w:rsid w:val="00203964"/>
    <w:rsid w:val="00203F08"/>
    <w:rsid w:val="00204197"/>
    <w:rsid w:val="00204255"/>
    <w:rsid w:val="002049ED"/>
    <w:rsid w:val="00204B49"/>
    <w:rsid w:val="00204CCF"/>
    <w:rsid w:val="0020522C"/>
    <w:rsid w:val="002061BF"/>
    <w:rsid w:val="00206C70"/>
    <w:rsid w:val="00207125"/>
    <w:rsid w:val="00207465"/>
    <w:rsid w:val="00207907"/>
    <w:rsid w:val="00207CF5"/>
    <w:rsid w:val="00207F96"/>
    <w:rsid w:val="00210F8B"/>
    <w:rsid w:val="00211242"/>
    <w:rsid w:val="002117E5"/>
    <w:rsid w:val="0021197B"/>
    <w:rsid w:val="00211A11"/>
    <w:rsid w:val="00211B21"/>
    <w:rsid w:val="00211D61"/>
    <w:rsid w:val="0021231B"/>
    <w:rsid w:val="002123E5"/>
    <w:rsid w:val="002124D9"/>
    <w:rsid w:val="002125E6"/>
    <w:rsid w:val="002131B5"/>
    <w:rsid w:val="00213BB5"/>
    <w:rsid w:val="00213BFD"/>
    <w:rsid w:val="0021437F"/>
    <w:rsid w:val="0021514A"/>
    <w:rsid w:val="00215168"/>
    <w:rsid w:val="00215405"/>
    <w:rsid w:val="002154DA"/>
    <w:rsid w:val="0021599F"/>
    <w:rsid w:val="00215EB4"/>
    <w:rsid w:val="00216171"/>
    <w:rsid w:val="002161F6"/>
    <w:rsid w:val="002163DB"/>
    <w:rsid w:val="002163EE"/>
    <w:rsid w:val="0021653F"/>
    <w:rsid w:val="00217216"/>
    <w:rsid w:val="00217246"/>
    <w:rsid w:val="00217356"/>
    <w:rsid w:val="0021751B"/>
    <w:rsid w:val="002175A1"/>
    <w:rsid w:val="002177C9"/>
    <w:rsid w:val="00217BA2"/>
    <w:rsid w:val="00217DBE"/>
    <w:rsid w:val="00220133"/>
    <w:rsid w:val="002203C0"/>
    <w:rsid w:val="00220CCA"/>
    <w:rsid w:val="00220ECA"/>
    <w:rsid w:val="00221865"/>
    <w:rsid w:val="002218A7"/>
    <w:rsid w:val="00222682"/>
    <w:rsid w:val="002227C3"/>
    <w:rsid w:val="00222F2A"/>
    <w:rsid w:val="0022317B"/>
    <w:rsid w:val="00223412"/>
    <w:rsid w:val="002238F9"/>
    <w:rsid w:val="002240F9"/>
    <w:rsid w:val="002244E7"/>
    <w:rsid w:val="0022457D"/>
    <w:rsid w:val="002249E0"/>
    <w:rsid w:val="00224A2B"/>
    <w:rsid w:val="00224C29"/>
    <w:rsid w:val="00224CDF"/>
    <w:rsid w:val="00224E16"/>
    <w:rsid w:val="00225762"/>
    <w:rsid w:val="002259FD"/>
    <w:rsid w:val="00225AC7"/>
    <w:rsid w:val="00226701"/>
    <w:rsid w:val="002268B2"/>
    <w:rsid w:val="0022698E"/>
    <w:rsid w:val="00226C5E"/>
    <w:rsid w:val="00226E8B"/>
    <w:rsid w:val="00226F61"/>
    <w:rsid w:val="0022752E"/>
    <w:rsid w:val="0022772F"/>
    <w:rsid w:val="002278E4"/>
    <w:rsid w:val="00227A8C"/>
    <w:rsid w:val="00227D6C"/>
    <w:rsid w:val="00230CBF"/>
    <w:rsid w:val="00230CFA"/>
    <w:rsid w:val="00231A2A"/>
    <w:rsid w:val="0023211A"/>
    <w:rsid w:val="0023213D"/>
    <w:rsid w:val="0023227D"/>
    <w:rsid w:val="00232431"/>
    <w:rsid w:val="0023285D"/>
    <w:rsid w:val="002329F2"/>
    <w:rsid w:val="00232A66"/>
    <w:rsid w:val="00232B82"/>
    <w:rsid w:val="00233910"/>
    <w:rsid w:val="00233AAF"/>
    <w:rsid w:val="00233DC7"/>
    <w:rsid w:val="0023446D"/>
    <w:rsid w:val="00234588"/>
    <w:rsid w:val="00234623"/>
    <w:rsid w:val="00234B84"/>
    <w:rsid w:val="00234B92"/>
    <w:rsid w:val="00234E66"/>
    <w:rsid w:val="00235116"/>
    <w:rsid w:val="0023536F"/>
    <w:rsid w:val="00236371"/>
    <w:rsid w:val="00236897"/>
    <w:rsid w:val="00236FC5"/>
    <w:rsid w:val="0023715E"/>
    <w:rsid w:val="0023722A"/>
    <w:rsid w:val="00237B81"/>
    <w:rsid w:val="00237E0E"/>
    <w:rsid w:val="0024004E"/>
    <w:rsid w:val="00240720"/>
    <w:rsid w:val="00240A4C"/>
    <w:rsid w:val="00241E7E"/>
    <w:rsid w:val="0024368F"/>
    <w:rsid w:val="00244C59"/>
    <w:rsid w:val="00245376"/>
    <w:rsid w:val="00245483"/>
    <w:rsid w:val="002454A0"/>
    <w:rsid w:val="0024583D"/>
    <w:rsid w:val="00245896"/>
    <w:rsid w:val="0024611E"/>
    <w:rsid w:val="00246768"/>
    <w:rsid w:val="00246859"/>
    <w:rsid w:val="00246891"/>
    <w:rsid w:val="00246976"/>
    <w:rsid w:val="00246EEC"/>
    <w:rsid w:val="002470CC"/>
    <w:rsid w:val="00247755"/>
    <w:rsid w:val="00247779"/>
    <w:rsid w:val="00247CA8"/>
    <w:rsid w:val="00247E23"/>
    <w:rsid w:val="00250042"/>
    <w:rsid w:val="0025055B"/>
    <w:rsid w:val="00250872"/>
    <w:rsid w:val="00251021"/>
    <w:rsid w:val="00251247"/>
    <w:rsid w:val="002528BF"/>
    <w:rsid w:val="00252A1D"/>
    <w:rsid w:val="00253479"/>
    <w:rsid w:val="00253E76"/>
    <w:rsid w:val="00253F58"/>
    <w:rsid w:val="0025434B"/>
    <w:rsid w:val="00254DCF"/>
    <w:rsid w:val="002562B4"/>
    <w:rsid w:val="0025652E"/>
    <w:rsid w:val="002569FB"/>
    <w:rsid w:val="002570B0"/>
    <w:rsid w:val="002570C1"/>
    <w:rsid w:val="0025777C"/>
    <w:rsid w:val="002579B3"/>
    <w:rsid w:val="00257A90"/>
    <w:rsid w:val="00257C1B"/>
    <w:rsid w:val="002605AE"/>
    <w:rsid w:val="00260DB4"/>
    <w:rsid w:val="002614A2"/>
    <w:rsid w:val="002618F9"/>
    <w:rsid w:val="00261EF0"/>
    <w:rsid w:val="002620BA"/>
    <w:rsid w:val="00262851"/>
    <w:rsid w:val="00262D5F"/>
    <w:rsid w:val="00262E3A"/>
    <w:rsid w:val="00262F41"/>
    <w:rsid w:val="002631C0"/>
    <w:rsid w:val="002636D9"/>
    <w:rsid w:val="00263FDD"/>
    <w:rsid w:val="002640BC"/>
    <w:rsid w:val="00264181"/>
    <w:rsid w:val="0026534A"/>
    <w:rsid w:val="00265433"/>
    <w:rsid w:val="00265BEF"/>
    <w:rsid w:val="00265BF3"/>
    <w:rsid w:val="00265EAF"/>
    <w:rsid w:val="00266EA9"/>
    <w:rsid w:val="002670DC"/>
    <w:rsid w:val="00267533"/>
    <w:rsid w:val="002701FF"/>
    <w:rsid w:val="002706C3"/>
    <w:rsid w:val="002709EF"/>
    <w:rsid w:val="00270AFA"/>
    <w:rsid w:val="00270C8F"/>
    <w:rsid w:val="00270CA3"/>
    <w:rsid w:val="00270D8A"/>
    <w:rsid w:val="002712BB"/>
    <w:rsid w:val="00271616"/>
    <w:rsid w:val="00271955"/>
    <w:rsid w:val="00271FB1"/>
    <w:rsid w:val="0027225B"/>
    <w:rsid w:val="0027352C"/>
    <w:rsid w:val="002736BD"/>
    <w:rsid w:val="00273A13"/>
    <w:rsid w:val="002757BF"/>
    <w:rsid w:val="0027587A"/>
    <w:rsid w:val="002760C8"/>
    <w:rsid w:val="00276458"/>
    <w:rsid w:val="0027652F"/>
    <w:rsid w:val="00277955"/>
    <w:rsid w:val="00277B39"/>
    <w:rsid w:val="00277C69"/>
    <w:rsid w:val="00277D53"/>
    <w:rsid w:val="00277D78"/>
    <w:rsid w:val="00280435"/>
    <w:rsid w:val="002806DB"/>
    <w:rsid w:val="0028089D"/>
    <w:rsid w:val="00280E71"/>
    <w:rsid w:val="0028100B"/>
    <w:rsid w:val="00281C93"/>
    <w:rsid w:val="00281F5F"/>
    <w:rsid w:val="00282421"/>
    <w:rsid w:val="002835B1"/>
    <w:rsid w:val="00283617"/>
    <w:rsid w:val="00283F8F"/>
    <w:rsid w:val="0028436C"/>
    <w:rsid w:val="00284518"/>
    <w:rsid w:val="002845F7"/>
    <w:rsid w:val="00285333"/>
    <w:rsid w:val="0028574A"/>
    <w:rsid w:val="00285B9B"/>
    <w:rsid w:val="00285BEE"/>
    <w:rsid w:val="002862DA"/>
    <w:rsid w:val="00286B97"/>
    <w:rsid w:val="00286F32"/>
    <w:rsid w:val="00287767"/>
    <w:rsid w:val="002879A0"/>
    <w:rsid w:val="00287DDA"/>
    <w:rsid w:val="0029028C"/>
    <w:rsid w:val="0029044D"/>
    <w:rsid w:val="00290B38"/>
    <w:rsid w:val="00290F9E"/>
    <w:rsid w:val="002916A4"/>
    <w:rsid w:val="00292E52"/>
    <w:rsid w:val="00293517"/>
    <w:rsid w:val="00293BEA"/>
    <w:rsid w:val="002943DE"/>
    <w:rsid w:val="00294BD6"/>
    <w:rsid w:val="00294CC6"/>
    <w:rsid w:val="00294E91"/>
    <w:rsid w:val="0029533F"/>
    <w:rsid w:val="0029612B"/>
    <w:rsid w:val="00296526"/>
    <w:rsid w:val="00296F2F"/>
    <w:rsid w:val="0029725E"/>
    <w:rsid w:val="00297F2E"/>
    <w:rsid w:val="002A0ECB"/>
    <w:rsid w:val="002A1006"/>
    <w:rsid w:val="002A12A3"/>
    <w:rsid w:val="002A1673"/>
    <w:rsid w:val="002A2998"/>
    <w:rsid w:val="002A2D2A"/>
    <w:rsid w:val="002A3962"/>
    <w:rsid w:val="002A398F"/>
    <w:rsid w:val="002A3BD4"/>
    <w:rsid w:val="002A3FEB"/>
    <w:rsid w:val="002A425F"/>
    <w:rsid w:val="002A46B6"/>
    <w:rsid w:val="002A4BDF"/>
    <w:rsid w:val="002A4C0F"/>
    <w:rsid w:val="002A6190"/>
    <w:rsid w:val="002A6463"/>
    <w:rsid w:val="002A659F"/>
    <w:rsid w:val="002A6895"/>
    <w:rsid w:val="002A6C81"/>
    <w:rsid w:val="002A7095"/>
    <w:rsid w:val="002A70B2"/>
    <w:rsid w:val="002A7CB4"/>
    <w:rsid w:val="002B04D3"/>
    <w:rsid w:val="002B10D2"/>
    <w:rsid w:val="002B1382"/>
    <w:rsid w:val="002B188C"/>
    <w:rsid w:val="002B1E69"/>
    <w:rsid w:val="002B30AF"/>
    <w:rsid w:val="002B4128"/>
    <w:rsid w:val="002B41EE"/>
    <w:rsid w:val="002B4509"/>
    <w:rsid w:val="002B57D9"/>
    <w:rsid w:val="002B61F5"/>
    <w:rsid w:val="002B623D"/>
    <w:rsid w:val="002B6E44"/>
    <w:rsid w:val="002B791E"/>
    <w:rsid w:val="002B79DF"/>
    <w:rsid w:val="002B79EC"/>
    <w:rsid w:val="002B7CB1"/>
    <w:rsid w:val="002B7D51"/>
    <w:rsid w:val="002B7E39"/>
    <w:rsid w:val="002C0277"/>
    <w:rsid w:val="002C04AF"/>
    <w:rsid w:val="002C0501"/>
    <w:rsid w:val="002C074A"/>
    <w:rsid w:val="002C12F7"/>
    <w:rsid w:val="002C1391"/>
    <w:rsid w:val="002C1F9F"/>
    <w:rsid w:val="002C244E"/>
    <w:rsid w:val="002C2F2C"/>
    <w:rsid w:val="002C3364"/>
    <w:rsid w:val="002C35C7"/>
    <w:rsid w:val="002C3D2E"/>
    <w:rsid w:val="002C4180"/>
    <w:rsid w:val="002C5473"/>
    <w:rsid w:val="002C5C41"/>
    <w:rsid w:val="002C71B0"/>
    <w:rsid w:val="002C7523"/>
    <w:rsid w:val="002C78F0"/>
    <w:rsid w:val="002C7AA1"/>
    <w:rsid w:val="002C7FB6"/>
    <w:rsid w:val="002C7FEC"/>
    <w:rsid w:val="002D0153"/>
    <w:rsid w:val="002D01A2"/>
    <w:rsid w:val="002D0F7F"/>
    <w:rsid w:val="002D0FAF"/>
    <w:rsid w:val="002D10D5"/>
    <w:rsid w:val="002D199D"/>
    <w:rsid w:val="002D237D"/>
    <w:rsid w:val="002D334F"/>
    <w:rsid w:val="002D4365"/>
    <w:rsid w:val="002D457F"/>
    <w:rsid w:val="002D4581"/>
    <w:rsid w:val="002D45A4"/>
    <w:rsid w:val="002D460B"/>
    <w:rsid w:val="002D4F37"/>
    <w:rsid w:val="002D5139"/>
    <w:rsid w:val="002D5433"/>
    <w:rsid w:val="002D5796"/>
    <w:rsid w:val="002D6607"/>
    <w:rsid w:val="002D732B"/>
    <w:rsid w:val="002D7C41"/>
    <w:rsid w:val="002E0050"/>
    <w:rsid w:val="002E0B3D"/>
    <w:rsid w:val="002E0C64"/>
    <w:rsid w:val="002E0F16"/>
    <w:rsid w:val="002E11A1"/>
    <w:rsid w:val="002E1272"/>
    <w:rsid w:val="002E1573"/>
    <w:rsid w:val="002E18F6"/>
    <w:rsid w:val="002E1FAF"/>
    <w:rsid w:val="002E203D"/>
    <w:rsid w:val="002E213A"/>
    <w:rsid w:val="002E29CD"/>
    <w:rsid w:val="002E3BAF"/>
    <w:rsid w:val="002E441C"/>
    <w:rsid w:val="002E45DC"/>
    <w:rsid w:val="002E4DB5"/>
    <w:rsid w:val="002E5E94"/>
    <w:rsid w:val="002E5F64"/>
    <w:rsid w:val="002E62EB"/>
    <w:rsid w:val="002E674A"/>
    <w:rsid w:val="002E6A38"/>
    <w:rsid w:val="002E6B8C"/>
    <w:rsid w:val="002E6F15"/>
    <w:rsid w:val="002E7634"/>
    <w:rsid w:val="002E7701"/>
    <w:rsid w:val="002E78DE"/>
    <w:rsid w:val="002E79BB"/>
    <w:rsid w:val="002E7CF4"/>
    <w:rsid w:val="002F0B6F"/>
    <w:rsid w:val="002F0D78"/>
    <w:rsid w:val="002F151B"/>
    <w:rsid w:val="002F19A8"/>
    <w:rsid w:val="002F22B9"/>
    <w:rsid w:val="002F304B"/>
    <w:rsid w:val="002F342F"/>
    <w:rsid w:val="002F3851"/>
    <w:rsid w:val="002F4624"/>
    <w:rsid w:val="002F49C2"/>
    <w:rsid w:val="002F4DC9"/>
    <w:rsid w:val="002F5934"/>
    <w:rsid w:val="002F6124"/>
    <w:rsid w:val="002F7BCA"/>
    <w:rsid w:val="00300093"/>
    <w:rsid w:val="00300147"/>
    <w:rsid w:val="00300356"/>
    <w:rsid w:val="003005B2"/>
    <w:rsid w:val="003006CF"/>
    <w:rsid w:val="00300B24"/>
    <w:rsid w:val="00300D99"/>
    <w:rsid w:val="00300F0E"/>
    <w:rsid w:val="00301A5E"/>
    <w:rsid w:val="00301B92"/>
    <w:rsid w:val="00301B96"/>
    <w:rsid w:val="0030321A"/>
    <w:rsid w:val="003038A6"/>
    <w:rsid w:val="00303AB0"/>
    <w:rsid w:val="00303EE4"/>
    <w:rsid w:val="00303F47"/>
    <w:rsid w:val="00305261"/>
    <w:rsid w:val="003058B8"/>
    <w:rsid w:val="003058BB"/>
    <w:rsid w:val="00305CE8"/>
    <w:rsid w:val="00306321"/>
    <w:rsid w:val="00306AC1"/>
    <w:rsid w:val="00306BF3"/>
    <w:rsid w:val="00307318"/>
    <w:rsid w:val="0030768C"/>
    <w:rsid w:val="00307DDB"/>
    <w:rsid w:val="003101A0"/>
    <w:rsid w:val="00310223"/>
    <w:rsid w:val="00310B02"/>
    <w:rsid w:val="00311707"/>
    <w:rsid w:val="00311CCE"/>
    <w:rsid w:val="0031233A"/>
    <w:rsid w:val="003124F5"/>
    <w:rsid w:val="003127C0"/>
    <w:rsid w:val="00312E3C"/>
    <w:rsid w:val="0031365E"/>
    <w:rsid w:val="003139E8"/>
    <w:rsid w:val="00313D33"/>
    <w:rsid w:val="00313D6E"/>
    <w:rsid w:val="0031434F"/>
    <w:rsid w:val="003143C2"/>
    <w:rsid w:val="00314CD9"/>
    <w:rsid w:val="00314CE7"/>
    <w:rsid w:val="00314DA1"/>
    <w:rsid w:val="003151D2"/>
    <w:rsid w:val="0031566A"/>
    <w:rsid w:val="00315DE7"/>
    <w:rsid w:val="00316233"/>
    <w:rsid w:val="00316AA6"/>
    <w:rsid w:val="00316CF0"/>
    <w:rsid w:val="00316E09"/>
    <w:rsid w:val="00316EF2"/>
    <w:rsid w:val="00317967"/>
    <w:rsid w:val="003205F4"/>
    <w:rsid w:val="00321049"/>
    <w:rsid w:val="003211E9"/>
    <w:rsid w:val="003211EA"/>
    <w:rsid w:val="00321247"/>
    <w:rsid w:val="003212C4"/>
    <w:rsid w:val="003215E4"/>
    <w:rsid w:val="00321CE2"/>
    <w:rsid w:val="0032212C"/>
    <w:rsid w:val="003229E9"/>
    <w:rsid w:val="00322DB9"/>
    <w:rsid w:val="00323021"/>
    <w:rsid w:val="00323C96"/>
    <w:rsid w:val="00324080"/>
    <w:rsid w:val="0032531E"/>
    <w:rsid w:val="00325C8B"/>
    <w:rsid w:val="00326097"/>
    <w:rsid w:val="003262E2"/>
    <w:rsid w:val="00327155"/>
    <w:rsid w:val="00327514"/>
    <w:rsid w:val="00327913"/>
    <w:rsid w:val="00327915"/>
    <w:rsid w:val="00327DD0"/>
    <w:rsid w:val="0033004D"/>
    <w:rsid w:val="00330C6A"/>
    <w:rsid w:val="00330F10"/>
    <w:rsid w:val="00330F9B"/>
    <w:rsid w:val="00331247"/>
    <w:rsid w:val="003314E6"/>
    <w:rsid w:val="00331AA7"/>
    <w:rsid w:val="00331C54"/>
    <w:rsid w:val="00331EE8"/>
    <w:rsid w:val="0033219F"/>
    <w:rsid w:val="003329A6"/>
    <w:rsid w:val="003329C4"/>
    <w:rsid w:val="00332ADC"/>
    <w:rsid w:val="00332E81"/>
    <w:rsid w:val="00332FCE"/>
    <w:rsid w:val="0033344A"/>
    <w:rsid w:val="003335FC"/>
    <w:rsid w:val="0033379E"/>
    <w:rsid w:val="0033391D"/>
    <w:rsid w:val="00333AC3"/>
    <w:rsid w:val="00333C48"/>
    <w:rsid w:val="003349FE"/>
    <w:rsid w:val="00335047"/>
    <w:rsid w:val="00335C22"/>
    <w:rsid w:val="003363E1"/>
    <w:rsid w:val="003364D9"/>
    <w:rsid w:val="003365BC"/>
    <w:rsid w:val="003365D7"/>
    <w:rsid w:val="0033666D"/>
    <w:rsid w:val="00336989"/>
    <w:rsid w:val="003369A1"/>
    <w:rsid w:val="003370FF"/>
    <w:rsid w:val="00337155"/>
    <w:rsid w:val="0033742A"/>
    <w:rsid w:val="00337999"/>
    <w:rsid w:val="00337BB6"/>
    <w:rsid w:val="0034061A"/>
    <w:rsid w:val="0034089E"/>
    <w:rsid w:val="00340BDF"/>
    <w:rsid w:val="00340BF7"/>
    <w:rsid w:val="00341292"/>
    <w:rsid w:val="003415EC"/>
    <w:rsid w:val="00341A4F"/>
    <w:rsid w:val="00341FCC"/>
    <w:rsid w:val="003424FF"/>
    <w:rsid w:val="00343101"/>
    <w:rsid w:val="00343DFB"/>
    <w:rsid w:val="00343E16"/>
    <w:rsid w:val="003441CA"/>
    <w:rsid w:val="003447B3"/>
    <w:rsid w:val="00344E00"/>
    <w:rsid w:val="0034537B"/>
    <w:rsid w:val="003457F5"/>
    <w:rsid w:val="00345BD0"/>
    <w:rsid w:val="00346132"/>
    <w:rsid w:val="00346601"/>
    <w:rsid w:val="00346941"/>
    <w:rsid w:val="00347197"/>
    <w:rsid w:val="003476C1"/>
    <w:rsid w:val="00350599"/>
    <w:rsid w:val="00350662"/>
    <w:rsid w:val="00350666"/>
    <w:rsid w:val="00351D44"/>
    <w:rsid w:val="00354356"/>
    <w:rsid w:val="00355434"/>
    <w:rsid w:val="00355BC8"/>
    <w:rsid w:val="00356CBE"/>
    <w:rsid w:val="003575F0"/>
    <w:rsid w:val="00357B26"/>
    <w:rsid w:val="00357F09"/>
    <w:rsid w:val="00357FA1"/>
    <w:rsid w:val="0036017B"/>
    <w:rsid w:val="003612BF"/>
    <w:rsid w:val="0036133E"/>
    <w:rsid w:val="00361707"/>
    <w:rsid w:val="003623B8"/>
    <w:rsid w:val="003626FE"/>
    <w:rsid w:val="00362A46"/>
    <w:rsid w:val="00362EFD"/>
    <w:rsid w:val="003632AA"/>
    <w:rsid w:val="003635BE"/>
    <w:rsid w:val="003636BE"/>
    <w:rsid w:val="00363735"/>
    <w:rsid w:val="00363961"/>
    <w:rsid w:val="003639BA"/>
    <w:rsid w:val="003640DC"/>
    <w:rsid w:val="00364631"/>
    <w:rsid w:val="003649A6"/>
    <w:rsid w:val="00364D41"/>
    <w:rsid w:val="00364E7B"/>
    <w:rsid w:val="00365F29"/>
    <w:rsid w:val="0036631C"/>
    <w:rsid w:val="003663CC"/>
    <w:rsid w:val="00366660"/>
    <w:rsid w:val="00366AD7"/>
    <w:rsid w:val="00366E55"/>
    <w:rsid w:val="0036702B"/>
    <w:rsid w:val="00367D71"/>
    <w:rsid w:val="00370338"/>
    <w:rsid w:val="00371549"/>
    <w:rsid w:val="003715F9"/>
    <w:rsid w:val="0037175F"/>
    <w:rsid w:val="00371AEB"/>
    <w:rsid w:val="003722E8"/>
    <w:rsid w:val="0037335B"/>
    <w:rsid w:val="00374292"/>
    <w:rsid w:val="00374515"/>
    <w:rsid w:val="0037492B"/>
    <w:rsid w:val="00374A24"/>
    <w:rsid w:val="00374FD5"/>
    <w:rsid w:val="00374FDE"/>
    <w:rsid w:val="003750F3"/>
    <w:rsid w:val="00375746"/>
    <w:rsid w:val="0037574B"/>
    <w:rsid w:val="00375E35"/>
    <w:rsid w:val="003764AF"/>
    <w:rsid w:val="003769A6"/>
    <w:rsid w:val="00376E12"/>
    <w:rsid w:val="00377136"/>
    <w:rsid w:val="00377887"/>
    <w:rsid w:val="003779E3"/>
    <w:rsid w:val="00380232"/>
    <w:rsid w:val="00380BFD"/>
    <w:rsid w:val="00380D86"/>
    <w:rsid w:val="00380F99"/>
    <w:rsid w:val="00381186"/>
    <w:rsid w:val="0038195B"/>
    <w:rsid w:val="00381A2D"/>
    <w:rsid w:val="003825D8"/>
    <w:rsid w:val="00382F39"/>
    <w:rsid w:val="00383195"/>
    <w:rsid w:val="003831F5"/>
    <w:rsid w:val="0038372D"/>
    <w:rsid w:val="00383755"/>
    <w:rsid w:val="00383775"/>
    <w:rsid w:val="0038399A"/>
    <w:rsid w:val="00383E38"/>
    <w:rsid w:val="00384729"/>
    <w:rsid w:val="00384A46"/>
    <w:rsid w:val="00384B99"/>
    <w:rsid w:val="00384DB9"/>
    <w:rsid w:val="00384DF3"/>
    <w:rsid w:val="00386201"/>
    <w:rsid w:val="00386EBC"/>
    <w:rsid w:val="0038703E"/>
    <w:rsid w:val="003872D7"/>
    <w:rsid w:val="003875E2"/>
    <w:rsid w:val="00387856"/>
    <w:rsid w:val="003878C3"/>
    <w:rsid w:val="00387968"/>
    <w:rsid w:val="00387C6B"/>
    <w:rsid w:val="00387CDF"/>
    <w:rsid w:val="00387D7A"/>
    <w:rsid w:val="00387DF1"/>
    <w:rsid w:val="003900FA"/>
    <w:rsid w:val="003902CF"/>
    <w:rsid w:val="003910B0"/>
    <w:rsid w:val="003910D2"/>
    <w:rsid w:val="003915C2"/>
    <w:rsid w:val="00391ABA"/>
    <w:rsid w:val="003926DB"/>
    <w:rsid w:val="00392B6B"/>
    <w:rsid w:val="00392BCC"/>
    <w:rsid w:val="003947EC"/>
    <w:rsid w:val="00394B28"/>
    <w:rsid w:val="00394D2F"/>
    <w:rsid w:val="003964B0"/>
    <w:rsid w:val="0039668B"/>
    <w:rsid w:val="00396DFD"/>
    <w:rsid w:val="003975B4"/>
    <w:rsid w:val="003977ED"/>
    <w:rsid w:val="00397B75"/>
    <w:rsid w:val="00397DD0"/>
    <w:rsid w:val="003A0650"/>
    <w:rsid w:val="003A0847"/>
    <w:rsid w:val="003A154B"/>
    <w:rsid w:val="003A21DA"/>
    <w:rsid w:val="003A2F94"/>
    <w:rsid w:val="003A32F9"/>
    <w:rsid w:val="003A3864"/>
    <w:rsid w:val="003A3C38"/>
    <w:rsid w:val="003A4F63"/>
    <w:rsid w:val="003A5037"/>
    <w:rsid w:val="003A5114"/>
    <w:rsid w:val="003A634C"/>
    <w:rsid w:val="003A6638"/>
    <w:rsid w:val="003A690E"/>
    <w:rsid w:val="003A6C01"/>
    <w:rsid w:val="003A723C"/>
    <w:rsid w:val="003A7C46"/>
    <w:rsid w:val="003A7D90"/>
    <w:rsid w:val="003AC799"/>
    <w:rsid w:val="003B001D"/>
    <w:rsid w:val="003B062E"/>
    <w:rsid w:val="003B0D3F"/>
    <w:rsid w:val="003B2C2D"/>
    <w:rsid w:val="003B2E1F"/>
    <w:rsid w:val="003B2F20"/>
    <w:rsid w:val="003B390B"/>
    <w:rsid w:val="003B3A64"/>
    <w:rsid w:val="003B3D53"/>
    <w:rsid w:val="003B3E4F"/>
    <w:rsid w:val="003B45C5"/>
    <w:rsid w:val="003B4FA8"/>
    <w:rsid w:val="003B5756"/>
    <w:rsid w:val="003B5874"/>
    <w:rsid w:val="003B58A8"/>
    <w:rsid w:val="003B5BE9"/>
    <w:rsid w:val="003B61B6"/>
    <w:rsid w:val="003B6359"/>
    <w:rsid w:val="003B71B1"/>
    <w:rsid w:val="003B72B3"/>
    <w:rsid w:val="003B74E5"/>
    <w:rsid w:val="003B7AB1"/>
    <w:rsid w:val="003C00E7"/>
    <w:rsid w:val="003C010D"/>
    <w:rsid w:val="003C03DE"/>
    <w:rsid w:val="003C05B0"/>
    <w:rsid w:val="003C098C"/>
    <w:rsid w:val="003C147B"/>
    <w:rsid w:val="003C162B"/>
    <w:rsid w:val="003C1641"/>
    <w:rsid w:val="003C17DD"/>
    <w:rsid w:val="003C260D"/>
    <w:rsid w:val="003C2985"/>
    <w:rsid w:val="003C30C2"/>
    <w:rsid w:val="003C3232"/>
    <w:rsid w:val="003C38FE"/>
    <w:rsid w:val="003C426A"/>
    <w:rsid w:val="003C4847"/>
    <w:rsid w:val="003C4965"/>
    <w:rsid w:val="003C4A48"/>
    <w:rsid w:val="003C50E1"/>
    <w:rsid w:val="003C5285"/>
    <w:rsid w:val="003C5ABF"/>
    <w:rsid w:val="003C6181"/>
    <w:rsid w:val="003C6960"/>
    <w:rsid w:val="003C7874"/>
    <w:rsid w:val="003C7DF2"/>
    <w:rsid w:val="003D1343"/>
    <w:rsid w:val="003D13B5"/>
    <w:rsid w:val="003D190B"/>
    <w:rsid w:val="003D1D3A"/>
    <w:rsid w:val="003D1F2A"/>
    <w:rsid w:val="003D1F4F"/>
    <w:rsid w:val="003D2793"/>
    <w:rsid w:val="003D2994"/>
    <w:rsid w:val="003D2A9A"/>
    <w:rsid w:val="003D2FC1"/>
    <w:rsid w:val="003D321A"/>
    <w:rsid w:val="003D3815"/>
    <w:rsid w:val="003D389B"/>
    <w:rsid w:val="003D3FD4"/>
    <w:rsid w:val="003D4427"/>
    <w:rsid w:val="003D48E4"/>
    <w:rsid w:val="003D5366"/>
    <w:rsid w:val="003D5585"/>
    <w:rsid w:val="003D5807"/>
    <w:rsid w:val="003D630A"/>
    <w:rsid w:val="003D6411"/>
    <w:rsid w:val="003D68BA"/>
    <w:rsid w:val="003D69D1"/>
    <w:rsid w:val="003D6BE2"/>
    <w:rsid w:val="003D6C69"/>
    <w:rsid w:val="003D6CEB"/>
    <w:rsid w:val="003D783F"/>
    <w:rsid w:val="003D7D55"/>
    <w:rsid w:val="003E015F"/>
    <w:rsid w:val="003E060A"/>
    <w:rsid w:val="003E0A63"/>
    <w:rsid w:val="003E0BCC"/>
    <w:rsid w:val="003E1E8E"/>
    <w:rsid w:val="003E28C1"/>
    <w:rsid w:val="003E2A4A"/>
    <w:rsid w:val="003E2AA7"/>
    <w:rsid w:val="003E3395"/>
    <w:rsid w:val="003E3642"/>
    <w:rsid w:val="003E3DA8"/>
    <w:rsid w:val="003E4140"/>
    <w:rsid w:val="003E4822"/>
    <w:rsid w:val="003E49E9"/>
    <w:rsid w:val="003E4ABD"/>
    <w:rsid w:val="003E4B8B"/>
    <w:rsid w:val="003E4C08"/>
    <w:rsid w:val="003E57EA"/>
    <w:rsid w:val="003E584B"/>
    <w:rsid w:val="003E5BD8"/>
    <w:rsid w:val="003E5BDB"/>
    <w:rsid w:val="003E60DE"/>
    <w:rsid w:val="003E6A58"/>
    <w:rsid w:val="003E7FED"/>
    <w:rsid w:val="003F0048"/>
    <w:rsid w:val="003F138A"/>
    <w:rsid w:val="003F170D"/>
    <w:rsid w:val="003F2088"/>
    <w:rsid w:val="003F2256"/>
    <w:rsid w:val="003F23D9"/>
    <w:rsid w:val="003F2A9F"/>
    <w:rsid w:val="003F2BD1"/>
    <w:rsid w:val="003F2DD7"/>
    <w:rsid w:val="003F2E75"/>
    <w:rsid w:val="003F3083"/>
    <w:rsid w:val="003F323F"/>
    <w:rsid w:val="003F32CA"/>
    <w:rsid w:val="003F4081"/>
    <w:rsid w:val="003F4214"/>
    <w:rsid w:val="003F44E3"/>
    <w:rsid w:val="003F6DFE"/>
    <w:rsid w:val="003F6EBD"/>
    <w:rsid w:val="003F7808"/>
    <w:rsid w:val="003F79DE"/>
    <w:rsid w:val="003F7BA2"/>
    <w:rsid w:val="003F7F58"/>
    <w:rsid w:val="003FD4DB"/>
    <w:rsid w:val="004003DB"/>
    <w:rsid w:val="00400FD3"/>
    <w:rsid w:val="004012CC"/>
    <w:rsid w:val="00401738"/>
    <w:rsid w:val="0040173E"/>
    <w:rsid w:val="00401746"/>
    <w:rsid w:val="004019FF"/>
    <w:rsid w:val="00401C0D"/>
    <w:rsid w:val="00401E3A"/>
    <w:rsid w:val="00402296"/>
    <w:rsid w:val="004025DD"/>
    <w:rsid w:val="0040265B"/>
    <w:rsid w:val="004028F1"/>
    <w:rsid w:val="00402C4E"/>
    <w:rsid w:val="00403221"/>
    <w:rsid w:val="00403914"/>
    <w:rsid w:val="00403C52"/>
    <w:rsid w:val="00403FE5"/>
    <w:rsid w:val="00404793"/>
    <w:rsid w:val="00404A29"/>
    <w:rsid w:val="00404EBE"/>
    <w:rsid w:val="00405441"/>
    <w:rsid w:val="0040563C"/>
    <w:rsid w:val="004056F6"/>
    <w:rsid w:val="00405E4A"/>
    <w:rsid w:val="00406315"/>
    <w:rsid w:val="00406DC7"/>
    <w:rsid w:val="00406E11"/>
    <w:rsid w:val="004077ED"/>
    <w:rsid w:val="00407B36"/>
    <w:rsid w:val="00407DB9"/>
    <w:rsid w:val="004101B2"/>
    <w:rsid w:val="0041081B"/>
    <w:rsid w:val="00410B72"/>
    <w:rsid w:val="00411651"/>
    <w:rsid w:val="004117C9"/>
    <w:rsid w:val="004121B1"/>
    <w:rsid w:val="004123E9"/>
    <w:rsid w:val="00412C29"/>
    <w:rsid w:val="00412CEA"/>
    <w:rsid w:val="00413837"/>
    <w:rsid w:val="00413962"/>
    <w:rsid w:val="004145B1"/>
    <w:rsid w:val="00414849"/>
    <w:rsid w:val="00414EC3"/>
    <w:rsid w:val="0041506A"/>
    <w:rsid w:val="00415595"/>
    <w:rsid w:val="00415F7B"/>
    <w:rsid w:val="00416671"/>
    <w:rsid w:val="00416DE8"/>
    <w:rsid w:val="00417691"/>
    <w:rsid w:val="0041788A"/>
    <w:rsid w:val="00417B37"/>
    <w:rsid w:val="00417E89"/>
    <w:rsid w:val="00420258"/>
    <w:rsid w:val="00420277"/>
    <w:rsid w:val="004203DA"/>
    <w:rsid w:val="004206E8"/>
    <w:rsid w:val="00420A0B"/>
    <w:rsid w:val="00420E65"/>
    <w:rsid w:val="00420EFC"/>
    <w:rsid w:val="004211B6"/>
    <w:rsid w:val="00422046"/>
    <w:rsid w:val="00422F6E"/>
    <w:rsid w:val="00422FF5"/>
    <w:rsid w:val="00423382"/>
    <w:rsid w:val="004241C5"/>
    <w:rsid w:val="00424CBE"/>
    <w:rsid w:val="00424D3A"/>
    <w:rsid w:val="004253A7"/>
    <w:rsid w:val="004253AB"/>
    <w:rsid w:val="00425485"/>
    <w:rsid w:val="00425747"/>
    <w:rsid w:val="004258FD"/>
    <w:rsid w:val="00426352"/>
    <w:rsid w:val="0042648E"/>
    <w:rsid w:val="004269A7"/>
    <w:rsid w:val="004269AE"/>
    <w:rsid w:val="00426AD7"/>
    <w:rsid w:val="00426E1C"/>
    <w:rsid w:val="004301FE"/>
    <w:rsid w:val="004306DE"/>
    <w:rsid w:val="00430727"/>
    <w:rsid w:val="00431160"/>
    <w:rsid w:val="004311D0"/>
    <w:rsid w:val="00431EC4"/>
    <w:rsid w:val="00432504"/>
    <w:rsid w:val="00432BE8"/>
    <w:rsid w:val="00433439"/>
    <w:rsid w:val="0043397B"/>
    <w:rsid w:val="00433B74"/>
    <w:rsid w:val="00433F0B"/>
    <w:rsid w:val="0043431C"/>
    <w:rsid w:val="00434545"/>
    <w:rsid w:val="0043460B"/>
    <w:rsid w:val="0043475B"/>
    <w:rsid w:val="004347D6"/>
    <w:rsid w:val="00435D70"/>
    <w:rsid w:val="004369A4"/>
    <w:rsid w:val="00437F35"/>
    <w:rsid w:val="00437F64"/>
    <w:rsid w:val="004400CE"/>
    <w:rsid w:val="00440E4F"/>
    <w:rsid w:val="004411E0"/>
    <w:rsid w:val="00441D5B"/>
    <w:rsid w:val="00442098"/>
    <w:rsid w:val="00442AF4"/>
    <w:rsid w:val="004430EF"/>
    <w:rsid w:val="00443FBB"/>
    <w:rsid w:val="00444401"/>
    <w:rsid w:val="004450E5"/>
    <w:rsid w:val="00445B19"/>
    <w:rsid w:val="00445D94"/>
    <w:rsid w:val="0044600B"/>
    <w:rsid w:val="00446837"/>
    <w:rsid w:val="004474F1"/>
    <w:rsid w:val="00450540"/>
    <w:rsid w:val="00450622"/>
    <w:rsid w:val="0045175D"/>
    <w:rsid w:val="00451A4C"/>
    <w:rsid w:val="00451E3D"/>
    <w:rsid w:val="00452501"/>
    <w:rsid w:val="0045258A"/>
    <w:rsid w:val="004526AC"/>
    <w:rsid w:val="00452A49"/>
    <w:rsid w:val="00453063"/>
    <w:rsid w:val="0045325F"/>
    <w:rsid w:val="00453263"/>
    <w:rsid w:val="004543AF"/>
    <w:rsid w:val="00454666"/>
    <w:rsid w:val="00454AC5"/>
    <w:rsid w:val="00454D5E"/>
    <w:rsid w:val="00455245"/>
    <w:rsid w:val="004556C7"/>
    <w:rsid w:val="00456104"/>
    <w:rsid w:val="00456191"/>
    <w:rsid w:val="0045622B"/>
    <w:rsid w:val="00456AC1"/>
    <w:rsid w:val="00456EB9"/>
    <w:rsid w:val="00456F1F"/>
    <w:rsid w:val="00457346"/>
    <w:rsid w:val="004573C4"/>
    <w:rsid w:val="004577A6"/>
    <w:rsid w:val="00457989"/>
    <w:rsid w:val="00461A93"/>
    <w:rsid w:val="00462280"/>
    <w:rsid w:val="0046289B"/>
    <w:rsid w:val="00462A2E"/>
    <w:rsid w:val="00462FE5"/>
    <w:rsid w:val="004633E8"/>
    <w:rsid w:val="00463508"/>
    <w:rsid w:val="00463A5E"/>
    <w:rsid w:val="004647AE"/>
    <w:rsid w:val="00464E13"/>
    <w:rsid w:val="004659C8"/>
    <w:rsid w:val="00465D0B"/>
    <w:rsid w:val="00467132"/>
    <w:rsid w:val="004672E7"/>
    <w:rsid w:val="0046743E"/>
    <w:rsid w:val="0046743F"/>
    <w:rsid w:val="00467453"/>
    <w:rsid w:val="004679CD"/>
    <w:rsid w:val="00467EB2"/>
    <w:rsid w:val="0047040F"/>
    <w:rsid w:val="00470433"/>
    <w:rsid w:val="004714DF"/>
    <w:rsid w:val="0047192A"/>
    <w:rsid w:val="004720BD"/>
    <w:rsid w:val="004723E0"/>
    <w:rsid w:val="004732F0"/>
    <w:rsid w:val="00473978"/>
    <w:rsid w:val="00473CBF"/>
    <w:rsid w:val="00473E7E"/>
    <w:rsid w:val="004746C5"/>
    <w:rsid w:val="00474B75"/>
    <w:rsid w:val="00475F19"/>
    <w:rsid w:val="00476850"/>
    <w:rsid w:val="00476D04"/>
    <w:rsid w:val="00476D1C"/>
    <w:rsid w:val="00477391"/>
    <w:rsid w:val="004777F0"/>
    <w:rsid w:val="00477AC7"/>
    <w:rsid w:val="00477D52"/>
    <w:rsid w:val="004803BF"/>
    <w:rsid w:val="00480801"/>
    <w:rsid w:val="00480E12"/>
    <w:rsid w:val="0048101C"/>
    <w:rsid w:val="004823D5"/>
    <w:rsid w:val="00482A18"/>
    <w:rsid w:val="00482CB2"/>
    <w:rsid w:val="00482D25"/>
    <w:rsid w:val="004830AB"/>
    <w:rsid w:val="00483720"/>
    <w:rsid w:val="0048477B"/>
    <w:rsid w:val="00485116"/>
    <w:rsid w:val="00485480"/>
    <w:rsid w:val="00485734"/>
    <w:rsid w:val="00486095"/>
    <w:rsid w:val="00486688"/>
    <w:rsid w:val="00486E2B"/>
    <w:rsid w:val="004873AE"/>
    <w:rsid w:val="004878BA"/>
    <w:rsid w:val="00487922"/>
    <w:rsid w:val="00487D39"/>
    <w:rsid w:val="00490579"/>
    <w:rsid w:val="0049169A"/>
    <w:rsid w:val="0049185C"/>
    <w:rsid w:val="0049192D"/>
    <w:rsid w:val="00491C0B"/>
    <w:rsid w:val="00491CB0"/>
    <w:rsid w:val="00491F1A"/>
    <w:rsid w:val="004923F5"/>
    <w:rsid w:val="004936D2"/>
    <w:rsid w:val="00493CFB"/>
    <w:rsid w:val="00493D64"/>
    <w:rsid w:val="00494184"/>
    <w:rsid w:val="00494C3B"/>
    <w:rsid w:val="00494D78"/>
    <w:rsid w:val="00495D74"/>
    <w:rsid w:val="00497271"/>
    <w:rsid w:val="004973CC"/>
    <w:rsid w:val="004973FE"/>
    <w:rsid w:val="0049757C"/>
    <w:rsid w:val="00497739"/>
    <w:rsid w:val="0049799C"/>
    <w:rsid w:val="00497DB5"/>
    <w:rsid w:val="00497ECE"/>
    <w:rsid w:val="004A00BF"/>
    <w:rsid w:val="004A0115"/>
    <w:rsid w:val="004A05B2"/>
    <w:rsid w:val="004A0745"/>
    <w:rsid w:val="004A1239"/>
    <w:rsid w:val="004A1345"/>
    <w:rsid w:val="004A1616"/>
    <w:rsid w:val="004A2045"/>
    <w:rsid w:val="004A2C43"/>
    <w:rsid w:val="004A3096"/>
    <w:rsid w:val="004A357A"/>
    <w:rsid w:val="004A3B24"/>
    <w:rsid w:val="004A3D60"/>
    <w:rsid w:val="004A3F51"/>
    <w:rsid w:val="004A49E3"/>
    <w:rsid w:val="004A4CD8"/>
    <w:rsid w:val="004A567F"/>
    <w:rsid w:val="004A5681"/>
    <w:rsid w:val="004A7031"/>
    <w:rsid w:val="004A7805"/>
    <w:rsid w:val="004B04BA"/>
    <w:rsid w:val="004B1044"/>
    <w:rsid w:val="004B1134"/>
    <w:rsid w:val="004B15F9"/>
    <w:rsid w:val="004B1B2E"/>
    <w:rsid w:val="004B1C92"/>
    <w:rsid w:val="004B1E4C"/>
    <w:rsid w:val="004B201D"/>
    <w:rsid w:val="004B202B"/>
    <w:rsid w:val="004B2C78"/>
    <w:rsid w:val="004B3212"/>
    <w:rsid w:val="004B34AA"/>
    <w:rsid w:val="004B41C2"/>
    <w:rsid w:val="004B4808"/>
    <w:rsid w:val="004B4BCD"/>
    <w:rsid w:val="004B4D93"/>
    <w:rsid w:val="004B548E"/>
    <w:rsid w:val="004B5E7C"/>
    <w:rsid w:val="004B619D"/>
    <w:rsid w:val="004B6C7C"/>
    <w:rsid w:val="004B7697"/>
    <w:rsid w:val="004B76AD"/>
    <w:rsid w:val="004B7C47"/>
    <w:rsid w:val="004C151E"/>
    <w:rsid w:val="004C2CC5"/>
    <w:rsid w:val="004C2D04"/>
    <w:rsid w:val="004C48D8"/>
    <w:rsid w:val="004C4C84"/>
    <w:rsid w:val="004C501B"/>
    <w:rsid w:val="004C5056"/>
    <w:rsid w:val="004C5142"/>
    <w:rsid w:val="004C573A"/>
    <w:rsid w:val="004C579E"/>
    <w:rsid w:val="004C62CB"/>
    <w:rsid w:val="004C6FD4"/>
    <w:rsid w:val="004C71D1"/>
    <w:rsid w:val="004C7E77"/>
    <w:rsid w:val="004C7FFE"/>
    <w:rsid w:val="004D06C1"/>
    <w:rsid w:val="004D169E"/>
    <w:rsid w:val="004D18A7"/>
    <w:rsid w:val="004D21BF"/>
    <w:rsid w:val="004D256A"/>
    <w:rsid w:val="004D28B4"/>
    <w:rsid w:val="004D2DEA"/>
    <w:rsid w:val="004D3166"/>
    <w:rsid w:val="004D37BB"/>
    <w:rsid w:val="004D40CF"/>
    <w:rsid w:val="004D4201"/>
    <w:rsid w:val="004D43BC"/>
    <w:rsid w:val="004D44AA"/>
    <w:rsid w:val="004D4678"/>
    <w:rsid w:val="004D4D5A"/>
    <w:rsid w:val="004D4EBB"/>
    <w:rsid w:val="004D5DC8"/>
    <w:rsid w:val="004D6A79"/>
    <w:rsid w:val="004D7896"/>
    <w:rsid w:val="004D7DEF"/>
    <w:rsid w:val="004E09D1"/>
    <w:rsid w:val="004E09D8"/>
    <w:rsid w:val="004E0BD9"/>
    <w:rsid w:val="004E0E85"/>
    <w:rsid w:val="004E10BE"/>
    <w:rsid w:val="004E18B5"/>
    <w:rsid w:val="004E1F57"/>
    <w:rsid w:val="004E272E"/>
    <w:rsid w:val="004E276C"/>
    <w:rsid w:val="004E2887"/>
    <w:rsid w:val="004E2AB6"/>
    <w:rsid w:val="004E2C26"/>
    <w:rsid w:val="004E2CE6"/>
    <w:rsid w:val="004E2D14"/>
    <w:rsid w:val="004E2D98"/>
    <w:rsid w:val="004E3118"/>
    <w:rsid w:val="004E38F7"/>
    <w:rsid w:val="004E3D9B"/>
    <w:rsid w:val="004E4267"/>
    <w:rsid w:val="004E4F3D"/>
    <w:rsid w:val="004E5AED"/>
    <w:rsid w:val="004E603E"/>
    <w:rsid w:val="004E6E3A"/>
    <w:rsid w:val="004E754E"/>
    <w:rsid w:val="004F053B"/>
    <w:rsid w:val="004F12AC"/>
    <w:rsid w:val="004F243D"/>
    <w:rsid w:val="004F289D"/>
    <w:rsid w:val="004F2BC3"/>
    <w:rsid w:val="004F2BDF"/>
    <w:rsid w:val="004F2C94"/>
    <w:rsid w:val="004F2EB0"/>
    <w:rsid w:val="004F2F5E"/>
    <w:rsid w:val="004F3596"/>
    <w:rsid w:val="004F4886"/>
    <w:rsid w:val="004F4CD0"/>
    <w:rsid w:val="004F502B"/>
    <w:rsid w:val="004F56DB"/>
    <w:rsid w:val="004F56E1"/>
    <w:rsid w:val="004F5B00"/>
    <w:rsid w:val="004F637C"/>
    <w:rsid w:val="004F6459"/>
    <w:rsid w:val="004F66A0"/>
    <w:rsid w:val="004F7724"/>
    <w:rsid w:val="004F7C0A"/>
    <w:rsid w:val="00500144"/>
    <w:rsid w:val="005004A6"/>
    <w:rsid w:val="00500853"/>
    <w:rsid w:val="00501CED"/>
    <w:rsid w:val="0050221A"/>
    <w:rsid w:val="005027D9"/>
    <w:rsid w:val="005029EA"/>
    <w:rsid w:val="005037C8"/>
    <w:rsid w:val="005037ED"/>
    <w:rsid w:val="00503B8B"/>
    <w:rsid w:val="00504E50"/>
    <w:rsid w:val="00504EFF"/>
    <w:rsid w:val="00505113"/>
    <w:rsid w:val="005053DB"/>
    <w:rsid w:val="00505746"/>
    <w:rsid w:val="00506966"/>
    <w:rsid w:val="00506B1D"/>
    <w:rsid w:val="00507000"/>
    <w:rsid w:val="00510333"/>
    <w:rsid w:val="00510463"/>
    <w:rsid w:val="00510761"/>
    <w:rsid w:val="005107A0"/>
    <w:rsid w:val="00510DD8"/>
    <w:rsid w:val="005116A8"/>
    <w:rsid w:val="005119E8"/>
    <w:rsid w:val="00511DC3"/>
    <w:rsid w:val="0051213E"/>
    <w:rsid w:val="005126CA"/>
    <w:rsid w:val="00512A53"/>
    <w:rsid w:val="00514BD2"/>
    <w:rsid w:val="00514F1B"/>
    <w:rsid w:val="00514F2C"/>
    <w:rsid w:val="005151DE"/>
    <w:rsid w:val="00515205"/>
    <w:rsid w:val="00515967"/>
    <w:rsid w:val="00515B3A"/>
    <w:rsid w:val="00516470"/>
    <w:rsid w:val="00516505"/>
    <w:rsid w:val="00516880"/>
    <w:rsid w:val="005168E3"/>
    <w:rsid w:val="00516C42"/>
    <w:rsid w:val="005174A2"/>
    <w:rsid w:val="00517B95"/>
    <w:rsid w:val="00517D78"/>
    <w:rsid w:val="00520267"/>
    <w:rsid w:val="00520CFF"/>
    <w:rsid w:val="00521C4F"/>
    <w:rsid w:val="00522234"/>
    <w:rsid w:val="00523216"/>
    <w:rsid w:val="00524CCE"/>
    <w:rsid w:val="00524E5B"/>
    <w:rsid w:val="0052507B"/>
    <w:rsid w:val="00525DD2"/>
    <w:rsid w:val="00525F0B"/>
    <w:rsid w:val="005265C5"/>
    <w:rsid w:val="005266B2"/>
    <w:rsid w:val="00526975"/>
    <w:rsid w:val="005277FA"/>
    <w:rsid w:val="00527C30"/>
    <w:rsid w:val="0053109B"/>
    <w:rsid w:val="0053143D"/>
    <w:rsid w:val="005314D1"/>
    <w:rsid w:val="005315DB"/>
    <w:rsid w:val="00531EB9"/>
    <w:rsid w:val="00531F94"/>
    <w:rsid w:val="00532603"/>
    <w:rsid w:val="00532779"/>
    <w:rsid w:val="00532B74"/>
    <w:rsid w:val="00532C70"/>
    <w:rsid w:val="00532ED3"/>
    <w:rsid w:val="00532F6B"/>
    <w:rsid w:val="00533506"/>
    <w:rsid w:val="00533CB7"/>
    <w:rsid w:val="00533CD8"/>
    <w:rsid w:val="005340FC"/>
    <w:rsid w:val="00534318"/>
    <w:rsid w:val="00534370"/>
    <w:rsid w:val="00534A1E"/>
    <w:rsid w:val="00535478"/>
    <w:rsid w:val="005356D0"/>
    <w:rsid w:val="005361E4"/>
    <w:rsid w:val="00536222"/>
    <w:rsid w:val="005377E6"/>
    <w:rsid w:val="005379D4"/>
    <w:rsid w:val="00537AB8"/>
    <w:rsid w:val="00537D73"/>
    <w:rsid w:val="00537F51"/>
    <w:rsid w:val="00540BD6"/>
    <w:rsid w:val="00540BDF"/>
    <w:rsid w:val="00540D69"/>
    <w:rsid w:val="0054121B"/>
    <w:rsid w:val="00541544"/>
    <w:rsid w:val="00541F32"/>
    <w:rsid w:val="005420EC"/>
    <w:rsid w:val="00542967"/>
    <w:rsid w:val="00542C41"/>
    <w:rsid w:val="00542FF2"/>
    <w:rsid w:val="00543166"/>
    <w:rsid w:val="005434E7"/>
    <w:rsid w:val="00543549"/>
    <w:rsid w:val="00543647"/>
    <w:rsid w:val="00543709"/>
    <w:rsid w:val="00543FDA"/>
    <w:rsid w:val="00544230"/>
    <w:rsid w:val="005444C2"/>
    <w:rsid w:val="00545519"/>
    <w:rsid w:val="00545C6D"/>
    <w:rsid w:val="00545ED0"/>
    <w:rsid w:val="00546358"/>
    <w:rsid w:val="00546BEE"/>
    <w:rsid w:val="00546C0E"/>
    <w:rsid w:val="00546E3B"/>
    <w:rsid w:val="00547219"/>
    <w:rsid w:val="00547565"/>
    <w:rsid w:val="005476BB"/>
    <w:rsid w:val="00547C51"/>
    <w:rsid w:val="00550343"/>
    <w:rsid w:val="00550989"/>
    <w:rsid w:val="005509AA"/>
    <w:rsid w:val="005512E5"/>
    <w:rsid w:val="0055162D"/>
    <w:rsid w:val="005519CE"/>
    <w:rsid w:val="00551D87"/>
    <w:rsid w:val="0055224D"/>
    <w:rsid w:val="005524A2"/>
    <w:rsid w:val="00552819"/>
    <w:rsid w:val="0055284B"/>
    <w:rsid w:val="00553BDE"/>
    <w:rsid w:val="005541AB"/>
    <w:rsid w:val="005541D5"/>
    <w:rsid w:val="005542A7"/>
    <w:rsid w:val="00554B3F"/>
    <w:rsid w:val="00555AAD"/>
    <w:rsid w:val="00556BB3"/>
    <w:rsid w:val="00556D07"/>
    <w:rsid w:val="00556EE3"/>
    <w:rsid w:val="00557EA1"/>
    <w:rsid w:val="005606D1"/>
    <w:rsid w:val="00560BBC"/>
    <w:rsid w:val="0056118B"/>
    <w:rsid w:val="00561D8C"/>
    <w:rsid w:val="005622C8"/>
    <w:rsid w:val="0056289B"/>
    <w:rsid w:val="00562E1B"/>
    <w:rsid w:val="005631BB"/>
    <w:rsid w:val="00563207"/>
    <w:rsid w:val="00563C2F"/>
    <w:rsid w:val="0056409F"/>
    <w:rsid w:val="0056432C"/>
    <w:rsid w:val="00564525"/>
    <w:rsid w:val="00564767"/>
    <w:rsid w:val="00564DAB"/>
    <w:rsid w:val="00564FEB"/>
    <w:rsid w:val="00565022"/>
    <w:rsid w:val="00565278"/>
    <w:rsid w:val="005652D7"/>
    <w:rsid w:val="0056579D"/>
    <w:rsid w:val="00565BD0"/>
    <w:rsid w:val="00566908"/>
    <w:rsid w:val="00566D04"/>
    <w:rsid w:val="0056706A"/>
    <w:rsid w:val="005676F0"/>
    <w:rsid w:val="00570481"/>
    <w:rsid w:val="005708CA"/>
    <w:rsid w:val="00570A4F"/>
    <w:rsid w:val="00573118"/>
    <w:rsid w:val="005731C6"/>
    <w:rsid w:val="00573C09"/>
    <w:rsid w:val="00573C34"/>
    <w:rsid w:val="005741CD"/>
    <w:rsid w:val="0057478B"/>
    <w:rsid w:val="00574B50"/>
    <w:rsid w:val="00574C21"/>
    <w:rsid w:val="00574E07"/>
    <w:rsid w:val="00575F9B"/>
    <w:rsid w:val="00576E74"/>
    <w:rsid w:val="00577385"/>
    <w:rsid w:val="005773D3"/>
    <w:rsid w:val="005774E7"/>
    <w:rsid w:val="005778B7"/>
    <w:rsid w:val="00577913"/>
    <w:rsid w:val="005800A9"/>
    <w:rsid w:val="005808A6"/>
    <w:rsid w:val="00580A5F"/>
    <w:rsid w:val="00580D3D"/>
    <w:rsid w:val="00581643"/>
    <w:rsid w:val="00581E62"/>
    <w:rsid w:val="00581F3E"/>
    <w:rsid w:val="00582485"/>
    <w:rsid w:val="0058279F"/>
    <w:rsid w:val="0058373B"/>
    <w:rsid w:val="005838B6"/>
    <w:rsid w:val="005838BB"/>
    <w:rsid w:val="00583901"/>
    <w:rsid w:val="0058416F"/>
    <w:rsid w:val="00584830"/>
    <w:rsid w:val="005849CC"/>
    <w:rsid w:val="00584CC6"/>
    <w:rsid w:val="00584ED6"/>
    <w:rsid w:val="005852F8"/>
    <w:rsid w:val="00585FF0"/>
    <w:rsid w:val="0058615F"/>
    <w:rsid w:val="00586A0E"/>
    <w:rsid w:val="00586D81"/>
    <w:rsid w:val="00587051"/>
    <w:rsid w:val="00587DC6"/>
    <w:rsid w:val="00590DCA"/>
    <w:rsid w:val="0059115B"/>
    <w:rsid w:val="00591DAC"/>
    <w:rsid w:val="00591F7F"/>
    <w:rsid w:val="005922FC"/>
    <w:rsid w:val="005923E5"/>
    <w:rsid w:val="00592B0E"/>
    <w:rsid w:val="00593296"/>
    <w:rsid w:val="005934C8"/>
    <w:rsid w:val="005938DB"/>
    <w:rsid w:val="005940E2"/>
    <w:rsid w:val="00594935"/>
    <w:rsid w:val="005954C7"/>
    <w:rsid w:val="00595690"/>
    <w:rsid w:val="005959D9"/>
    <w:rsid w:val="00595E2E"/>
    <w:rsid w:val="0059610C"/>
    <w:rsid w:val="005967F5"/>
    <w:rsid w:val="005968EE"/>
    <w:rsid w:val="00596FCE"/>
    <w:rsid w:val="00597825"/>
    <w:rsid w:val="00597831"/>
    <w:rsid w:val="00597A9F"/>
    <w:rsid w:val="005A0019"/>
    <w:rsid w:val="005A0026"/>
    <w:rsid w:val="005A0076"/>
    <w:rsid w:val="005A04DB"/>
    <w:rsid w:val="005A0742"/>
    <w:rsid w:val="005A0F62"/>
    <w:rsid w:val="005A12F7"/>
    <w:rsid w:val="005A1489"/>
    <w:rsid w:val="005A1510"/>
    <w:rsid w:val="005A15CB"/>
    <w:rsid w:val="005A1AE2"/>
    <w:rsid w:val="005A3282"/>
    <w:rsid w:val="005A3749"/>
    <w:rsid w:val="005A39EA"/>
    <w:rsid w:val="005A3AA1"/>
    <w:rsid w:val="005A3F6F"/>
    <w:rsid w:val="005A6AC0"/>
    <w:rsid w:val="005A6BAF"/>
    <w:rsid w:val="005A6E9B"/>
    <w:rsid w:val="005A758B"/>
    <w:rsid w:val="005A7D6B"/>
    <w:rsid w:val="005A7DBA"/>
    <w:rsid w:val="005B02EB"/>
    <w:rsid w:val="005B0341"/>
    <w:rsid w:val="005B0660"/>
    <w:rsid w:val="005B10A9"/>
    <w:rsid w:val="005B17FC"/>
    <w:rsid w:val="005B18E7"/>
    <w:rsid w:val="005B1DAC"/>
    <w:rsid w:val="005B1EB6"/>
    <w:rsid w:val="005B20AB"/>
    <w:rsid w:val="005B2519"/>
    <w:rsid w:val="005B25BE"/>
    <w:rsid w:val="005B2A8D"/>
    <w:rsid w:val="005B3632"/>
    <w:rsid w:val="005B3C22"/>
    <w:rsid w:val="005B4096"/>
    <w:rsid w:val="005B42DC"/>
    <w:rsid w:val="005B4514"/>
    <w:rsid w:val="005B4C5E"/>
    <w:rsid w:val="005B4F11"/>
    <w:rsid w:val="005B4F9D"/>
    <w:rsid w:val="005B51CC"/>
    <w:rsid w:val="005B51F0"/>
    <w:rsid w:val="005B5645"/>
    <w:rsid w:val="005B5BA5"/>
    <w:rsid w:val="005B61CD"/>
    <w:rsid w:val="005B71E1"/>
    <w:rsid w:val="005B763B"/>
    <w:rsid w:val="005B7E94"/>
    <w:rsid w:val="005C033C"/>
    <w:rsid w:val="005C047A"/>
    <w:rsid w:val="005C0634"/>
    <w:rsid w:val="005C0887"/>
    <w:rsid w:val="005C0E4A"/>
    <w:rsid w:val="005C16C3"/>
    <w:rsid w:val="005C2391"/>
    <w:rsid w:val="005C25AE"/>
    <w:rsid w:val="005C266D"/>
    <w:rsid w:val="005C296A"/>
    <w:rsid w:val="005C2ACE"/>
    <w:rsid w:val="005C2B7D"/>
    <w:rsid w:val="005C2BDF"/>
    <w:rsid w:val="005C2EAE"/>
    <w:rsid w:val="005C30EB"/>
    <w:rsid w:val="005C33BA"/>
    <w:rsid w:val="005C3683"/>
    <w:rsid w:val="005C3A63"/>
    <w:rsid w:val="005C3A88"/>
    <w:rsid w:val="005C3BF8"/>
    <w:rsid w:val="005C3FEC"/>
    <w:rsid w:val="005C4623"/>
    <w:rsid w:val="005C47D9"/>
    <w:rsid w:val="005C4A24"/>
    <w:rsid w:val="005C4C60"/>
    <w:rsid w:val="005C4FD0"/>
    <w:rsid w:val="005C518F"/>
    <w:rsid w:val="005C5C6C"/>
    <w:rsid w:val="005C5EBC"/>
    <w:rsid w:val="005C7923"/>
    <w:rsid w:val="005C7C69"/>
    <w:rsid w:val="005C7FDF"/>
    <w:rsid w:val="005D086D"/>
    <w:rsid w:val="005D09EB"/>
    <w:rsid w:val="005D0C3B"/>
    <w:rsid w:val="005D11AD"/>
    <w:rsid w:val="005D164B"/>
    <w:rsid w:val="005D1E02"/>
    <w:rsid w:val="005D1F90"/>
    <w:rsid w:val="005D210D"/>
    <w:rsid w:val="005D242F"/>
    <w:rsid w:val="005D2CD5"/>
    <w:rsid w:val="005D2E64"/>
    <w:rsid w:val="005D2F69"/>
    <w:rsid w:val="005D2FD1"/>
    <w:rsid w:val="005D32F2"/>
    <w:rsid w:val="005D347B"/>
    <w:rsid w:val="005D39B6"/>
    <w:rsid w:val="005D3E82"/>
    <w:rsid w:val="005D40CB"/>
    <w:rsid w:val="005D4420"/>
    <w:rsid w:val="005D455A"/>
    <w:rsid w:val="005D4804"/>
    <w:rsid w:val="005D48B0"/>
    <w:rsid w:val="005D4D5F"/>
    <w:rsid w:val="005D5579"/>
    <w:rsid w:val="005D5681"/>
    <w:rsid w:val="005D581B"/>
    <w:rsid w:val="005D5F0E"/>
    <w:rsid w:val="005D6739"/>
    <w:rsid w:val="005D6A94"/>
    <w:rsid w:val="005D6C5B"/>
    <w:rsid w:val="005D75DB"/>
    <w:rsid w:val="005D789D"/>
    <w:rsid w:val="005E06AB"/>
    <w:rsid w:val="005E1078"/>
    <w:rsid w:val="005E1773"/>
    <w:rsid w:val="005E1A02"/>
    <w:rsid w:val="005E1D2F"/>
    <w:rsid w:val="005E1E37"/>
    <w:rsid w:val="005E239B"/>
    <w:rsid w:val="005E245D"/>
    <w:rsid w:val="005E2D5E"/>
    <w:rsid w:val="005E2DF1"/>
    <w:rsid w:val="005E30CB"/>
    <w:rsid w:val="005E33B8"/>
    <w:rsid w:val="005E36EB"/>
    <w:rsid w:val="005E395A"/>
    <w:rsid w:val="005E4490"/>
    <w:rsid w:val="005E44ED"/>
    <w:rsid w:val="005E4CE6"/>
    <w:rsid w:val="005E51B0"/>
    <w:rsid w:val="005E56A6"/>
    <w:rsid w:val="005E5787"/>
    <w:rsid w:val="005E5901"/>
    <w:rsid w:val="005E5A78"/>
    <w:rsid w:val="005E6166"/>
    <w:rsid w:val="005E69ED"/>
    <w:rsid w:val="005E7655"/>
    <w:rsid w:val="005F024D"/>
    <w:rsid w:val="005F0470"/>
    <w:rsid w:val="005F0DA1"/>
    <w:rsid w:val="005F0DEC"/>
    <w:rsid w:val="005F0FDF"/>
    <w:rsid w:val="005F2552"/>
    <w:rsid w:val="005F2645"/>
    <w:rsid w:val="005F289E"/>
    <w:rsid w:val="005F2BEB"/>
    <w:rsid w:val="005F320A"/>
    <w:rsid w:val="005F3712"/>
    <w:rsid w:val="005F37EF"/>
    <w:rsid w:val="005F39DD"/>
    <w:rsid w:val="005F3ED1"/>
    <w:rsid w:val="005F3F5D"/>
    <w:rsid w:val="005F42F1"/>
    <w:rsid w:val="005F478B"/>
    <w:rsid w:val="005F4F0A"/>
    <w:rsid w:val="005F57CE"/>
    <w:rsid w:val="005F5BF6"/>
    <w:rsid w:val="005F5DFE"/>
    <w:rsid w:val="005F5F62"/>
    <w:rsid w:val="005F7CD2"/>
    <w:rsid w:val="00600259"/>
    <w:rsid w:val="00600261"/>
    <w:rsid w:val="006004B7"/>
    <w:rsid w:val="006007FB"/>
    <w:rsid w:val="0060093D"/>
    <w:rsid w:val="006009C5"/>
    <w:rsid w:val="00600ED3"/>
    <w:rsid w:val="0060158F"/>
    <w:rsid w:val="00601844"/>
    <w:rsid w:val="00601F9C"/>
    <w:rsid w:val="00602195"/>
    <w:rsid w:val="006022B7"/>
    <w:rsid w:val="00602B20"/>
    <w:rsid w:val="00603A0F"/>
    <w:rsid w:val="006043BD"/>
    <w:rsid w:val="00604859"/>
    <w:rsid w:val="00604884"/>
    <w:rsid w:val="006049EB"/>
    <w:rsid w:val="00604B8A"/>
    <w:rsid w:val="006050EE"/>
    <w:rsid w:val="0060524A"/>
    <w:rsid w:val="006053BB"/>
    <w:rsid w:val="006061F8"/>
    <w:rsid w:val="006062AA"/>
    <w:rsid w:val="0060664F"/>
    <w:rsid w:val="00606717"/>
    <w:rsid w:val="00606751"/>
    <w:rsid w:val="006069F5"/>
    <w:rsid w:val="00606D73"/>
    <w:rsid w:val="006070E4"/>
    <w:rsid w:val="006070F8"/>
    <w:rsid w:val="00607191"/>
    <w:rsid w:val="006073F0"/>
    <w:rsid w:val="006075B2"/>
    <w:rsid w:val="00610455"/>
    <w:rsid w:val="00610AF6"/>
    <w:rsid w:val="0061100A"/>
    <w:rsid w:val="0061137F"/>
    <w:rsid w:val="00611869"/>
    <w:rsid w:val="006118E4"/>
    <w:rsid w:val="006118F8"/>
    <w:rsid w:val="00611BF1"/>
    <w:rsid w:val="006120C5"/>
    <w:rsid w:val="00612361"/>
    <w:rsid w:val="00613276"/>
    <w:rsid w:val="006133E4"/>
    <w:rsid w:val="0061392E"/>
    <w:rsid w:val="00613EF0"/>
    <w:rsid w:val="00615328"/>
    <w:rsid w:val="00615670"/>
    <w:rsid w:val="00615835"/>
    <w:rsid w:val="006161CB"/>
    <w:rsid w:val="00616C36"/>
    <w:rsid w:val="006171B6"/>
    <w:rsid w:val="00617BB4"/>
    <w:rsid w:val="006203CC"/>
    <w:rsid w:val="0062050B"/>
    <w:rsid w:val="00620747"/>
    <w:rsid w:val="00620A10"/>
    <w:rsid w:val="00620B66"/>
    <w:rsid w:val="00620BB1"/>
    <w:rsid w:val="00620C81"/>
    <w:rsid w:val="00620D2B"/>
    <w:rsid w:val="00620EB9"/>
    <w:rsid w:val="00621637"/>
    <w:rsid w:val="00621D37"/>
    <w:rsid w:val="00621F7F"/>
    <w:rsid w:val="00622681"/>
    <w:rsid w:val="00623462"/>
    <w:rsid w:val="006236CD"/>
    <w:rsid w:val="006236E1"/>
    <w:rsid w:val="00624309"/>
    <w:rsid w:val="006243F8"/>
    <w:rsid w:val="00624628"/>
    <w:rsid w:val="00624A65"/>
    <w:rsid w:val="00625034"/>
    <w:rsid w:val="00625104"/>
    <w:rsid w:val="006253A5"/>
    <w:rsid w:val="00625800"/>
    <w:rsid w:val="00625B7A"/>
    <w:rsid w:val="0062611D"/>
    <w:rsid w:val="006262E3"/>
    <w:rsid w:val="0062669A"/>
    <w:rsid w:val="006307AA"/>
    <w:rsid w:val="00630959"/>
    <w:rsid w:val="0063098D"/>
    <w:rsid w:val="006313B0"/>
    <w:rsid w:val="00631ACE"/>
    <w:rsid w:val="00631E1B"/>
    <w:rsid w:val="00631ED2"/>
    <w:rsid w:val="00632112"/>
    <w:rsid w:val="0063251C"/>
    <w:rsid w:val="00632664"/>
    <w:rsid w:val="0063274E"/>
    <w:rsid w:val="00632EFE"/>
    <w:rsid w:val="00633451"/>
    <w:rsid w:val="0063363E"/>
    <w:rsid w:val="00633EA5"/>
    <w:rsid w:val="00634996"/>
    <w:rsid w:val="00634E05"/>
    <w:rsid w:val="0063504E"/>
    <w:rsid w:val="00635086"/>
    <w:rsid w:val="006350DF"/>
    <w:rsid w:val="006355A0"/>
    <w:rsid w:val="0063585D"/>
    <w:rsid w:val="00635B41"/>
    <w:rsid w:val="00635FD2"/>
    <w:rsid w:val="0063608A"/>
    <w:rsid w:val="0063663C"/>
    <w:rsid w:val="00636FC3"/>
    <w:rsid w:val="0063709E"/>
    <w:rsid w:val="006374C3"/>
    <w:rsid w:val="006376B8"/>
    <w:rsid w:val="006377C2"/>
    <w:rsid w:val="006409C3"/>
    <w:rsid w:val="00640D45"/>
    <w:rsid w:val="00641CCA"/>
    <w:rsid w:val="0064237E"/>
    <w:rsid w:val="00642610"/>
    <w:rsid w:val="00642EAA"/>
    <w:rsid w:val="00643330"/>
    <w:rsid w:val="00643352"/>
    <w:rsid w:val="00643752"/>
    <w:rsid w:val="00643A3C"/>
    <w:rsid w:val="00643AD4"/>
    <w:rsid w:val="00644598"/>
    <w:rsid w:val="006448DA"/>
    <w:rsid w:val="00644B33"/>
    <w:rsid w:val="00644F38"/>
    <w:rsid w:val="00645355"/>
    <w:rsid w:val="00645CE8"/>
    <w:rsid w:val="0064619D"/>
    <w:rsid w:val="0064629B"/>
    <w:rsid w:val="0064765E"/>
    <w:rsid w:val="00647F23"/>
    <w:rsid w:val="00647F42"/>
    <w:rsid w:val="00647F96"/>
    <w:rsid w:val="0064C028"/>
    <w:rsid w:val="006504A4"/>
    <w:rsid w:val="0065095F"/>
    <w:rsid w:val="00650EB3"/>
    <w:rsid w:val="00651321"/>
    <w:rsid w:val="006514F0"/>
    <w:rsid w:val="00651507"/>
    <w:rsid w:val="00651F8F"/>
    <w:rsid w:val="006522DB"/>
    <w:rsid w:val="00652AA1"/>
    <w:rsid w:val="0065353D"/>
    <w:rsid w:val="0065354E"/>
    <w:rsid w:val="00653861"/>
    <w:rsid w:val="0065418B"/>
    <w:rsid w:val="00654917"/>
    <w:rsid w:val="00654D17"/>
    <w:rsid w:val="00654E27"/>
    <w:rsid w:val="006559DB"/>
    <w:rsid w:val="00655F92"/>
    <w:rsid w:val="00656166"/>
    <w:rsid w:val="00656327"/>
    <w:rsid w:val="006565E6"/>
    <w:rsid w:val="00656FF6"/>
    <w:rsid w:val="00657894"/>
    <w:rsid w:val="00657A70"/>
    <w:rsid w:val="00657AD9"/>
    <w:rsid w:val="006608C9"/>
    <w:rsid w:val="00660ED4"/>
    <w:rsid w:val="00661045"/>
    <w:rsid w:val="006612FA"/>
    <w:rsid w:val="006614BE"/>
    <w:rsid w:val="006616B2"/>
    <w:rsid w:val="0066237A"/>
    <w:rsid w:val="006624C8"/>
    <w:rsid w:val="00662E7C"/>
    <w:rsid w:val="00663035"/>
    <w:rsid w:val="00663234"/>
    <w:rsid w:val="0066357F"/>
    <w:rsid w:val="00663DB8"/>
    <w:rsid w:val="00663FC9"/>
    <w:rsid w:val="00664583"/>
    <w:rsid w:val="00664755"/>
    <w:rsid w:val="006647FC"/>
    <w:rsid w:val="00664DC9"/>
    <w:rsid w:val="00664E8D"/>
    <w:rsid w:val="00665029"/>
    <w:rsid w:val="0066551C"/>
    <w:rsid w:val="00665E66"/>
    <w:rsid w:val="0066601B"/>
    <w:rsid w:val="0066658C"/>
    <w:rsid w:val="00666694"/>
    <w:rsid w:val="0066714F"/>
    <w:rsid w:val="00667708"/>
    <w:rsid w:val="00667DF6"/>
    <w:rsid w:val="00667ED0"/>
    <w:rsid w:val="00670E97"/>
    <w:rsid w:val="006711CA"/>
    <w:rsid w:val="00671A55"/>
    <w:rsid w:val="00671CDA"/>
    <w:rsid w:val="006722C4"/>
    <w:rsid w:val="006737DB"/>
    <w:rsid w:val="00673BF5"/>
    <w:rsid w:val="00673EA0"/>
    <w:rsid w:val="0067409B"/>
    <w:rsid w:val="00674917"/>
    <w:rsid w:val="00674A8F"/>
    <w:rsid w:val="00674F60"/>
    <w:rsid w:val="0067504A"/>
    <w:rsid w:val="006754CE"/>
    <w:rsid w:val="0067618B"/>
    <w:rsid w:val="006765F1"/>
    <w:rsid w:val="00676A40"/>
    <w:rsid w:val="00676B30"/>
    <w:rsid w:val="00676B6F"/>
    <w:rsid w:val="006774DB"/>
    <w:rsid w:val="006803AE"/>
    <w:rsid w:val="00680867"/>
    <w:rsid w:val="0068088D"/>
    <w:rsid w:val="006813D1"/>
    <w:rsid w:val="00681430"/>
    <w:rsid w:val="00681DB4"/>
    <w:rsid w:val="00683735"/>
    <w:rsid w:val="00684C10"/>
    <w:rsid w:val="006852FC"/>
    <w:rsid w:val="00685FF7"/>
    <w:rsid w:val="0068630D"/>
    <w:rsid w:val="006869F7"/>
    <w:rsid w:val="00686E3A"/>
    <w:rsid w:val="00687196"/>
    <w:rsid w:val="0068787E"/>
    <w:rsid w:val="00687D4F"/>
    <w:rsid w:val="006900A9"/>
    <w:rsid w:val="006908A0"/>
    <w:rsid w:val="00690C37"/>
    <w:rsid w:val="0069107D"/>
    <w:rsid w:val="0069173E"/>
    <w:rsid w:val="00691C1A"/>
    <w:rsid w:val="00691E3E"/>
    <w:rsid w:val="00691FBB"/>
    <w:rsid w:val="00692E27"/>
    <w:rsid w:val="00693A12"/>
    <w:rsid w:val="00693E7F"/>
    <w:rsid w:val="006949CB"/>
    <w:rsid w:val="00694EB2"/>
    <w:rsid w:val="00694FA7"/>
    <w:rsid w:val="006955FB"/>
    <w:rsid w:val="006957FF"/>
    <w:rsid w:val="006961AC"/>
    <w:rsid w:val="006961E7"/>
    <w:rsid w:val="006971CF"/>
    <w:rsid w:val="00697349"/>
    <w:rsid w:val="00697671"/>
    <w:rsid w:val="00697681"/>
    <w:rsid w:val="006976F9"/>
    <w:rsid w:val="006976FF"/>
    <w:rsid w:val="006979B7"/>
    <w:rsid w:val="00697B2F"/>
    <w:rsid w:val="00697F06"/>
    <w:rsid w:val="006A01FA"/>
    <w:rsid w:val="006A0408"/>
    <w:rsid w:val="006A0472"/>
    <w:rsid w:val="006A063F"/>
    <w:rsid w:val="006A1575"/>
    <w:rsid w:val="006A17C8"/>
    <w:rsid w:val="006A1B66"/>
    <w:rsid w:val="006A1DE3"/>
    <w:rsid w:val="006A1F93"/>
    <w:rsid w:val="006A1F9E"/>
    <w:rsid w:val="006A1FAF"/>
    <w:rsid w:val="006A2626"/>
    <w:rsid w:val="006A2948"/>
    <w:rsid w:val="006A2D0D"/>
    <w:rsid w:val="006A2FD4"/>
    <w:rsid w:val="006A3C81"/>
    <w:rsid w:val="006A3CB1"/>
    <w:rsid w:val="006A423A"/>
    <w:rsid w:val="006A443C"/>
    <w:rsid w:val="006A44D9"/>
    <w:rsid w:val="006A475E"/>
    <w:rsid w:val="006A48C2"/>
    <w:rsid w:val="006A495B"/>
    <w:rsid w:val="006A4E90"/>
    <w:rsid w:val="006A5659"/>
    <w:rsid w:val="006A61DF"/>
    <w:rsid w:val="006A6508"/>
    <w:rsid w:val="006A7089"/>
    <w:rsid w:val="006A76EC"/>
    <w:rsid w:val="006A7A0F"/>
    <w:rsid w:val="006A7DFB"/>
    <w:rsid w:val="006B03F3"/>
    <w:rsid w:val="006B0BD4"/>
    <w:rsid w:val="006B13D6"/>
    <w:rsid w:val="006B168D"/>
    <w:rsid w:val="006B1CA3"/>
    <w:rsid w:val="006B1D34"/>
    <w:rsid w:val="006B1F28"/>
    <w:rsid w:val="006B2380"/>
    <w:rsid w:val="006B2F91"/>
    <w:rsid w:val="006B3333"/>
    <w:rsid w:val="006B3402"/>
    <w:rsid w:val="006B372A"/>
    <w:rsid w:val="006B392B"/>
    <w:rsid w:val="006B3B33"/>
    <w:rsid w:val="006B3F2A"/>
    <w:rsid w:val="006B3F4A"/>
    <w:rsid w:val="006B4C19"/>
    <w:rsid w:val="006B4E6A"/>
    <w:rsid w:val="006B5514"/>
    <w:rsid w:val="006B57D3"/>
    <w:rsid w:val="006B5988"/>
    <w:rsid w:val="006B5A6C"/>
    <w:rsid w:val="006B6706"/>
    <w:rsid w:val="006B6D72"/>
    <w:rsid w:val="006B70F7"/>
    <w:rsid w:val="006C0309"/>
    <w:rsid w:val="006C0725"/>
    <w:rsid w:val="006C0F58"/>
    <w:rsid w:val="006C10C9"/>
    <w:rsid w:val="006C1335"/>
    <w:rsid w:val="006C1451"/>
    <w:rsid w:val="006C1760"/>
    <w:rsid w:val="006C17C8"/>
    <w:rsid w:val="006C180D"/>
    <w:rsid w:val="006C271E"/>
    <w:rsid w:val="006C29FE"/>
    <w:rsid w:val="006C34C1"/>
    <w:rsid w:val="006C3C1E"/>
    <w:rsid w:val="006C3F3F"/>
    <w:rsid w:val="006C58FF"/>
    <w:rsid w:val="006C5937"/>
    <w:rsid w:val="006C5E53"/>
    <w:rsid w:val="006C5FF5"/>
    <w:rsid w:val="006C6680"/>
    <w:rsid w:val="006D0ADF"/>
    <w:rsid w:val="006D10B8"/>
    <w:rsid w:val="006D1275"/>
    <w:rsid w:val="006D12AD"/>
    <w:rsid w:val="006D210E"/>
    <w:rsid w:val="006D2169"/>
    <w:rsid w:val="006D2290"/>
    <w:rsid w:val="006D2676"/>
    <w:rsid w:val="006D2AA6"/>
    <w:rsid w:val="006D2C82"/>
    <w:rsid w:val="006D33DD"/>
    <w:rsid w:val="006D34D1"/>
    <w:rsid w:val="006D5E10"/>
    <w:rsid w:val="006D5EDE"/>
    <w:rsid w:val="006D6377"/>
    <w:rsid w:val="006D6AE4"/>
    <w:rsid w:val="006D6BF9"/>
    <w:rsid w:val="006D6D7B"/>
    <w:rsid w:val="006D7100"/>
    <w:rsid w:val="006D757E"/>
    <w:rsid w:val="006D7685"/>
    <w:rsid w:val="006D7845"/>
    <w:rsid w:val="006D7868"/>
    <w:rsid w:val="006D7B4A"/>
    <w:rsid w:val="006D7E6F"/>
    <w:rsid w:val="006E04D3"/>
    <w:rsid w:val="006E0533"/>
    <w:rsid w:val="006E05CB"/>
    <w:rsid w:val="006E15C8"/>
    <w:rsid w:val="006E18BF"/>
    <w:rsid w:val="006E1A70"/>
    <w:rsid w:val="006E2888"/>
    <w:rsid w:val="006E2951"/>
    <w:rsid w:val="006E298E"/>
    <w:rsid w:val="006E2E97"/>
    <w:rsid w:val="006E2E9D"/>
    <w:rsid w:val="006E3472"/>
    <w:rsid w:val="006E3A00"/>
    <w:rsid w:val="006E4066"/>
    <w:rsid w:val="006E4252"/>
    <w:rsid w:val="006E43A5"/>
    <w:rsid w:val="006E45B5"/>
    <w:rsid w:val="006E4BA0"/>
    <w:rsid w:val="006E4CA5"/>
    <w:rsid w:val="006E4CC2"/>
    <w:rsid w:val="006E4EA5"/>
    <w:rsid w:val="006E4F44"/>
    <w:rsid w:val="006E76BF"/>
    <w:rsid w:val="006E7F74"/>
    <w:rsid w:val="006F00EA"/>
    <w:rsid w:val="006F03B6"/>
    <w:rsid w:val="006F0578"/>
    <w:rsid w:val="006F0897"/>
    <w:rsid w:val="006F0BD4"/>
    <w:rsid w:val="006F0E80"/>
    <w:rsid w:val="006F12E3"/>
    <w:rsid w:val="006F1DAF"/>
    <w:rsid w:val="006F1E0C"/>
    <w:rsid w:val="006F2775"/>
    <w:rsid w:val="006F3544"/>
    <w:rsid w:val="006F38BC"/>
    <w:rsid w:val="006F3AFC"/>
    <w:rsid w:val="006F5194"/>
    <w:rsid w:val="006F5AB4"/>
    <w:rsid w:val="006F5E80"/>
    <w:rsid w:val="006F5F2E"/>
    <w:rsid w:val="006F6380"/>
    <w:rsid w:val="006F6908"/>
    <w:rsid w:val="006F6A7D"/>
    <w:rsid w:val="006F6F0F"/>
    <w:rsid w:val="006F709A"/>
    <w:rsid w:val="006F7F4D"/>
    <w:rsid w:val="00700077"/>
    <w:rsid w:val="00700C97"/>
    <w:rsid w:val="00700D3C"/>
    <w:rsid w:val="00701034"/>
    <w:rsid w:val="0070200B"/>
    <w:rsid w:val="00702E5C"/>
    <w:rsid w:val="00702F8D"/>
    <w:rsid w:val="007039EE"/>
    <w:rsid w:val="007042D0"/>
    <w:rsid w:val="00704F4E"/>
    <w:rsid w:val="00706954"/>
    <w:rsid w:val="00707775"/>
    <w:rsid w:val="00707F48"/>
    <w:rsid w:val="007116E0"/>
    <w:rsid w:val="00712EA8"/>
    <w:rsid w:val="00713BEC"/>
    <w:rsid w:val="007140C6"/>
    <w:rsid w:val="00714C20"/>
    <w:rsid w:val="00715003"/>
    <w:rsid w:val="00715591"/>
    <w:rsid w:val="00715D02"/>
    <w:rsid w:val="0071676C"/>
    <w:rsid w:val="00716E20"/>
    <w:rsid w:val="00716EAF"/>
    <w:rsid w:val="007174D0"/>
    <w:rsid w:val="00717EAC"/>
    <w:rsid w:val="007202B4"/>
    <w:rsid w:val="007205ED"/>
    <w:rsid w:val="0072066C"/>
    <w:rsid w:val="00720E85"/>
    <w:rsid w:val="00721151"/>
    <w:rsid w:val="0072128B"/>
    <w:rsid w:val="007214FB"/>
    <w:rsid w:val="0072167E"/>
    <w:rsid w:val="007218AC"/>
    <w:rsid w:val="007219E7"/>
    <w:rsid w:val="00721D6C"/>
    <w:rsid w:val="00722355"/>
    <w:rsid w:val="007223CF"/>
    <w:rsid w:val="007231D5"/>
    <w:rsid w:val="00723A59"/>
    <w:rsid w:val="00723C5E"/>
    <w:rsid w:val="0072411D"/>
    <w:rsid w:val="00724132"/>
    <w:rsid w:val="00724269"/>
    <w:rsid w:val="00724417"/>
    <w:rsid w:val="007246B7"/>
    <w:rsid w:val="00724968"/>
    <w:rsid w:val="00724B63"/>
    <w:rsid w:val="00724CA4"/>
    <w:rsid w:val="00724D17"/>
    <w:rsid w:val="00724DB6"/>
    <w:rsid w:val="00724DEB"/>
    <w:rsid w:val="00724FE7"/>
    <w:rsid w:val="007259ED"/>
    <w:rsid w:val="00726046"/>
    <w:rsid w:val="00726155"/>
    <w:rsid w:val="00726367"/>
    <w:rsid w:val="00726D86"/>
    <w:rsid w:val="007271A2"/>
    <w:rsid w:val="0072727E"/>
    <w:rsid w:val="00727542"/>
    <w:rsid w:val="00727B30"/>
    <w:rsid w:val="007304E7"/>
    <w:rsid w:val="00730CD7"/>
    <w:rsid w:val="00731406"/>
    <w:rsid w:val="0073173E"/>
    <w:rsid w:val="007320E3"/>
    <w:rsid w:val="007322FA"/>
    <w:rsid w:val="0073238E"/>
    <w:rsid w:val="007323ED"/>
    <w:rsid w:val="007323EE"/>
    <w:rsid w:val="00732458"/>
    <w:rsid w:val="00732759"/>
    <w:rsid w:val="007328E5"/>
    <w:rsid w:val="007337F8"/>
    <w:rsid w:val="00734369"/>
    <w:rsid w:val="007350E5"/>
    <w:rsid w:val="00735C61"/>
    <w:rsid w:val="00735D7B"/>
    <w:rsid w:val="00735F0B"/>
    <w:rsid w:val="00736323"/>
    <w:rsid w:val="00736611"/>
    <w:rsid w:val="0073754C"/>
    <w:rsid w:val="00737DC3"/>
    <w:rsid w:val="00737ECB"/>
    <w:rsid w:val="007402B4"/>
    <w:rsid w:val="00741796"/>
    <w:rsid w:val="00741E23"/>
    <w:rsid w:val="00742082"/>
    <w:rsid w:val="0074249F"/>
    <w:rsid w:val="007424B3"/>
    <w:rsid w:val="00742A81"/>
    <w:rsid w:val="007431B8"/>
    <w:rsid w:val="0074497E"/>
    <w:rsid w:val="00744AF5"/>
    <w:rsid w:val="00744F49"/>
    <w:rsid w:val="00746198"/>
    <w:rsid w:val="007463C7"/>
    <w:rsid w:val="0074672A"/>
    <w:rsid w:val="0074680D"/>
    <w:rsid w:val="00747F1B"/>
    <w:rsid w:val="0075012B"/>
    <w:rsid w:val="00750AAD"/>
    <w:rsid w:val="00751340"/>
    <w:rsid w:val="00751E7E"/>
    <w:rsid w:val="0075200A"/>
    <w:rsid w:val="007520F9"/>
    <w:rsid w:val="007526D2"/>
    <w:rsid w:val="007529C0"/>
    <w:rsid w:val="007530E8"/>
    <w:rsid w:val="00753329"/>
    <w:rsid w:val="00753F1B"/>
    <w:rsid w:val="00754462"/>
    <w:rsid w:val="00754595"/>
    <w:rsid w:val="00754822"/>
    <w:rsid w:val="007549E9"/>
    <w:rsid w:val="00754A6D"/>
    <w:rsid w:val="00754B95"/>
    <w:rsid w:val="007550A8"/>
    <w:rsid w:val="007555F5"/>
    <w:rsid w:val="00755B2E"/>
    <w:rsid w:val="00755EF3"/>
    <w:rsid w:val="00757655"/>
    <w:rsid w:val="00757916"/>
    <w:rsid w:val="00757F43"/>
    <w:rsid w:val="00760A90"/>
    <w:rsid w:val="00760B2D"/>
    <w:rsid w:val="00760CA1"/>
    <w:rsid w:val="007622F4"/>
    <w:rsid w:val="0076231F"/>
    <w:rsid w:val="007626E6"/>
    <w:rsid w:val="007631FC"/>
    <w:rsid w:val="00763DCA"/>
    <w:rsid w:val="007640B4"/>
    <w:rsid w:val="007644E0"/>
    <w:rsid w:val="00764CDD"/>
    <w:rsid w:val="0076542B"/>
    <w:rsid w:val="0076583F"/>
    <w:rsid w:val="00766795"/>
    <w:rsid w:val="00770617"/>
    <w:rsid w:val="00770902"/>
    <w:rsid w:val="007717B2"/>
    <w:rsid w:val="00771C4D"/>
    <w:rsid w:val="00771ED9"/>
    <w:rsid w:val="007723D4"/>
    <w:rsid w:val="007728C5"/>
    <w:rsid w:val="00772E64"/>
    <w:rsid w:val="00773267"/>
    <w:rsid w:val="00773331"/>
    <w:rsid w:val="0077356B"/>
    <w:rsid w:val="00773F2B"/>
    <w:rsid w:val="007741B8"/>
    <w:rsid w:val="0077438C"/>
    <w:rsid w:val="007746BB"/>
    <w:rsid w:val="00774D1F"/>
    <w:rsid w:val="00774FA4"/>
    <w:rsid w:val="007751EB"/>
    <w:rsid w:val="0077537E"/>
    <w:rsid w:val="00775E8A"/>
    <w:rsid w:val="0077657C"/>
    <w:rsid w:val="00776825"/>
    <w:rsid w:val="00776F1F"/>
    <w:rsid w:val="007774EB"/>
    <w:rsid w:val="0077757E"/>
    <w:rsid w:val="00777684"/>
    <w:rsid w:val="0078035A"/>
    <w:rsid w:val="00780D1E"/>
    <w:rsid w:val="00780E37"/>
    <w:rsid w:val="00782255"/>
    <w:rsid w:val="0078226B"/>
    <w:rsid w:val="007822B6"/>
    <w:rsid w:val="00782971"/>
    <w:rsid w:val="00782E0D"/>
    <w:rsid w:val="007835D9"/>
    <w:rsid w:val="00783604"/>
    <w:rsid w:val="00784140"/>
    <w:rsid w:val="00784384"/>
    <w:rsid w:val="00784418"/>
    <w:rsid w:val="007844CF"/>
    <w:rsid w:val="00784524"/>
    <w:rsid w:val="00784E21"/>
    <w:rsid w:val="00784FA1"/>
    <w:rsid w:val="0078691C"/>
    <w:rsid w:val="00787211"/>
    <w:rsid w:val="00787915"/>
    <w:rsid w:val="00787E76"/>
    <w:rsid w:val="0079028E"/>
    <w:rsid w:val="007907AC"/>
    <w:rsid w:val="00790A7A"/>
    <w:rsid w:val="00790F14"/>
    <w:rsid w:val="00790F30"/>
    <w:rsid w:val="00790F6B"/>
    <w:rsid w:val="007910FD"/>
    <w:rsid w:val="0079112D"/>
    <w:rsid w:val="0079162C"/>
    <w:rsid w:val="00791B93"/>
    <w:rsid w:val="00792196"/>
    <w:rsid w:val="007923C4"/>
    <w:rsid w:val="00792BE7"/>
    <w:rsid w:val="007932EF"/>
    <w:rsid w:val="00794088"/>
    <w:rsid w:val="0079413B"/>
    <w:rsid w:val="00794DD3"/>
    <w:rsid w:val="00794DF5"/>
    <w:rsid w:val="00794E98"/>
    <w:rsid w:val="00794F9E"/>
    <w:rsid w:val="0079556A"/>
    <w:rsid w:val="007959D3"/>
    <w:rsid w:val="00795ECC"/>
    <w:rsid w:val="007963FA"/>
    <w:rsid w:val="00796A86"/>
    <w:rsid w:val="0079736C"/>
    <w:rsid w:val="00797632"/>
    <w:rsid w:val="00797BE9"/>
    <w:rsid w:val="00797EDA"/>
    <w:rsid w:val="007A0132"/>
    <w:rsid w:val="007A16F3"/>
    <w:rsid w:val="007A1719"/>
    <w:rsid w:val="007A1BE4"/>
    <w:rsid w:val="007A247D"/>
    <w:rsid w:val="007A2816"/>
    <w:rsid w:val="007A28F4"/>
    <w:rsid w:val="007A2A43"/>
    <w:rsid w:val="007A31B4"/>
    <w:rsid w:val="007A397A"/>
    <w:rsid w:val="007A3B11"/>
    <w:rsid w:val="007A3DF8"/>
    <w:rsid w:val="007A3ECB"/>
    <w:rsid w:val="007A46F7"/>
    <w:rsid w:val="007A543C"/>
    <w:rsid w:val="007A58A4"/>
    <w:rsid w:val="007A5968"/>
    <w:rsid w:val="007A5CB1"/>
    <w:rsid w:val="007A5D25"/>
    <w:rsid w:val="007A6A44"/>
    <w:rsid w:val="007A6B05"/>
    <w:rsid w:val="007A6E64"/>
    <w:rsid w:val="007A70CB"/>
    <w:rsid w:val="007A7A65"/>
    <w:rsid w:val="007B0090"/>
    <w:rsid w:val="007B0201"/>
    <w:rsid w:val="007B030A"/>
    <w:rsid w:val="007B04A6"/>
    <w:rsid w:val="007B07D7"/>
    <w:rsid w:val="007B0E2E"/>
    <w:rsid w:val="007B0EC4"/>
    <w:rsid w:val="007B1F32"/>
    <w:rsid w:val="007B2C0C"/>
    <w:rsid w:val="007B3F65"/>
    <w:rsid w:val="007B3FF8"/>
    <w:rsid w:val="007B4709"/>
    <w:rsid w:val="007B4D7C"/>
    <w:rsid w:val="007B4F83"/>
    <w:rsid w:val="007B509B"/>
    <w:rsid w:val="007B526E"/>
    <w:rsid w:val="007B5690"/>
    <w:rsid w:val="007B5A8F"/>
    <w:rsid w:val="007B5DBB"/>
    <w:rsid w:val="007B6073"/>
    <w:rsid w:val="007B6343"/>
    <w:rsid w:val="007B7041"/>
    <w:rsid w:val="007B709D"/>
    <w:rsid w:val="007B7A5E"/>
    <w:rsid w:val="007B7B90"/>
    <w:rsid w:val="007B7D8E"/>
    <w:rsid w:val="007BF6CE"/>
    <w:rsid w:val="007C01CD"/>
    <w:rsid w:val="007C01F1"/>
    <w:rsid w:val="007C025D"/>
    <w:rsid w:val="007C06A6"/>
    <w:rsid w:val="007C0982"/>
    <w:rsid w:val="007C0EB2"/>
    <w:rsid w:val="007C0F92"/>
    <w:rsid w:val="007C31E8"/>
    <w:rsid w:val="007C398A"/>
    <w:rsid w:val="007C403A"/>
    <w:rsid w:val="007C443B"/>
    <w:rsid w:val="007C4589"/>
    <w:rsid w:val="007C4A28"/>
    <w:rsid w:val="007C4EEF"/>
    <w:rsid w:val="007C51F0"/>
    <w:rsid w:val="007C5829"/>
    <w:rsid w:val="007C62B0"/>
    <w:rsid w:val="007C63EE"/>
    <w:rsid w:val="007C647F"/>
    <w:rsid w:val="007C6502"/>
    <w:rsid w:val="007C6588"/>
    <w:rsid w:val="007C6675"/>
    <w:rsid w:val="007C6AB4"/>
    <w:rsid w:val="007C6DAD"/>
    <w:rsid w:val="007C712F"/>
    <w:rsid w:val="007C7A66"/>
    <w:rsid w:val="007C7CE9"/>
    <w:rsid w:val="007D01C8"/>
    <w:rsid w:val="007D08B6"/>
    <w:rsid w:val="007D0B4B"/>
    <w:rsid w:val="007D18FE"/>
    <w:rsid w:val="007D19C5"/>
    <w:rsid w:val="007D2145"/>
    <w:rsid w:val="007D2330"/>
    <w:rsid w:val="007D37C6"/>
    <w:rsid w:val="007D5673"/>
    <w:rsid w:val="007D6145"/>
    <w:rsid w:val="007D6DEA"/>
    <w:rsid w:val="007D7742"/>
    <w:rsid w:val="007D77AF"/>
    <w:rsid w:val="007E041D"/>
    <w:rsid w:val="007E05B0"/>
    <w:rsid w:val="007E0932"/>
    <w:rsid w:val="007E1018"/>
    <w:rsid w:val="007E1766"/>
    <w:rsid w:val="007E18EC"/>
    <w:rsid w:val="007E1F54"/>
    <w:rsid w:val="007E2D39"/>
    <w:rsid w:val="007E2DE0"/>
    <w:rsid w:val="007E315B"/>
    <w:rsid w:val="007E3473"/>
    <w:rsid w:val="007E358F"/>
    <w:rsid w:val="007E3698"/>
    <w:rsid w:val="007E4DC4"/>
    <w:rsid w:val="007E5813"/>
    <w:rsid w:val="007E5FA2"/>
    <w:rsid w:val="007E6BFA"/>
    <w:rsid w:val="007E72B4"/>
    <w:rsid w:val="007E74BE"/>
    <w:rsid w:val="007F0322"/>
    <w:rsid w:val="007F0C23"/>
    <w:rsid w:val="007F0DAD"/>
    <w:rsid w:val="007F0F28"/>
    <w:rsid w:val="007F10F3"/>
    <w:rsid w:val="007F14C0"/>
    <w:rsid w:val="007F1878"/>
    <w:rsid w:val="007F2062"/>
    <w:rsid w:val="007F341E"/>
    <w:rsid w:val="007F37FC"/>
    <w:rsid w:val="007F3911"/>
    <w:rsid w:val="007F3EC3"/>
    <w:rsid w:val="007F469C"/>
    <w:rsid w:val="007F471B"/>
    <w:rsid w:val="007F489A"/>
    <w:rsid w:val="007F4D88"/>
    <w:rsid w:val="007F51EC"/>
    <w:rsid w:val="007F57D7"/>
    <w:rsid w:val="007F67CC"/>
    <w:rsid w:val="007F6A7C"/>
    <w:rsid w:val="007F716E"/>
    <w:rsid w:val="0080016C"/>
    <w:rsid w:val="008003AB"/>
    <w:rsid w:val="008003C5"/>
    <w:rsid w:val="00800AE4"/>
    <w:rsid w:val="00801416"/>
    <w:rsid w:val="00801446"/>
    <w:rsid w:val="00801ACE"/>
    <w:rsid w:val="0080234F"/>
    <w:rsid w:val="00802841"/>
    <w:rsid w:val="0080295F"/>
    <w:rsid w:val="00802A07"/>
    <w:rsid w:val="00804F95"/>
    <w:rsid w:val="00804FE4"/>
    <w:rsid w:val="0080505F"/>
    <w:rsid w:val="0080535F"/>
    <w:rsid w:val="00805FDA"/>
    <w:rsid w:val="00806A43"/>
    <w:rsid w:val="00806E52"/>
    <w:rsid w:val="008074FF"/>
    <w:rsid w:val="00807C51"/>
    <w:rsid w:val="00807E6D"/>
    <w:rsid w:val="00810006"/>
    <w:rsid w:val="00810A76"/>
    <w:rsid w:val="00810CC4"/>
    <w:rsid w:val="00810CFC"/>
    <w:rsid w:val="0081105B"/>
    <w:rsid w:val="008112FB"/>
    <w:rsid w:val="008124C1"/>
    <w:rsid w:val="00812729"/>
    <w:rsid w:val="00812968"/>
    <w:rsid w:val="008134AC"/>
    <w:rsid w:val="0081440E"/>
    <w:rsid w:val="008144D9"/>
    <w:rsid w:val="00814907"/>
    <w:rsid w:val="008149EB"/>
    <w:rsid w:val="00815F90"/>
    <w:rsid w:val="0081651C"/>
    <w:rsid w:val="008166E0"/>
    <w:rsid w:val="00816BFC"/>
    <w:rsid w:val="00817088"/>
    <w:rsid w:val="0081727A"/>
    <w:rsid w:val="00817CE2"/>
    <w:rsid w:val="00817F1C"/>
    <w:rsid w:val="0082088E"/>
    <w:rsid w:val="00820A8A"/>
    <w:rsid w:val="00820BD7"/>
    <w:rsid w:val="0082116D"/>
    <w:rsid w:val="00821175"/>
    <w:rsid w:val="00821309"/>
    <w:rsid w:val="008215AB"/>
    <w:rsid w:val="00821BCC"/>
    <w:rsid w:val="0082201A"/>
    <w:rsid w:val="0082258F"/>
    <w:rsid w:val="00823D7D"/>
    <w:rsid w:val="00823D89"/>
    <w:rsid w:val="00824723"/>
    <w:rsid w:val="00824B02"/>
    <w:rsid w:val="00824BBD"/>
    <w:rsid w:val="008253BB"/>
    <w:rsid w:val="00825849"/>
    <w:rsid w:val="008263F5"/>
    <w:rsid w:val="008264F4"/>
    <w:rsid w:val="008270CB"/>
    <w:rsid w:val="00827373"/>
    <w:rsid w:val="0083029D"/>
    <w:rsid w:val="008303BB"/>
    <w:rsid w:val="008304B5"/>
    <w:rsid w:val="008304EA"/>
    <w:rsid w:val="00830A22"/>
    <w:rsid w:val="00830A33"/>
    <w:rsid w:val="0083175A"/>
    <w:rsid w:val="00831BEC"/>
    <w:rsid w:val="00831E6A"/>
    <w:rsid w:val="00832287"/>
    <w:rsid w:val="008322D4"/>
    <w:rsid w:val="00832332"/>
    <w:rsid w:val="008326AD"/>
    <w:rsid w:val="00832E6E"/>
    <w:rsid w:val="008330E2"/>
    <w:rsid w:val="00833BDF"/>
    <w:rsid w:val="00833F32"/>
    <w:rsid w:val="00834261"/>
    <w:rsid w:val="00834527"/>
    <w:rsid w:val="00834BA5"/>
    <w:rsid w:val="0083598A"/>
    <w:rsid w:val="00836194"/>
    <w:rsid w:val="0083650C"/>
    <w:rsid w:val="00836837"/>
    <w:rsid w:val="0083777B"/>
    <w:rsid w:val="00837E1F"/>
    <w:rsid w:val="00837FD3"/>
    <w:rsid w:val="00840129"/>
    <w:rsid w:val="00840141"/>
    <w:rsid w:val="008401DF"/>
    <w:rsid w:val="008402E6"/>
    <w:rsid w:val="00840399"/>
    <w:rsid w:val="0084090A"/>
    <w:rsid w:val="00840E06"/>
    <w:rsid w:val="00841120"/>
    <w:rsid w:val="0084163A"/>
    <w:rsid w:val="00841F8A"/>
    <w:rsid w:val="008424A3"/>
    <w:rsid w:val="00842687"/>
    <w:rsid w:val="0084277C"/>
    <w:rsid w:val="008437CB"/>
    <w:rsid w:val="008438F9"/>
    <w:rsid w:val="0084490D"/>
    <w:rsid w:val="00844B9E"/>
    <w:rsid w:val="00844E44"/>
    <w:rsid w:val="0084511B"/>
    <w:rsid w:val="008453B6"/>
    <w:rsid w:val="00845604"/>
    <w:rsid w:val="008456FA"/>
    <w:rsid w:val="00845803"/>
    <w:rsid w:val="00845A69"/>
    <w:rsid w:val="00845D66"/>
    <w:rsid w:val="00845E09"/>
    <w:rsid w:val="00846561"/>
    <w:rsid w:val="00846A10"/>
    <w:rsid w:val="00847A04"/>
    <w:rsid w:val="00847E40"/>
    <w:rsid w:val="00850297"/>
    <w:rsid w:val="008509E7"/>
    <w:rsid w:val="00850AB2"/>
    <w:rsid w:val="008511FC"/>
    <w:rsid w:val="008516C1"/>
    <w:rsid w:val="00851AD1"/>
    <w:rsid w:val="00851C70"/>
    <w:rsid w:val="00855634"/>
    <w:rsid w:val="00856991"/>
    <w:rsid w:val="0085715B"/>
    <w:rsid w:val="00857547"/>
    <w:rsid w:val="008577A8"/>
    <w:rsid w:val="00857A69"/>
    <w:rsid w:val="00860A88"/>
    <w:rsid w:val="00860FB5"/>
    <w:rsid w:val="008611CD"/>
    <w:rsid w:val="0086137D"/>
    <w:rsid w:val="00861A1C"/>
    <w:rsid w:val="0086270A"/>
    <w:rsid w:val="00862E14"/>
    <w:rsid w:val="008631F1"/>
    <w:rsid w:val="008633A7"/>
    <w:rsid w:val="008634A0"/>
    <w:rsid w:val="008634A5"/>
    <w:rsid w:val="008635F9"/>
    <w:rsid w:val="00863833"/>
    <w:rsid w:val="0086389A"/>
    <w:rsid w:val="0086423D"/>
    <w:rsid w:val="00864C0B"/>
    <w:rsid w:val="00865F1D"/>
    <w:rsid w:val="008661E4"/>
    <w:rsid w:val="00866A71"/>
    <w:rsid w:val="0086765A"/>
    <w:rsid w:val="00867B23"/>
    <w:rsid w:val="00867BBB"/>
    <w:rsid w:val="00867E59"/>
    <w:rsid w:val="00867F65"/>
    <w:rsid w:val="008701CF"/>
    <w:rsid w:val="00870429"/>
    <w:rsid w:val="00871176"/>
    <w:rsid w:val="008719AE"/>
    <w:rsid w:val="00871E4C"/>
    <w:rsid w:val="008722FE"/>
    <w:rsid w:val="00872AFE"/>
    <w:rsid w:val="00872CD7"/>
    <w:rsid w:val="00872EBE"/>
    <w:rsid w:val="00873993"/>
    <w:rsid w:val="00873D2F"/>
    <w:rsid w:val="00873EB5"/>
    <w:rsid w:val="00874D22"/>
    <w:rsid w:val="008752D9"/>
    <w:rsid w:val="00875DE1"/>
    <w:rsid w:val="00876719"/>
    <w:rsid w:val="008767B5"/>
    <w:rsid w:val="00876B2F"/>
    <w:rsid w:val="00877538"/>
    <w:rsid w:val="008800F4"/>
    <w:rsid w:val="0088046C"/>
    <w:rsid w:val="00880814"/>
    <w:rsid w:val="00881228"/>
    <w:rsid w:val="008812EB"/>
    <w:rsid w:val="00881966"/>
    <w:rsid w:val="00882C54"/>
    <w:rsid w:val="00882EDC"/>
    <w:rsid w:val="00882F14"/>
    <w:rsid w:val="00882F7D"/>
    <w:rsid w:val="00883BC1"/>
    <w:rsid w:val="0088426B"/>
    <w:rsid w:val="008842A9"/>
    <w:rsid w:val="00884C73"/>
    <w:rsid w:val="00884EBB"/>
    <w:rsid w:val="008853DB"/>
    <w:rsid w:val="00887101"/>
    <w:rsid w:val="00887918"/>
    <w:rsid w:val="008879E0"/>
    <w:rsid w:val="00890301"/>
    <w:rsid w:val="00890D68"/>
    <w:rsid w:val="00890EA8"/>
    <w:rsid w:val="008915E9"/>
    <w:rsid w:val="00891603"/>
    <w:rsid w:val="00891EA3"/>
    <w:rsid w:val="0089206C"/>
    <w:rsid w:val="0089262E"/>
    <w:rsid w:val="0089328B"/>
    <w:rsid w:val="00893776"/>
    <w:rsid w:val="008939C6"/>
    <w:rsid w:val="00893D19"/>
    <w:rsid w:val="00893DD2"/>
    <w:rsid w:val="00893ED3"/>
    <w:rsid w:val="008948D5"/>
    <w:rsid w:val="00894AD3"/>
    <w:rsid w:val="00894D8C"/>
    <w:rsid w:val="00896F03"/>
    <w:rsid w:val="0089725E"/>
    <w:rsid w:val="00897787"/>
    <w:rsid w:val="008A0396"/>
    <w:rsid w:val="008A0DC3"/>
    <w:rsid w:val="008A14F6"/>
    <w:rsid w:val="008A1E74"/>
    <w:rsid w:val="008A1FD9"/>
    <w:rsid w:val="008A212A"/>
    <w:rsid w:val="008A2621"/>
    <w:rsid w:val="008A2914"/>
    <w:rsid w:val="008A39B2"/>
    <w:rsid w:val="008A3AC6"/>
    <w:rsid w:val="008A3E5E"/>
    <w:rsid w:val="008A3EB4"/>
    <w:rsid w:val="008A4201"/>
    <w:rsid w:val="008A4363"/>
    <w:rsid w:val="008A46DB"/>
    <w:rsid w:val="008A4883"/>
    <w:rsid w:val="008A4CC8"/>
    <w:rsid w:val="008A4E2F"/>
    <w:rsid w:val="008A55B7"/>
    <w:rsid w:val="008A566E"/>
    <w:rsid w:val="008A594B"/>
    <w:rsid w:val="008A61D0"/>
    <w:rsid w:val="008A6A65"/>
    <w:rsid w:val="008B00D2"/>
    <w:rsid w:val="008B1F65"/>
    <w:rsid w:val="008B1FDD"/>
    <w:rsid w:val="008B21D3"/>
    <w:rsid w:val="008B2BC8"/>
    <w:rsid w:val="008B2D5C"/>
    <w:rsid w:val="008B2EA8"/>
    <w:rsid w:val="008B2FC1"/>
    <w:rsid w:val="008B36C9"/>
    <w:rsid w:val="008B3919"/>
    <w:rsid w:val="008B3D67"/>
    <w:rsid w:val="008B3F64"/>
    <w:rsid w:val="008B4139"/>
    <w:rsid w:val="008B456D"/>
    <w:rsid w:val="008B4F69"/>
    <w:rsid w:val="008B51B1"/>
    <w:rsid w:val="008B5FFA"/>
    <w:rsid w:val="008B64C8"/>
    <w:rsid w:val="008B6BBA"/>
    <w:rsid w:val="008B6C13"/>
    <w:rsid w:val="008B6D58"/>
    <w:rsid w:val="008B6F57"/>
    <w:rsid w:val="008B79EC"/>
    <w:rsid w:val="008C03A9"/>
    <w:rsid w:val="008C18C0"/>
    <w:rsid w:val="008C1AD7"/>
    <w:rsid w:val="008C1C7E"/>
    <w:rsid w:val="008C1CE9"/>
    <w:rsid w:val="008C1CFE"/>
    <w:rsid w:val="008C1F02"/>
    <w:rsid w:val="008C1F2C"/>
    <w:rsid w:val="008C21B5"/>
    <w:rsid w:val="008C2988"/>
    <w:rsid w:val="008C32D9"/>
    <w:rsid w:val="008C36BC"/>
    <w:rsid w:val="008C38E8"/>
    <w:rsid w:val="008C3AA9"/>
    <w:rsid w:val="008C4347"/>
    <w:rsid w:val="008C4521"/>
    <w:rsid w:val="008C45A2"/>
    <w:rsid w:val="008C4670"/>
    <w:rsid w:val="008C47A1"/>
    <w:rsid w:val="008C4C8B"/>
    <w:rsid w:val="008C4D77"/>
    <w:rsid w:val="008C4DAF"/>
    <w:rsid w:val="008C565C"/>
    <w:rsid w:val="008C59F5"/>
    <w:rsid w:val="008C5A28"/>
    <w:rsid w:val="008C61B8"/>
    <w:rsid w:val="008C6824"/>
    <w:rsid w:val="008C6F3F"/>
    <w:rsid w:val="008C7CD8"/>
    <w:rsid w:val="008C7FCF"/>
    <w:rsid w:val="008D0346"/>
    <w:rsid w:val="008D0677"/>
    <w:rsid w:val="008D082D"/>
    <w:rsid w:val="008D0DD2"/>
    <w:rsid w:val="008D1F75"/>
    <w:rsid w:val="008D21B5"/>
    <w:rsid w:val="008D2505"/>
    <w:rsid w:val="008D27A4"/>
    <w:rsid w:val="008D2886"/>
    <w:rsid w:val="008D29E6"/>
    <w:rsid w:val="008D31D7"/>
    <w:rsid w:val="008D43B6"/>
    <w:rsid w:val="008D4429"/>
    <w:rsid w:val="008D4458"/>
    <w:rsid w:val="008D45C2"/>
    <w:rsid w:val="008D4966"/>
    <w:rsid w:val="008D4995"/>
    <w:rsid w:val="008D500E"/>
    <w:rsid w:val="008D54FB"/>
    <w:rsid w:val="008D5A08"/>
    <w:rsid w:val="008D5A6D"/>
    <w:rsid w:val="008D5C52"/>
    <w:rsid w:val="008D6B2F"/>
    <w:rsid w:val="008D7382"/>
    <w:rsid w:val="008D781B"/>
    <w:rsid w:val="008E000B"/>
    <w:rsid w:val="008E073C"/>
    <w:rsid w:val="008E133B"/>
    <w:rsid w:val="008E19AB"/>
    <w:rsid w:val="008E1FC2"/>
    <w:rsid w:val="008E222A"/>
    <w:rsid w:val="008E25D0"/>
    <w:rsid w:val="008E2810"/>
    <w:rsid w:val="008E3AA7"/>
    <w:rsid w:val="008E4340"/>
    <w:rsid w:val="008E49C1"/>
    <w:rsid w:val="008E4D8E"/>
    <w:rsid w:val="008E537E"/>
    <w:rsid w:val="008E5416"/>
    <w:rsid w:val="008E564E"/>
    <w:rsid w:val="008E591A"/>
    <w:rsid w:val="008E61E1"/>
    <w:rsid w:val="008E6515"/>
    <w:rsid w:val="008E68E2"/>
    <w:rsid w:val="008E6FAD"/>
    <w:rsid w:val="008E77F1"/>
    <w:rsid w:val="008F0914"/>
    <w:rsid w:val="008F1335"/>
    <w:rsid w:val="008F1C3F"/>
    <w:rsid w:val="008F2183"/>
    <w:rsid w:val="008F286F"/>
    <w:rsid w:val="008F2920"/>
    <w:rsid w:val="008F2F74"/>
    <w:rsid w:val="008F333C"/>
    <w:rsid w:val="008F34A4"/>
    <w:rsid w:val="008F3B9C"/>
    <w:rsid w:val="008F403A"/>
    <w:rsid w:val="008F41CF"/>
    <w:rsid w:val="008F423A"/>
    <w:rsid w:val="008F5BA5"/>
    <w:rsid w:val="008F6850"/>
    <w:rsid w:val="008F6A56"/>
    <w:rsid w:val="008F6BAD"/>
    <w:rsid w:val="008F72EA"/>
    <w:rsid w:val="008F79C0"/>
    <w:rsid w:val="008F7CBC"/>
    <w:rsid w:val="00900CFA"/>
    <w:rsid w:val="00900F5D"/>
    <w:rsid w:val="00901213"/>
    <w:rsid w:val="0090163A"/>
    <w:rsid w:val="0090193C"/>
    <w:rsid w:val="00901BC6"/>
    <w:rsid w:val="00901CB3"/>
    <w:rsid w:val="009020DC"/>
    <w:rsid w:val="00902517"/>
    <w:rsid w:val="00902B51"/>
    <w:rsid w:val="00902FAE"/>
    <w:rsid w:val="00903786"/>
    <w:rsid w:val="009037CB"/>
    <w:rsid w:val="00903F0E"/>
    <w:rsid w:val="00903F5A"/>
    <w:rsid w:val="0090422B"/>
    <w:rsid w:val="00904453"/>
    <w:rsid w:val="00904B3C"/>
    <w:rsid w:val="00904EFD"/>
    <w:rsid w:val="009051B6"/>
    <w:rsid w:val="00905B98"/>
    <w:rsid w:val="009060B8"/>
    <w:rsid w:val="00907060"/>
    <w:rsid w:val="00907698"/>
    <w:rsid w:val="00907AA9"/>
    <w:rsid w:val="00907AFD"/>
    <w:rsid w:val="00910402"/>
    <w:rsid w:val="0091048A"/>
    <w:rsid w:val="0091057F"/>
    <w:rsid w:val="00911579"/>
    <w:rsid w:val="00911B35"/>
    <w:rsid w:val="0091232F"/>
    <w:rsid w:val="009128DD"/>
    <w:rsid w:val="00912BF8"/>
    <w:rsid w:val="00912E2B"/>
    <w:rsid w:val="009131B3"/>
    <w:rsid w:val="00913983"/>
    <w:rsid w:val="00913DE7"/>
    <w:rsid w:val="00913ECF"/>
    <w:rsid w:val="00914562"/>
    <w:rsid w:val="009149D2"/>
    <w:rsid w:val="00914E71"/>
    <w:rsid w:val="009153C1"/>
    <w:rsid w:val="00915568"/>
    <w:rsid w:val="0091583C"/>
    <w:rsid w:val="00916BA7"/>
    <w:rsid w:val="009170C9"/>
    <w:rsid w:val="00917CE8"/>
    <w:rsid w:val="00917D62"/>
    <w:rsid w:val="0092031E"/>
    <w:rsid w:val="00920910"/>
    <w:rsid w:val="00920B23"/>
    <w:rsid w:val="00920F17"/>
    <w:rsid w:val="00921039"/>
    <w:rsid w:val="0092160B"/>
    <w:rsid w:val="00921EDF"/>
    <w:rsid w:val="009222ED"/>
    <w:rsid w:val="00922FCD"/>
    <w:rsid w:val="00923105"/>
    <w:rsid w:val="009232FF"/>
    <w:rsid w:val="009233B3"/>
    <w:rsid w:val="009239CB"/>
    <w:rsid w:val="00923DE9"/>
    <w:rsid w:val="00923EE1"/>
    <w:rsid w:val="00923EFD"/>
    <w:rsid w:val="0092429D"/>
    <w:rsid w:val="009244FE"/>
    <w:rsid w:val="009252EE"/>
    <w:rsid w:val="009257AC"/>
    <w:rsid w:val="00925D1B"/>
    <w:rsid w:val="00925E27"/>
    <w:rsid w:val="0092601E"/>
    <w:rsid w:val="00926411"/>
    <w:rsid w:val="009264C2"/>
    <w:rsid w:val="00926894"/>
    <w:rsid w:val="00926CBF"/>
    <w:rsid w:val="00930331"/>
    <w:rsid w:val="009303C0"/>
    <w:rsid w:val="0093074A"/>
    <w:rsid w:val="00930805"/>
    <w:rsid w:val="009309A4"/>
    <w:rsid w:val="00930D79"/>
    <w:rsid w:val="00931145"/>
    <w:rsid w:val="009317B8"/>
    <w:rsid w:val="00932420"/>
    <w:rsid w:val="00932A4C"/>
    <w:rsid w:val="00933362"/>
    <w:rsid w:val="00933B49"/>
    <w:rsid w:val="00933F7D"/>
    <w:rsid w:val="009348A3"/>
    <w:rsid w:val="009348F2"/>
    <w:rsid w:val="00934921"/>
    <w:rsid w:val="00934DE3"/>
    <w:rsid w:val="00935216"/>
    <w:rsid w:val="009353AC"/>
    <w:rsid w:val="009362F4"/>
    <w:rsid w:val="009373C0"/>
    <w:rsid w:val="009376E8"/>
    <w:rsid w:val="00937868"/>
    <w:rsid w:val="0093797E"/>
    <w:rsid w:val="00940053"/>
    <w:rsid w:val="009401E4"/>
    <w:rsid w:val="009403A5"/>
    <w:rsid w:val="00940730"/>
    <w:rsid w:val="009410D7"/>
    <w:rsid w:val="00941974"/>
    <w:rsid w:val="00941EB5"/>
    <w:rsid w:val="009425CA"/>
    <w:rsid w:val="00942C86"/>
    <w:rsid w:val="00942CAF"/>
    <w:rsid w:val="0094309A"/>
    <w:rsid w:val="0094326D"/>
    <w:rsid w:val="009433DD"/>
    <w:rsid w:val="00943AAD"/>
    <w:rsid w:val="00943CCE"/>
    <w:rsid w:val="00943CD8"/>
    <w:rsid w:val="00943E6C"/>
    <w:rsid w:val="0094451D"/>
    <w:rsid w:val="0094456C"/>
    <w:rsid w:val="00944B1B"/>
    <w:rsid w:val="00944EC8"/>
    <w:rsid w:val="00945576"/>
    <w:rsid w:val="00945D77"/>
    <w:rsid w:val="0094723F"/>
    <w:rsid w:val="00947726"/>
    <w:rsid w:val="0094792F"/>
    <w:rsid w:val="00950A22"/>
    <w:rsid w:val="00950B99"/>
    <w:rsid w:val="00950DB2"/>
    <w:rsid w:val="0095120E"/>
    <w:rsid w:val="0095134A"/>
    <w:rsid w:val="009513E0"/>
    <w:rsid w:val="00951514"/>
    <w:rsid w:val="00951908"/>
    <w:rsid w:val="009519B4"/>
    <w:rsid w:val="00951AF0"/>
    <w:rsid w:val="00951F72"/>
    <w:rsid w:val="0095236B"/>
    <w:rsid w:val="0095240F"/>
    <w:rsid w:val="009525B6"/>
    <w:rsid w:val="00952C63"/>
    <w:rsid w:val="00952E02"/>
    <w:rsid w:val="009537A5"/>
    <w:rsid w:val="0095394E"/>
    <w:rsid w:val="00953AEE"/>
    <w:rsid w:val="00953DE9"/>
    <w:rsid w:val="0095488F"/>
    <w:rsid w:val="009550DA"/>
    <w:rsid w:val="00955D84"/>
    <w:rsid w:val="00956202"/>
    <w:rsid w:val="00956386"/>
    <w:rsid w:val="00956A25"/>
    <w:rsid w:val="00956E90"/>
    <w:rsid w:val="00957834"/>
    <w:rsid w:val="009607C3"/>
    <w:rsid w:val="0096086E"/>
    <w:rsid w:val="00960D5E"/>
    <w:rsid w:val="0096135F"/>
    <w:rsid w:val="009621B7"/>
    <w:rsid w:val="00962676"/>
    <w:rsid w:val="0096272C"/>
    <w:rsid w:val="0096277F"/>
    <w:rsid w:val="0096282D"/>
    <w:rsid w:val="00962839"/>
    <w:rsid w:val="00962AA3"/>
    <w:rsid w:val="0096303C"/>
    <w:rsid w:val="009632DA"/>
    <w:rsid w:val="009633F0"/>
    <w:rsid w:val="009635E6"/>
    <w:rsid w:val="0096380A"/>
    <w:rsid w:val="00963A0B"/>
    <w:rsid w:val="00963B79"/>
    <w:rsid w:val="00963D65"/>
    <w:rsid w:val="0096419E"/>
    <w:rsid w:val="00964808"/>
    <w:rsid w:val="0096485D"/>
    <w:rsid w:val="00964F4E"/>
    <w:rsid w:val="0096526D"/>
    <w:rsid w:val="00966AE1"/>
    <w:rsid w:val="00966E33"/>
    <w:rsid w:val="00967285"/>
    <w:rsid w:val="009672DB"/>
    <w:rsid w:val="00967314"/>
    <w:rsid w:val="0096752D"/>
    <w:rsid w:val="009679E5"/>
    <w:rsid w:val="00970413"/>
    <w:rsid w:val="0097048E"/>
    <w:rsid w:val="00970C4E"/>
    <w:rsid w:val="00970D7B"/>
    <w:rsid w:val="00970E35"/>
    <w:rsid w:val="00971CE7"/>
    <w:rsid w:val="00971FB9"/>
    <w:rsid w:val="0097237C"/>
    <w:rsid w:val="00972A59"/>
    <w:rsid w:val="00972DE4"/>
    <w:rsid w:val="00973103"/>
    <w:rsid w:val="0097323F"/>
    <w:rsid w:val="009732EA"/>
    <w:rsid w:val="00973482"/>
    <w:rsid w:val="00974BB8"/>
    <w:rsid w:val="009757A2"/>
    <w:rsid w:val="00975AE9"/>
    <w:rsid w:val="009763B8"/>
    <w:rsid w:val="00976B50"/>
    <w:rsid w:val="00977285"/>
    <w:rsid w:val="00977357"/>
    <w:rsid w:val="009809F2"/>
    <w:rsid w:val="0098103F"/>
    <w:rsid w:val="00981128"/>
    <w:rsid w:val="00981921"/>
    <w:rsid w:val="00981EA3"/>
    <w:rsid w:val="00982086"/>
    <w:rsid w:val="0098223A"/>
    <w:rsid w:val="009827AC"/>
    <w:rsid w:val="009833CC"/>
    <w:rsid w:val="00983E16"/>
    <w:rsid w:val="00983E80"/>
    <w:rsid w:val="009856EC"/>
    <w:rsid w:val="00985D51"/>
    <w:rsid w:val="00985E30"/>
    <w:rsid w:val="009862DA"/>
    <w:rsid w:val="00986F0A"/>
    <w:rsid w:val="00987247"/>
    <w:rsid w:val="00987B08"/>
    <w:rsid w:val="00987B4E"/>
    <w:rsid w:val="009908B7"/>
    <w:rsid w:val="00990B54"/>
    <w:rsid w:val="00991322"/>
    <w:rsid w:val="00992035"/>
    <w:rsid w:val="0099222E"/>
    <w:rsid w:val="00992877"/>
    <w:rsid w:val="00992E34"/>
    <w:rsid w:val="00992EF5"/>
    <w:rsid w:val="00993449"/>
    <w:rsid w:val="00994360"/>
    <w:rsid w:val="00994E4B"/>
    <w:rsid w:val="009956E6"/>
    <w:rsid w:val="00995720"/>
    <w:rsid w:val="00995B8B"/>
    <w:rsid w:val="00995CFA"/>
    <w:rsid w:val="00995E8B"/>
    <w:rsid w:val="009962B2"/>
    <w:rsid w:val="009962E7"/>
    <w:rsid w:val="009967C8"/>
    <w:rsid w:val="009968F7"/>
    <w:rsid w:val="00996B43"/>
    <w:rsid w:val="0099718C"/>
    <w:rsid w:val="0099D8FF"/>
    <w:rsid w:val="009A03CC"/>
    <w:rsid w:val="009A1491"/>
    <w:rsid w:val="009A1CEB"/>
    <w:rsid w:val="009A210B"/>
    <w:rsid w:val="009A2691"/>
    <w:rsid w:val="009A2AEE"/>
    <w:rsid w:val="009A2B9E"/>
    <w:rsid w:val="009A313B"/>
    <w:rsid w:val="009A34E4"/>
    <w:rsid w:val="009A3775"/>
    <w:rsid w:val="009A38FE"/>
    <w:rsid w:val="009A3FA6"/>
    <w:rsid w:val="009A414A"/>
    <w:rsid w:val="009A4187"/>
    <w:rsid w:val="009A5447"/>
    <w:rsid w:val="009A5467"/>
    <w:rsid w:val="009A60F1"/>
    <w:rsid w:val="009A6876"/>
    <w:rsid w:val="009A6929"/>
    <w:rsid w:val="009B01E1"/>
    <w:rsid w:val="009B11AE"/>
    <w:rsid w:val="009B15F4"/>
    <w:rsid w:val="009B163C"/>
    <w:rsid w:val="009B1666"/>
    <w:rsid w:val="009B1AD7"/>
    <w:rsid w:val="009B1DB0"/>
    <w:rsid w:val="009B1F70"/>
    <w:rsid w:val="009B1FE5"/>
    <w:rsid w:val="009B2092"/>
    <w:rsid w:val="009B23C4"/>
    <w:rsid w:val="009B27A3"/>
    <w:rsid w:val="009B2C48"/>
    <w:rsid w:val="009B2D50"/>
    <w:rsid w:val="009B2F35"/>
    <w:rsid w:val="009B37B0"/>
    <w:rsid w:val="009B3E7F"/>
    <w:rsid w:val="009B44D5"/>
    <w:rsid w:val="009B47A7"/>
    <w:rsid w:val="009B4C31"/>
    <w:rsid w:val="009B4C76"/>
    <w:rsid w:val="009B5885"/>
    <w:rsid w:val="009B6748"/>
    <w:rsid w:val="009B6917"/>
    <w:rsid w:val="009B696B"/>
    <w:rsid w:val="009B6E0C"/>
    <w:rsid w:val="009B7331"/>
    <w:rsid w:val="009B737D"/>
    <w:rsid w:val="009B7FD2"/>
    <w:rsid w:val="009C0260"/>
    <w:rsid w:val="009C14BE"/>
    <w:rsid w:val="009C18DC"/>
    <w:rsid w:val="009C218F"/>
    <w:rsid w:val="009C260F"/>
    <w:rsid w:val="009C2890"/>
    <w:rsid w:val="009C2E8F"/>
    <w:rsid w:val="009C38A0"/>
    <w:rsid w:val="009C3936"/>
    <w:rsid w:val="009C3F2E"/>
    <w:rsid w:val="009C4481"/>
    <w:rsid w:val="009C4B53"/>
    <w:rsid w:val="009C51D7"/>
    <w:rsid w:val="009C54DF"/>
    <w:rsid w:val="009C58B3"/>
    <w:rsid w:val="009C5B98"/>
    <w:rsid w:val="009C5E7D"/>
    <w:rsid w:val="009C61DB"/>
    <w:rsid w:val="009C62D5"/>
    <w:rsid w:val="009C62FC"/>
    <w:rsid w:val="009C6C9A"/>
    <w:rsid w:val="009C7F7B"/>
    <w:rsid w:val="009D01BE"/>
    <w:rsid w:val="009D01DB"/>
    <w:rsid w:val="009D07C8"/>
    <w:rsid w:val="009D0B1F"/>
    <w:rsid w:val="009D17AD"/>
    <w:rsid w:val="009D1939"/>
    <w:rsid w:val="009D1ECD"/>
    <w:rsid w:val="009D2405"/>
    <w:rsid w:val="009D258F"/>
    <w:rsid w:val="009D2616"/>
    <w:rsid w:val="009D2666"/>
    <w:rsid w:val="009D2674"/>
    <w:rsid w:val="009D2B73"/>
    <w:rsid w:val="009D2F0A"/>
    <w:rsid w:val="009D34C5"/>
    <w:rsid w:val="009D35C8"/>
    <w:rsid w:val="009D3DF7"/>
    <w:rsid w:val="009D4260"/>
    <w:rsid w:val="009D4845"/>
    <w:rsid w:val="009D495E"/>
    <w:rsid w:val="009D4BA0"/>
    <w:rsid w:val="009D62F2"/>
    <w:rsid w:val="009D69E7"/>
    <w:rsid w:val="009D6B9F"/>
    <w:rsid w:val="009D6F1B"/>
    <w:rsid w:val="009D7FBB"/>
    <w:rsid w:val="009E0560"/>
    <w:rsid w:val="009E07A3"/>
    <w:rsid w:val="009E0B95"/>
    <w:rsid w:val="009E0BDD"/>
    <w:rsid w:val="009E125A"/>
    <w:rsid w:val="009E13F8"/>
    <w:rsid w:val="009E1423"/>
    <w:rsid w:val="009E15D3"/>
    <w:rsid w:val="009E1A96"/>
    <w:rsid w:val="009E234A"/>
    <w:rsid w:val="009E3284"/>
    <w:rsid w:val="009E4063"/>
    <w:rsid w:val="009E4788"/>
    <w:rsid w:val="009E5352"/>
    <w:rsid w:val="009E5E14"/>
    <w:rsid w:val="009E5FE4"/>
    <w:rsid w:val="009E601B"/>
    <w:rsid w:val="009E6ADE"/>
    <w:rsid w:val="009E6BA2"/>
    <w:rsid w:val="009E6BBC"/>
    <w:rsid w:val="009E74D3"/>
    <w:rsid w:val="009E7A4C"/>
    <w:rsid w:val="009E7BF9"/>
    <w:rsid w:val="009F0201"/>
    <w:rsid w:val="009F08A2"/>
    <w:rsid w:val="009F0A5E"/>
    <w:rsid w:val="009F1DEA"/>
    <w:rsid w:val="009F2555"/>
    <w:rsid w:val="009F26E5"/>
    <w:rsid w:val="009F27AE"/>
    <w:rsid w:val="009F2B9E"/>
    <w:rsid w:val="009F335C"/>
    <w:rsid w:val="009F44A6"/>
    <w:rsid w:val="009F49AE"/>
    <w:rsid w:val="009F5380"/>
    <w:rsid w:val="009F5470"/>
    <w:rsid w:val="009F6A2F"/>
    <w:rsid w:val="009F6BFA"/>
    <w:rsid w:val="009F6FC3"/>
    <w:rsid w:val="009F730F"/>
    <w:rsid w:val="009F741C"/>
    <w:rsid w:val="009F7560"/>
    <w:rsid w:val="009F7615"/>
    <w:rsid w:val="009F77DB"/>
    <w:rsid w:val="009F7EA6"/>
    <w:rsid w:val="00A000A7"/>
    <w:rsid w:val="00A0022D"/>
    <w:rsid w:val="00A01577"/>
    <w:rsid w:val="00A0158F"/>
    <w:rsid w:val="00A01FAE"/>
    <w:rsid w:val="00A01FCC"/>
    <w:rsid w:val="00A022DC"/>
    <w:rsid w:val="00A023C3"/>
    <w:rsid w:val="00A023ED"/>
    <w:rsid w:val="00A032D3"/>
    <w:rsid w:val="00A032EF"/>
    <w:rsid w:val="00A0588F"/>
    <w:rsid w:val="00A059C9"/>
    <w:rsid w:val="00A0650E"/>
    <w:rsid w:val="00A0777F"/>
    <w:rsid w:val="00A0791C"/>
    <w:rsid w:val="00A0BD08"/>
    <w:rsid w:val="00A1046D"/>
    <w:rsid w:val="00A105D8"/>
    <w:rsid w:val="00A10AA1"/>
    <w:rsid w:val="00A11C1E"/>
    <w:rsid w:val="00A125CC"/>
    <w:rsid w:val="00A12745"/>
    <w:rsid w:val="00A12BE5"/>
    <w:rsid w:val="00A12BFC"/>
    <w:rsid w:val="00A134E5"/>
    <w:rsid w:val="00A1368C"/>
    <w:rsid w:val="00A139C1"/>
    <w:rsid w:val="00A13BE0"/>
    <w:rsid w:val="00A13F7E"/>
    <w:rsid w:val="00A14B0B"/>
    <w:rsid w:val="00A14D80"/>
    <w:rsid w:val="00A15FE9"/>
    <w:rsid w:val="00A16F15"/>
    <w:rsid w:val="00A1717C"/>
    <w:rsid w:val="00A204D4"/>
    <w:rsid w:val="00A2065C"/>
    <w:rsid w:val="00A20E68"/>
    <w:rsid w:val="00A21299"/>
    <w:rsid w:val="00A21428"/>
    <w:rsid w:val="00A214B7"/>
    <w:rsid w:val="00A21EFE"/>
    <w:rsid w:val="00A21F55"/>
    <w:rsid w:val="00A22A0C"/>
    <w:rsid w:val="00A236B2"/>
    <w:rsid w:val="00A238B7"/>
    <w:rsid w:val="00A23B90"/>
    <w:rsid w:val="00A23D69"/>
    <w:rsid w:val="00A2453D"/>
    <w:rsid w:val="00A25AF6"/>
    <w:rsid w:val="00A25ECC"/>
    <w:rsid w:val="00A26553"/>
    <w:rsid w:val="00A26959"/>
    <w:rsid w:val="00A303BC"/>
    <w:rsid w:val="00A3064E"/>
    <w:rsid w:val="00A30F84"/>
    <w:rsid w:val="00A319EF"/>
    <w:rsid w:val="00A31D27"/>
    <w:rsid w:val="00A32764"/>
    <w:rsid w:val="00A338DB"/>
    <w:rsid w:val="00A33E60"/>
    <w:rsid w:val="00A34353"/>
    <w:rsid w:val="00A349EF"/>
    <w:rsid w:val="00A34DB2"/>
    <w:rsid w:val="00A34FD6"/>
    <w:rsid w:val="00A35188"/>
    <w:rsid w:val="00A35871"/>
    <w:rsid w:val="00A36273"/>
    <w:rsid w:val="00A40042"/>
    <w:rsid w:val="00A4004C"/>
    <w:rsid w:val="00A40097"/>
    <w:rsid w:val="00A403D4"/>
    <w:rsid w:val="00A40C29"/>
    <w:rsid w:val="00A40F4C"/>
    <w:rsid w:val="00A410E4"/>
    <w:rsid w:val="00A41532"/>
    <w:rsid w:val="00A417F7"/>
    <w:rsid w:val="00A42367"/>
    <w:rsid w:val="00A427A4"/>
    <w:rsid w:val="00A429AF"/>
    <w:rsid w:val="00A42B3E"/>
    <w:rsid w:val="00A42DD7"/>
    <w:rsid w:val="00A430CD"/>
    <w:rsid w:val="00A43EDB"/>
    <w:rsid w:val="00A43F41"/>
    <w:rsid w:val="00A44F5E"/>
    <w:rsid w:val="00A451AB"/>
    <w:rsid w:val="00A4607B"/>
    <w:rsid w:val="00A46781"/>
    <w:rsid w:val="00A46CAB"/>
    <w:rsid w:val="00A46EF2"/>
    <w:rsid w:val="00A472C0"/>
    <w:rsid w:val="00A478B7"/>
    <w:rsid w:val="00A47DC2"/>
    <w:rsid w:val="00A5018E"/>
    <w:rsid w:val="00A50D10"/>
    <w:rsid w:val="00A50F27"/>
    <w:rsid w:val="00A512A0"/>
    <w:rsid w:val="00A51CF4"/>
    <w:rsid w:val="00A51DB7"/>
    <w:rsid w:val="00A5216B"/>
    <w:rsid w:val="00A52219"/>
    <w:rsid w:val="00A524F6"/>
    <w:rsid w:val="00A52572"/>
    <w:rsid w:val="00A52C5B"/>
    <w:rsid w:val="00A53580"/>
    <w:rsid w:val="00A53B63"/>
    <w:rsid w:val="00A54CAD"/>
    <w:rsid w:val="00A54D21"/>
    <w:rsid w:val="00A5506C"/>
    <w:rsid w:val="00A55171"/>
    <w:rsid w:val="00A55ED8"/>
    <w:rsid w:val="00A563EA"/>
    <w:rsid w:val="00A567A6"/>
    <w:rsid w:val="00A56EB0"/>
    <w:rsid w:val="00A56FA5"/>
    <w:rsid w:val="00A5763F"/>
    <w:rsid w:val="00A577DB"/>
    <w:rsid w:val="00A5782F"/>
    <w:rsid w:val="00A57D8E"/>
    <w:rsid w:val="00A57EB0"/>
    <w:rsid w:val="00A57FC7"/>
    <w:rsid w:val="00A60858"/>
    <w:rsid w:val="00A60BAB"/>
    <w:rsid w:val="00A610AF"/>
    <w:rsid w:val="00A61D81"/>
    <w:rsid w:val="00A62A33"/>
    <w:rsid w:val="00A62D42"/>
    <w:rsid w:val="00A642CC"/>
    <w:rsid w:val="00A64764"/>
    <w:rsid w:val="00A64BF3"/>
    <w:rsid w:val="00A64C7D"/>
    <w:rsid w:val="00A64ECE"/>
    <w:rsid w:val="00A6500B"/>
    <w:rsid w:val="00A659FD"/>
    <w:rsid w:val="00A65B07"/>
    <w:rsid w:val="00A65C41"/>
    <w:rsid w:val="00A66222"/>
    <w:rsid w:val="00A66696"/>
    <w:rsid w:val="00A66AB1"/>
    <w:rsid w:val="00A6749C"/>
    <w:rsid w:val="00A67B8B"/>
    <w:rsid w:val="00A67C71"/>
    <w:rsid w:val="00A705D1"/>
    <w:rsid w:val="00A7189A"/>
    <w:rsid w:val="00A71A35"/>
    <w:rsid w:val="00A71B5F"/>
    <w:rsid w:val="00A71C95"/>
    <w:rsid w:val="00A720BE"/>
    <w:rsid w:val="00A720F3"/>
    <w:rsid w:val="00A73432"/>
    <w:rsid w:val="00A73785"/>
    <w:rsid w:val="00A73BBA"/>
    <w:rsid w:val="00A73DCC"/>
    <w:rsid w:val="00A73E82"/>
    <w:rsid w:val="00A740A4"/>
    <w:rsid w:val="00A7421A"/>
    <w:rsid w:val="00A748C9"/>
    <w:rsid w:val="00A74B63"/>
    <w:rsid w:val="00A7513C"/>
    <w:rsid w:val="00A752C6"/>
    <w:rsid w:val="00A75B79"/>
    <w:rsid w:val="00A75CA8"/>
    <w:rsid w:val="00A76CBF"/>
    <w:rsid w:val="00A774B7"/>
    <w:rsid w:val="00A77ED2"/>
    <w:rsid w:val="00A77FD2"/>
    <w:rsid w:val="00A80C90"/>
    <w:rsid w:val="00A810F6"/>
    <w:rsid w:val="00A817E8"/>
    <w:rsid w:val="00A819AB"/>
    <w:rsid w:val="00A81B71"/>
    <w:rsid w:val="00A81FE9"/>
    <w:rsid w:val="00A8241D"/>
    <w:rsid w:val="00A82684"/>
    <w:rsid w:val="00A828D1"/>
    <w:rsid w:val="00A83099"/>
    <w:rsid w:val="00A831C1"/>
    <w:rsid w:val="00A835E3"/>
    <w:rsid w:val="00A83684"/>
    <w:rsid w:val="00A844C7"/>
    <w:rsid w:val="00A84812"/>
    <w:rsid w:val="00A8498A"/>
    <w:rsid w:val="00A84CEB"/>
    <w:rsid w:val="00A850E0"/>
    <w:rsid w:val="00A852DF"/>
    <w:rsid w:val="00A85513"/>
    <w:rsid w:val="00A85BA1"/>
    <w:rsid w:val="00A85F99"/>
    <w:rsid w:val="00A8679E"/>
    <w:rsid w:val="00A86FC9"/>
    <w:rsid w:val="00A87267"/>
    <w:rsid w:val="00A90110"/>
    <w:rsid w:val="00A90127"/>
    <w:rsid w:val="00A91FF1"/>
    <w:rsid w:val="00A92597"/>
    <w:rsid w:val="00A9312F"/>
    <w:rsid w:val="00A93213"/>
    <w:rsid w:val="00A93B15"/>
    <w:rsid w:val="00A945BB"/>
    <w:rsid w:val="00A94D93"/>
    <w:rsid w:val="00A95098"/>
    <w:rsid w:val="00A953E4"/>
    <w:rsid w:val="00A9617F"/>
    <w:rsid w:val="00A9640C"/>
    <w:rsid w:val="00A97396"/>
    <w:rsid w:val="00A9797A"/>
    <w:rsid w:val="00A97D6E"/>
    <w:rsid w:val="00A97F2A"/>
    <w:rsid w:val="00AA04BA"/>
    <w:rsid w:val="00AA1472"/>
    <w:rsid w:val="00AA15E0"/>
    <w:rsid w:val="00AA193F"/>
    <w:rsid w:val="00AA19E3"/>
    <w:rsid w:val="00AA1D51"/>
    <w:rsid w:val="00AA1E41"/>
    <w:rsid w:val="00AA266B"/>
    <w:rsid w:val="00AA2C16"/>
    <w:rsid w:val="00AA2F5F"/>
    <w:rsid w:val="00AA348B"/>
    <w:rsid w:val="00AA3990"/>
    <w:rsid w:val="00AA4930"/>
    <w:rsid w:val="00AA4C16"/>
    <w:rsid w:val="00AA5D88"/>
    <w:rsid w:val="00AA60C5"/>
    <w:rsid w:val="00AA6F6C"/>
    <w:rsid w:val="00AA72C4"/>
    <w:rsid w:val="00AA77A3"/>
    <w:rsid w:val="00AB00D2"/>
    <w:rsid w:val="00AB0C26"/>
    <w:rsid w:val="00AB0D01"/>
    <w:rsid w:val="00AB1244"/>
    <w:rsid w:val="00AB14D3"/>
    <w:rsid w:val="00AB1CB4"/>
    <w:rsid w:val="00AB24E1"/>
    <w:rsid w:val="00AB2E16"/>
    <w:rsid w:val="00AB3ACE"/>
    <w:rsid w:val="00AB3D0E"/>
    <w:rsid w:val="00AB3E52"/>
    <w:rsid w:val="00AB4BA8"/>
    <w:rsid w:val="00AB4D76"/>
    <w:rsid w:val="00AB54A1"/>
    <w:rsid w:val="00AB5B39"/>
    <w:rsid w:val="00AB5C87"/>
    <w:rsid w:val="00AB6342"/>
    <w:rsid w:val="00AB6631"/>
    <w:rsid w:val="00AB6947"/>
    <w:rsid w:val="00AB6EE5"/>
    <w:rsid w:val="00AB7C4C"/>
    <w:rsid w:val="00AC0093"/>
    <w:rsid w:val="00AC02CD"/>
    <w:rsid w:val="00AC0587"/>
    <w:rsid w:val="00AC0E86"/>
    <w:rsid w:val="00AC0E87"/>
    <w:rsid w:val="00AC165E"/>
    <w:rsid w:val="00AC1929"/>
    <w:rsid w:val="00AC1DBD"/>
    <w:rsid w:val="00AC2001"/>
    <w:rsid w:val="00AC2A4D"/>
    <w:rsid w:val="00AC2E68"/>
    <w:rsid w:val="00AC2E76"/>
    <w:rsid w:val="00AC2F3E"/>
    <w:rsid w:val="00AC31FE"/>
    <w:rsid w:val="00AC3E7F"/>
    <w:rsid w:val="00AC3F02"/>
    <w:rsid w:val="00AC42E9"/>
    <w:rsid w:val="00AC4DE3"/>
    <w:rsid w:val="00AC5222"/>
    <w:rsid w:val="00AC54C7"/>
    <w:rsid w:val="00AC5C8B"/>
    <w:rsid w:val="00AC619C"/>
    <w:rsid w:val="00AC6FB4"/>
    <w:rsid w:val="00AC7903"/>
    <w:rsid w:val="00AD024A"/>
    <w:rsid w:val="00AD0543"/>
    <w:rsid w:val="00AD06CC"/>
    <w:rsid w:val="00AD0A2D"/>
    <w:rsid w:val="00AD1051"/>
    <w:rsid w:val="00AD11D4"/>
    <w:rsid w:val="00AD11FF"/>
    <w:rsid w:val="00AD135D"/>
    <w:rsid w:val="00AD1EA2"/>
    <w:rsid w:val="00AD20B1"/>
    <w:rsid w:val="00AD254E"/>
    <w:rsid w:val="00AD2EBD"/>
    <w:rsid w:val="00AD3204"/>
    <w:rsid w:val="00AD3605"/>
    <w:rsid w:val="00AD441D"/>
    <w:rsid w:val="00AD45BB"/>
    <w:rsid w:val="00AD499B"/>
    <w:rsid w:val="00AD4A94"/>
    <w:rsid w:val="00AD4AC1"/>
    <w:rsid w:val="00AD50F6"/>
    <w:rsid w:val="00AD52F7"/>
    <w:rsid w:val="00AD5552"/>
    <w:rsid w:val="00AD581B"/>
    <w:rsid w:val="00AD5BDD"/>
    <w:rsid w:val="00AD5CB2"/>
    <w:rsid w:val="00AD6B1B"/>
    <w:rsid w:val="00AD6B92"/>
    <w:rsid w:val="00AD6BA7"/>
    <w:rsid w:val="00AD6E31"/>
    <w:rsid w:val="00AD717A"/>
    <w:rsid w:val="00AD739B"/>
    <w:rsid w:val="00AD73B8"/>
    <w:rsid w:val="00AD7BDD"/>
    <w:rsid w:val="00AD7EB0"/>
    <w:rsid w:val="00AD7F66"/>
    <w:rsid w:val="00AE02E4"/>
    <w:rsid w:val="00AE058D"/>
    <w:rsid w:val="00AE1019"/>
    <w:rsid w:val="00AE1C54"/>
    <w:rsid w:val="00AE1D6E"/>
    <w:rsid w:val="00AE1F09"/>
    <w:rsid w:val="00AE20D7"/>
    <w:rsid w:val="00AE238E"/>
    <w:rsid w:val="00AE2429"/>
    <w:rsid w:val="00AE2B77"/>
    <w:rsid w:val="00AE2C02"/>
    <w:rsid w:val="00AE3DBF"/>
    <w:rsid w:val="00AE3EBE"/>
    <w:rsid w:val="00AE3FF8"/>
    <w:rsid w:val="00AE4013"/>
    <w:rsid w:val="00AE511F"/>
    <w:rsid w:val="00AE52B3"/>
    <w:rsid w:val="00AE5B22"/>
    <w:rsid w:val="00AE5B68"/>
    <w:rsid w:val="00AE61EC"/>
    <w:rsid w:val="00AE63F7"/>
    <w:rsid w:val="00AE6558"/>
    <w:rsid w:val="00AE68E6"/>
    <w:rsid w:val="00AE69D4"/>
    <w:rsid w:val="00AE6A42"/>
    <w:rsid w:val="00AE766E"/>
    <w:rsid w:val="00AE793B"/>
    <w:rsid w:val="00AE7ABC"/>
    <w:rsid w:val="00AE7F4E"/>
    <w:rsid w:val="00AEA7E8"/>
    <w:rsid w:val="00AF0234"/>
    <w:rsid w:val="00AF0C3F"/>
    <w:rsid w:val="00AF0D51"/>
    <w:rsid w:val="00AF15C6"/>
    <w:rsid w:val="00AF1C48"/>
    <w:rsid w:val="00AF1D7F"/>
    <w:rsid w:val="00AF1FFA"/>
    <w:rsid w:val="00AF2B1B"/>
    <w:rsid w:val="00AF2C60"/>
    <w:rsid w:val="00AF371D"/>
    <w:rsid w:val="00AF37DC"/>
    <w:rsid w:val="00AF38F8"/>
    <w:rsid w:val="00AF397B"/>
    <w:rsid w:val="00AF3B7D"/>
    <w:rsid w:val="00AF3BB9"/>
    <w:rsid w:val="00AF3DBC"/>
    <w:rsid w:val="00AF4297"/>
    <w:rsid w:val="00AF49FB"/>
    <w:rsid w:val="00AF6342"/>
    <w:rsid w:val="00AF63A2"/>
    <w:rsid w:val="00AF68CD"/>
    <w:rsid w:val="00AF6EB0"/>
    <w:rsid w:val="00AF72E9"/>
    <w:rsid w:val="00AF7439"/>
    <w:rsid w:val="00B004FF"/>
    <w:rsid w:val="00B016AE"/>
    <w:rsid w:val="00B019D3"/>
    <w:rsid w:val="00B01FE9"/>
    <w:rsid w:val="00B020C5"/>
    <w:rsid w:val="00B022B6"/>
    <w:rsid w:val="00B02656"/>
    <w:rsid w:val="00B035D0"/>
    <w:rsid w:val="00B03676"/>
    <w:rsid w:val="00B03DAD"/>
    <w:rsid w:val="00B04224"/>
    <w:rsid w:val="00B044A3"/>
    <w:rsid w:val="00B04ADE"/>
    <w:rsid w:val="00B04B51"/>
    <w:rsid w:val="00B04BD0"/>
    <w:rsid w:val="00B04BFB"/>
    <w:rsid w:val="00B04F05"/>
    <w:rsid w:val="00B058EA"/>
    <w:rsid w:val="00B0662C"/>
    <w:rsid w:val="00B06A5E"/>
    <w:rsid w:val="00B06A9E"/>
    <w:rsid w:val="00B0712D"/>
    <w:rsid w:val="00B07444"/>
    <w:rsid w:val="00B07496"/>
    <w:rsid w:val="00B076FD"/>
    <w:rsid w:val="00B07CB1"/>
    <w:rsid w:val="00B100E9"/>
    <w:rsid w:val="00B107B2"/>
    <w:rsid w:val="00B11016"/>
    <w:rsid w:val="00B110F5"/>
    <w:rsid w:val="00B11522"/>
    <w:rsid w:val="00B1189C"/>
    <w:rsid w:val="00B12D84"/>
    <w:rsid w:val="00B12E1B"/>
    <w:rsid w:val="00B12E90"/>
    <w:rsid w:val="00B13102"/>
    <w:rsid w:val="00B13169"/>
    <w:rsid w:val="00B1370E"/>
    <w:rsid w:val="00B13D4B"/>
    <w:rsid w:val="00B1415B"/>
    <w:rsid w:val="00B15ECA"/>
    <w:rsid w:val="00B162E6"/>
    <w:rsid w:val="00B16796"/>
    <w:rsid w:val="00B16EAE"/>
    <w:rsid w:val="00B17AF3"/>
    <w:rsid w:val="00B17B62"/>
    <w:rsid w:val="00B17BE2"/>
    <w:rsid w:val="00B17EE4"/>
    <w:rsid w:val="00B2017C"/>
    <w:rsid w:val="00B20EB4"/>
    <w:rsid w:val="00B20EE1"/>
    <w:rsid w:val="00B2107C"/>
    <w:rsid w:val="00B21E3C"/>
    <w:rsid w:val="00B22A2B"/>
    <w:rsid w:val="00B22F5D"/>
    <w:rsid w:val="00B23746"/>
    <w:rsid w:val="00B237EC"/>
    <w:rsid w:val="00B23B05"/>
    <w:rsid w:val="00B23BFE"/>
    <w:rsid w:val="00B23D41"/>
    <w:rsid w:val="00B23F03"/>
    <w:rsid w:val="00B23FD2"/>
    <w:rsid w:val="00B24148"/>
    <w:rsid w:val="00B243B0"/>
    <w:rsid w:val="00B24EC7"/>
    <w:rsid w:val="00B25369"/>
    <w:rsid w:val="00B25906"/>
    <w:rsid w:val="00B25B98"/>
    <w:rsid w:val="00B2643A"/>
    <w:rsid w:val="00B27A80"/>
    <w:rsid w:val="00B27BAF"/>
    <w:rsid w:val="00B30501"/>
    <w:rsid w:val="00B30DCC"/>
    <w:rsid w:val="00B31266"/>
    <w:rsid w:val="00B31725"/>
    <w:rsid w:val="00B31D9C"/>
    <w:rsid w:val="00B31E24"/>
    <w:rsid w:val="00B3238A"/>
    <w:rsid w:val="00B3277E"/>
    <w:rsid w:val="00B328FB"/>
    <w:rsid w:val="00B335EB"/>
    <w:rsid w:val="00B3361E"/>
    <w:rsid w:val="00B33A65"/>
    <w:rsid w:val="00B35772"/>
    <w:rsid w:val="00B3590C"/>
    <w:rsid w:val="00B35A79"/>
    <w:rsid w:val="00B360B2"/>
    <w:rsid w:val="00B36148"/>
    <w:rsid w:val="00B36F6F"/>
    <w:rsid w:val="00B37AA5"/>
    <w:rsid w:val="00B37EF0"/>
    <w:rsid w:val="00B4037D"/>
    <w:rsid w:val="00B4081F"/>
    <w:rsid w:val="00B41B69"/>
    <w:rsid w:val="00B41C7C"/>
    <w:rsid w:val="00B41E42"/>
    <w:rsid w:val="00B42320"/>
    <w:rsid w:val="00B42609"/>
    <w:rsid w:val="00B42664"/>
    <w:rsid w:val="00B42731"/>
    <w:rsid w:val="00B43346"/>
    <w:rsid w:val="00B4338C"/>
    <w:rsid w:val="00B4362E"/>
    <w:rsid w:val="00B438F1"/>
    <w:rsid w:val="00B4444C"/>
    <w:rsid w:val="00B45A71"/>
    <w:rsid w:val="00B466D9"/>
    <w:rsid w:val="00B4703F"/>
    <w:rsid w:val="00B473FB"/>
    <w:rsid w:val="00B4771F"/>
    <w:rsid w:val="00B47C90"/>
    <w:rsid w:val="00B47E4E"/>
    <w:rsid w:val="00B5062C"/>
    <w:rsid w:val="00B507FD"/>
    <w:rsid w:val="00B50AF0"/>
    <w:rsid w:val="00B50CC9"/>
    <w:rsid w:val="00B5100C"/>
    <w:rsid w:val="00B514EE"/>
    <w:rsid w:val="00B51810"/>
    <w:rsid w:val="00B51CF9"/>
    <w:rsid w:val="00B52043"/>
    <w:rsid w:val="00B5209A"/>
    <w:rsid w:val="00B520B4"/>
    <w:rsid w:val="00B52A83"/>
    <w:rsid w:val="00B53C4A"/>
    <w:rsid w:val="00B5456A"/>
    <w:rsid w:val="00B558D0"/>
    <w:rsid w:val="00B55AC6"/>
    <w:rsid w:val="00B56DF9"/>
    <w:rsid w:val="00B56F95"/>
    <w:rsid w:val="00B56FEA"/>
    <w:rsid w:val="00B579F3"/>
    <w:rsid w:val="00B57B18"/>
    <w:rsid w:val="00B57BEC"/>
    <w:rsid w:val="00B57C5D"/>
    <w:rsid w:val="00B6021D"/>
    <w:rsid w:val="00B60943"/>
    <w:rsid w:val="00B609B5"/>
    <w:rsid w:val="00B60E8F"/>
    <w:rsid w:val="00B61418"/>
    <w:rsid w:val="00B6185F"/>
    <w:rsid w:val="00B61885"/>
    <w:rsid w:val="00B6217E"/>
    <w:rsid w:val="00B62244"/>
    <w:rsid w:val="00B62393"/>
    <w:rsid w:val="00B626BF"/>
    <w:rsid w:val="00B6296E"/>
    <w:rsid w:val="00B63B1D"/>
    <w:rsid w:val="00B6436F"/>
    <w:rsid w:val="00B6462C"/>
    <w:rsid w:val="00B64AA5"/>
    <w:rsid w:val="00B64B80"/>
    <w:rsid w:val="00B64C8B"/>
    <w:rsid w:val="00B65160"/>
    <w:rsid w:val="00B658EC"/>
    <w:rsid w:val="00B65951"/>
    <w:rsid w:val="00B65F49"/>
    <w:rsid w:val="00B66410"/>
    <w:rsid w:val="00B664B5"/>
    <w:rsid w:val="00B665E8"/>
    <w:rsid w:val="00B67086"/>
    <w:rsid w:val="00B715C0"/>
    <w:rsid w:val="00B7190A"/>
    <w:rsid w:val="00B7235D"/>
    <w:rsid w:val="00B72FAA"/>
    <w:rsid w:val="00B735C9"/>
    <w:rsid w:val="00B738E3"/>
    <w:rsid w:val="00B73B12"/>
    <w:rsid w:val="00B74064"/>
    <w:rsid w:val="00B7418F"/>
    <w:rsid w:val="00B74209"/>
    <w:rsid w:val="00B74752"/>
    <w:rsid w:val="00B74AF1"/>
    <w:rsid w:val="00B74C4C"/>
    <w:rsid w:val="00B74CD0"/>
    <w:rsid w:val="00B75735"/>
    <w:rsid w:val="00B75BEA"/>
    <w:rsid w:val="00B75D89"/>
    <w:rsid w:val="00B7636B"/>
    <w:rsid w:val="00B76503"/>
    <w:rsid w:val="00B76735"/>
    <w:rsid w:val="00B76C19"/>
    <w:rsid w:val="00B7789F"/>
    <w:rsid w:val="00B77FC1"/>
    <w:rsid w:val="00B80069"/>
    <w:rsid w:val="00B80100"/>
    <w:rsid w:val="00B805B9"/>
    <w:rsid w:val="00B80BFB"/>
    <w:rsid w:val="00B80C85"/>
    <w:rsid w:val="00B815B4"/>
    <w:rsid w:val="00B81BB8"/>
    <w:rsid w:val="00B82731"/>
    <w:rsid w:val="00B827D6"/>
    <w:rsid w:val="00B82C4D"/>
    <w:rsid w:val="00B82CC3"/>
    <w:rsid w:val="00B83BE8"/>
    <w:rsid w:val="00B83CE3"/>
    <w:rsid w:val="00B848AF"/>
    <w:rsid w:val="00B84F3B"/>
    <w:rsid w:val="00B84F41"/>
    <w:rsid w:val="00B850FA"/>
    <w:rsid w:val="00B85440"/>
    <w:rsid w:val="00B85452"/>
    <w:rsid w:val="00B857D1"/>
    <w:rsid w:val="00B870D8"/>
    <w:rsid w:val="00B8727C"/>
    <w:rsid w:val="00B8794A"/>
    <w:rsid w:val="00B87A20"/>
    <w:rsid w:val="00B908E5"/>
    <w:rsid w:val="00B9125B"/>
    <w:rsid w:val="00B918FF"/>
    <w:rsid w:val="00B91BE1"/>
    <w:rsid w:val="00B91CED"/>
    <w:rsid w:val="00B92DF7"/>
    <w:rsid w:val="00B935D0"/>
    <w:rsid w:val="00B94A9A"/>
    <w:rsid w:val="00B94D53"/>
    <w:rsid w:val="00B94EFB"/>
    <w:rsid w:val="00B94FA7"/>
    <w:rsid w:val="00B95337"/>
    <w:rsid w:val="00B95685"/>
    <w:rsid w:val="00B95C18"/>
    <w:rsid w:val="00B9615A"/>
    <w:rsid w:val="00B97967"/>
    <w:rsid w:val="00BA1AC2"/>
    <w:rsid w:val="00BA1EB9"/>
    <w:rsid w:val="00BA314C"/>
    <w:rsid w:val="00BA3572"/>
    <w:rsid w:val="00BA3780"/>
    <w:rsid w:val="00BA38C8"/>
    <w:rsid w:val="00BA3B2F"/>
    <w:rsid w:val="00BA3DA8"/>
    <w:rsid w:val="00BA466E"/>
    <w:rsid w:val="00BA475B"/>
    <w:rsid w:val="00BA509D"/>
    <w:rsid w:val="00BA5ECC"/>
    <w:rsid w:val="00BA635C"/>
    <w:rsid w:val="00BA68AE"/>
    <w:rsid w:val="00BA74D1"/>
    <w:rsid w:val="00BA7564"/>
    <w:rsid w:val="00BB1B97"/>
    <w:rsid w:val="00BB2001"/>
    <w:rsid w:val="00BB2439"/>
    <w:rsid w:val="00BB25C9"/>
    <w:rsid w:val="00BB2FDF"/>
    <w:rsid w:val="00BB3564"/>
    <w:rsid w:val="00BB356E"/>
    <w:rsid w:val="00BB37CB"/>
    <w:rsid w:val="00BB3A26"/>
    <w:rsid w:val="00BB462F"/>
    <w:rsid w:val="00BB4683"/>
    <w:rsid w:val="00BB4E36"/>
    <w:rsid w:val="00BB5C63"/>
    <w:rsid w:val="00BB6C77"/>
    <w:rsid w:val="00BB70A4"/>
    <w:rsid w:val="00BB7E88"/>
    <w:rsid w:val="00BC02AA"/>
    <w:rsid w:val="00BC0650"/>
    <w:rsid w:val="00BC08F4"/>
    <w:rsid w:val="00BC11C8"/>
    <w:rsid w:val="00BC2089"/>
    <w:rsid w:val="00BC2CFA"/>
    <w:rsid w:val="00BC309F"/>
    <w:rsid w:val="00BC30A4"/>
    <w:rsid w:val="00BC37CF"/>
    <w:rsid w:val="00BC3DEA"/>
    <w:rsid w:val="00BC4565"/>
    <w:rsid w:val="00BC496F"/>
    <w:rsid w:val="00BC4CAD"/>
    <w:rsid w:val="00BC4DDE"/>
    <w:rsid w:val="00BC4F4B"/>
    <w:rsid w:val="00BC5026"/>
    <w:rsid w:val="00BC50CF"/>
    <w:rsid w:val="00BC5170"/>
    <w:rsid w:val="00BC551C"/>
    <w:rsid w:val="00BC56CD"/>
    <w:rsid w:val="00BC6C59"/>
    <w:rsid w:val="00BC6F3D"/>
    <w:rsid w:val="00BC72FE"/>
    <w:rsid w:val="00BC751E"/>
    <w:rsid w:val="00BC7AB6"/>
    <w:rsid w:val="00BC7BCE"/>
    <w:rsid w:val="00BC7D4D"/>
    <w:rsid w:val="00BC7E4A"/>
    <w:rsid w:val="00BC7E4E"/>
    <w:rsid w:val="00BD0352"/>
    <w:rsid w:val="00BD0993"/>
    <w:rsid w:val="00BD0B62"/>
    <w:rsid w:val="00BD0DAE"/>
    <w:rsid w:val="00BD0DC3"/>
    <w:rsid w:val="00BD16E8"/>
    <w:rsid w:val="00BD1C37"/>
    <w:rsid w:val="00BD22B9"/>
    <w:rsid w:val="00BD28B1"/>
    <w:rsid w:val="00BD2E42"/>
    <w:rsid w:val="00BD4454"/>
    <w:rsid w:val="00BD4CAB"/>
    <w:rsid w:val="00BD4F15"/>
    <w:rsid w:val="00BD54FE"/>
    <w:rsid w:val="00BD56AF"/>
    <w:rsid w:val="00BD57E9"/>
    <w:rsid w:val="00BD5865"/>
    <w:rsid w:val="00BD5D71"/>
    <w:rsid w:val="00BD5FA0"/>
    <w:rsid w:val="00BD5FCF"/>
    <w:rsid w:val="00BD652F"/>
    <w:rsid w:val="00BD667A"/>
    <w:rsid w:val="00BD6928"/>
    <w:rsid w:val="00BD701B"/>
    <w:rsid w:val="00BD7070"/>
    <w:rsid w:val="00BD7201"/>
    <w:rsid w:val="00BD78AA"/>
    <w:rsid w:val="00BD7905"/>
    <w:rsid w:val="00BE065D"/>
    <w:rsid w:val="00BE1A71"/>
    <w:rsid w:val="00BE1C4F"/>
    <w:rsid w:val="00BE1C91"/>
    <w:rsid w:val="00BE1F14"/>
    <w:rsid w:val="00BE2B1B"/>
    <w:rsid w:val="00BE3201"/>
    <w:rsid w:val="00BE4624"/>
    <w:rsid w:val="00BE4D21"/>
    <w:rsid w:val="00BE4DE5"/>
    <w:rsid w:val="00BE4E03"/>
    <w:rsid w:val="00BE535C"/>
    <w:rsid w:val="00BE5372"/>
    <w:rsid w:val="00BE58E2"/>
    <w:rsid w:val="00BE6058"/>
    <w:rsid w:val="00BE7609"/>
    <w:rsid w:val="00BE7694"/>
    <w:rsid w:val="00BE799E"/>
    <w:rsid w:val="00BE7B3F"/>
    <w:rsid w:val="00BE7B5F"/>
    <w:rsid w:val="00BF09C5"/>
    <w:rsid w:val="00BF0A8D"/>
    <w:rsid w:val="00BF17C5"/>
    <w:rsid w:val="00BF238F"/>
    <w:rsid w:val="00BF280A"/>
    <w:rsid w:val="00BF2D22"/>
    <w:rsid w:val="00BF2D89"/>
    <w:rsid w:val="00BF2DBB"/>
    <w:rsid w:val="00BF32B1"/>
    <w:rsid w:val="00BF445A"/>
    <w:rsid w:val="00BF447C"/>
    <w:rsid w:val="00BF4647"/>
    <w:rsid w:val="00BF49F5"/>
    <w:rsid w:val="00BF4D5B"/>
    <w:rsid w:val="00BF5BDC"/>
    <w:rsid w:val="00BF5CF8"/>
    <w:rsid w:val="00BF6358"/>
    <w:rsid w:val="00BF63BB"/>
    <w:rsid w:val="00BF6B96"/>
    <w:rsid w:val="00BF6EC8"/>
    <w:rsid w:val="00BF6F6B"/>
    <w:rsid w:val="00BF6FC0"/>
    <w:rsid w:val="00BF7B0E"/>
    <w:rsid w:val="00C00675"/>
    <w:rsid w:val="00C00999"/>
    <w:rsid w:val="00C00CFB"/>
    <w:rsid w:val="00C00D02"/>
    <w:rsid w:val="00C00DF2"/>
    <w:rsid w:val="00C015E6"/>
    <w:rsid w:val="00C02322"/>
    <w:rsid w:val="00C025E4"/>
    <w:rsid w:val="00C02680"/>
    <w:rsid w:val="00C02BB5"/>
    <w:rsid w:val="00C02D28"/>
    <w:rsid w:val="00C02FF3"/>
    <w:rsid w:val="00C03042"/>
    <w:rsid w:val="00C035EB"/>
    <w:rsid w:val="00C03660"/>
    <w:rsid w:val="00C04429"/>
    <w:rsid w:val="00C04DE6"/>
    <w:rsid w:val="00C04EC5"/>
    <w:rsid w:val="00C0515F"/>
    <w:rsid w:val="00C06239"/>
    <w:rsid w:val="00C06971"/>
    <w:rsid w:val="00C06ABA"/>
    <w:rsid w:val="00C06E12"/>
    <w:rsid w:val="00C07627"/>
    <w:rsid w:val="00C07788"/>
    <w:rsid w:val="00C07BC2"/>
    <w:rsid w:val="00C07D86"/>
    <w:rsid w:val="00C107D8"/>
    <w:rsid w:val="00C1083E"/>
    <w:rsid w:val="00C10DDC"/>
    <w:rsid w:val="00C10E30"/>
    <w:rsid w:val="00C110C9"/>
    <w:rsid w:val="00C1178D"/>
    <w:rsid w:val="00C11AAB"/>
    <w:rsid w:val="00C12301"/>
    <w:rsid w:val="00C12D6E"/>
    <w:rsid w:val="00C132D1"/>
    <w:rsid w:val="00C13919"/>
    <w:rsid w:val="00C13B56"/>
    <w:rsid w:val="00C13E9D"/>
    <w:rsid w:val="00C14014"/>
    <w:rsid w:val="00C144C0"/>
    <w:rsid w:val="00C14D7B"/>
    <w:rsid w:val="00C150C8"/>
    <w:rsid w:val="00C156AC"/>
    <w:rsid w:val="00C15C27"/>
    <w:rsid w:val="00C15FAD"/>
    <w:rsid w:val="00C16186"/>
    <w:rsid w:val="00C1645A"/>
    <w:rsid w:val="00C164EA"/>
    <w:rsid w:val="00C17673"/>
    <w:rsid w:val="00C17DDE"/>
    <w:rsid w:val="00C17FE4"/>
    <w:rsid w:val="00C20CF3"/>
    <w:rsid w:val="00C20FC3"/>
    <w:rsid w:val="00C21517"/>
    <w:rsid w:val="00C21AD9"/>
    <w:rsid w:val="00C21EB4"/>
    <w:rsid w:val="00C22124"/>
    <w:rsid w:val="00C22D0E"/>
    <w:rsid w:val="00C236BE"/>
    <w:rsid w:val="00C23705"/>
    <w:rsid w:val="00C238E0"/>
    <w:rsid w:val="00C25439"/>
    <w:rsid w:val="00C2551C"/>
    <w:rsid w:val="00C258F8"/>
    <w:rsid w:val="00C263B5"/>
    <w:rsid w:val="00C263F5"/>
    <w:rsid w:val="00C26DC6"/>
    <w:rsid w:val="00C26F6F"/>
    <w:rsid w:val="00C27036"/>
    <w:rsid w:val="00C27D22"/>
    <w:rsid w:val="00C27DA5"/>
    <w:rsid w:val="00C27ED6"/>
    <w:rsid w:val="00C3037B"/>
    <w:rsid w:val="00C303BA"/>
    <w:rsid w:val="00C305A3"/>
    <w:rsid w:val="00C30A22"/>
    <w:rsid w:val="00C30E0B"/>
    <w:rsid w:val="00C315C5"/>
    <w:rsid w:val="00C315ED"/>
    <w:rsid w:val="00C316F6"/>
    <w:rsid w:val="00C320AB"/>
    <w:rsid w:val="00C32C37"/>
    <w:rsid w:val="00C33322"/>
    <w:rsid w:val="00C3341D"/>
    <w:rsid w:val="00C33B7B"/>
    <w:rsid w:val="00C342A9"/>
    <w:rsid w:val="00C3461A"/>
    <w:rsid w:val="00C347DB"/>
    <w:rsid w:val="00C34B1A"/>
    <w:rsid w:val="00C355A3"/>
    <w:rsid w:val="00C35705"/>
    <w:rsid w:val="00C35CDF"/>
    <w:rsid w:val="00C35FBA"/>
    <w:rsid w:val="00C365FF"/>
    <w:rsid w:val="00C3688D"/>
    <w:rsid w:val="00C36890"/>
    <w:rsid w:val="00C36C36"/>
    <w:rsid w:val="00C36F9D"/>
    <w:rsid w:val="00C372B5"/>
    <w:rsid w:val="00C37F5B"/>
    <w:rsid w:val="00C400BB"/>
    <w:rsid w:val="00C40143"/>
    <w:rsid w:val="00C41A24"/>
    <w:rsid w:val="00C41CBB"/>
    <w:rsid w:val="00C42469"/>
    <w:rsid w:val="00C425CD"/>
    <w:rsid w:val="00C42D8A"/>
    <w:rsid w:val="00C43AD5"/>
    <w:rsid w:val="00C43C03"/>
    <w:rsid w:val="00C449AF"/>
    <w:rsid w:val="00C4586F"/>
    <w:rsid w:val="00C45974"/>
    <w:rsid w:val="00C45D57"/>
    <w:rsid w:val="00C4797D"/>
    <w:rsid w:val="00C47CFC"/>
    <w:rsid w:val="00C47F60"/>
    <w:rsid w:val="00C502C0"/>
    <w:rsid w:val="00C50900"/>
    <w:rsid w:val="00C51660"/>
    <w:rsid w:val="00C52368"/>
    <w:rsid w:val="00C5240B"/>
    <w:rsid w:val="00C52993"/>
    <w:rsid w:val="00C529E3"/>
    <w:rsid w:val="00C529F2"/>
    <w:rsid w:val="00C53AEF"/>
    <w:rsid w:val="00C53B07"/>
    <w:rsid w:val="00C53CC3"/>
    <w:rsid w:val="00C5432A"/>
    <w:rsid w:val="00C544FA"/>
    <w:rsid w:val="00C550D1"/>
    <w:rsid w:val="00C557B7"/>
    <w:rsid w:val="00C55936"/>
    <w:rsid w:val="00C55E66"/>
    <w:rsid w:val="00C56951"/>
    <w:rsid w:val="00C56F85"/>
    <w:rsid w:val="00C57218"/>
    <w:rsid w:val="00C57C57"/>
    <w:rsid w:val="00C603F5"/>
    <w:rsid w:val="00C60F21"/>
    <w:rsid w:val="00C60F9D"/>
    <w:rsid w:val="00C617FD"/>
    <w:rsid w:val="00C61989"/>
    <w:rsid w:val="00C61D4D"/>
    <w:rsid w:val="00C61DF0"/>
    <w:rsid w:val="00C61EAE"/>
    <w:rsid w:val="00C627B4"/>
    <w:rsid w:val="00C62C0F"/>
    <w:rsid w:val="00C636EC"/>
    <w:rsid w:val="00C638C7"/>
    <w:rsid w:val="00C63E20"/>
    <w:rsid w:val="00C64083"/>
    <w:rsid w:val="00C64145"/>
    <w:rsid w:val="00C651AF"/>
    <w:rsid w:val="00C6531B"/>
    <w:rsid w:val="00C66DCA"/>
    <w:rsid w:val="00C66E8A"/>
    <w:rsid w:val="00C66E8D"/>
    <w:rsid w:val="00C67315"/>
    <w:rsid w:val="00C67E45"/>
    <w:rsid w:val="00C70037"/>
    <w:rsid w:val="00C70D76"/>
    <w:rsid w:val="00C70F09"/>
    <w:rsid w:val="00C7192B"/>
    <w:rsid w:val="00C71C30"/>
    <w:rsid w:val="00C722CF"/>
    <w:rsid w:val="00C72AA1"/>
    <w:rsid w:val="00C72B41"/>
    <w:rsid w:val="00C72CB1"/>
    <w:rsid w:val="00C72FA4"/>
    <w:rsid w:val="00C73090"/>
    <w:rsid w:val="00C73241"/>
    <w:rsid w:val="00C73B29"/>
    <w:rsid w:val="00C73C2E"/>
    <w:rsid w:val="00C74010"/>
    <w:rsid w:val="00C741A5"/>
    <w:rsid w:val="00C74F1F"/>
    <w:rsid w:val="00C755DF"/>
    <w:rsid w:val="00C76151"/>
    <w:rsid w:val="00C76666"/>
    <w:rsid w:val="00C769DA"/>
    <w:rsid w:val="00C76E7E"/>
    <w:rsid w:val="00C76EC0"/>
    <w:rsid w:val="00C7741F"/>
    <w:rsid w:val="00C77892"/>
    <w:rsid w:val="00C77BC3"/>
    <w:rsid w:val="00C801BA"/>
    <w:rsid w:val="00C8097E"/>
    <w:rsid w:val="00C81D78"/>
    <w:rsid w:val="00C82690"/>
    <w:rsid w:val="00C828FA"/>
    <w:rsid w:val="00C8313F"/>
    <w:rsid w:val="00C83389"/>
    <w:rsid w:val="00C8373C"/>
    <w:rsid w:val="00C83C2A"/>
    <w:rsid w:val="00C83C6C"/>
    <w:rsid w:val="00C83F33"/>
    <w:rsid w:val="00C845BC"/>
    <w:rsid w:val="00C84BBE"/>
    <w:rsid w:val="00C84E45"/>
    <w:rsid w:val="00C857F6"/>
    <w:rsid w:val="00C85860"/>
    <w:rsid w:val="00C85FDD"/>
    <w:rsid w:val="00C8661D"/>
    <w:rsid w:val="00C8682C"/>
    <w:rsid w:val="00C86F7F"/>
    <w:rsid w:val="00C86FCB"/>
    <w:rsid w:val="00C875E8"/>
    <w:rsid w:val="00C87A28"/>
    <w:rsid w:val="00C87B97"/>
    <w:rsid w:val="00C87D39"/>
    <w:rsid w:val="00C87DF7"/>
    <w:rsid w:val="00C9006D"/>
    <w:rsid w:val="00C90614"/>
    <w:rsid w:val="00C907E9"/>
    <w:rsid w:val="00C90A8C"/>
    <w:rsid w:val="00C91652"/>
    <w:rsid w:val="00C918BC"/>
    <w:rsid w:val="00C919E0"/>
    <w:rsid w:val="00C92075"/>
    <w:rsid w:val="00C9222B"/>
    <w:rsid w:val="00C9263B"/>
    <w:rsid w:val="00C92825"/>
    <w:rsid w:val="00C92B0D"/>
    <w:rsid w:val="00C92C16"/>
    <w:rsid w:val="00C945A6"/>
    <w:rsid w:val="00C94B80"/>
    <w:rsid w:val="00C94DA9"/>
    <w:rsid w:val="00C95533"/>
    <w:rsid w:val="00C9573F"/>
    <w:rsid w:val="00C96F29"/>
    <w:rsid w:val="00C96F57"/>
    <w:rsid w:val="00C9724D"/>
    <w:rsid w:val="00C973C9"/>
    <w:rsid w:val="00C97411"/>
    <w:rsid w:val="00C97568"/>
    <w:rsid w:val="00C977CA"/>
    <w:rsid w:val="00C97894"/>
    <w:rsid w:val="00C97A11"/>
    <w:rsid w:val="00CA00D4"/>
    <w:rsid w:val="00CA049D"/>
    <w:rsid w:val="00CA1FE4"/>
    <w:rsid w:val="00CA216D"/>
    <w:rsid w:val="00CA29AC"/>
    <w:rsid w:val="00CA2A51"/>
    <w:rsid w:val="00CA2FEA"/>
    <w:rsid w:val="00CA304D"/>
    <w:rsid w:val="00CA3495"/>
    <w:rsid w:val="00CA3664"/>
    <w:rsid w:val="00CA42CC"/>
    <w:rsid w:val="00CA4373"/>
    <w:rsid w:val="00CA4A6D"/>
    <w:rsid w:val="00CA5042"/>
    <w:rsid w:val="00CA527C"/>
    <w:rsid w:val="00CA5786"/>
    <w:rsid w:val="00CA57BC"/>
    <w:rsid w:val="00CA5BD7"/>
    <w:rsid w:val="00CA5EB1"/>
    <w:rsid w:val="00CA742D"/>
    <w:rsid w:val="00CA75F2"/>
    <w:rsid w:val="00CA795F"/>
    <w:rsid w:val="00CA7A0E"/>
    <w:rsid w:val="00CA7BA7"/>
    <w:rsid w:val="00CA7C3C"/>
    <w:rsid w:val="00CB00DE"/>
    <w:rsid w:val="00CB0292"/>
    <w:rsid w:val="00CB0D5E"/>
    <w:rsid w:val="00CB1BE4"/>
    <w:rsid w:val="00CB2499"/>
    <w:rsid w:val="00CB28E5"/>
    <w:rsid w:val="00CB41EE"/>
    <w:rsid w:val="00CB45C0"/>
    <w:rsid w:val="00CB565E"/>
    <w:rsid w:val="00CB5D3C"/>
    <w:rsid w:val="00CB5F8E"/>
    <w:rsid w:val="00CB6814"/>
    <w:rsid w:val="00CB6E10"/>
    <w:rsid w:val="00CB70D7"/>
    <w:rsid w:val="00CB74DB"/>
    <w:rsid w:val="00CB74FD"/>
    <w:rsid w:val="00CB7C00"/>
    <w:rsid w:val="00CC06BB"/>
    <w:rsid w:val="00CC0FD7"/>
    <w:rsid w:val="00CC19BA"/>
    <w:rsid w:val="00CC1C77"/>
    <w:rsid w:val="00CC1FD7"/>
    <w:rsid w:val="00CC270B"/>
    <w:rsid w:val="00CC2A90"/>
    <w:rsid w:val="00CC2FFA"/>
    <w:rsid w:val="00CC3FE2"/>
    <w:rsid w:val="00CC48B6"/>
    <w:rsid w:val="00CC54F4"/>
    <w:rsid w:val="00CC6720"/>
    <w:rsid w:val="00CC67E9"/>
    <w:rsid w:val="00CC6AEA"/>
    <w:rsid w:val="00CC702D"/>
    <w:rsid w:val="00CC732C"/>
    <w:rsid w:val="00CC736E"/>
    <w:rsid w:val="00CC7379"/>
    <w:rsid w:val="00CC7459"/>
    <w:rsid w:val="00CC766B"/>
    <w:rsid w:val="00CD0208"/>
    <w:rsid w:val="00CD0ADC"/>
    <w:rsid w:val="00CD0E54"/>
    <w:rsid w:val="00CD1091"/>
    <w:rsid w:val="00CD1138"/>
    <w:rsid w:val="00CD150A"/>
    <w:rsid w:val="00CD1A09"/>
    <w:rsid w:val="00CD1F8E"/>
    <w:rsid w:val="00CD20B6"/>
    <w:rsid w:val="00CD225A"/>
    <w:rsid w:val="00CD3C18"/>
    <w:rsid w:val="00CD3D2A"/>
    <w:rsid w:val="00CD4F6C"/>
    <w:rsid w:val="00CD57FF"/>
    <w:rsid w:val="00CD5D21"/>
    <w:rsid w:val="00CD626F"/>
    <w:rsid w:val="00CD65B8"/>
    <w:rsid w:val="00CD65DC"/>
    <w:rsid w:val="00CD6AB2"/>
    <w:rsid w:val="00CD6E87"/>
    <w:rsid w:val="00CD6F74"/>
    <w:rsid w:val="00CD70E1"/>
    <w:rsid w:val="00CD7DE1"/>
    <w:rsid w:val="00CD7F25"/>
    <w:rsid w:val="00CD7F66"/>
    <w:rsid w:val="00CE00B1"/>
    <w:rsid w:val="00CE05E7"/>
    <w:rsid w:val="00CE1B54"/>
    <w:rsid w:val="00CE1C72"/>
    <w:rsid w:val="00CE1C8D"/>
    <w:rsid w:val="00CE2252"/>
    <w:rsid w:val="00CE2535"/>
    <w:rsid w:val="00CE3225"/>
    <w:rsid w:val="00CE36F9"/>
    <w:rsid w:val="00CE3970"/>
    <w:rsid w:val="00CE3B31"/>
    <w:rsid w:val="00CE3B80"/>
    <w:rsid w:val="00CE4445"/>
    <w:rsid w:val="00CE4B5A"/>
    <w:rsid w:val="00CE4B6C"/>
    <w:rsid w:val="00CE4BF5"/>
    <w:rsid w:val="00CE4F09"/>
    <w:rsid w:val="00CE4F25"/>
    <w:rsid w:val="00CE5237"/>
    <w:rsid w:val="00CE5276"/>
    <w:rsid w:val="00CE58A2"/>
    <w:rsid w:val="00CE6367"/>
    <w:rsid w:val="00CE6549"/>
    <w:rsid w:val="00CE6735"/>
    <w:rsid w:val="00CE6BA6"/>
    <w:rsid w:val="00CE7501"/>
    <w:rsid w:val="00CE7ABD"/>
    <w:rsid w:val="00CE7D58"/>
    <w:rsid w:val="00CF0546"/>
    <w:rsid w:val="00CF05A7"/>
    <w:rsid w:val="00CF09C9"/>
    <w:rsid w:val="00CF0B76"/>
    <w:rsid w:val="00CF186E"/>
    <w:rsid w:val="00CF20F0"/>
    <w:rsid w:val="00CF2204"/>
    <w:rsid w:val="00CF2397"/>
    <w:rsid w:val="00CF23C9"/>
    <w:rsid w:val="00CF27CF"/>
    <w:rsid w:val="00CF2AAC"/>
    <w:rsid w:val="00CF2CE4"/>
    <w:rsid w:val="00CF2E59"/>
    <w:rsid w:val="00CF2EA7"/>
    <w:rsid w:val="00CF30D1"/>
    <w:rsid w:val="00CF35B7"/>
    <w:rsid w:val="00CF3B0D"/>
    <w:rsid w:val="00CF41F5"/>
    <w:rsid w:val="00CF4432"/>
    <w:rsid w:val="00CF4B09"/>
    <w:rsid w:val="00CF4B87"/>
    <w:rsid w:val="00CF521E"/>
    <w:rsid w:val="00CF5BEC"/>
    <w:rsid w:val="00CF62BB"/>
    <w:rsid w:val="00CF6A27"/>
    <w:rsid w:val="00CF758F"/>
    <w:rsid w:val="00D00148"/>
    <w:rsid w:val="00D00436"/>
    <w:rsid w:val="00D00492"/>
    <w:rsid w:val="00D004A4"/>
    <w:rsid w:val="00D0062D"/>
    <w:rsid w:val="00D00847"/>
    <w:rsid w:val="00D00B98"/>
    <w:rsid w:val="00D01422"/>
    <w:rsid w:val="00D020CB"/>
    <w:rsid w:val="00D02265"/>
    <w:rsid w:val="00D02517"/>
    <w:rsid w:val="00D027A7"/>
    <w:rsid w:val="00D02F27"/>
    <w:rsid w:val="00D03128"/>
    <w:rsid w:val="00D0327D"/>
    <w:rsid w:val="00D036D5"/>
    <w:rsid w:val="00D03B8C"/>
    <w:rsid w:val="00D03EDD"/>
    <w:rsid w:val="00D04942"/>
    <w:rsid w:val="00D04D56"/>
    <w:rsid w:val="00D050C3"/>
    <w:rsid w:val="00D05699"/>
    <w:rsid w:val="00D056CE"/>
    <w:rsid w:val="00D057F0"/>
    <w:rsid w:val="00D05D00"/>
    <w:rsid w:val="00D060E5"/>
    <w:rsid w:val="00D06724"/>
    <w:rsid w:val="00D06D0D"/>
    <w:rsid w:val="00D074F8"/>
    <w:rsid w:val="00D07D48"/>
    <w:rsid w:val="00D07DCC"/>
    <w:rsid w:val="00D102F5"/>
    <w:rsid w:val="00D10569"/>
    <w:rsid w:val="00D10B13"/>
    <w:rsid w:val="00D10D71"/>
    <w:rsid w:val="00D1152D"/>
    <w:rsid w:val="00D121AE"/>
    <w:rsid w:val="00D1235A"/>
    <w:rsid w:val="00D12906"/>
    <w:rsid w:val="00D12A2A"/>
    <w:rsid w:val="00D13077"/>
    <w:rsid w:val="00D131A6"/>
    <w:rsid w:val="00D13E23"/>
    <w:rsid w:val="00D14412"/>
    <w:rsid w:val="00D14AED"/>
    <w:rsid w:val="00D15140"/>
    <w:rsid w:val="00D157F1"/>
    <w:rsid w:val="00D163E8"/>
    <w:rsid w:val="00D166A9"/>
    <w:rsid w:val="00D169DA"/>
    <w:rsid w:val="00D16EAB"/>
    <w:rsid w:val="00D17D52"/>
    <w:rsid w:val="00D20381"/>
    <w:rsid w:val="00D21360"/>
    <w:rsid w:val="00D213A9"/>
    <w:rsid w:val="00D213F2"/>
    <w:rsid w:val="00D2167D"/>
    <w:rsid w:val="00D21788"/>
    <w:rsid w:val="00D21F76"/>
    <w:rsid w:val="00D222B2"/>
    <w:rsid w:val="00D22493"/>
    <w:rsid w:val="00D2270C"/>
    <w:rsid w:val="00D2275A"/>
    <w:rsid w:val="00D236C6"/>
    <w:rsid w:val="00D23784"/>
    <w:rsid w:val="00D23955"/>
    <w:rsid w:val="00D23B96"/>
    <w:rsid w:val="00D24495"/>
    <w:rsid w:val="00D244F0"/>
    <w:rsid w:val="00D24A71"/>
    <w:rsid w:val="00D25248"/>
    <w:rsid w:val="00D254C1"/>
    <w:rsid w:val="00D2559E"/>
    <w:rsid w:val="00D262A7"/>
    <w:rsid w:val="00D26486"/>
    <w:rsid w:val="00D2F56F"/>
    <w:rsid w:val="00D311B0"/>
    <w:rsid w:val="00D311CA"/>
    <w:rsid w:val="00D31308"/>
    <w:rsid w:val="00D31A8B"/>
    <w:rsid w:val="00D31CA8"/>
    <w:rsid w:val="00D321F3"/>
    <w:rsid w:val="00D324F8"/>
    <w:rsid w:val="00D327BA"/>
    <w:rsid w:val="00D32D3A"/>
    <w:rsid w:val="00D32E96"/>
    <w:rsid w:val="00D33036"/>
    <w:rsid w:val="00D354FC"/>
    <w:rsid w:val="00D35E9C"/>
    <w:rsid w:val="00D35F70"/>
    <w:rsid w:val="00D35F71"/>
    <w:rsid w:val="00D361DB"/>
    <w:rsid w:val="00D3621F"/>
    <w:rsid w:val="00D36246"/>
    <w:rsid w:val="00D36DA3"/>
    <w:rsid w:val="00D37247"/>
    <w:rsid w:val="00D377C4"/>
    <w:rsid w:val="00D37AFA"/>
    <w:rsid w:val="00D37EE3"/>
    <w:rsid w:val="00D37FAE"/>
    <w:rsid w:val="00D402A0"/>
    <w:rsid w:val="00D4189A"/>
    <w:rsid w:val="00D41922"/>
    <w:rsid w:val="00D41E30"/>
    <w:rsid w:val="00D41F1F"/>
    <w:rsid w:val="00D42444"/>
    <w:rsid w:val="00D42B42"/>
    <w:rsid w:val="00D42EC8"/>
    <w:rsid w:val="00D431ED"/>
    <w:rsid w:val="00D4341E"/>
    <w:rsid w:val="00D43609"/>
    <w:rsid w:val="00D4363F"/>
    <w:rsid w:val="00D437D8"/>
    <w:rsid w:val="00D4421E"/>
    <w:rsid w:val="00D443EE"/>
    <w:rsid w:val="00D44494"/>
    <w:rsid w:val="00D447A9"/>
    <w:rsid w:val="00D44A40"/>
    <w:rsid w:val="00D44D09"/>
    <w:rsid w:val="00D45086"/>
    <w:rsid w:val="00D45BB4"/>
    <w:rsid w:val="00D45F0D"/>
    <w:rsid w:val="00D45F36"/>
    <w:rsid w:val="00D45F43"/>
    <w:rsid w:val="00D46148"/>
    <w:rsid w:val="00D4619E"/>
    <w:rsid w:val="00D463F6"/>
    <w:rsid w:val="00D46425"/>
    <w:rsid w:val="00D464F1"/>
    <w:rsid w:val="00D47551"/>
    <w:rsid w:val="00D47DE7"/>
    <w:rsid w:val="00D47DFC"/>
    <w:rsid w:val="00D51188"/>
    <w:rsid w:val="00D5155D"/>
    <w:rsid w:val="00D5156A"/>
    <w:rsid w:val="00D516B4"/>
    <w:rsid w:val="00D5195D"/>
    <w:rsid w:val="00D51A56"/>
    <w:rsid w:val="00D51FE8"/>
    <w:rsid w:val="00D52998"/>
    <w:rsid w:val="00D52AA6"/>
    <w:rsid w:val="00D52C42"/>
    <w:rsid w:val="00D52C99"/>
    <w:rsid w:val="00D53906"/>
    <w:rsid w:val="00D5399D"/>
    <w:rsid w:val="00D53E02"/>
    <w:rsid w:val="00D54179"/>
    <w:rsid w:val="00D54BD7"/>
    <w:rsid w:val="00D54C26"/>
    <w:rsid w:val="00D54E73"/>
    <w:rsid w:val="00D54EE6"/>
    <w:rsid w:val="00D55543"/>
    <w:rsid w:val="00D557D3"/>
    <w:rsid w:val="00D561B7"/>
    <w:rsid w:val="00D56A33"/>
    <w:rsid w:val="00D56B83"/>
    <w:rsid w:val="00D56EE2"/>
    <w:rsid w:val="00D56F37"/>
    <w:rsid w:val="00D5707C"/>
    <w:rsid w:val="00D57B8B"/>
    <w:rsid w:val="00D57F0F"/>
    <w:rsid w:val="00D601D3"/>
    <w:rsid w:val="00D60B31"/>
    <w:rsid w:val="00D60E31"/>
    <w:rsid w:val="00D61343"/>
    <w:rsid w:val="00D6136B"/>
    <w:rsid w:val="00D6184E"/>
    <w:rsid w:val="00D61BD7"/>
    <w:rsid w:val="00D6207A"/>
    <w:rsid w:val="00D6245F"/>
    <w:rsid w:val="00D6259A"/>
    <w:rsid w:val="00D62A74"/>
    <w:rsid w:val="00D62CD6"/>
    <w:rsid w:val="00D62DAA"/>
    <w:rsid w:val="00D630FF"/>
    <w:rsid w:val="00D637CD"/>
    <w:rsid w:val="00D63844"/>
    <w:rsid w:val="00D63CAB"/>
    <w:rsid w:val="00D63E25"/>
    <w:rsid w:val="00D64069"/>
    <w:rsid w:val="00D641F1"/>
    <w:rsid w:val="00D649BF"/>
    <w:rsid w:val="00D656C1"/>
    <w:rsid w:val="00D6624A"/>
    <w:rsid w:val="00D665D9"/>
    <w:rsid w:val="00D66797"/>
    <w:rsid w:val="00D6687F"/>
    <w:rsid w:val="00D66AEF"/>
    <w:rsid w:val="00D66DFF"/>
    <w:rsid w:val="00D66EE9"/>
    <w:rsid w:val="00D66F6E"/>
    <w:rsid w:val="00D6726B"/>
    <w:rsid w:val="00D67E73"/>
    <w:rsid w:val="00D70E8F"/>
    <w:rsid w:val="00D71BA4"/>
    <w:rsid w:val="00D72188"/>
    <w:rsid w:val="00D72609"/>
    <w:rsid w:val="00D7285C"/>
    <w:rsid w:val="00D72FC4"/>
    <w:rsid w:val="00D7331F"/>
    <w:rsid w:val="00D7336A"/>
    <w:rsid w:val="00D75054"/>
    <w:rsid w:val="00D750CC"/>
    <w:rsid w:val="00D7521F"/>
    <w:rsid w:val="00D75405"/>
    <w:rsid w:val="00D7581C"/>
    <w:rsid w:val="00D7599C"/>
    <w:rsid w:val="00D76543"/>
    <w:rsid w:val="00D76C4B"/>
    <w:rsid w:val="00D76D24"/>
    <w:rsid w:val="00D773A8"/>
    <w:rsid w:val="00D7750F"/>
    <w:rsid w:val="00D77FA7"/>
    <w:rsid w:val="00D80652"/>
    <w:rsid w:val="00D80772"/>
    <w:rsid w:val="00D80890"/>
    <w:rsid w:val="00D808C8"/>
    <w:rsid w:val="00D80A64"/>
    <w:rsid w:val="00D80AAF"/>
    <w:rsid w:val="00D80CF5"/>
    <w:rsid w:val="00D814A7"/>
    <w:rsid w:val="00D814CC"/>
    <w:rsid w:val="00D8157B"/>
    <w:rsid w:val="00D81B5C"/>
    <w:rsid w:val="00D821F3"/>
    <w:rsid w:val="00D82780"/>
    <w:rsid w:val="00D830C2"/>
    <w:rsid w:val="00D83300"/>
    <w:rsid w:val="00D83371"/>
    <w:rsid w:val="00D83E66"/>
    <w:rsid w:val="00D843F7"/>
    <w:rsid w:val="00D84976"/>
    <w:rsid w:val="00D85806"/>
    <w:rsid w:val="00D8599E"/>
    <w:rsid w:val="00D85EC4"/>
    <w:rsid w:val="00D8600A"/>
    <w:rsid w:val="00D86B9D"/>
    <w:rsid w:val="00D86BD4"/>
    <w:rsid w:val="00D87E64"/>
    <w:rsid w:val="00D87F59"/>
    <w:rsid w:val="00D90DE4"/>
    <w:rsid w:val="00D915C5"/>
    <w:rsid w:val="00D9173C"/>
    <w:rsid w:val="00D9185F"/>
    <w:rsid w:val="00D91946"/>
    <w:rsid w:val="00D920E8"/>
    <w:rsid w:val="00D9262D"/>
    <w:rsid w:val="00D933CA"/>
    <w:rsid w:val="00D93C06"/>
    <w:rsid w:val="00D93C11"/>
    <w:rsid w:val="00D93FAF"/>
    <w:rsid w:val="00D94004"/>
    <w:rsid w:val="00D948FF"/>
    <w:rsid w:val="00D94F4A"/>
    <w:rsid w:val="00D9593D"/>
    <w:rsid w:val="00D95AEA"/>
    <w:rsid w:val="00D95C85"/>
    <w:rsid w:val="00D95D99"/>
    <w:rsid w:val="00D9641B"/>
    <w:rsid w:val="00D9641D"/>
    <w:rsid w:val="00D96872"/>
    <w:rsid w:val="00D969B6"/>
    <w:rsid w:val="00D97137"/>
    <w:rsid w:val="00D972B5"/>
    <w:rsid w:val="00D976FC"/>
    <w:rsid w:val="00D977E8"/>
    <w:rsid w:val="00D97CFC"/>
    <w:rsid w:val="00D97FEE"/>
    <w:rsid w:val="00DA009A"/>
    <w:rsid w:val="00DA1B34"/>
    <w:rsid w:val="00DA1B8D"/>
    <w:rsid w:val="00DA1BF3"/>
    <w:rsid w:val="00DA2219"/>
    <w:rsid w:val="00DA22D0"/>
    <w:rsid w:val="00DA2603"/>
    <w:rsid w:val="00DA34AD"/>
    <w:rsid w:val="00DA3A16"/>
    <w:rsid w:val="00DA42F7"/>
    <w:rsid w:val="00DA433C"/>
    <w:rsid w:val="00DA4F7C"/>
    <w:rsid w:val="00DA4F9A"/>
    <w:rsid w:val="00DA50C3"/>
    <w:rsid w:val="00DA5F84"/>
    <w:rsid w:val="00DA6C43"/>
    <w:rsid w:val="00DA70A3"/>
    <w:rsid w:val="00DA7155"/>
    <w:rsid w:val="00DA76EE"/>
    <w:rsid w:val="00DA7E25"/>
    <w:rsid w:val="00DB0282"/>
    <w:rsid w:val="00DB1690"/>
    <w:rsid w:val="00DB1ECC"/>
    <w:rsid w:val="00DB21C6"/>
    <w:rsid w:val="00DB3274"/>
    <w:rsid w:val="00DB3353"/>
    <w:rsid w:val="00DB3727"/>
    <w:rsid w:val="00DB4180"/>
    <w:rsid w:val="00DB4932"/>
    <w:rsid w:val="00DB49E7"/>
    <w:rsid w:val="00DB4B51"/>
    <w:rsid w:val="00DB51F9"/>
    <w:rsid w:val="00DB58CE"/>
    <w:rsid w:val="00DB5D7E"/>
    <w:rsid w:val="00DB61D8"/>
    <w:rsid w:val="00DB6F03"/>
    <w:rsid w:val="00DB7B6A"/>
    <w:rsid w:val="00DB7DD7"/>
    <w:rsid w:val="00DC03EC"/>
    <w:rsid w:val="00DC0D45"/>
    <w:rsid w:val="00DC0EF4"/>
    <w:rsid w:val="00DC0FED"/>
    <w:rsid w:val="00DC0FFE"/>
    <w:rsid w:val="00DC13D1"/>
    <w:rsid w:val="00DC1682"/>
    <w:rsid w:val="00DC17F4"/>
    <w:rsid w:val="00DC1B6C"/>
    <w:rsid w:val="00DC23CF"/>
    <w:rsid w:val="00DC2BDC"/>
    <w:rsid w:val="00DC36A7"/>
    <w:rsid w:val="00DC3F72"/>
    <w:rsid w:val="00DC482A"/>
    <w:rsid w:val="00DC4B67"/>
    <w:rsid w:val="00DC4D91"/>
    <w:rsid w:val="00DC53E3"/>
    <w:rsid w:val="00DC556B"/>
    <w:rsid w:val="00DC5D34"/>
    <w:rsid w:val="00DC61D6"/>
    <w:rsid w:val="00DC6392"/>
    <w:rsid w:val="00DC63A5"/>
    <w:rsid w:val="00DC7543"/>
    <w:rsid w:val="00DC7776"/>
    <w:rsid w:val="00DC7936"/>
    <w:rsid w:val="00DD027D"/>
    <w:rsid w:val="00DD064F"/>
    <w:rsid w:val="00DD0691"/>
    <w:rsid w:val="00DD0748"/>
    <w:rsid w:val="00DD2022"/>
    <w:rsid w:val="00DD2325"/>
    <w:rsid w:val="00DD317B"/>
    <w:rsid w:val="00DD387D"/>
    <w:rsid w:val="00DD38EB"/>
    <w:rsid w:val="00DD3C91"/>
    <w:rsid w:val="00DD3E70"/>
    <w:rsid w:val="00DD3ED5"/>
    <w:rsid w:val="00DD4005"/>
    <w:rsid w:val="00DD4140"/>
    <w:rsid w:val="00DD44DC"/>
    <w:rsid w:val="00DD4868"/>
    <w:rsid w:val="00DD5157"/>
    <w:rsid w:val="00DD62FD"/>
    <w:rsid w:val="00DD6802"/>
    <w:rsid w:val="00DD74D0"/>
    <w:rsid w:val="00DD75B5"/>
    <w:rsid w:val="00DD791E"/>
    <w:rsid w:val="00DD7AB6"/>
    <w:rsid w:val="00DD7AD3"/>
    <w:rsid w:val="00DD7D09"/>
    <w:rsid w:val="00DE092B"/>
    <w:rsid w:val="00DE0F44"/>
    <w:rsid w:val="00DE189C"/>
    <w:rsid w:val="00DE1B29"/>
    <w:rsid w:val="00DE2590"/>
    <w:rsid w:val="00DE275A"/>
    <w:rsid w:val="00DE2A5C"/>
    <w:rsid w:val="00DE2B5B"/>
    <w:rsid w:val="00DE2C90"/>
    <w:rsid w:val="00DE309C"/>
    <w:rsid w:val="00DE30C9"/>
    <w:rsid w:val="00DE327D"/>
    <w:rsid w:val="00DE41A1"/>
    <w:rsid w:val="00DE4796"/>
    <w:rsid w:val="00DE49D8"/>
    <w:rsid w:val="00DE4E08"/>
    <w:rsid w:val="00DE5FED"/>
    <w:rsid w:val="00DE6707"/>
    <w:rsid w:val="00DE6E0B"/>
    <w:rsid w:val="00DE721E"/>
    <w:rsid w:val="00DE7C3D"/>
    <w:rsid w:val="00DF00DC"/>
    <w:rsid w:val="00DF022F"/>
    <w:rsid w:val="00DF08D1"/>
    <w:rsid w:val="00DF08E7"/>
    <w:rsid w:val="00DF0DBB"/>
    <w:rsid w:val="00DF0EC5"/>
    <w:rsid w:val="00DF0F25"/>
    <w:rsid w:val="00DF0FAB"/>
    <w:rsid w:val="00DF11E4"/>
    <w:rsid w:val="00DF1FE6"/>
    <w:rsid w:val="00DF2688"/>
    <w:rsid w:val="00DF3027"/>
    <w:rsid w:val="00DF307A"/>
    <w:rsid w:val="00DF347D"/>
    <w:rsid w:val="00DF4083"/>
    <w:rsid w:val="00DF42C7"/>
    <w:rsid w:val="00DF4442"/>
    <w:rsid w:val="00DF4445"/>
    <w:rsid w:val="00DF4490"/>
    <w:rsid w:val="00DF4757"/>
    <w:rsid w:val="00DF4B8F"/>
    <w:rsid w:val="00DF5105"/>
    <w:rsid w:val="00DF5107"/>
    <w:rsid w:val="00DF56A6"/>
    <w:rsid w:val="00DF5E41"/>
    <w:rsid w:val="00DF6028"/>
    <w:rsid w:val="00DF61D1"/>
    <w:rsid w:val="00DF6A4C"/>
    <w:rsid w:val="00DF7945"/>
    <w:rsid w:val="00E00ADD"/>
    <w:rsid w:val="00E00F6D"/>
    <w:rsid w:val="00E01372"/>
    <w:rsid w:val="00E0148B"/>
    <w:rsid w:val="00E017D4"/>
    <w:rsid w:val="00E024B4"/>
    <w:rsid w:val="00E02683"/>
    <w:rsid w:val="00E02A06"/>
    <w:rsid w:val="00E02B41"/>
    <w:rsid w:val="00E034E1"/>
    <w:rsid w:val="00E035A2"/>
    <w:rsid w:val="00E03A50"/>
    <w:rsid w:val="00E03AFB"/>
    <w:rsid w:val="00E03E66"/>
    <w:rsid w:val="00E041B2"/>
    <w:rsid w:val="00E0493C"/>
    <w:rsid w:val="00E04B15"/>
    <w:rsid w:val="00E058CD"/>
    <w:rsid w:val="00E05B1D"/>
    <w:rsid w:val="00E05C84"/>
    <w:rsid w:val="00E0774A"/>
    <w:rsid w:val="00E102C9"/>
    <w:rsid w:val="00E104CE"/>
    <w:rsid w:val="00E10AA5"/>
    <w:rsid w:val="00E1244A"/>
    <w:rsid w:val="00E12556"/>
    <w:rsid w:val="00E138F2"/>
    <w:rsid w:val="00E13FF4"/>
    <w:rsid w:val="00E141CB"/>
    <w:rsid w:val="00E148EE"/>
    <w:rsid w:val="00E14E1E"/>
    <w:rsid w:val="00E14E75"/>
    <w:rsid w:val="00E14FC1"/>
    <w:rsid w:val="00E1532B"/>
    <w:rsid w:val="00E15B6C"/>
    <w:rsid w:val="00E16B93"/>
    <w:rsid w:val="00E16D4D"/>
    <w:rsid w:val="00E211BC"/>
    <w:rsid w:val="00E21821"/>
    <w:rsid w:val="00E218C4"/>
    <w:rsid w:val="00E24111"/>
    <w:rsid w:val="00E24622"/>
    <w:rsid w:val="00E246AB"/>
    <w:rsid w:val="00E24841"/>
    <w:rsid w:val="00E24E3D"/>
    <w:rsid w:val="00E26047"/>
    <w:rsid w:val="00E268A7"/>
    <w:rsid w:val="00E270E2"/>
    <w:rsid w:val="00E30722"/>
    <w:rsid w:val="00E30769"/>
    <w:rsid w:val="00E30C03"/>
    <w:rsid w:val="00E30DB9"/>
    <w:rsid w:val="00E30F6D"/>
    <w:rsid w:val="00E3104F"/>
    <w:rsid w:val="00E316DF"/>
    <w:rsid w:val="00E31B49"/>
    <w:rsid w:val="00E31D0E"/>
    <w:rsid w:val="00E31DC7"/>
    <w:rsid w:val="00E3251F"/>
    <w:rsid w:val="00E326C5"/>
    <w:rsid w:val="00E3277C"/>
    <w:rsid w:val="00E334E3"/>
    <w:rsid w:val="00E336E0"/>
    <w:rsid w:val="00E347B1"/>
    <w:rsid w:val="00E34B9C"/>
    <w:rsid w:val="00E361B8"/>
    <w:rsid w:val="00E3662A"/>
    <w:rsid w:val="00E36A06"/>
    <w:rsid w:val="00E36CE8"/>
    <w:rsid w:val="00E36DAC"/>
    <w:rsid w:val="00E370D9"/>
    <w:rsid w:val="00E3745E"/>
    <w:rsid w:val="00E3784B"/>
    <w:rsid w:val="00E37B84"/>
    <w:rsid w:val="00E37F77"/>
    <w:rsid w:val="00E41944"/>
    <w:rsid w:val="00E4223D"/>
    <w:rsid w:val="00E42799"/>
    <w:rsid w:val="00E42DA2"/>
    <w:rsid w:val="00E42F1C"/>
    <w:rsid w:val="00E43095"/>
    <w:rsid w:val="00E43649"/>
    <w:rsid w:val="00E43D8E"/>
    <w:rsid w:val="00E442B7"/>
    <w:rsid w:val="00E44C09"/>
    <w:rsid w:val="00E45091"/>
    <w:rsid w:val="00E45224"/>
    <w:rsid w:val="00E45337"/>
    <w:rsid w:val="00E4543D"/>
    <w:rsid w:val="00E458BD"/>
    <w:rsid w:val="00E45BBA"/>
    <w:rsid w:val="00E4703F"/>
    <w:rsid w:val="00E47121"/>
    <w:rsid w:val="00E4747E"/>
    <w:rsid w:val="00E50005"/>
    <w:rsid w:val="00E501B4"/>
    <w:rsid w:val="00E50913"/>
    <w:rsid w:val="00E509BC"/>
    <w:rsid w:val="00E50FD1"/>
    <w:rsid w:val="00E51083"/>
    <w:rsid w:val="00E511A4"/>
    <w:rsid w:val="00E51291"/>
    <w:rsid w:val="00E51DA7"/>
    <w:rsid w:val="00E51DB1"/>
    <w:rsid w:val="00E52988"/>
    <w:rsid w:val="00E54249"/>
    <w:rsid w:val="00E54D1D"/>
    <w:rsid w:val="00E55688"/>
    <w:rsid w:val="00E557AE"/>
    <w:rsid w:val="00E557B5"/>
    <w:rsid w:val="00E55974"/>
    <w:rsid w:val="00E55D39"/>
    <w:rsid w:val="00E56334"/>
    <w:rsid w:val="00E56E8D"/>
    <w:rsid w:val="00E57547"/>
    <w:rsid w:val="00E57864"/>
    <w:rsid w:val="00E57C52"/>
    <w:rsid w:val="00E6003F"/>
    <w:rsid w:val="00E604BC"/>
    <w:rsid w:val="00E60583"/>
    <w:rsid w:val="00E60C7F"/>
    <w:rsid w:val="00E60D41"/>
    <w:rsid w:val="00E60D5E"/>
    <w:rsid w:val="00E60FD3"/>
    <w:rsid w:val="00E6139E"/>
    <w:rsid w:val="00E620BF"/>
    <w:rsid w:val="00E62165"/>
    <w:rsid w:val="00E62245"/>
    <w:rsid w:val="00E62D67"/>
    <w:rsid w:val="00E6322B"/>
    <w:rsid w:val="00E6357E"/>
    <w:rsid w:val="00E63BF4"/>
    <w:rsid w:val="00E6484D"/>
    <w:rsid w:val="00E6554C"/>
    <w:rsid w:val="00E65744"/>
    <w:rsid w:val="00E66014"/>
    <w:rsid w:val="00E664ED"/>
    <w:rsid w:val="00E66A88"/>
    <w:rsid w:val="00E67045"/>
    <w:rsid w:val="00E676A0"/>
    <w:rsid w:val="00E676CB"/>
    <w:rsid w:val="00E679F1"/>
    <w:rsid w:val="00E67B5D"/>
    <w:rsid w:val="00E70792"/>
    <w:rsid w:val="00E70A95"/>
    <w:rsid w:val="00E70FA3"/>
    <w:rsid w:val="00E71853"/>
    <w:rsid w:val="00E71A0D"/>
    <w:rsid w:val="00E72C10"/>
    <w:rsid w:val="00E73887"/>
    <w:rsid w:val="00E73FD4"/>
    <w:rsid w:val="00E746FD"/>
    <w:rsid w:val="00E74986"/>
    <w:rsid w:val="00E75038"/>
    <w:rsid w:val="00E756DD"/>
    <w:rsid w:val="00E76548"/>
    <w:rsid w:val="00E77187"/>
    <w:rsid w:val="00E77526"/>
    <w:rsid w:val="00E77AB9"/>
    <w:rsid w:val="00E77B0B"/>
    <w:rsid w:val="00E77F94"/>
    <w:rsid w:val="00E817F3"/>
    <w:rsid w:val="00E8378D"/>
    <w:rsid w:val="00E837B6"/>
    <w:rsid w:val="00E83FF8"/>
    <w:rsid w:val="00E84504"/>
    <w:rsid w:val="00E84AFC"/>
    <w:rsid w:val="00E84E52"/>
    <w:rsid w:val="00E84FFB"/>
    <w:rsid w:val="00E85B0C"/>
    <w:rsid w:val="00E86043"/>
    <w:rsid w:val="00E86116"/>
    <w:rsid w:val="00E86358"/>
    <w:rsid w:val="00E86777"/>
    <w:rsid w:val="00E87201"/>
    <w:rsid w:val="00E87791"/>
    <w:rsid w:val="00E877A0"/>
    <w:rsid w:val="00E87AF9"/>
    <w:rsid w:val="00E87FEA"/>
    <w:rsid w:val="00E9003A"/>
    <w:rsid w:val="00E901EC"/>
    <w:rsid w:val="00E90514"/>
    <w:rsid w:val="00E90579"/>
    <w:rsid w:val="00E90E9D"/>
    <w:rsid w:val="00E91302"/>
    <w:rsid w:val="00E91490"/>
    <w:rsid w:val="00E918AB"/>
    <w:rsid w:val="00E91E33"/>
    <w:rsid w:val="00E922C6"/>
    <w:rsid w:val="00E92772"/>
    <w:rsid w:val="00E92CB0"/>
    <w:rsid w:val="00E930AD"/>
    <w:rsid w:val="00E93583"/>
    <w:rsid w:val="00E938A9"/>
    <w:rsid w:val="00E945A1"/>
    <w:rsid w:val="00E9479B"/>
    <w:rsid w:val="00E94B76"/>
    <w:rsid w:val="00E94E9C"/>
    <w:rsid w:val="00E95884"/>
    <w:rsid w:val="00E958E6"/>
    <w:rsid w:val="00E962EF"/>
    <w:rsid w:val="00E964B4"/>
    <w:rsid w:val="00E96E5B"/>
    <w:rsid w:val="00E96F1F"/>
    <w:rsid w:val="00E9776A"/>
    <w:rsid w:val="00E97E22"/>
    <w:rsid w:val="00EA0A6C"/>
    <w:rsid w:val="00EA2FC5"/>
    <w:rsid w:val="00EA391D"/>
    <w:rsid w:val="00EA3C31"/>
    <w:rsid w:val="00EA3D4D"/>
    <w:rsid w:val="00EA470A"/>
    <w:rsid w:val="00EA48FC"/>
    <w:rsid w:val="00EA5368"/>
    <w:rsid w:val="00EA5582"/>
    <w:rsid w:val="00EA6527"/>
    <w:rsid w:val="00EA773C"/>
    <w:rsid w:val="00EA7A8D"/>
    <w:rsid w:val="00EB01A5"/>
    <w:rsid w:val="00EB05D4"/>
    <w:rsid w:val="00EB1520"/>
    <w:rsid w:val="00EB17B2"/>
    <w:rsid w:val="00EB17D9"/>
    <w:rsid w:val="00EB1AD3"/>
    <w:rsid w:val="00EB1C33"/>
    <w:rsid w:val="00EB1D89"/>
    <w:rsid w:val="00EB32FD"/>
    <w:rsid w:val="00EB3C69"/>
    <w:rsid w:val="00EB3DC1"/>
    <w:rsid w:val="00EB40B4"/>
    <w:rsid w:val="00EB419C"/>
    <w:rsid w:val="00EB4392"/>
    <w:rsid w:val="00EB475B"/>
    <w:rsid w:val="00EB48C8"/>
    <w:rsid w:val="00EB4BB3"/>
    <w:rsid w:val="00EB5618"/>
    <w:rsid w:val="00EB56B8"/>
    <w:rsid w:val="00EB5C03"/>
    <w:rsid w:val="00EB6947"/>
    <w:rsid w:val="00EB6A2C"/>
    <w:rsid w:val="00EB6DB8"/>
    <w:rsid w:val="00EB6FD8"/>
    <w:rsid w:val="00EB762F"/>
    <w:rsid w:val="00EB7706"/>
    <w:rsid w:val="00EB7CAD"/>
    <w:rsid w:val="00EC09DB"/>
    <w:rsid w:val="00EC1908"/>
    <w:rsid w:val="00EC252D"/>
    <w:rsid w:val="00EC28A0"/>
    <w:rsid w:val="00EC2A8D"/>
    <w:rsid w:val="00EC41D4"/>
    <w:rsid w:val="00EC420F"/>
    <w:rsid w:val="00EC46D6"/>
    <w:rsid w:val="00EC49A1"/>
    <w:rsid w:val="00EC562F"/>
    <w:rsid w:val="00EC5B88"/>
    <w:rsid w:val="00EC5D98"/>
    <w:rsid w:val="00EC5FB9"/>
    <w:rsid w:val="00EC6A47"/>
    <w:rsid w:val="00EC6D77"/>
    <w:rsid w:val="00EC7326"/>
    <w:rsid w:val="00EC73CC"/>
    <w:rsid w:val="00EC7576"/>
    <w:rsid w:val="00EC76D4"/>
    <w:rsid w:val="00EC7776"/>
    <w:rsid w:val="00EC795E"/>
    <w:rsid w:val="00ED0FC2"/>
    <w:rsid w:val="00ED11F6"/>
    <w:rsid w:val="00ED1589"/>
    <w:rsid w:val="00ED1E77"/>
    <w:rsid w:val="00ED318F"/>
    <w:rsid w:val="00ED370E"/>
    <w:rsid w:val="00ED40B2"/>
    <w:rsid w:val="00ED4260"/>
    <w:rsid w:val="00ED4571"/>
    <w:rsid w:val="00ED4EB3"/>
    <w:rsid w:val="00ED5643"/>
    <w:rsid w:val="00ED5DF9"/>
    <w:rsid w:val="00ED6380"/>
    <w:rsid w:val="00ED659C"/>
    <w:rsid w:val="00ED6632"/>
    <w:rsid w:val="00ED6F9C"/>
    <w:rsid w:val="00EE009B"/>
    <w:rsid w:val="00EE0247"/>
    <w:rsid w:val="00EE0304"/>
    <w:rsid w:val="00EE03BB"/>
    <w:rsid w:val="00EE136E"/>
    <w:rsid w:val="00EE160C"/>
    <w:rsid w:val="00EE17F4"/>
    <w:rsid w:val="00EE19B3"/>
    <w:rsid w:val="00EE1BA5"/>
    <w:rsid w:val="00EE2048"/>
    <w:rsid w:val="00EE22FE"/>
    <w:rsid w:val="00EE2AD6"/>
    <w:rsid w:val="00EE32E7"/>
    <w:rsid w:val="00EE33FC"/>
    <w:rsid w:val="00EE363B"/>
    <w:rsid w:val="00EE375B"/>
    <w:rsid w:val="00EE3994"/>
    <w:rsid w:val="00EE4BB8"/>
    <w:rsid w:val="00EE508C"/>
    <w:rsid w:val="00EE5287"/>
    <w:rsid w:val="00EE53FC"/>
    <w:rsid w:val="00EE5805"/>
    <w:rsid w:val="00EE5930"/>
    <w:rsid w:val="00EE5ABB"/>
    <w:rsid w:val="00EE608D"/>
    <w:rsid w:val="00EE60D2"/>
    <w:rsid w:val="00EE6AC6"/>
    <w:rsid w:val="00EE6EE8"/>
    <w:rsid w:val="00EE755F"/>
    <w:rsid w:val="00EF01BC"/>
    <w:rsid w:val="00EF05B6"/>
    <w:rsid w:val="00EF119A"/>
    <w:rsid w:val="00EF13EF"/>
    <w:rsid w:val="00EF1911"/>
    <w:rsid w:val="00EF27C6"/>
    <w:rsid w:val="00EF2B19"/>
    <w:rsid w:val="00EF2C61"/>
    <w:rsid w:val="00EF2F33"/>
    <w:rsid w:val="00EF2FA1"/>
    <w:rsid w:val="00EF3383"/>
    <w:rsid w:val="00EF3720"/>
    <w:rsid w:val="00EF39D4"/>
    <w:rsid w:val="00EF3E5C"/>
    <w:rsid w:val="00EF45DA"/>
    <w:rsid w:val="00EF4CC4"/>
    <w:rsid w:val="00EF4E71"/>
    <w:rsid w:val="00EF4F46"/>
    <w:rsid w:val="00EF57A3"/>
    <w:rsid w:val="00EF582C"/>
    <w:rsid w:val="00EF58B2"/>
    <w:rsid w:val="00EF5A3C"/>
    <w:rsid w:val="00EF6804"/>
    <w:rsid w:val="00EF6ED6"/>
    <w:rsid w:val="00F00270"/>
    <w:rsid w:val="00F00BC4"/>
    <w:rsid w:val="00F01FD4"/>
    <w:rsid w:val="00F0200D"/>
    <w:rsid w:val="00F023A8"/>
    <w:rsid w:val="00F024BA"/>
    <w:rsid w:val="00F031AE"/>
    <w:rsid w:val="00F03567"/>
    <w:rsid w:val="00F0377C"/>
    <w:rsid w:val="00F03AEC"/>
    <w:rsid w:val="00F03DF3"/>
    <w:rsid w:val="00F040CA"/>
    <w:rsid w:val="00F04596"/>
    <w:rsid w:val="00F047AD"/>
    <w:rsid w:val="00F0490F"/>
    <w:rsid w:val="00F05122"/>
    <w:rsid w:val="00F0528B"/>
    <w:rsid w:val="00F05297"/>
    <w:rsid w:val="00F058B3"/>
    <w:rsid w:val="00F05AA9"/>
    <w:rsid w:val="00F061CF"/>
    <w:rsid w:val="00F07183"/>
    <w:rsid w:val="00F1032D"/>
    <w:rsid w:val="00F10409"/>
    <w:rsid w:val="00F10546"/>
    <w:rsid w:val="00F109D7"/>
    <w:rsid w:val="00F10C14"/>
    <w:rsid w:val="00F10D02"/>
    <w:rsid w:val="00F10D09"/>
    <w:rsid w:val="00F10DD5"/>
    <w:rsid w:val="00F113BC"/>
    <w:rsid w:val="00F11484"/>
    <w:rsid w:val="00F116EE"/>
    <w:rsid w:val="00F11AA0"/>
    <w:rsid w:val="00F11CF6"/>
    <w:rsid w:val="00F122A3"/>
    <w:rsid w:val="00F125CC"/>
    <w:rsid w:val="00F12F5E"/>
    <w:rsid w:val="00F13207"/>
    <w:rsid w:val="00F13B25"/>
    <w:rsid w:val="00F13D64"/>
    <w:rsid w:val="00F13E95"/>
    <w:rsid w:val="00F14D98"/>
    <w:rsid w:val="00F15087"/>
    <w:rsid w:val="00F15EBD"/>
    <w:rsid w:val="00F15FD2"/>
    <w:rsid w:val="00F165ED"/>
    <w:rsid w:val="00F1686B"/>
    <w:rsid w:val="00F16CC8"/>
    <w:rsid w:val="00F17901"/>
    <w:rsid w:val="00F17A72"/>
    <w:rsid w:val="00F17C93"/>
    <w:rsid w:val="00F2020C"/>
    <w:rsid w:val="00F20A59"/>
    <w:rsid w:val="00F216D7"/>
    <w:rsid w:val="00F21A3A"/>
    <w:rsid w:val="00F22439"/>
    <w:rsid w:val="00F2247D"/>
    <w:rsid w:val="00F22D83"/>
    <w:rsid w:val="00F22E82"/>
    <w:rsid w:val="00F232FF"/>
    <w:rsid w:val="00F23645"/>
    <w:rsid w:val="00F23F49"/>
    <w:rsid w:val="00F24945"/>
    <w:rsid w:val="00F24C0E"/>
    <w:rsid w:val="00F2541C"/>
    <w:rsid w:val="00F255CB"/>
    <w:rsid w:val="00F25CBF"/>
    <w:rsid w:val="00F268D9"/>
    <w:rsid w:val="00F271D2"/>
    <w:rsid w:val="00F31875"/>
    <w:rsid w:val="00F31CEA"/>
    <w:rsid w:val="00F3227C"/>
    <w:rsid w:val="00F32341"/>
    <w:rsid w:val="00F328E7"/>
    <w:rsid w:val="00F32E79"/>
    <w:rsid w:val="00F33767"/>
    <w:rsid w:val="00F338D7"/>
    <w:rsid w:val="00F340B8"/>
    <w:rsid w:val="00F344B3"/>
    <w:rsid w:val="00F3479F"/>
    <w:rsid w:val="00F34952"/>
    <w:rsid w:val="00F3530B"/>
    <w:rsid w:val="00F35327"/>
    <w:rsid w:val="00F35736"/>
    <w:rsid w:val="00F35889"/>
    <w:rsid w:val="00F35B5F"/>
    <w:rsid w:val="00F35BDC"/>
    <w:rsid w:val="00F36751"/>
    <w:rsid w:val="00F36EF8"/>
    <w:rsid w:val="00F37571"/>
    <w:rsid w:val="00F37878"/>
    <w:rsid w:val="00F37D65"/>
    <w:rsid w:val="00F40018"/>
    <w:rsid w:val="00F4002C"/>
    <w:rsid w:val="00F407C9"/>
    <w:rsid w:val="00F40A1C"/>
    <w:rsid w:val="00F40D08"/>
    <w:rsid w:val="00F4167C"/>
    <w:rsid w:val="00F4190C"/>
    <w:rsid w:val="00F41A4E"/>
    <w:rsid w:val="00F41FCE"/>
    <w:rsid w:val="00F423EC"/>
    <w:rsid w:val="00F427ED"/>
    <w:rsid w:val="00F42A47"/>
    <w:rsid w:val="00F42AAA"/>
    <w:rsid w:val="00F42ACF"/>
    <w:rsid w:val="00F42FA4"/>
    <w:rsid w:val="00F4376D"/>
    <w:rsid w:val="00F43800"/>
    <w:rsid w:val="00F43AC6"/>
    <w:rsid w:val="00F43B09"/>
    <w:rsid w:val="00F44394"/>
    <w:rsid w:val="00F44537"/>
    <w:rsid w:val="00F447AA"/>
    <w:rsid w:val="00F44EDC"/>
    <w:rsid w:val="00F44F39"/>
    <w:rsid w:val="00F454F4"/>
    <w:rsid w:val="00F45848"/>
    <w:rsid w:val="00F47391"/>
    <w:rsid w:val="00F47CB4"/>
    <w:rsid w:val="00F47E92"/>
    <w:rsid w:val="00F500B2"/>
    <w:rsid w:val="00F500CE"/>
    <w:rsid w:val="00F51967"/>
    <w:rsid w:val="00F51970"/>
    <w:rsid w:val="00F51A2C"/>
    <w:rsid w:val="00F52941"/>
    <w:rsid w:val="00F52D8E"/>
    <w:rsid w:val="00F532F7"/>
    <w:rsid w:val="00F5350B"/>
    <w:rsid w:val="00F537DC"/>
    <w:rsid w:val="00F537F4"/>
    <w:rsid w:val="00F53D89"/>
    <w:rsid w:val="00F53DA5"/>
    <w:rsid w:val="00F543E7"/>
    <w:rsid w:val="00F54850"/>
    <w:rsid w:val="00F54B81"/>
    <w:rsid w:val="00F55371"/>
    <w:rsid w:val="00F5579F"/>
    <w:rsid w:val="00F55AFD"/>
    <w:rsid w:val="00F5614D"/>
    <w:rsid w:val="00F56947"/>
    <w:rsid w:val="00F56B2B"/>
    <w:rsid w:val="00F573E1"/>
    <w:rsid w:val="00F57461"/>
    <w:rsid w:val="00F575A8"/>
    <w:rsid w:val="00F579C1"/>
    <w:rsid w:val="00F57C75"/>
    <w:rsid w:val="00F60353"/>
    <w:rsid w:val="00F606F2"/>
    <w:rsid w:val="00F60BDE"/>
    <w:rsid w:val="00F6154A"/>
    <w:rsid w:val="00F62D21"/>
    <w:rsid w:val="00F632C4"/>
    <w:rsid w:val="00F634DE"/>
    <w:rsid w:val="00F638E7"/>
    <w:rsid w:val="00F63B11"/>
    <w:rsid w:val="00F63C18"/>
    <w:rsid w:val="00F63CE9"/>
    <w:rsid w:val="00F641CE"/>
    <w:rsid w:val="00F64825"/>
    <w:rsid w:val="00F648EB"/>
    <w:rsid w:val="00F649EB"/>
    <w:rsid w:val="00F64B9C"/>
    <w:rsid w:val="00F6688F"/>
    <w:rsid w:val="00F670E2"/>
    <w:rsid w:val="00F67117"/>
    <w:rsid w:val="00F675B4"/>
    <w:rsid w:val="00F67E63"/>
    <w:rsid w:val="00F71158"/>
    <w:rsid w:val="00F713DD"/>
    <w:rsid w:val="00F719BE"/>
    <w:rsid w:val="00F71A6D"/>
    <w:rsid w:val="00F71A7A"/>
    <w:rsid w:val="00F71AFF"/>
    <w:rsid w:val="00F71E3F"/>
    <w:rsid w:val="00F7233C"/>
    <w:rsid w:val="00F726AF"/>
    <w:rsid w:val="00F72864"/>
    <w:rsid w:val="00F72C82"/>
    <w:rsid w:val="00F7333F"/>
    <w:rsid w:val="00F73ACA"/>
    <w:rsid w:val="00F73E9D"/>
    <w:rsid w:val="00F7403C"/>
    <w:rsid w:val="00F74187"/>
    <w:rsid w:val="00F744F7"/>
    <w:rsid w:val="00F7479F"/>
    <w:rsid w:val="00F7533C"/>
    <w:rsid w:val="00F75BC4"/>
    <w:rsid w:val="00F75E1E"/>
    <w:rsid w:val="00F7602D"/>
    <w:rsid w:val="00F766DB"/>
    <w:rsid w:val="00F76EE1"/>
    <w:rsid w:val="00F7755D"/>
    <w:rsid w:val="00F77BC8"/>
    <w:rsid w:val="00F7CC15"/>
    <w:rsid w:val="00F80A9A"/>
    <w:rsid w:val="00F80ACC"/>
    <w:rsid w:val="00F80B75"/>
    <w:rsid w:val="00F80CEE"/>
    <w:rsid w:val="00F81C8D"/>
    <w:rsid w:val="00F81E70"/>
    <w:rsid w:val="00F81F2E"/>
    <w:rsid w:val="00F81FA0"/>
    <w:rsid w:val="00F82504"/>
    <w:rsid w:val="00F82669"/>
    <w:rsid w:val="00F827C4"/>
    <w:rsid w:val="00F829E3"/>
    <w:rsid w:val="00F82C75"/>
    <w:rsid w:val="00F83A49"/>
    <w:rsid w:val="00F8470D"/>
    <w:rsid w:val="00F84A41"/>
    <w:rsid w:val="00F84BB7"/>
    <w:rsid w:val="00F84CFF"/>
    <w:rsid w:val="00F84D13"/>
    <w:rsid w:val="00F856EA"/>
    <w:rsid w:val="00F85BBA"/>
    <w:rsid w:val="00F85D46"/>
    <w:rsid w:val="00F8600A"/>
    <w:rsid w:val="00F86199"/>
    <w:rsid w:val="00F86699"/>
    <w:rsid w:val="00F8676A"/>
    <w:rsid w:val="00F873DA"/>
    <w:rsid w:val="00F87422"/>
    <w:rsid w:val="00F87BCF"/>
    <w:rsid w:val="00F90261"/>
    <w:rsid w:val="00F9175F"/>
    <w:rsid w:val="00F92363"/>
    <w:rsid w:val="00F92579"/>
    <w:rsid w:val="00F92822"/>
    <w:rsid w:val="00F93AFE"/>
    <w:rsid w:val="00F93EAA"/>
    <w:rsid w:val="00F9479E"/>
    <w:rsid w:val="00F94C49"/>
    <w:rsid w:val="00F952F4"/>
    <w:rsid w:val="00F95CD6"/>
    <w:rsid w:val="00F95DBB"/>
    <w:rsid w:val="00F96711"/>
    <w:rsid w:val="00F97C3A"/>
    <w:rsid w:val="00FA077C"/>
    <w:rsid w:val="00FA1529"/>
    <w:rsid w:val="00FA1C5F"/>
    <w:rsid w:val="00FA1DDD"/>
    <w:rsid w:val="00FA1DF9"/>
    <w:rsid w:val="00FA1E6C"/>
    <w:rsid w:val="00FA24A3"/>
    <w:rsid w:val="00FA27B6"/>
    <w:rsid w:val="00FA2AC8"/>
    <w:rsid w:val="00FA30D0"/>
    <w:rsid w:val="00FA4032"/>
    <w:rsid w:val="00FA43F9"/>
    <w:rsid w:val="00FA447A"/>
    <w:rsid w:val="00FA52E9"/>
    <w:rsid w:val="00FA52F5"/>
    <w:rsid w:val="00FA5516"/>
    <w:rsid w:val="00FA5B70"/>
    <w:rsid w:val="00FA5BD5"/>
    <w:rsid w:val="00FA5D52"/>
    <w:rsid w:val="00FA6408"/>
    <w:rsid w:val="00FA68E6"/>
    <w:rsid w:val="00FA6B3C"/>
    <w:rsid w:val="00FA79A3"/>
    <w:rsid w:val="00FB0043"/>
    <w:rsid w:val="00FB0550"/>
    <w:rsid w:val="00FB09FA"/>
    <w:rsid w:val="00FB0AD2"/>
    <w:rsid w:val="00FB0C29"/>
    <w:rsid w:val="00FB14AE"/>
    <w:rsid w:val="00FB16C4"/>
    <w:rsid w:val="00FB1817"/>
    <w:rsid w:val="00FB1B10"/>
    <w:rsid w:val="00FB1DEA"/>
    <w:rsid w:val="00FB2014"/>
    <w:rsid w:val="00FB241A"/>
    <w:rsid w:val="00FB2A80"/>
    <w:rsid w:val="00FB2B6E"/>
    <w:rsid w:val="00FB2C29"/>
    <w:rsid w:val="00FB2C59"/>
    <w:rsid w:val="00FB38F3"/>
    <w:rsid w:val="00FB3958"/>
    <w:rsid w:val="00FB3971"/>
    <w:rsid w:val="00FB44EB"/>
    <w:rsid w:val="00FB4EB5"/>
    <w:rsid w:val="00FB50EE"/>
    <w:rsid w:val="00FB52EE"/>
    <w:rsid w:val="00FB54AD"/>
    <w:rsid w:val="00FB589A"/>
    <w:rsid w:val="00FB6399"/>
    <w:rsid w:val="00FB68B4"/>
    <w:rsid w:val="00FB69E9"/>
    <w:rsid w:val="00FB6C18"/>
    <w:rsid w:val="00FB7336"/>
    <w:rsid w:val="00FB7998"/>
    <w:rsid w:val="00FB7D87"/>
    <w:rsid w:val="00FC031A"/>
    <w:rsid w:val="00FC085F"/>
    <w:rsid w:val="00FC11AA"/>
    <w:rsid w:val="00FC193E"/>
    <w:rsid w:val="00FC2661"/>
    <w:rsid w:val="00FC28E9"/>
    <w:rsid w:val="00FC32F4"/>
    <w:rsid w:val="00FC3301"/>
    <w:rsid w:val="00FC38F8"/>
    <w:rsid w:val="00FC3E92"/>
    <w:rsid w:val="00FC4009"/>
    <w:rsid w:val="00FC47E1"/>
    <w:rsid w:val="00FC4A3C"/>
    <w:rsid w:val="00FC4E21"/>
    <w:rsid w:val="00FC5C0D"/>
    <w:rsid w:val="00FC5CA6"/>
    <w:rsid w:val="00FC65D3"/>
    <w:rsid w:val="00FC66C7"/>
    <w:rsid w:val="00FC7498"/>
    <w:rsid w:val="00FC78B5"/>
    <w:rsid w:val="00FD0587"/>
    <w:rsid w:val="00FD0FC3"/>
    <w:rsid w:val="00FD104D"/>
    <w:rsid w:val="00FD16FF"/>
    <w:rsid w:val="00FD1892"/>
    <w:rsid w:val="00FD2643"/>
    <w:rsid w:val="00FD2DDC"/>
    <w:rsid w:val="00FD31A5"/>
    <w:rsid w:val="00FD36CD"/>
    <w:rsid w:val="00FD3E10"/>
    <w:rsid w:val="00FD3F95"/>
    <w:rsid w:val="00FD403F"/>
    <w:rsid w:val="00FD4311"/>
    <w:rsid w:val="00FD4E76"/>
    <w:rsid w:val="00FD58B7"/>
    <w:rsid w:val="00FD5CDF"/>
    <w:rsid w:val="00FD6006"/>
    <w:rsid w:val="00FD6023"/>
    <w:rsid w:val="00FD64C2"/>
    <w:rsid w:val="00FD700B"/>
    <w:rsid w:val="00FD7051"/>
    <w:rsid w:val="00FD7053"/>
    <w:rsid w:val="00FD7456"/>
    <w:rsid w:val="00FD7B5D"/>
    <w:rsid w:val="00FE060C"/>
    <w:rsid w:val="00FE0CB1"/>
    <w:rsid w:val="00FE2836"/>
    <w:rsid w:val="00FE30CE"/>
    <w:rsid w:val="00FE39C4"/>
    <w:rsid w:val="00FE4005"/>
    <w:rsid w:val="00FE47AE"/>
    <w:rsid w:val="00FE48F2"/>
    <w:rsid w:val="00FE6100"/>
    <w:rsid w:val="00FE6278"/>
    <w:rsid w:val="00FE70AC"/>
    <w:rsid w:val="00FE7134"/>
    <w:rsid w:val="00FE7926"/>
    <w:rsid w:val="00FE7B32"/>
    <w:rsid w:val="00FF02FA"/>
    <w:rsid w:val="00FF12B5"/>
    <w:rsid w:val="00FF1B78"/>
    <w:rsid w:val="00FF2237"/>
    <w:rsid w:val="00FF2FB8"/>
    <w:rsid w:val="00FF366E"/>
    <w:rsid w:val="00FF4375"/>
    <w:rsid w:val="00FF4BE2"/>
    <w:rsid w:val="00FF5700"/>
    <w:rsid w:val="00FF5949"/>
    <w:rsid w:val="00FF5DC6"/>
    <w:rsid w:val="00FF5F17"/>
    <w:rsid w:val="00FF623E"/>
    <w:rsid w:val="00FF677A"/>
    <w:rsid w:val="00FF700C"/>
    <w:rsid w:val="00FF71CE"/>
    <w:rsid w:val="00FF7339"/>
    <w:rsid w:val="00FF7DCB"/>
    <w:rsid w:val="00FF7FDC"/>
    <w:rsid w:val="01066848"/>
    <w:rsid w:val="011CD5C3"/>
    <w:rsid w:val="017B7CA2"/>
    <w:rsid w:val="017B92FB"/>
    <w:rsid w:val="01BF5256"/>
    <w:rsid w:val="01EF4911"/>
    <w:rsid w:val="020AA888"/>
    <w:rsid w:val="02533EB8"/>
    <w:rsid w:val="0261469E"/>
    <w:rsid w:val="026241CE"/>
    <w:rsid w:val="02707873"/>
    <w:rsid w:val="027898B8"/>
    <w:rsid w:val="02806622"/>
    <w:rsid w:val="02BDD7CA"/>
    <w:rsid w:val="02C50949"/>
    <w:rsid w:val="02CB6B1B"/>
    <w:rsid w:val="02D28169"/>
    <w:rsid w:val="02F973BE"/>
    <w:rsid w:val="02FC9D20"/>
    <w:rsid w:val="030298A6"/>
    <w:rsid w:val="0345F7C3"/>
    <w:rsid w:val="034CCEF4"/>
    <w:rsid w:val="036AB500"/>
    <w:rsid w:val="03834CE0"/>
    <w:rsid w:val="0398B8E6"/>
    <w:rsid w:val="03D24C70"/>
    <w:rsid w:val="03E8638F"/>
    <w:rsid w:val="03FE9857"/>
    <w:rsid w:val="041A4044"/>
    <w:rsid w:val="0431C459"/>
    <w:rsid w:val="043A0367"/>
    <w:rsid w:val="0488B199"/>
    <w:rsid w:val="04B107BC"/>
    <w:rsid w:val="04B3D740"/>
    <w:rsid w:val="04BC47AF"/>
    <w:rsid w:val="04BD6A3B"/>
    <w:rsid w:val="04DDB0E8"/>
    <w:rsid w:val="04E1A10F"/>
    <w:rsid w:val="04E8FB25"/>
    <w:rsid w:val="05206B4D"/>
    <w:rsid w:val="05459D09"/>
    <w:rsid w:val="05C39E90"/>
    <w:rsid w:val="05E0AA88"/>
    <w:rsid w:val="05F19330"/>
    <w:rsid w:val="0625E8E4"/>
    <w:rsid w:val="0643DB0C"/>
    <w:rsid w:val="0644CED0"/>
    <w:rsid w:val="0656B9E5"/>
    <w:rsid w:val="06C610D4"/>
    <w:rsid w:val="06C62FDD"/>
    <w:rsid w:val="06F6E350"/>
    <w:rsid w:val="06FF4CB1"/>
    <w:rsid w:val="070C80DF"/>
    <w:rsid w:val="070F79CA"/>
    <w:rsid w:val="070FE04B"/>
    <w:rsid w:val="071A03B1"/>
    <w:rsid w:val="0725BCAF"/>
    <w:rsid w:val="07445B7C"/>
    <w:rsid w:val="075530FD"/>
    <w:rsid w:val="07597091"/>
    <w:rsid w:val="078D0C16"/>
    <w:rsid w:val="07CAD4D5"/>
    <w:rsid w:val="082C769D"/>
    <w:rsid w:val="08493DE9"/>
    <w:rsid w:val="084A6902"/>
    <w:rsid w:val="087BEFB6"/>
    <w:rsid w:val="08902F35"/>
    <w:rsid w:val="0965C32C"/>
    <w:rsid w:val="09754927"/>
    <w:rsid w:val="09855D31"/>
    <w:rsid w:val="098FDD51"/>
    <w:rsid w:val="09A03CE6"/>
    <w:rsid w:val="09ED4C8A"/>
    <w:rsid w:val="0A0A3605"/>
    <w:rsid w:val="0A30C115"/>
    <w:rsid w:val="0A42F7C5"/>
    <w:rsid w:val="0A4E60DE"/>
    <w:rsid w:val="0A77DFF4"/>
    <w:rsid w:val="0A8E2B8D"/>
    <w:rsid w:val="0A9DFB03"/>
    <w:rsid w:val="0AD09DC2"/>
    <w:rsid w:val="0B22BE8A"/>
    <w:rsid w:val="0B24BC90"/>
    <w:rsid w:val="0B38171A"/>
    <w:rsid w:val="0B59F8B2"/>
    <w:rsid w:val="0B6E2AF1"/>
    <w:rsid w:val="0B775BFB"/>
    <w:rsid w:val="0B846AF6"/>
    <w:rsid w:val="0B983966"/>
    <w:rsid w:val="0BEAF5A3"/>
    <w:rsid w:val="0C30BD72"/>
    <w:rsid w:val="0C5D7050"/>
    <w:rsid w:val="0C9875C5"/>
    <w:rsid w:val="0C98F1C4"/>
    <w:rsid w:val="0CA53043"/>
    <w:rsid w:val="0CBC7587"/>
    <w:rsid w:val="0CD5F06C"/>
    <w:rsid w:val="0CFE0336"/>
    <w:rsid w:val="0D2CDAD3"/>
    <w:rsid w:val="0D736EA3"/>
    <w:rsid w:val="0D947395"/>
    <w:rsid w:val="0DF0C91C"/>
    <w:rsid w:val="0E00E62C"/>
    <w:rsid w:val="0E753F84"/>
    <w:rsid w:val="0E76EBEA"/>
    <w:rsid w:val="0E833CA4"/>
    <w:rsid w:val="0E900BE9"/>
    <w:rsid w:val="0E981687"/>
    <w:rsid w:val="0EA3E8AA"/>
    <w:rsid w:val="0EA773DD"/>
    <w:rsid w:val="0EB705A8"/>
    <w:rsid w:val="0ECFC75B"/>
    <w:rsid w:val="0F166AC1"/>
    <w:rsid w:val="0F2910B5"/>
    <w:rsid w:val="0F551B85"/>
    <w:rsid w:val="0FBFCA30"/>
    <w:rsid w:val="103CE7CF"/>
    <w:rsid w:val="10686CBE"/>
    <w:rsid w:val="1082B126"/>
    <w:rsid w:val="10B8AD06"/>
    <w:rsid w:val="10D2A757"/>
    <w:rsid w:val="10DEEBF3"/>
    <w:rsid w:val="10DF3D8E"/>
    <w:rsid w:val="1143407E"/>
    <w:rsid w:val="1172605E"/>
    <w:rsid w:val="117A282A"/>
    <w:rsid w:val="118FD19E"/>
    <w:rsid w:val="11D34299"/>
    <w:rsid w:val="1236C680"/>
    <w:rsid w:val="1237C978"/>
    <w:rsid w:val="12500308"/>
    <w:rsid w:val="12635AB7"/>
    <w:rsid w:val="1277D3E8"/>
    <w:rsid w:val="128B9C06"/>
    <w:rsid w:val="12A82415"/>
    <w:rsid w:val="12BBB1E1"/>
    <w:rsid w:val="13028DE2"/>
    <w:rsid w:val="1307738E"/>
    <w:rsid w:val="131C9069"/>
    <w:rsid w:val="132B3793"/>
    <w:rsid w:val="133D2F13"/>
    <w:rsid w:val="137624E7"/>
    <w:rsid w:val="137D68D8"/>
    <w:rsid w:val="13885723"/>
    <w:rsid w:val="13ECED8F"/>
    <w:rsid w:val="13F83322"/>
    <w:rsid w:val="141E2BD6"/>
    <w:rsid w:val="1424776B"/>
    <w:rsid w:val="144ADD14"/>
    <w:rsid w:val="146B17AF"/>
    <w:rsid w:val="14D84B00"/>
    <w:rsid w:val="14DCFFBA"/>
    <w:rsid w:val="14E64418"/>
    <w:rsid w:val="153FA979"/>
    <w:rsid w:val="157198D5"/>
    <w:rsid w:val="159E1EE9"/>
    <w:rsid w:val="15B23307"/>
    <w:rsid w:val="15B4013D"/>
    <w:rsid w:val="15CB59F8"/>
    <w:rsid w:val="15FD3C9A"/>
    <w:rsid w:val="16093EFF"/>
    <w:rsid w:val="161B5B50"/>
    <w:rsid w:val="1625ADA8"/>
    <w:rsid w:val="166C7326"/>
    <w:rsid w:val="1692C491"/>
    <w:rsid w:val="169322DB"/>
    <w:rsid w:val="169F23B3"/>
    <w:rsid w:val="16C181C5"/>
    <w:rsid w:val="16D5913C"/>
    <w:rsid w:val="16D70367"/>
    <w:rsid w:val="16F913F0"/>
    <w:rsid w:val="170E9BD6"/>
    <w:rsid w:val="1736D419"/>
    <w:rsid w:val="175CC5C2"/>
    <w:rsid w:val="1786DFE5"/>
    <w:rsid w:val="179270EF"/>
    <w:rsid w:val="17D41D94"/>
    <w:rsid w:val="180A5D32"/>
    <w:rsid w:val="1830661C"/>
    <w:rsid w:val="1857E73F"/>
    <w:rsid w:val="1891315F"/>
    <w:rsid w:val="18994C0D"/>
    <w:rsid w:val="19683EA4"/>
    <w:rsid w:val="19694CEB"/>
    <w:rsid w:val="196CC3DA"/>
    <w:rsid w:val="19786533"/>
    <w:rsid w:val="198386B8"/>
    <w:rsid w:val="198959CC"/>
    <w:rsid w:val="198CEF34"/>
    <w:rsid w:val="19AC6828"/>
    <w:rsid w:val="19C7E309"/>
    <w:rsid w:val="19D9D451"/>
    <w:rsid w:val="19E04691"/>
    <w:rsid w:val="1A111C1C"/>
    <w:rsid w:val="1A433D04"/>
    <w:rsid w:val="1A5232C8"/>
    <w:rsid w:val="1A6A9D5E"/>
    <w:rsid w:val="1A71C887"/>
    <w:rsid w:val="1A8735B3"/>
    <w:rsid w:val="1A8D101D"/>
    <w:rsid w:val="1A8D575B"/>
    <w:rsid w:val="1ADA4352"/>
    <w:rsid w:val="1AE052A5"/>
    <w:rsid w:val="1B462813"/>
    <w:rsid w:val="1B4A6E05"/>
    <w:rsid w:val="1B5FFB7C"/>
    <w:rsid w:val="1B737368"/>
    <w:rsid w:val="1B79D10D"/>
    <w:rsid w:val="1B8BC8A2"/>
    <w:rsid w:val="1B9293EF"/>
    <w:rsid w:val="1B9A03AD"/>
    <w:rsid w:val="1BB7D170"/>
    <w:rsid w:val="1BC11967"/>
    <w:rsid w:val="1C0FA7EC"/>
    <w:rsid w:val="1C13E455"/>
    <w:rsid w:val="1C1B2429"/>
    <w:rsid w:val="1C216AC4"/>
    <w:rsid w:val="1C51104C"/>
    <w:rsid w:val="1C5AE529"/>
    <w:rsid w:val="1C77F29E"/>
    <w:rsid w:val="1CA395F4"/>
    <w:rsid w:val="1CB97FC7"/>
    <w:rsid w:val="1CD8E7FF"/>
    <w:rsid w:val="1D01A25A"/>
    <w:rsid w:val="1D1B74FB"/>
    <w:rsid w:val="1D269151"/>
    <w:rsid w:val="1D3168BD"/>
    <w:rsid w:val="1D59B005"/>
    <w:rsid w:val="1D86E1FA"/>
    <w:rsid w:val="1E00C678"/>
    <w:rsid w:val="1E21BE02"/>
    <w:rsid w:val="1E7098E1"/>
    <w:rsid w:val="1E7994DB"/>
    <w:rsid w:val="1F350463"/>
    <w:rsid w:val="1F384CF1"/>
    <w:rsid w:val="1F6AA795"/>
    <w:rsid w:val="1F79D0BF"/>
    <w:rsid w:val="1F7DD6B6"/>
    <w:rsid w:val="1F7F8F7B"/>
    <w:rsid w:val="1F9360C4"/>
    <w:rsid w:val="1FC521E3"/>
    <w:rsid w:val="1FD95442"/>
    <w:rsid w:val="1FDAB2AB"/>
    <w:rsid w:val="1FFEA43B"/>
    <w:rsid w:val="200A656B"/>
    <w:rsid w:val="2020C6BD"/>
    <w:rsid w:val="20241500"/>
    <w:rsid w:val="20251BB3"/>
    <w:rsid w:val="20378299"/>
    <w:rsid w:val="203BF4AD"/>
    <w:rsid w:val="203C3A49"/>
    <w:rsid w:val="204F855A"/>
    <w:rsid w:val="206C520F"/>
    <w:rsid w:val="2095B47F"/>
    <w:rsid w:val="20E94D87"/>
    <w:rsid w:val="210089CF"/>
    <w:rsid w:val="21770E59"/>
    <w:rsid w:val="21BB6E9C"/>
    <w:rsid w:val="2201F0B2"/>
    <w:rsid w:val="2214917E"/>
    <w:rsid w:val="223517DF"/>
    <w:rsid w:val="226C324B"/>
    <w:rsid w:val="2280ED81"/>
    <w:rsid w:val="2285C895"/>
    <w:rsid w:val="22924772"/>
    <w:rsid w:val="22A40B0F"/>
    <w:rsid w:val="22B44928"/>
    <w:rsid w:val="22D8AB8B"/>
    <w:rsid w:val="22E06B02"/>
    <w:rsid w:val="22E0D0DB"/>
    <w:rsid w:val="2308F01F"/>
    <w:rsid w:val="231F087B"/>
    <w:rsid w:val="231F12DE"/>
    <w:rsid w:val="232C56D4"/>
    <w:rsid w:val="2332170C"/>
    <w:rsid w:val="2340DFE7"/>
    <w:rsid w:val="23506328"/>
    <w:rsid w:val="23592E2A"/>
    <w:rsid w:val="23672EDD"/>
    <w:rsid w:val="23719281"/>
    <w:rsid w:val="2376CA76"/>
    <w:rsid w:val="238FE099"/>
    <w:rsid w:val="23D648F6"/>
    <w:rsid w:val="23DFACBA"/>
    <w:rsid w:val="23F7541E"/>
    <w:rsid w:val="23FCD489"/>
    <w:rsid w:val="241284EB"/>
    <w:rsid w:val="24341164"/>
    <w:rsid w:val="24367404"/>
    <w:rsid w:val="24A929DD"/>
    <w:rsid w:val="24B361D7"/>
    <w:rsid w:val="24BC789B"/>
    <w:rsid w:val="24F0FD95"/>
    <w:rsid w:val="2503D1BD"/>
    <w:rsid w:val="255681A4"/>
    <w:rsid w:val="2563FDDD"/>
    <w:rsid w:val="259215C1"/>
    <w:rsid w:val="25BCB0D8"/>
    <w:rsid w:val="2615022D"/>
    <w:rsid w:val="262072C7"/>
    <w:rsid w:val="26516BFA"/>
    <w:rsid w:val="26585794"/>
    <w:rsid w:val="26A5EF58"/>
    <w:rsid w:val="26AAD2F9"/>
    <w:rsid w:val="26AB53FD"/>
    <w:rsid w:val="26B3A887"/>
    <w:rsid w:val="26CD9E4F"/>
    <w:rsid w:val="27036DF4"/>
    <w:rsid w:val="2709E7E3"/>
    <w:rsid w:val="271A2DC9"/>
    <w:rsid w:val="27511A50"/>
    <w:rsid w:val="27521F6E"/>
    <w:rsid w:val="2780830D"/>
    <w:rsid w:val="279E52EC"/>
    <w:rsid w:val="27A8AAD4"/>
    <w:rsid w:val="27A8BEBF"/>
    <w:rsid w:val="27AC6EFD"/>
    <w:rsid w:val="27C85723"/>
    <w:rsid w:val="27CFFF96"/>
    <w:rsid w:val="27E77FBE"/>
    <w:rsid w:val="281736FD"/>
    <w:rsid w:val="284EF388"/>
    <w:rsid w:val="285D2C90"/>
    <w:rsid w:val="2864B286"/>
    <w:rsid w:val="287018E6"/>
    <w:rsid w:val="287B968C"/>
    <w:rsid w:val="288F2E4A"/>
    <w:rsid w:val="28906003"/>
    <w:rsid w:val="28993C74"/>
    <w:rsid w:val="28CB1D13"/>
    <w:rsid w:val="28D6732D"/>
    <w:rsid w:val="28DF2F69"/>
    <w:rsid w:val="28EF37A8"/>
    <w:rsid w:val="29021C0D"/>
    <w:rsid w:val="2912B167"/>
    <w:rsid w:val="295A149A"/>
    <w:rsid w:val="296D0C19"/>
    <w:rsid w:val="296E462B"/>
    <w:rsid w:val="2977EAFC"/>
    <w:rsid w:val="29862E5D"/>
    <w:rsid w:val="29BD91EF"/>
    <w:rsid w:val="29FFE3AB"/>
    <w:rsid w:val="2A023718"/>
    <w:rsid w:val="2A04841E"/>
    <w:rsid w:val="2A2C5EDC"/>
    <w:rsid w:val="2A2DDC27"/>
    <w:rsid w:val="2A402289"/>
    <w:rsid w:val="2A4653CD"/>
    <w:rsid w:val="2A4D315F"/>
    <w:rsid w:val="2A9991CA"/>
    <w:rsid w:val="2AA80949"/>
    <w:rsid w:val="2AD2BDBE"/>
    <w:rsid w:val="2B3331C6"/>
    <w:rsid w:val="2B73209A"/>
    <w:rsid w:val="2B75F22E"/>
    <w:rsid w:val="2B95C625"/>
    <w:rsid w:val="2BC7471F"/>
    <w:rsid w:val="2BCE351D"/>
    <w:rsid w:val="2BD41B1E"/>
    <w:rsid w:val="2BD596E8"/>
    <w:rsid w:val="2BF19428"/>
    <w:rsid w:val="2BF2F569"/>
    <w:rsid w:val="2C1517C1"/>
    <w:rsid w:val="2C27B84C"/>
    <w:rsid w:val="2C2C0EE1"/>
    <w:rsid w:val="2C73C1E8"/>
    <w:rsid w:val="2CD0C9A7"/>
    <w:rsid w:val="2CE4229B"/>
    <w:rsid w:val="2D0F3F65"/>
    <w:rsid w:val="2D17E1CD"/>
    <w:rsid w:val="2D4A98EF"/>
    <w:rsid w:val="2D94A65B"/>
    <w:rsid w:val="2DB490A6"/>
    <w:rsid w:val="2E1DD55D"/>
    <w:rsid w:val="2E5311D0"/>
    <w:rsid w:val="2E694B2B"/>
    <w:rsid w:val="2E7680B6"/>
    <w:rsid w:val="2E829EF2"/>
    <w:rsid w:val="2E981F66"/>
    <w:rsid w:val="2EC77459"/>
    <w:rsid w:val="2ED0DA87"/>
    <w:rsid w:val="2EE2D0C2"/>
    <w:rsid w:val="2EE75C75"/>
    <w:rsid w:val="2EFA7326"/>
    <w:rsid w:val="2F0396A1"/>
    <w:rsid w:val="2F464BEB"/>
    <w:rsid w:val="2F4CBD11"/>
    <w:rsid w:val="2F6C5F71"/>
    <w:rsid w:val="2FA25E5F"/>
    <w:rsid w:val="2FEBA691"/>
    <w:rsid w:val="2FF2E289"/>
    <w:rsid w:val="2FF31DD4"/>
    <w:rsid w:val="303B6900"/>
    <w:rsid w:val="3049B222"/>
    <w:rsid w:val="304C514B"/>
    <w:rsid w:val="3053BF53"/>
    <w:rsid w:val="308EA841"/>
    <w:rsid w:val="30BFAE05"/>
    <w:rsid w:val="30CB45A3"/>
    <w:rsid w:val="30E392AB"/>
    <w:rsid w:val="30E62EDD"/>
    <w:rsid w:val="30F00D1C"/>
    <w:rsid w:val="310C392C"/>
    <w:rsid w:val="31280E0B"/>
    <w:rsid w:val="316CAFCA"/>
    <w:rsid w:val="3198041E"/>
    <w:rsid w:val="31A2AA1D"/>
    <w:rsid w:val="31AA74C5"/>
    <w:rsid w:val="31B4D2D1"/>
    <w:rsid w:val="31B919E4"/>
    <w:rsid w:val="322CCEA0"/>
    <w:rsid w:val="32804856"/>
    <w:rsid w:val="32823EB5"/>
    <w:rsid w:val="328A387D"/>
    <w:rsid w:val="32C0665A"/>
    <w:rsid w:val="32EA8834"/>
    <w:rsid w:val="32EB5DE0"/>
    <w:rsid w:val="32F0ADEB"/>
    <w:rsid w:val="331DD8EF"/>
    <w:rsid w:val="331DF4CC"/>
    <w:rsid w:val="334AAAF0"/>
    <w:rsid w:val="336C0161"/>
    <w:rsid w:val="3378520B"/>
    <w:rsid w:val="337BF4E2"/>
    <w:rsid w:val="33A5CEF4"/>
    <w:rsid w:val="33E0347E"/>
    <w:rsid w:val="33E6B8DC"/>
    <w:rsid w:val="33E7D51B"/>
    <w:rsid w:val="33F46526"/>
    <w:rsid w:val="34253A48"/>
    <w:rsid w:val="34727EC0"/>
    <w:rsid w:val="349217AE"/>
    <w:rsid w:val="34F18FD8"/>
    <w:rsid w:val="34F39170"/>
    <w:rsid w:val="353B8ED8"/>
    <w:rsid w:val="35501B12"/>
    <w:rsid w:val="3558E25E"/>
    <w:rsid w:val="3559446F"/>
    <w:rsid w:val="3566EF69"/>
    <w:rsid w:val="3567425D"/>
    <w:rsid w:val="358970B0"/>
    <w:rsid w:val="35F90245"/>
    <w:rsid w:val="361C11D0"/>
    <w:rsid w:val="362DC8B0"/>
    <w:rsid w:val="3677A663"/>
    <w:rsid w:val="368D3023"/>
    <w:rsid w:val="36B58B73"/>
    <w:rsid w:val="36D69D29"/>
    <w:rsid w:val="372042F9"/>
    <w:rsid w:val="374CE271"/>
    <w:rsid w:val="3767EAC7"/>
    <w:rsid w:val="3799ACBA"/>
    <w:rsid w:val="37CB5E89"/>
    <w:rsid w:val="37E9E5D7"/>
    <w:rsid w:val="37EA44DA"/>
    <w:rsid w:val="3819DE39"/>
    <w:rsid w:val="381BA94D"/>
    <w:rsid w:val="381C367F"/>
    <w:rsid w:val="386AF373"/>
    <w:rsid w:val="386D4B3B"/>
    <w:rsid w:val="387390B2"/>
    <w:rsid w:val="3882BF43"/>
    <w:rsid w:val="388F5FB5"/>
    <w:rsid w:val="38D0D2DC"/>
    <w:rsid w:val="38EA0979"/>
    <w:rsid w:val="3910F78C"/>
    <w:rsid w:val="39AE2398"/>
    <w:rsid w:val="39C2E50F"/>
    <w:rsid w:val="3A14C3E2"/>
    <w:rsid w:val="3A52C82A"/>
    <w:rsid w:val="3A535394"/>
    <w:rsid w:val="3A59B336"/>
    <w:rsid w:val="3A99C6C6"/>
    <w:rsid w:val="3AA9AA0A"/>
    <w:rsid w:val="3AB5CFAA"/>
    <w:rsid w:val="3ADA2854"/>
    <w:rsid w:val="3AF50262"/>
    <w:rsid w:val="3AFC6A2F"/>
    <w:rsid w:val="3AFDDA29"/>
    <w:rsid w:val="3B1AFCD7"/>
    <w:rsid w:val="3B7C30C7"/>
    <w:rsid w:val="3B8C754D"/>
    <w:rsid w:val="3B8F8807"/>
    <w:rsid w:val="3BA2480B"/>
    <w:rsid w:val="3C2A4D51"/>
    <w:rsid w:val="3C4E5472"/>
    <w:rsid w:val="3C91C37E"/>
    <w:rsid w:val="3D0C85FC"/>
    <w:rsid w:val="3D34E26D"/>
    <w:rsid w:val="3D724DDE"/>
    <w:rsid w:val="3D8AF964"/>
    <w:rsid w:val="3DAE7568"/>
    <w:rsid w:val="3DC47869"/>
    <w:rsid w:val="3DF2C113"/>
    <w:rsid w:val="3E016DC8"/>
    <w:rsid w:val="3E1CE505"/>
    <w:rsid w:val="3E4A8A8D"/>
    <w:rsid w:val="3E6FFB99"/>
    <w:rsid w:val="3E841AC9"/>
    <w:rsid w:val="3E85A26D"/>
    <w:rsid w:val="3E9FAA7C"/>
    <w:rsid w:val="3EB78FAC"/>
    <w:rsid w:val="3EE7B50C"/>
    <w:rsid w:val="3F0D1663"/>
    <w:rsid w:val="3F1C4408"/>
    <w:rsid w:val="3F274131"/>
    <w:rsid w:val="3F2FE734"/>
    <w:rsid w:val="3F82377C"/>
    <w:rsid w:val="409074C2"/>
    <w:rsid w:val="40C70673"/>
    <w:rsid w:val="40E70155"/>
    <w:rsid w:val="411B49F5"/>
    <w:rsid w:val="41B624CB"/>
    <w:rsid w:val="41BCFF28"/>
    <w:rsid w:val="421F74CB"/>
    <w:rsid w:val="4232742E"/>
    <w:rsid w:val="4262E878"/>
    <w:rsid w:val="42B62FD5"/>
    <w:rsid w:val="42EB0D6E"/>
    <w:rsid w:val="433FB5C3"/>
    <w:rsid w:val="434C9F39"/>
    <w:rsid w:val="434F362F"/>
    <w:rsid w:val="43628467"/>
    <w:rsid w:val="4362C7CC"/>
    <w:rsid w:val="436340B8"/>
    <w:rsid w:val="438FC005"/>
    <w:rsid w:val="43995C7D"/>
    <w:rsid w:val="43B11BCB"/>
    <w:rsid w:val="43BB5708"/>
    <w:rsid w:val="43F53A7A"/>
    <w:rsid w:val="43FAA0A1"/>
    <w:rsid w:val="440723C7"/>
    <w:rsid w:val="440E55E9"/>
    <w:rsid w:val="4428EE07"/>
    <w:rsid w:val="442A0F94"/>
    <w:rsid w:val="442AB83D"/>
    <w:rsid w:val="4439F150"/>
    <w:rsid w:val="44ADED60"/>
    <w:rsid w:val="44CE498F"/>
    <w:rsid w:val="44D3DD90"/>
    <w:rsid w:val="44FE86C4"/>
    <w:rsid w:val="4534BEAA"/>
    <w:rsid w:val="4539C665"/>
    <w:rsid w:val="453B3883"/>
    <w:rsid w:val="4562EF2E"/>
    <w:rsid w:val="456D4716"/>
    <w:rsid w:val="4573D69A"/>
    <w:rsid w:val="4584B333"/>
    <w:rsid w:val="4588C95B"/>
    <w:rsid w:val="458AB3C2"/>
    <w:rsid w:val="45B9176F"/>
    <w:rsid w:val="45ECB0D8"/>
    <w:rsid w:val="46030864"/>
    <w:rsid w:val="461CD02F"/>
    <w:rsid w:val="462582EF"/>
    <w:rsid w:val="4628B104"/>
    <w:rsid w:val="463684F3"/>
    <w:rsid w:val="465D4930"/>
    <w:rsid w:val="46630C99"/>
    <w:rsid w:val="4677647A"/>
    <w:rsid w:val="467D492D"/>
    <w:rsid w:val="46873E70"/>
    <w:rsid w:val="46C39F69"/>
    <w:rsid w:val="46E10375"/>
    <w:rsid w:val="46E74749"/>
    <w:rsid w:val="46FD0806"/>
    <w:rsid w:val="4715D323"/>
    <w:rsid w:val="47290B6D"/>
    <w:rsid w:val="473B4BBC"/>
    <w:rsid w:val="47582FD2"/>
    <w:rsid w:val="4771A023"/>
    <w:rsid w:val="4782202B"/>
    <w:rsid w:val="4795531A"/>
    <w:rsid w:val="47AA2FDC"/>
    <w:rsid w:val="47C453D7"/>
    <w:rsid w:val="48246329"/>
    <w:rsid w:val="482CFA63"/>
    <w:rsid w:val="48782711"/>
    <w:rsid w:val="48D4406D"/>
    <w:rsid w:val="48DE1996"/>
    <w:rsid w:val="49108792"/>
    <w:rsid w:val="494B761F"/>
    <w:rsid w:val="49657635"/>
    <w:rsid w:val="4968E40D"/>
    <w:rsid w:val="49871DA7"/>
    <w:rsid w:val="49B728AB"/>
    <w:rsid w:val="49E24534"/>
    <w:rsid w:val="4A528C29"/>
    <w:rsid w:val="4A5870CD"/>
    <w:rsid w:val="4A5BDF5D"/>
    <w:rsid w:val="4A5D1C76"/>
    <w:rsid w:val="4A6D5286"/>
    <w:rsid w:val="4A756613"/>
    <w:rsid w:val="4A7FDF37"/>
    <w:rsid w:val="4A9033E0"/>
    <w:rsid w:val="4AA987C1"/>
    <w:rsid w:val="4ABEB221"/>
    <w:rsid w:val="4AD34459"/>
    <w:rsid w:val="4AD3DA87"/>
    <w:rsid w:val="4ADA411C"/>
    <w:rsid w:val="4ADFC6EB"/>
    <w:rsid w:val="4AE0FFE1"/>
    <w:rsid w:val="4AFD7D99"/>
    <w:rsid w:val="4B09D1A4"/>
    <w:rsid w:val="4BB2BE3C"/>
    <w:rsid w:val="4BC8379C"/>
    <w:rsid w:val="4BD856B5"/>
    <w:rsid w:val="4BF64CBA"/>
    <w:rsid w:val="4BFC8075"/>
    <w:rsid w:val="4C29B215"/>
    <w:rsid w:val="4C7CB632"/>
    <w:rsid w:val="4C7D35FB"/>
    <w:rsid w:val="4C9A0E77"/>
    <w:rsid w:val="4CCFDC68"/>
    <w:rsid w:val="4CD9C178"/>
    <w:rsid w:val="4CEFAEC0"/>
    <w:rsid w:val="4D07EF55"/>
    <w:rsid w:val="4D272474"/>
    <w:rsid w:val="4D5D4980"/>
    <w:rsid w:val="4D70F06B"/>
    <w:rsid w:val="4DA7BDB6"/>
    <w:rsid w:val="4DC2CE76"/>
    <w:rsid w:val="4DD0EE67"/>
    <w:rsid w:val="4E182A99"/>
    <w:rsid w:val="4E540AC1"/>
    <w:rsid w:val="4EBAD6D3"/>
    <w:rsid w:val="4EBBA1F1"/>
    <w:rsid w:val="4EDF9567"/>
    <w:rsid w:val="4F269C78"/>
    <w:rsid w:val="4F6F9C96"/>
    <w:rsid w:val="4F96B1BB"/>
    <w:rsid w:val="4FA51A16"/>
    <w:rsid w:val="4FAFC89E"/>
    <w:rsid w:val="4FB10D9D"/>
    <w:rsid w:val="5014B755"/>
    <w:rsid w:val="50406495"/>
    <w:rsid w:val="508E1161"/>
    <w:rsid w:val="50C15916"/>
    <w:rsid w:val="50E57D08"/>
    <w:rsid w:val="50EF773D"/>
    <w:rsid w:val="50F29F82"/>
    <w:rsid w:val="50F5D057"/>
    <w:rsid w:val="51169E09"/>
    <w:rsid w:val="5125B632"/>
    <w:rsid w:val="5163DBEF"/>
    <w:rsid w:val="51C566B9"/>
    <w:rsid w:val="5212423B"/>
    <w:rsid w:val="52169CE8"/>
    <w:rsid w:val="524B5441"/>
    <w:rsid w:val="525E8FCE"/>
    <w:rsid w:val="527F76CB"/>
    <w:rsid w:val="5289651D"/>
    <w:rsid w:val="52A790D1"/>
    <w:rsid w:val="52A82329"/>
    <w:rsid w:val="52E1633D"/>
    <w:rsid w:val="52E769E6"/>
    <w:rsid w:val="52EEC5E1"/>
    <w:rsid w:val="53615590"/>
    <w:rsid w:val="53B136D1"/>
    <w:rsid w:val="53B3F8E9"/>
    <w:rsid w:val="53C7F90F"/>
    <w:rsid w:val="53EE7995"/>
    <w:rsid w:val="53F2D467"/>
    <w:rsid w:val="53F322E4"/>
    <w:rsid w:val="54011849"/>
    <w:rsid w:val="541B6FF0"/>
    <w:rsid w:val="542E128C"/>
    <w:rsid w:val="5461F18D"/>
    <w:rsid w:val="548A6867"/>
    <w:rsid w:val="54B87DF9"/>
    <w:rsid w:val="54BFFD93"/>
    <w:rsid w:val="54CABECD"/>
    <w:rsid w:val="54D1FEAD"/>
    <w:rsid w:val="54F52948"/>
    <w:rsid w:val="54FCB171"/>
    <w:rsid w:val="550330A8"/>
    <w:rsid w:val="5505A179"/>
    <w:rsid w:val="55312A78"/>
    <w:rsid w:val="55365A2C"/>
    <w:rsid w:val="553E0AD7"/>
    <w:rsid w:val="554A1077"/>
    <w:rsid w:val="556418A5"/>
    <w:rsid w:val="55CD37CB"/>
    <w:rsid w:val="55D22306"/>
    <w:rsid w:val="55DE2506"/>
    <w:rsid w:val="55E5B0DB"/>
    <w:rsid w:val="55FF79FE"/>
    <w:rsid w:val="56F6216B"/>
    <w:rsid w:val="5702306C"/>
    <w:rsid w:val="5703F774"/>
    <w:rsid w:val="570F8B1C"/>
    <w:rsid w:val="5724115C"/>
    <w:rsid w:val="57241CA3"/>
    <w:rsid w:val="578F3C33"/>
    <w:rsid w:val="581CADE3"/>
    <w:rsid w:val="58636DEB"/>
    <w:rsid w:val="5871A3B5"/>
    <w:rsid w:val="587B528D"/>
    <w:rsid w:val="587CFC8E"/>
    <w:rsid w:val="588FA9FA"/>
    <w:rsid w:val="589AEDEB"/>
    <w:rsid w:val="58B0EDA1"/>
    <w:rsid w:val="58C73DE4"/>
    <w:rsid w:val="58EF5166"/>
    <w:rsid w:val="59215D5B"/>
    <w:rsid w:val="59429C74"/>
    <w:rsid w:val="59514991"/>
    <w:rsid w:val="5952C51E"/>
    <w:rsid w:val="5957158C"/>
    <w:rsid w:val="596A8ED1"/>
    <w:rsid w:val="5971617F"/>
    <w:rsid w:val="5990C056"/>
    <w:rsid w:val="59950DFB"/>
    <w:rsid w:val="59A49E64"/>
    <w:rsid w:val="5A1F7D10"/>
    <w:rsid w:val="5A6E0D10"/>
    <w:rsid w:val="5A7F9270"/>
    <w:rsid w:val="5AA02421"/>
    <w:rsid w:val="5AA428E7"/>
    <w:rsid w:val="5AD6177B"/>
    <w:rsid w:val="5AEAE62F"/>
    <w:rsid w:val="5B1F1CE8"/>
    <w:rsid w:val="5BC5F092"/>
    <w:rsid w:val="5C34F6FE"/>
    <w:rsid w:val="5C481785"/>
    <w:rsid w:val="5C4AA9E4"/>
    <w:rsid w:val="5C84FBDD"/>
    <w:rsid w:val="5C9C8706"/>
    <w:rsid w:val="5CBA8DE8"/>
    <w:rsid w:val="5CCA3C64"/>
    <w:rsid w:val="5CF334CA"/>
    <w:rsid w:val="5D0711BD"/>
    <w:rsid w:val="5D0EB349"/>
    <w:rsid w:val="5D3F5141"/>
    <w:rsid w:val="5D4DACB4"/>
    <w:rsid w:val="5D929429"/>
    <w:rsid w:val="5DE8B1AC"/>
    <w:rsid w:val="5DF6F86D"/>
    <w:rsid w:val="5DFC59C2"/>
    <w:rsid w:val="5DFF8233"/>
    <w:rsid w:val="5E0CB824"/>
    <w:rsid w:val="5E3B6425"/>
    <w:rsid w:val="5E3F40DA"/>
    <w:rsid w:val="5E6074A2"/>
    <w:rsid w:val="5EAFD749"/>
    <w:rsid w:val="5EBADBD8"/>
    <w:rsid w:val="5EF35536"/>
    <w:rsid w:val="5F6F4C8D"/>
    <w:rsid w:val="5FC80FBA"/>
    <w:rsid w:val="5FD9FB52"/>
    <w:rsid w:val="5FE044EF"/>
    <w:rsid w:val="5FF7E395"/>
    <w:rsid w:val="5FFF12F5"/>
    <w:rsid w:val="6007DB3A"/>
    <w:rsid w:val="603A6C84"/>
    <w:rsid w:val="605380A5"/>
    <w:rsid w:val="607AA43D"/>
    <w:rsid w:val="60878904"/>
    <w:rsid w:val="60DB6814"/>
    <w:rsid w:val="60F2FC12"/>
    <w:rsid w:val="60FF8903"/>
    <w:rsid w:val="610D3D6A"/>
    <w:rsid w:val="6145ACD1"/>
    <w:rsid w:val="6157EC3A"/>
    <w:rsid w:val="616BD377"/>
    <w:rsid w:val="61C2EF9F"/>
    <w:rsid w:val="621AE68E"/>
    <w:rsid w:val="622461C6"/>
    <w:rsid w:val="626409C7"/>
    <w:rsid w:val="6268EBD8"/>
    <w:rsid w:val="6301312B"/>
    <w:rsid w:val="6307FCBB"/>
    <w:rsid w:val="6338D22B"/>
    <w:rsid w:val="637BC8E1"/>
    <w:rsid w:val="63842EEA"/>
    <w:rsid w:val="63890142"/>
    <w:rsid w:val="639F7511"/>
    <w:rsid w:val="63A8FD9C"/>
    <w:rsid w:val="63C40132"/>
    <w:rsid w:val="63C93574"/>
    <w:rsid w:val="63D7FED8"/>
    <w:rsid w:val="63F97B19"/>
    <w:rsid w:val="64134F15"/>
    <w:rsid w:val="64286019"/>
    <w:rsid w:val="642B9CF4"/>
    <w:rsid w:val="642D2FC2"/>
    <w:rsid w:val="643AE7C9"/>
    <w:rsid w:val="64501E8D"/>
    <w:rsid w:val="649EBD62"/>
    <w:rsid w:val="649FBF44"/>
    <w:rsid w:val="65126D9F"/>
    <w:rsid w:val="657B236B"/>
    <w:rsid w:val="65975F55"/>
    <w:rsid w:val="65EB2D2B"/>
    <w:rsid w:val="65F3E1AF"/>
    <w:rsid w:val="66096015"/>
    <w:rsid w:val="663D0073"/>
    <w:rsid w:val="664A5F8F"/>
    <w:rsid w:val="66932BD5"/>
    <w:rsid w:val="6697EB78"/>
    <w:rsid w:val="66A8D2F9"/>
    <w:rsid w:val="66AC7CA4"/>
    <w:rsid w:val="66C9E7F2"/>
    <w:rsid w:val="66FA0210"/>
    <w:rsid w:val="6743983E"/>
    <w:rsid w:val="6751319B"/>
    <w:rsid w:val="676C0ADD"/>
    <w:rsid w:val="6770DF4F"/>
    <w:rsid w:val="67906B71"/>
    <w:rsid w:val="679F6AF4"/>
    <w:rsid w:val="67D8FDD0"/>
    <w:rsid w:val="67F0CD75"/>
    <w:rsid w:val="67F2F217"/>
    <w:rsid w:val="6800E9BC"/>
    <w:rsid w:val="680CB826"/>
    <w:rsid w:val="6825096F"/>
    <w:rsid w:val="682C7B1F"/>
    <w:rsid w:val="683388E0"/>
    <w:rsid w:val="684A2085"/>
    <w:rsid w:val="6872E775"/>
    <w:rsid w:val="68D673B8"/>
    <w:rsid w:val="68DAC4EC"/>
    <w:rsid w:val="68E321F2"/>
    <w:rsid w:val="68E9E141"/>
    <w:rsid w:val="691CAC8C"/>
    <w:rsid w:val="69224690"/>
    <w:rsid w:val="698E7FF9"/>
    <w:rsid w:val="69AF0469"/>
    <w:rsid w:val="69AF0943"/>
    <w:rsid w:val="6A151115"/>
    <w:rsid w:val="6A16D10A"/>
    <w:rsid w:val="6A1ADFE9"/>
    <w:rsid w:val="6A3921C3"/>
    <w:rsid w:val="6A67740A"/>
    <w:rsid w:val="6A6F8AE0"/>
    <w:rsid w:val="6A917E2D"/>
    <w:rsid w:val="6A95D426"/>
    <w:rsid w:val="6B024ABF"/>
    <w:rsid w:val="6B2CD87B"/>
    <w:rsid w:val="6B720A4A"/>
    <w:rsid w:val="6B8684E7"/>
    <w:rsid w:val="6BBC6916"/>
    <w:rsid w:val="6BF24527"/>
    <w:rsid w:val="6C464373"/>
    <w:rsid w:val="6C5A6C4B"/>
    <w:rsid w:val="6CEE9BFF"/>
    <w:rsid w:val="6D197232"/>
    <w:rsid w:val="6D33305B"/>
    <w:rsid w:val="6D6BC2E4"/>
    <w:rsid w:val="6DD3E5F2"/>
    <w:rsid w:val="6DDCD237"/>
    <w:rsid w:val="6DF5703B"/>
    <w:rsid w:val="6E5352BC"/>
    <w:rsid w:val="6E5624ED"/>
    <w:rsid w:val="6E604BDB"/>
    <w:rsid w:val="6E7DE9C0"/>
    <w:rsid w:val="6E8D4302"/>
    <w:rsid w:val="6E9978BB"/>
    <w:rsid w:val="6EA000E4"/>
    <w:rsid w:val="6ED952B1"/>
    <w:rsid w:val="6EDCE0BF"/>
    <w:rsid w:val="6EE6B538"/>
    <w:rsid w:val="6F70732C"/>
    <w:rsid w:val="6F83541D"/>
    <w:rsid w:val="6FB58187"/>
    <w:rsid w:val="6FD5C033"/>
    <w:rsid w:val="6FE1BC71"/>
    <w:rsid w:val="6FE765F5"/>
    <w:rsid w:val="6FF950AE"/>
    <w:rsid w:val="7017D186"/>
    <w:rsid w:val="7075E433"/>
    <w:rsid w:val="70C5C875"/>
    <w:rsid w:val="70F04E9D"/>
    <w:rsid w:val="710082E0"/>
    <w:rsid w:val="71150727"/>
    <w:rsid w:val="711790DA"/>
    <w:rsid w:val="71191888"/>
    <w:rsid w:val="7131D5E0"/>
    <w:rsid w:val="714EB007"/>
    <w:rsid w:val="7159F78F"/>
    <w:rsid w:val="716BB3F5"/>
    <w:rsid w:val="717E7D49"/>
    <w:rsid w:val="71A0C1FF"/>
    <w:rsid w:val="71AA2A30"/>
    <w:rsid w:val="71BAF3E0"/>
    <w:rsid w:val="71BC71CD"/>
    <w:rsid w:val="71C44D07"/>
    <w:rsid w:val="71CCB35C"/>
    <w:rsid w:val="71F56628"/>
    <w:rsid w:val="71FCF0C9"/>
    <w:rsid w:val="72120F0F"/>
    <w:rsid w:val="724D6B25"/>
    <w:rsid w:val="72605EC0"/>
    <w:rsid w:val="729504EE"/>
    <w:rsid w:val="72A26F74"/>
    <w:rsid w:val="72A2B9BA"/>
    <w:rsid w:val="72B4C1C6"/>
    <w:rsid w:val="72B84340"/>
    <w:rsid w:val="72D7E8CE"/>
    <w:rsid w:val="72DF6A3F"/>
    <w:rsid w:val="72E04DC7"/>
    <w:rsid w:val="72FEDDC4"/>
    <w:rsid w:val="73620281"/>
    <w:rsid w:val="7371C966"/>
    <w:rsid w:val="73A0B105"/>
    <w:rsid w:val="73E80B77"/>
    <w:rsid w:val="73FF0DFA"/>
    <w:rsid w:val="74388390"/>
    <w:rsid w:val="74616F92"/>
    <w:rsid w:val="74C3CCFC"/>
    <w:rsid w:val="74CFAE14"/>
    <w:rsid w:val="74D37A76"/>
    <w:rsid w:val="74F32CCB"/>
    <w:rsid w:val="74F8DA27"/>
    <w:rsid w:val="7530D3F2"/>
    <w:rsid w:val="7536C307"/>
    <w:rsid w:val="7541B109"/>
    <w:rsid w:val="75539727"/>
    <w:rsid w:val="7571A807"/>
    <w:rsid w:val="75800CE4"/>
    <w:rsid w:val="75B0B1C4"/>
    <w:rsid w:val="75C4A246"/>
    <w:rsid w:val="75C9B328"/>
    <w:rsid w:val="75DCBB14"/>
    <w:rsid w:val="75F94C72"/>
    <w:rsid w:val="7617090E"/>
    <w:rsid w:val="7643BCDF"/>
    <w:rsid w:val="764A6DD0"/>
    <w:rsid w:val="765BDA6B"/>
    <w:rsid w:val="76D24ED2"/>
    <w:rsid w:val="76E67A16"/>
    <w:rsid w:val="76F227DC"/>
    <w:rsid w:val="771860C0"/>
    <w:rsid w:val="77249B15"/>
    <w:rsid w:val="777350E8"/>
    <w:rsid w:val="77AA8BFE"/>
    <w:rsid w:val="77B36224"/>
    <w:rsid w:val="77D15A03"/>
    <w:rsid w:val="77EADB01"/>
    <w:rsid w:val="77EB03A9"/>
    <w:rsid w:val="7802D4E4"/>
    <w:rsid w:val="784BADF9"/>
    <w:rsid w:val="78544F10"/>
    <w:rsid w:val="7881A74A"/>
    <w:rsid w:val="78D838D8"/>
    <w:rsid w:val="78D91489"/>
    <w:rsid w:val="78F5F6FD"/>
    <w:rsid w:val="7929CF01"/>
    <w:rsid w:val="79C385FD"/>
    <w:rsid w:val="79E14079"/>
    <w:rsid w:val="79FAE57D"/>
    <w:rsid w:val="7A27C1A2"/>
    <w:rsid w:val="7A77146B"/>
    <w:rsid w:val="7A87DEE4"/>
    <w:rsid w:val="7A9B4A5A"/>
    <w:rsid w:val="7AACBE43"/>
    <w:rsid w:val="7B1A5236"/>
    <w:rsid w:val="7B1F20D6"/>
    <w:rsid w:val="7B37713F"/>
    <w:rsid w:val="7B3D279A"/>
    <w:rsid w:val="7B45F586"/>
    <w:rsid w:val="7B9811BF"/>
    <w:rsid w:val="7BA8B62C"/>
    <w:rsid w:val="7BCC677C"/>
    <w:rsid w:val="7C29EC87"/>
    <w:rsid w:val="7C3C607E"/>
    <w:rsid w:val="7C504D7C"/>
    <w:rsid w:val="7C6A0DB9"/>
    <w:rsid w:val="7C7CEAAA"/>
    <w:rsid w:val="7C956FAA"/>
    <w:rsid w:val="7C989664"/>
    <w:rsid w:val="7CADBBF4"/>
    <w:rsid w:val="7CBA9FCB"/>
    <w:rsid w:val="7CBABCB8"/>
    <w:rsid w:val="7CCCA840"/>
    <w:rsid w:val="7D1176B8"/>
    <w:rsid w:val="7D1DE8E4"/>
    <w:rsid w:val="7D4623A0"/>
    <w:rsid w:val="7D5C7CE0"/>
    <w:rsid w:val="7D6051F4"/>
    <w:rsid w:val="7D818807"/>
    <w:rsid w:val="7DA1DFE2"/>
    <w:rsid w:val="7DC8E125"/>
    <w:rsid w:val="7DC93894"/>
    <w:rsid w:val="7DD00FAA"/>
    <w:rsid w:val="7E1CE76D"/>
    <w:rsid w:val="7E24111C"/>
    <w:rsid w:val="7E2739B0"/>
    <w:rsid w:val="7E3C97FE"/>
    <w:rsid w:val="7E3D5A9A"/>
    <w:rsid w:val="7E6299F7"/>
    <w:rsid w:val="7E767040"/>
    <w:rsid w:val="7ED66589"/>
    <w:rsid w:val="7ED8C52C"/>
    <w:rsid w:val="7F0CD1E5"/>
    <w:rsid w:val="7F243BE0"/>
    <w:rsid w:val="7F8111C3"/>
    <w:rsid w:val="7FA699A5"/>
    <w:rsid w:val="7FC2FF7E"/>
    <w:rsid w:val="7FC34CC2"/>
    <w:rsid w:val="7FD698D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530ABE-3D19-430E-8647-7FC6D3EC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337BB6"/>
    <w:pPr>
      <w:numPr>
        <w:numId w:val="2"/>
      </w:numPr>
      <w:tabs>
        <w:tab w:val="num" w:pos="360"/>
      </w:tabs>
      <w:ind w:left="0" w:firstLine="0"/>
    </w:pPr>
    <w:rPr>
      <w:rFonts w:eastAsia="Times New Roman"/>
      <w:lang w:eastAsia="de-DE"/>
    </w:rPr>
  </w:style>
  <w:style w:type="paragraph" w:styleId="ListNumber">
    <w:name w:val="List Number"/>
    <w:basedOn w:val="Normal"/>
    <w:rsid w:val="00337BB6"/>
    <w:pPr>
      <w:numPr>
        <w:numId w:val="6"/>
      </w:numPr>
    </w:pPr>
    <w:rPr>
      <w:rFonts w:eastAsia="Times New Roman"/>
      <w:lang w:eastAsia="de-DE"/>
    </w:rPr>
  </w:style>
  <w:style w:type="paragraph" w:customStyle="1" w:styleId="ListBullet1">
    <w:name w:val="List Bullet 1"/>
    <w:basedOn w:val="Normal"/>
    <w:rsid w:val="00337BB6"/>
    <w:pPr>
      <w:numPr>
        <w:numId w:val="1"/>
      </w:numPr>
    </w:pPr>
    <w:rPr>
      <w:rFonts w:eastAsia="Times New Roman"/>
      <w:lang w:eastAsia="de-DE"/>
    </w:rPr>
  </w:style>
  <w:style w:type="paragraph" w:customStyle="1" w:styleId="ListDash">
    <w:name w:val="List Dash"/>
    <w:basedOn w:val="Normal"/>
    <w:rsid w:val="00337BB6"/>
    <w:pPr>
      <w:numPr>
        <w:numId w:val="3"/>
      </w:numPr>
    </w:pPr>
    <w:rPr>
      <w:rFonts w:eastAsia="Times New Roman"/>
      <w:lang w:eastAsia="de-DE"/>
    </w:rPr>
  </w:style>
  <w:style w:type="paragraph" w:customStyle="1" w:styleId="ListDash1">
    <w:name w:val="List Dash 1"/>
    <w:basedOn w:val="Normal"/>
    <w:rsid w:val="00337BB6"/>
    <w:pPr>
      <w:numPr>
        <w:numId w:val="4"/>
      </w:numPr>
    </w:pPr>
    <w:rPr>
      <w:rFonts w:eastAsia="Times New Roman"/>
      <w:lang w:eastAsia="de-DE"/>
    </w:rPr>
  </w:style>
  <w:style w:type="paragraph" w:customStyle="1" w:styleId="ListDash2">
    <w:name w:val="List Dash 2"/>
    <w:basedOn w:val="Normal"/>
    <w:rsid w:val="00337BB6"/>
    <w:pPr>
      <w:numPr>
        <w:numId w:val="5"/>
      </w:numPr>
    </w:pPr>
    <w:rPr>
      <w:rFonts w:eastAsia="Times New Roman"/>
      <w:lang w:eastAsia="de-DE"/>
    </w:rPr>
  </w:style>
  <w:style w:type="paragraph" w:customStyle="1" w:styleId="ListNumberLevel2">
    <w:name w:val="List Number (Level 2)"/>
    <w:basedOn w:val="Normal"/>
    <w:rsid w:val="00337BB6"/>
    <w:pPr>
      <w:numPr>
        <w:ilvl w:val="1"/>
        <w:numId w:val="6"/>
      </w:numPr>
    </w:pPr>
    <w:rPr>
      <w:rFonts w:eastAsia="Times New Roman"/>
      <w:lang w:eastAsia="de-DE"/>
    </w:rPr>
  </w:style>
  <w:style w:type="paragraph" w:customStyle="1" w:styleId="ListNumberLevel3">
    <w:name w:val="List Number (Level 3)"/>
    <w:basedOn w:val="Normal"/>
    <w:rsid w:val="00337BB6"/>
    <w:pPr>
      <w:numPr>
        <w:ilvl w:val="2"/>
        <w:numId w:val="6"/>
      </w:numPr>
    </w:pPr>
    <w:rPr>
      <w:rFonts w:eastAsia="Times New Roman"/>
      <w:lang w:eastAsia="de-DE"/>
    </w:rPr>
  </w:style>
  <w:style w:type="paragraph" w:customStyle="1" w:styleId="ListNumberLevel4">
    <w:name w:val="List Number (Level 4)"/>
    <w:basedOn w:val="Normal"/>
    <w:rsid w:val="00337BB6"/>
    <w:pPr>
      <w:numPr>
        <w:ilvl w:val="3"/>
        <w:numId w:val="6"/>
      </w:numPr>
    </w:pPr>
    <w:rPr>
      <w:rFonts w:eastAsia="Times New Roman"/>
      <w:lang w:eastAsia="de-DE"/>
    </w:rPr>
  </w:style>
  <w:style w:type="table" w:styleId="TableGrid">
    <w:name w:val="Table Grid"/>
    <w:basedOn w:val="TableNormal"/>
    <w:rsid w:val="00337BB6"/>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37BB6"/>
    <w:rPr>
      <w:color w:val="0000FF"/>
      <w:u w:val="single"/>
    </w:rPr>
  </w:style>
  <w:style w:type="paragraph" w:styleId="ListBullet">
    <w:name w:val="List Bullet"/>
    <w:basedOn w:val="Normal"/>
    <w:rsid w:val="00337BB6"/>
    <w:pPr>
      <w:numPr>
        <w:numId w:val="7"/>
      </w:numPr>
    </w:pPr>
    <w:rPr>
      <w:rFonts w:eastAsia="Times New Roman"/>
      <w:lang w:eastAsia="en-GB"/>
    </w:rPr>
  </w:style>
  <w:style w:type="paragraph" w:styleId="ListBullet2">
    <w:name w:val="List Bullet 2"/>
    <w:basedOn w:val="Normal"/>
    <w:rsid w:val="00337BB6"/>
    <w:pPr>
      <w:numPr>
        <w:numId w:val="8"/>
      </w:numPr>
    </w:pPr>
    <w:rPr>
      <w:rFonts w:eastAsia="Times New Roman"/>
      <w:lang w:eastAsia="en-GB"/>
    </w:rPr>
  </w:style>
  <w:style w:type="paragraph" w:styleId="ListBullet3">
    <w:name w:val="List Bullet 3"/>
    <w:basedOn w:val="Normal"/>
    <w:rsid w:val="00337BB6"/>
    <w:pPr>
      <w:numPr>
        <w:numId w:val="9"/>
      </w:numPr>
    </w:pPr>
    <w:rPr>
      <w:rFonts w:eastAsia="Times New Roman"/>
      <w:lang w:eastAsia="en-GB"/>
    </w:rPr>
  </w:style>
  <w:style w:type="paragraph" w:styleId="ListNumber2">
    <w:name w:val="List Number 2"/>
    <w:basedOn w:val="Normal"/>
    <w:rsid w:val="00337BB6"/>
    <w:pPr>
      <w:numPr>
        <w:numId w:val="13"/>
      </w:numPr>
    </w:pPr>
    <w:rPr>
      <w:rFonts w:eastAsia="Times New Roman"/>
      <w:lang w:eastAsia="en-GB"/>
    </w:rPr>
  </w:style>
  <w:style w:type="paragraph" w:styleId="ListNumber3">
    <w:name w:val="List Number 3"/>
    <w:basedOn w:val="Normal"/>
    <w:rsid w:val="00337BB6"/>
    <w:pPr>
      <w:numPr>
        <w:numId w:val="14"/>
      </w:numPr>
    </w:pPr>
    <w:rPr>
      <w:rFonts w:eastAsia="Times New Roman"/>
      <w:lang w:eastAsia="en-GB"/>
    </w:rPr>
  </w:style>
  <w:style w:type="paragraph" w:styleId="ListNumber4">
    <w:name w:val="List Number 4"/>
    <w:basedOn w:val="Normal"/>
    <w:rsid w:val="00337BB6"/>
    <w:pPr>
      <w:numPr>
        <w:numId w:val="15"/>
      </w:numPr>
    </w:pPr>
    <w:rPr>
      <w:rFonts w:eastAsia="Times New Roman"/>
      <w:lang w:eastAsia="en-GB"/>
    </w:rPr>
  </w:style>
  <w:style w:type="paragraph" w:customStyle="1" w:styleId="ListDash3">
    <w:name w:val="List Dash 3"/>
    <w:basedOn w:val="Normal"/>
    <w:rsid w:val="00337BB6"/>
    <w:pPr>
      <w:numPr>
        <w:numId w:val="10"/>
      </w:numPr>
    </w:pPr>
    <w:rPr>
      <w:rFonts w:eastAsia="Times New Roman"/>
      <w:lang w:eastAsia="en-GB"/>
    </w:rPr>
  </w:style>
  <w:style w:type="paragraph" w:customStyle="1" w:styleId="ListDash4">
    <w:name w:val="List Dash 4"/>
    <w:basedOn w:val="Normal"/>
    <w:rsid w:val="00337BB6"/>
    <w:pPr>
      <w:numPr>
        <w:numId w:val="11"/>
      </w:numPr>
    </w:pPr>
    <w:rPr>
      <w:rFonts w:eastAsia="Times New Roman"/>
      <w:lang w:eastAsia="en-GB"/>
    </w:rPr>
  </w:style>
  <w:style w:type="paragraph" w:customStyle="1" w:styleId="ListNumber1">
    <w:name w:val="List Number 1"/>
    <w:basedOn w:val="Text1"/>
    <w:rsid w:val="00337BB6"/>
    <w:pPr>
      <w:numPr>
        <w:numId w:val="12"/>
      </w:numPr>
    </w:pPr>
    <w:rPr>
      <w:rFonts w:eastAsia="Times New Roman"/>
      <w:lang w:eastAsia="en-GB"/>
    </w:rPr>
  </w:style>
  <w:style w:type="paragraph" w:customStyle="1" w:styleId="ListNumber1Level2">
    <w:name w:val="List Number 1 (Level 2)"/>
    <w:basedOn w:val="Text1"/>
    <w:rsid w:val="00337BB6"/>
    <w:pPr>
      <w:numPr>
        <w:ilvl w:val="1"/>
        <w:numId w:val="12"/>
      </w:numPr>
    </w:pPr>
    <w:rPr>
      <w:rFonts w:eastAsia="Times New Roman"/>
      <w:lang w:eastAsia="en-GB"/>
    </w:rPr>
  </w:style>
  <w:style w:type="paragraph" w:customStyle="1" w:styleId="ListNumber2Level2">
    <w:name w:val="List Number 2 (Level 2)"/>
    <w:basedOn w:val="Text2"/>
    <w:rsid w:val="00337BB6"/>
    <w:pPr>
      <w:numPr>
        <w:ilvl w:val="1"/>
        <w:numId w:val="13"/>
      </w:numPr>
    </w:pPr>
    <w:rPr>
      <w:rFonts w:eastAsia="Times New Roman"/>
      <w:lang w:eastAsia="en-GB"/>
    </w:rPr>
  </w:style>
  <w:style w:type="paragraph" w:customStyle="1" w:styleId="ListNumber3Level2">
    <w:name w:val="List Number 3 (Level 2)"/>
    <w:basedOn w:val="Text3"/>
    <w:rsid w:val="00337BB6"/>
    <w:pPr>
      <w:numPr>
        <w:ilvl w:val="1"/>
        <w:numId w:val="14"/>
      </w:numPr>
    </w:pPr>
    <w:rPr>
      <w:rFonts w:eastAsia="Times New Roman"/>
      <w:lang w:eastAsia="en-GB"/>
    </w:rPr>
  </w:style>
  <w:style w:type="paragraph" w:customStyle="1" w:styleId="ListNumber4Level2">
    <w:name w:val="List Number 4 (Level 2)"/>
    <w:basedOn w:val="Text4"/>
    <w:rsid w:val="00337BB6"/>
    <w:pPr>
      <w:numPr>
        <w:ilvl w:val="1"/>
        <w:numId w:val="15"/>
      </w:numPr>
    </w:pPr>
    <w:rPr>
      <w:rFonts w:eastAsia="Times New Roman"/>
      <w:lang w:eastAsia="en-GB"/>
    </w:rPr>
  </w:style>
  <w:style w:type="paragraph" w:customStyle="1" w:styleId="ListNumber1Level3">
    <w:name w:val="List Number 1 (Level 3)"/>
    <w:basedOn w:val="Text1"/>
    <w:rsid w:val="00337BB6"/>
    <w:pPr>
      <w:numPr>
        <w:ilvl w:val="2"/>
        <w:numId w:val="12"/>
      </w:numPr>
    </w:pPr>
    <w:rPr>
      <w:rFonts w:eastAsia="Times New Roman"/>
      <w:lang w:eastAsia="en-GB"/>
    </w:rPr>
  </w:style>
  <w:style w:type="paragraph" w:customStyle="1" w:styleId="ListNumber2Level3">
    <w:name w:val="List Number 2 (Level 3)"/>
    <w:basedOn w:val="Text2"/>
    <w:rsid w:val="00337BB6"/>
    <w:pPr>
      <w:numPr>
        <w:ilvl w:val="2"/>
        <w:numId w:val="13"/>
      </w:numPr>
    </w:pPr>
    <w:rPr>
      <w:rFonts w:eastAsia="Times New Roman"/>
      <w:lang w:eastAsia="en-GB"/>
    </w:rPr>
  </w:style>
  <w:style w:type="paragraph" w:customStyle="1" w:styleId="ListNumber3Level3">
    <w:name w:val="List Number 3 (Level 3)"/>
    <w:basedOn w:val="Text3"/>
    <w:rsid w:val="00337BB6"/>
    <w:pPr>
      <w:numPr>
        <w:ilvl w:val="2"/>
        <w:numId w:val="14"/>
      </w:numPr>
    </w:pPr>
    <w:rPr>
      <w:rFonts w:eastAsia="Times New Roman"/>
      <w:lang w:eastAsia="en-GB"/>
    </w:rPr>
  </w:style>
  <w:style w:type="paragraph" w:customStyle="1" w:styleId="ListNumber4Level3">
    <w:name w:val="List Number 4 (Level 3)"/>
    <w:basedOn w:val="Text4"/>
    <w:rsid w:val="00337BB6"/>
    <w:pPr>
      <w:numPr>
        <w:ilvl w:val="2"/>
        <w:numId w:val="15"/>
      </w:numPr>
    </w:pPr>
    <w:rPr>
      <w:rFonts w:eastAsia="Times New Roman"/>
      <w:lang w:eastAsia="en-GB"/>
    </w:rPr>
  </w:style>
  <w:style w:type="paragraph" w:customStyle="1" w:styleId="ListNumber1Level4">
    <w:name w:val="List Number 1 (Level 4)"/>
    <w:basedOn w:val="Text1"/>
    <w:rsid w:val="00337BB6"/>
    <w:pPr>
      <w:numPr>
        <w:ilvl w:val="3"/>
        <w:numId w:val="12"/>
      </w:numPr>
    </w:pPr>
    <w:rPr>
      <w:rFonts w:eastAsia="Times New Roman"/>
      <w:lang w:eastAsia="en-GB"/>
    </w:rPr>
  </w:style>
  <w:style w:type="paragraph" w:customStyle="1" w:styleId="ListNumber2Level4">
    <w:name w:val="List Number 2 (Level 4)"/>
    <w:basedOn w:val="Text2"/>
    <w:rsid w:val="00337BB6"/>
    <w:pPr>
      <w:numPr>
        <w:ilvl w:val="3"/>
        <w:numId w:val="13"/>
      </w:numPr>
    </w:pPr>
    <w:rPr>
      <w:rFonts w:eastAsia="Times New Roman"/>
      <w:lang w:eastAsia="en-GB"/>
    </w:rPr>
  </w:style>
  <w:style w:type="paragraph" w:customStyle="1" w:styleId="ListNumber3Level4">
    <w:name w:val="List Number 3 (Level 4)"/>
    <w:basedOn w:val="Text3"/>
    <w:rsid w:val="00337BB6"/>
    <w:pPr>
      <w:numPr>
        <w:ilvl w:val="3"/>
        <w:numId w:val="14"/>
      </w:numPr>
    </w:pPr>
    <w:rPr>
      <w:rFonts w:eastAsia="Times New Roman"/>
      <w:lang w:eastAsia="en-GB"/>
    </w:rPr>
  </w:style>
  <w:style w:type="paragraph" w:customStyle="1" w:styleId="ListNumber4Level4">
    <w:name w:val="List Number 4 (Level 4)"/>
    <w:basedOn w:val="Text4"/>
    <w:rsid w:val="00337BB6"/>
    <w:pPr>
      <w:numPr>
        <w:ilvl w:val="3"/>
        <w:numId w:val="15"/>
      </w:numPr>
    </w:pPr>
    <w:rPr>
      <w:rFonts w:eastAsia="Times New Roman"/>
      <w:lang w:eastAsia="en-GB"/>
    </w:rPr>
  </w:style>
  <w:style w:type="paragraph" w:customStyle="1" w:styleId="Annexetitreacte">
    <w:name w:val="Annexe titre (acte)"/>
    <w:basedOn w:val="Normal"/>
    <w:next w:val="Normal"/>
    <w:rsid w:val="00337BB6"/>
    <w:pPr>
      <w:jc w:val="center"/>
    </w:pPr>
    <w:rPr>
      <w:rFonts w:eastAsia="Times New Roman"/>
      <w:b/>
      <w:u w:val="single"/>
      <w:lang w:eastAsia="en-GB"/>
    </w:rPr>
  </w:style>
  <w:style w:type="paragraph" w:customStyle="1" w:styleId="Annexetitreexposglobal">
    <w:name w:val="Annexe titre (exposé global)"/>
    <w:basedOn w:val="Normal"/>
    <w:next w:val="Normal"/>
    <w:rsid w:val="00337BB6"/>
    <w:pPr>
      <w:jc w:val="center"/>
    </w:pPr>
    <w:rPr>
      <w:rFonts w:eastAsia="Times New Roman"/>
      <w:b/>
      <w:u w:val="single"/>
      <w:lang w:eastAsia="en-GB"/>
    </w:rPr>
  </w:style>
  <w:style w:type="paragraph" w:customStyle="1" w:styleId="Annexetitrefichefinacte">
    <w:name w:val="Annexe titre (fiche fin. acte)"/>
    <w:basedOn w:val="Normal"/>
    <w:next w:val="Normal"/>
    <w:rsid w:val="00337BB6"/>
    <w:pPr>
      <w:jc w:val="center"/>
    </w:pPr>
    <w:rPr>
      <w:rFonts w:eastAsia="Times New Roman"/>
      <w:b/>
      <w:u w:val="single"/>
      <w:lang w:eastAsia="en-GB"/>
    </w:rPr>
  </w:style>
  <w:style w:type="paragraph" w:customStyle="1" w:styleId="Annexetitrefichefinglobale">
    <w:name w:val="Annexe titre (fiche fin. globale)"/>
    <w:basedOn w:val="Normal"/>
    <w:next w:val="Normal"/>
    <w:rsid w:val="00337BB6"/>
    <w:pPr>
      <w:jc w:val="center"/>
    </w:pPr>
    <w:rPr>
      <w:rFonts w:eastAsia="Times New Roman"/>
      <w:b/>
      <w:u w:val="single"/>
      <w:lang w:eastAsia="en-GB"/>
    </w:rPr>
  </w:style>
  <w:style w:type="paragraph" w:customStyle="1" w:styleId="Annexetitreglobale">
    <w:name w:val="Annexe titre (globale)"/>
    <w:basedOn w:val="Normal"/>
    <w:next w:val="Normal"/>
    <w:rsid w:val="00337BB6"/>
    <w:pPr>
      <w:jc w:val="center"/>
    </w:pPr>
    <w:rPr>
      <w:rFonts w:eastAsia="Times New Roman"/>
      <w:b/>
      <w:u w:val="single"/>
      <w:lang w:eastAsia="en-GB"/>
    </w:rPr>
  </w:style>
  <w:style w:type="paragraph" w:customStyle="1" w:styleId="Exposdesmotifstitreglobal">
    <w:name w:val="Exposé des motifs titre (global)"/>
    <w:basedOn w:val="Normal"/>
    <w:next w:val="Normal"/>
    <w:rsid w:val="00337BB6"/>
    <w:pPr>
      <w:jc w:val="center"/>
    </w:pPr>
    <w:rPr>
      <w:rFonts w:eastAsia="Times New Roman"/>
      <w:b/>
      <w:u w:val="single"/>
      <w:lang w:eastAsia="en-GB"/>
    </w:rPr>
  </w:style>
  <w:style w:type="paragraph" w:customStyle="1" w:styleId="Langueoriginale">
    <w:name w:val="Langue originale"/>
    <w:basedOn w:val="Normal"/>
    <w:rsid w:val="00337BB6"/>
    <w:pPr>
      <w:spacing w:before="360"/>
      <w:jc w:val="center"/>
    </w:pPr>
    <w:rPr>
      <w:rFonts w:eastAsia="Times New Roman"/>
      <w:caps/>
      <w:lang w:eastAsia="en-GB"/>
    </w:rPr>
  </w:style>
  <w:style w:type="paragraph" w:customStyle="1" w:styleId="Phrasefinale">
    <w:name w:val="Phrase finale"/>
    <w:basedOn w:val="Normal"/>
    <w:next w:val="Normal"/>
    <w:rsid w:val="00337BB6"/>
    <w:pPr>
      <w:spacing w:before="360" w:after="0"/>
      <w:jc w:val="center"/>
    </w:pPr>
    <w:rPr>
      <w:rFonts w:eastAsia="Times New Roman"/>
      <w:lang w:eastAsia="en-GB"/>
    </w:rPr>
  </w:style>
  <w:style w:type="paragraph" w:customStyle="1" w:styleId="Prliminairetitre">
    <w:name w:val="Préliminaire titre"/>
    <w:basedOn w:val="Normal"/>
    <w:next w:val="Normal"/>
    <w:rsid w:val="00337BB6"/>
    <w:pPr>
      <w:spacing w:before="360" w:after="360"/>
      <w:jc w:val="center"/>
    </w:pPr>
    <w:rPr>
      <w:rFonts w:eastAsia="Times New Roman"/>
      <w:b/>
      <w:lang w:eastAsia="en-GB"/>
    </w:rPr>
  </w:style>
  <w:style w:type="paragraph" w:customStyle="1" w:styleId="Prliminairetype">
    <w:name w:val="Préliminaire type"/>
    <w:basedOn w:val="Normal"/>
    <w:next w:val="Normal"/>
    <w:rsid w:val="00337BB6"/>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337BB6"/>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337BB6"/>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337BB6"/>
    <w:pPr>
      <w:spacing w:before="0" w:after="0"/>
      <w:ind w:left="5103"/>
      <w:jc w:val="left"/>
    </w:pPr>
    <w:rPr>
      <w:rFonts w:eastAsia="Times New Roman"/>
      <w:lang w:eastAsia="en-GB"/>
    </w:rPr>
  </w:style>
  <w:style w:type="paragraph" w:customStyle="1" w:styleId="Sous-titreobjetprliminaire">
    <w:name w:val="Sous-titre objet (préliminaire)"/>
    <w:basedOn w:val="Normal"/>
    <w:rsid w:val="00337BB6"/>
    <w:pPr>
      <w:spacing w:before="0" w:after="0"/>
      <w:jc w:val="center"/>
    </w:pPr>
    <w:rPr>
      <w:rFonts w:eastAsia="Times New Roman"/>
      <w:b/>
      <w:lang w:eastAsia="en-GB"/>
    </w:rPr>
  </w:style>
  <w:style w:type="paragraph" w:customStyle="1" w:styleId="Statutprliminaire">
    <w:name w:val="Statut (préliminaire)"/>
    <w:basedOn w:val="Normal"/>
    <w:next w:val="Normal"/>
    <w:rsid w:val="00337BB6"/>
    <w:pPr>
      <w:spacing w:before="360" w:after="0"/>
      <w:jc w:val="center"/>
    </w:pPr>
    <w:rPr>
      <w:rFonts w:eastAsia="Times New Roman"/>
      <w:lang w:eastAsia="en-GB"/>
    </w:rPr>
  </w:style>
  <w:style w:type="paragraph" w:customStyle="1" w:styleId="Titreobjetprliminaire">
    <w:name w:val="Titre objet (préliminaire)"/>
    <w:basedOn w:val="Normal"/>
    <w:next w:val="Normal"/>
    <w:rsid w:val="00337BB6"/>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337BB6"/>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337BB6"/>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337BB6"/>
    <w:pPr>
      <w:jc w:val="center"/>
    </w:pPr>
    <w:rPr>
      <w:rFonts w:eastAsia="Times New Roman"/>
      <w:b/>
      <w:u w:val="single"/>
      <w:lang w:eastAsia="en-GB"/>
    </w:rPr>
  </w:style>
  <w:style w:type="paragraph" w:customStyle="1" w:styleId="Fichefinanciretravailtitre">
    <w:name w:val="Fiche financière (travail) titre"/>
    <w:basedOn w:val="Normal"/>
    <w:next w:val="Normal"/>
    <w:rsid w:val="00337BB6"/>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337BB6"/>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337BB6"/>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337BB6"/>
    <w:pPr>
      <w:jc w:val="center"/>
    </w:pPr>
    <w:rPr>
      <w:rFonts w:eastAsia="Times New Roman"/>
      <w:b/>
      <w:u w:val="single"/>
      <w:lang w:eastAsia="en-GB"/>
    </w:rPr>
  </w:style>
  <w:style w:type="character" w:styleId="CommentReference">
    <w:name w:val="annotation reference"/>
    <w:rsid w:val="00337BB6"/>
    <w:rPr>
      <w:rFonts w:cs="Times New Roman"/>
      <w:sz w:val="16"/>
      <w:szCs w:val="16"/>
    </w:rPr>
  </w:style>
  <w:style w:type="paragraph" w:styleId="CommentText">
    <w:name w:val="annotation text"/>
    <w:basedOn w:val="Normal"/>
    <w:link w:val="CommentTextChar"/>
    <w:rsid w:val="00337BB6"/>
    <w:rPr>
      <w:rFonts w:eastAsia="Times New Roman"/>
      <w:sz w:val="20"/>
      <w:szCs w:val="20"/>
      <w:lang w:eastAsia="en-GB"/>
    </w:rPr>
  </w:style>
  <w:style w:type="character" w:customStyle="1" w:styleId="CommentTextChar">
    <w:name w:val="Comment Text Char"/>
    <w:basedOn w:val="DefaultParagraphFont"/>
    <w:link w:val="CommentText"/>
    <w:rsid w:val="00337BB6"/>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337BB6"/>
    <w:rPr>
      <w:b/>
      <w:bCs/>
    </w:rPr>
  </w:style>
  <w:style w:type="character" w:customStyle="1" w:styleId="CommentSubjectChar">
    <w:name w:val="Comment Subject Char"/>
    <w:basedOn w:val="CommentTextChar"/>
    <w:link w:val="CommentSubject"/>
    <w:rsid w:val="00337BB6"/>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337BB6"/>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337BB6"/>
    <w:rPr>
      <w:rFonts w:ascii="Tahoma" w:eastAsia="Times New Roman" w:hAnsi="Tahoma" w:cs="Tahoma"/>
      <w:sz w:val="16"/>
      <w:szCs w:val="16"/>
      <w:lang w:val="fr-FR" w:eastAsia="en-GB"/>
    </w:rPr>
  </w:style>
  <w:style w:type="paragraph" w:styleId="Caption">
    <w:name w:val="caption"/>
    <w:basedOn w:val="Normal"/>
    <w:next w:val="Normal"/>
    <w:qFormat/>
    <w:rsid w:val="00337BB6"/>
    <w:rPr>
      <w:rFonts w:eastAsia="Times New Roman"/>
      <w:b/>
      <w:bCs/>
      <w:sz w:val="20"/>
      <w:szCs w:val="20"/>
      <w:lang w:eastAsia="en-GB"/>
    </w:rPr>
  </w:style>
  <w:style w:type="paragraph" w:styleId="TableofFigures">
    <w:name w:val="table of figures"/>
    <w:basedOn w:val="Normal"/>
    <w:next w:val="Normal"/>
    <w:rsid w:val="00337BB6"/>
    <w:rPr>
      <w:rFonts w:eastAsia="Times New Roman"/>
      <w:lang w:eastAsia="en-GB"/>
    </w:rPr>
  </w:style>
  <w:style w:type="character" w:styleId="PageNumber">
    <w:name w:val="page number"/>
    <w:rsid w:val="00337BB6"/>
  </w:style>
  <w:style w:type="character" w:customStyle="1" w:styleId="tw4winMark">
    <w:name w:val="tw4winMark"/>
    <w:rsid w:val="00337BB6"/>
    <w:rPr>
      <w:vanish/>
      <w:color w:val="800080"/>
      <w:vertAlign w:val="subscript"/>
    </w:rPr>
  </w:style>
  <w:style w:type="character" w:styleId="FollowedHyperlink">
    <w:name w:val="FollowedHyperlink"/>
    <w:rsid w:val="00337BB6"/>
    <w:rPr>
      <w:color w:val="800080"/>
      <w:u w:val="single"/>
    </w:rPr>
  </w:style>
  <w:style w:type="paragraph" w:customStyle="1" w:styleId="Sous-titreobjet">
    <w:name w:val="Sous-titre objet"/>
    <w:basedOn w:val="Normal"/>
    <w:rsid w:val="00337BB6"/>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337BB6"/>
  </w:style>
  <w:style w:type="paragraph" w:styleId="Revision">
    <w:name w:val="Revision"/>
    <w:hidden/>
    <w:uiPriority w:val="99"/>
    <w:semiHidden/>
    <w:rsid w:val="00337BB6"/>
    <w:rPr>
      <w:rFonts w:ascii="Calibri" w:eastAsia="Calibri" w:hAnsi="Calibri" w:cs="Times New Roman"/>
      <w:sz w:val="24"/>
      <w:lang w:eastAsia="en-GB"/>
    </w:rPr>
  </w:style>
  <w:style w:type="paragraph" w:customStyle="1" w:styleId="FooterCoverPage">
    <w:name w:val="Footer Cover Page"/>
    <w:basedOn w:val="Normal"/>
    <w:link w:val="FooterCoverPageChar"/>
    <w:rsid w:val="00337BB6"/>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337BB6"/>
    <w:rPr>
      <w:rFonts w:ascii="Times New Roman" w:hAnsi="Times New Roman" w:cs="Times New Roman"/>
      <w:b/>
      <w:sz w:val="28"/>
      <w:lang w:val="fr-FR"/>
    </w:rPr>
  </w:style>
  <w:style w:type="character" w:customStyle="1" w:styleId="FooterCoverPageChar">
    <w:name w:val="Footer Cover Page Char"/>
    <w:link w:val="FooterCoverPage"/>
    <w:rsid w:val="00337BB6"/>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337BB6"/>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337BB6"/>
    <w:rPr>
      <w:rFonts w:ascii="Times New Roman" w:eastAsia="Calibri" w:hAnsi="Times New Roman" w:cs="Times New Roman"/>
      <w:sz w:val="24"/>
      <w:lang w:val="fr-FR" w:eastAsia="en-GB"/>
    </w:rPr>
  </w:style>
  <w:style w:type="character" w:customStyle="1" w:styleId="FooterSensitivityChar">
    <w:name w:val="Footer Sensitivity Char"/>
    <w:rsid w:val="00337BB6"/>
    <w:rPr>
      <w:rFonts w:ascii="Times New Roman" w:hAnsi="Times New Roman" w:cs="Times New Roman"/>
      <w:b/>
      <w:sz w:val="32"/>
      <w:lang w:val="fr-FR"/>
    </w:rPr>
  </w:style>
  <w:style w:type="character" w:customStyle="1" w:styleId="HeaderSensitivityChar">
    <w:name w:val="Header Sensitivity Char"/>
    <w:rsid w:val="00337BB6"/>
    <w:rPr>
      <w:rFonts w:ascii="Times New Roman" w:hAnsi="Times New Roman" w:cs="Times New Roman"/>
      <w:b/>
      <w:sz w:val="32"/>
      <w:lang w:val="fr-FR"/>
    </w:rPr>
  </w:style>
  <w:style w:type="character" w:customStyle="1" w:styleId="HeaderSensitivityRightChar">
    <w:name w:val="Header Sensitivity Right Char"/>
    <w:rsid w:val="00337BB6"/>
    <w:rPr>
      <w:rFonts w:ascii="Times New Roman" w:hAnsi="Times New Roman" w:cs="Times New Roman"/>
      <w:sz w:val="28"/>
      <w:lang w:val="fr-FR"/>
    </w:rPr>
  </w:style>
  <w:style w:type="paragraph" w:customStyle="1" w:styleId="LegalNumPar">
    <w:name w:val="LegalNumPar"/>
    <w:basedOn w:val="Normal"/>
    <w:rsid w:val="00337BB6"/>
    <w:pPr>
      <w:numPr>
        <w:numId w:val="16"/>
      </w:numPr>
      <w:spacing w:line="360" w:lineRule="auto"/>
    </w:pPr>
    <w:rPr>
      <w:rFonts w:eastAsia="Times New Roman"/>
      <w:lang w:eastAsia="en-GB"/>
    </w:rPr>
  </w:style>
  <w:style w:type="paragraph" w:customStyle="1" w:styleId="LegalNumPar2">
    <w:name w:val="LegalNumPar2"/>
    <w:basedOn w:val="Normal"/>
    <w:rsid w:val="00337BB6"/>
    <w:pPr>
      <w:numPr>
        <w:ilvl w:val="1"/>
        <w:numId w:val="16"/>
      </w:numPr>
      <w:spacing w:line="360" w:lineRule="auto"/>
    </w:pPr>
    <w:rPr>
      <w:rFonts w:eastAsia="Times New Roman"/>
      <w:lang w:eastAsia="en-GB"/>
    </w:rPr>
  </w:style>
  <w:style w:type="paragraph" w:customStyle="1" w:styleId="LegalNumPar3">
    <w:name w:val="LegalNumPar3"/>
    <w:basedOn w:val="Normal"/>
    <w:rsid w:val="00337BB6"/>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337BB6"/>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337BB6"/>
    <w:rPr>
      <w:color w:val="605E5C"/>
      <w:shd w:val="clear" w:color="auto" w:fill="E1DFDD"/>
    </w:rPr>
  </w:style>
  <w:style w:type="character" w:styleId="Strong">
    <w:name w:val="Strong"/>
    <w:basedOn w:val="DefaultParagraphFont"/>
    <w:qFormat/>
    <w:rsid w:val="00337BB6"/>
    <w:rPr>
      <w:b/>
      <w:bCs/>
    </w:rPr>
  </w:style>
  <w:style w:type="character" w:styleId="Emphasis">
    <w:name w:val="Emphasis"/>
    <w:basedOn w:val="DefaultParagraphFont"/>
    <w:qFormat/>
    <w:rsid w:val="00337BB6"/>
    <w:rPr>
      <w:i/>
      <w:iCs/>
    </w:rPr>
  </w:style>
  <w:style w:type="character" w:customStyle="1" w:styleId="Mention1">
    <w:name w:val="Mention1"/>
    <w:basedOn w:val="DefaultParagraphFont"/>
    <w:uiPriority w:val="99"/>
    <w:unhideWhenUsed/>
    <w:rsid w:val="00337BB6"/>
    <w:rPr>
      <w:color w:val="2B579A"/>
      <w:shd w:val="clear" w:color="auto" w:fill="E1DFDD"/>
    </w:rPr>
  </w:style>
  <w:style w:type="character" w:customStyle="1" w:styleId="normaltextrun">
    <w:name w:val="normaltextrun"/>
    <w:basedOn w:val="DefaultParagraphFont"/>
    <w:rsid w:val="00337BB6"/>
  </w:style>
  <w:style w:type="character" w:customStyle="1" w:styleId="eop">
    <w:name w:val="eop"/>
    <w:basedOn w:val="DefaultParagraphFont"/>
    <w:rsid w:val="00337BB6"/>
  </w:style>
  <w:style w:type="character" w:customStyle="1" w:styleId="HeaderChar">
    <w:name w:val="Header Char"/>
    <w:basedOn w:val="DefaultParagraphFont"/>
    <w:link w:val="Header"/>
    <w:uiPriority w:val="99"/>
    <w:rsid w:val="00771ED9"/>
    <w:rPr>
      <w:rFonts w:ascii="Times New Roman" w:hAnsi="Times New Roman" w:cs="Times New Roman"/>
      <w:sz w:val="24"/>
      <w:lang w:val="fr-FR"/>
    </w:rPr>
  </w:style>
  <w:style w:type="character" w:customStyle="1" w:styleId="FooterChar">
    <w:name w:val="Footer Char"/>
    <w:basedOn w:val="DefaultParagraphFont"/>
    <w:link w:val="Footer"/>
    <w:uiPriority w:val="99"/>
    <w:rsid w:val="00771ED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71ED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71ED9"/>
    <w:pPr>
      <w:spacing w:before="0"/>
      <w:jc w:val="right"/>
    </w:pPr>
    <w:rPr>
      <w:sz w:val="28"/>
    </w:rPr>
  </w:style>
  <w:style w:type="paragraph" w:customStyle="1" w:styleId="FooterSensitivity">
    <w:name w:val="Footer Sensitivity"/>
    <w:basedOn w:val="Normal"/>
    <w:rsid w:val="00771ED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71ED9"/>
    <w:pPr>
      <w:tabs>
        <w:tab w:val="center" w:pos="4535"/>
        <w:tab w:val="right" w:pos="9071"/>
      </w:tabs>
      <w:spacing w:before="0"/>
    </w:pPr>
  </w:style>
  <w:style w:type="paragraph" w:customStyle="1" w:styleId="HeaderLandscape">
    <w:name w:val="HeaderLandscape"/>
    <w:basedOn w:val="Normal"/>
    <w:rsid w:val="00771ED9"/>
    <w:pPr>
      <w:tabs>
        <w:tab w:val="center" w:pos="7285"/>
        <w:tab w:val="right" w:pos="14003"/>
      </w:tabs>
      <w:spacing w:before="0"/>
    </w:pPr>
  </w:style>
  <w:style w:type="paragraph" w:styleId="Footer">
    <w:name w:val="footer"/>
    <w:basedOn w:val="Normal"/>
    <w:link w:val="FooterChar"/>
    <w:uiPriority w:val="99"/>
    <w:unhideWhenUsed/>
    <w:rsid w:val="00771ED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71ED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42041">
      <w:bodyDiv w:val="1"/>
      <w:marLeft w:val="0"/>
      <w:marRight w:val="0"/>
      <w:marTop w:val="0"/>
      <w:marBottom w:val="0"/>
      <w:divBdr>
        <w:top w:val="none" w:sz="0" w:space="0" w:color="auto"/>
        <w:left w:val="none" w:sz="0" w:space="0" w:color="auto"/>
        <w:bottom w:val="none" w:sz="0" w:space="0" w:color="auto"/>
        <w:right w:val="none" w:sz="0" w:space="0" w:color="auto"/>
      </w:divBdr>
    </w:div>
    <w:div w:id="544100364">
      <w:bodyDiv w:val="1"/>
      <w:marLeft w:val="0"/>
      <w:marRight w:val="0"/>
      <w:marTop w:val="0"/>
      <w:marBottom w:val="0"/>
      <w:divBdr>
        <w:top w:val="none" w:sz="0" w:space="0" w:color="auto"/>
        <w:left w:val="none" w:sz="0" w:space="0" w:color="auto"/>
        <w:bottom w:val="none" w:sz="0" w:space="0" w:color="auto"/>
        <w:right w:val="none" w:sz="0" w:space="0" w:color="auto"/>
      </w:divBdr>
    </w:div>
    <w:div w:id="198561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06facb08e2e75d6b252cd0d6089d5a92">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ab09809c3f389759b856777c1afc0ea1"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F0664B-44F4-44C6-928A-43B2658E2062}">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2.xml><?xml version="1.0" encoding="utf-8"?>
<ds:datastoreItem xmlns:ds="http://schemas.openxmlformats.org/officeDocument/2006/customXml" ds:itemID="{2DE5F9D0-17F1-44E8-8B24-50454F8DD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90C085-F55B-4BC2-84D0-33FC116FC965}">
  <ds:schemaRefs>
    <ds:schemaRef ds:uri="http://schemas.microsoft.com/sharepoint/v3/contenttype/forms"/>
  </ds:schemaRefs>
</ds:datastoreItem>
</file>

<file path=customXml/itemProps4.xml><?xml version="1.0" encoding="utf-8"?>
<ds:datastoreItem xmlns:ds="http://schemas.openxmlformats.org/officeDocument/2006/customXml" ds:itemID="{B129C754-7B5D-4288-B9D0-56D6544B1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19</Pages>
  <Words>9316</Words>
  <Characters>53106</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62298</CharactersWithSpaces>
  <SharedDoc>false</SharedDoc>
  <HLinks>
    <vt:vector size="36" baseType="variant">
      <vt:variant>
        <vt:i4>7602300</vt:i4>
      </vt:variant>
      <vt:variant>
        <vt:i4>3</vt:i4>
      </vt:variant>
      <vt:variant>
        <vt:i4>0</vt:i4>
      </vt:variant>
      <vt:variant>
        <vt:i4>5</vt:i4>
      </vt:variant>
      <vt:variant>
        <vt:lpwstr>https://eur-lex.europa.eu/legal-content/EN/AUTO/?uri=OJ:L:2016:123:TOC</vt:lpwstr>
      </vt:variant>
      <vt:variant>
        <vt:lpwstr/>
      </vt:variant>
      <vt:variant>
        <vt:i4>4390933</vt:i4>
      </vt:variant>
      <vt:variant>
        <vt:i4>0</vt:i4>
      </vt:variant>
      <vt:variant>
        <vt:i4>0</vt:i4>
      </vt:variant>
      <vt:variant>
        <vt:i4>5</vt:i4>
      </vt:variant>
      <vt:variant>
        <vt:lpwstr>http://data.europa.eu/eli/reg/2024/792/oj</vt:lpwstr>
      </vt:variant>
      <vt:variant>
        <vt:lpwstr/>
      </vt:variant>
      <vt:variant>
        <vt:i4>5636215</vt:i4>
      </vt:variant>
      <vt:variant>
        <vt:i4>9</vt:i4>
      </vt:variant>
      <vt:variant>
        <vt:i4>0</vt:i4>
      </vt:variant>
      <vt:variant>
        <vt:i4>5</vt:i4>
      </vt:variant>
      <vt:variant>
        <vt:lpwstr>mailto:Niamh.GRIFFIN@ec.europa.eu</vt:lpwstr>
      </vt:variant>
      <vt:variant>
        <vt:lpwstr/>
      </vt:variant>
      <vt:variant>
        <vt:i4>7864390</vt:i4>
      </vt:variant>
      <vt:variant>
        <vt:i4>6</vt:i4>
      </vt:variant>
      <vt:variant>
        <vt:i4>0</vt:i4>
      </vt:variant>
      <vt:variant>
        <vt:i4>5</vt:i4>
      </vt:variant>
      <vt:variant>
        <vt:lpwstr>mailto:Aleksandra.SZKUTNIK@ec.europa.eu</vt:lpwstr>
      </vt:variant>
      <vt:variant>
        <vt:lpwstr/>
      </vt:variant>
      <vt:variant>
        <vt:i4>7864390</vt:i4>
      </vt:variant>
      <vt:variant>
        <vt:i4>3</vt:i4>
      </vt:variant>
      <vt:variant>
        <vt:i4>0</vt:i4>
      </vt:variant>
      <vt:variant>
        <vt:i4>5</vt:i4>
      </vt:variant>
      <vt:variant>
        <vt:lpwstr>mailto:Aleksandra.SZKUTNIK@ec.europa.eu</vt:lpwstr>
      </vt:variant>
      <vt:variant>
        <vt:lpwstr/>
      </vt:variant>
      <vt:variant>
        <vt:i4>7864390</vt:i4>
      </vt:variant>
      <vt:variant>
        <vt:i4>0</vt:i4>
      </vt:variant>
      <vt:variant>
        <vt:i4>0</vt:i4>
      </vt:variant>
      <vt:variant>
        <vt:i4>5</vt:i4>
      </vt:variant>
      <vt:variant>
        <vt:lpwstr>mailto:Aleksandra.SZKUTNIK@ec.europa.eu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2026-01-08T17:05:00Z</cp:lastPrinted>
  <dcterms:created xsi:type="dcterms:W3CDTF">2026-01-13T20:53:00Z</dcterms:created>
  <dcterms:modified xsi:type="dcterms:W3CDTF">2026-01-16T12:49:00Z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2026-01-05T16:33:27Z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f82baab7-173b-4595-b819-b79bd5fc9c8e</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ontentTypeId">
    <vt:lpwstr>0x01010089A035B8C3EAA64A9CFE17FEB37C94B7</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SJ-023</vt:lpwstr>
  </property>
  <property fmtid="{D5CDD505-2E9C-101B-9397-08002B2CF9AE}" pid="18" name="DQCStatus">
    <vt:lpwstr>Green (DQC version 03)</vt:lpwstr>
  </property>
</Properties>
</file>