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4AF9" w14:textId="459D1345" w:rsidR="00465834" w:rsidRDefault="002A2CE2" w:rsidP="002A2CE2">
      <w:pPr>
        <w:pStyle w:val="Pagedecouverture"/>
        <w:rPr>
          <w:noProof/>
        </w:rPr>
      </w:pPr>
      <w:bookmarkStart w:id="0" w:name="LW_BM_COVERPAGE"/>
      <w:r>
        <w:rPr>
          <w:noProof/>
        </w:rPr>
        <w:pict w14:anchorId="76FF1B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0B3A8E5-39B1-435C-A92E-48F9191BAFE3" style="width:455.25pt;height:327.75pt">
            <v:imagedata r:id="rId11" o:title=""/>
          </v:shape>
        </w:pict>
      </w:r>
    </w:p>
    <w:bookmarkEnd w:id="0"/>
    <w:p w14:paraId="4617E274" w14:textId="77777777" w:rsidR="00F264D4" w:rsidRDefault="00F264D4" w:rsidP="00F264D4">
      <w:pPr>
        <w:rPr>
          <w:noProof/>
          <w:highlight w:val="yellow"/>
        </w:rPr>
        <w:sectPr w:rsidR="00F264D4" w:rsidSect="002A2CE2">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5D339B51" w14:textId="77777777" w:rsidR="4323812B" w:rsidRDefault="4323812B" w:rsidP="37A6B9B1">
      <w:pPr>
        <w:rPr>
          <w:noProof/>
          <w:highlight w:val="yellow"/>
        </w:rPr>
      </w:pPr>
      <w:bookmarkStart w:id="1" w:name="_GoBack"/>
      <w:bookmarkEnd w:id="1"/>
    </w:p>
    <w:p w14:paraId="31643637" w14:textId="4E4B7214" w:rsidR="066B4CBB" w:rsidRPr="009A7D1E" w:rsidRDefault="0EF5D90A" w:rsidP="12876998">
      <w:pPr>
        <w:jc w:val="center"/>
        <w:rPr>
          <w:rFonts w:ascii="Times New Roman" w:eastAsia="Times New Roman" w:hAnsi="Times New Roman" w:cs="Times New Roman"/>
          <w:b/>
          <w:bCs/>
          <w:noProof/>
          <w:sz w:val="24"/>
          <w:szCs w:val="24"/>
        </w:rPr>
      </w:pPr>
      <w:bookmarkStart w:id="2" w:name="_Hlk213863312"/>
      <w:r>
        <w:rPr>
          <w:rFonts w:ascii="Times New Roman" w:hAnsi="Times New Roman"/>
          <w:b/>
          <w:noProof/>
          <w:sz w:val="24"/>
        </w:rPr>
        <w:t>RAPPORT DE LA COMMISSION EUROPÉENNE AU PARLEMENT EUROPÉEN ET AU CONSEIL</w:t>
      </w:r>
    </w:p>
    <w:p w14:paraId="55EB3169" w14:textId="1D145EFE" w:rsidR="46E2CB08" w:rsidRPr="009A7D1E" w:rsidRDefault="46E2CB08" w:rsidP="12876998">
      <w:pPr>
        <w:jc w:val="center"/>
        <w:rPr>
          <w:rFonts w:ascii="Times New Roman" w:eastAsia="Times New Roman" w:hAnsi="Times New Roman" w:cs="Times New Roman"/>
          <w:b/>
          <w:bCs/>
          <w:noProof/>
          <w:sz w:val="24"/>
          <w:szCs w:val="24"/>
        </w:rPr>
      </w:pPr>
    </w:p>
    <w:p w14:paraId="0CA94706" w14:textId="785A9FFD" w:rsidR="00EC272A" w:rsidRPr="00124A30" w:rsidRDefault="4A5EB523" w:rsidP="00B26A4E">
      <w:pPr>
        <w:jc w:val="center"/>
        <w:rPr>
          <w:rFonts w:ascii="Times New Roman" w:eastAsia="Times New Roman" w:hAnsi="Times New Roman" w:cs="Times New Roman"/>
          <w:b/>
          <w:bCs/>
          <w:noProof/>
          <w:sz w:val="24"/>
          <w:szCs w:val="24"/>
        </w:rPr>
      </w:pPr>
      <w:r>
        <w:rPr>
          <w:rFonts w:ascii="Times New Roman" w:hAnsi="Times New Roman"/>
          <w:b/>
          <w:noProof/>
          <w:sz w:val="24"/>
        </w:rPr>
        <w:t>RAPPORT ADOPTÉ EN APPLICATION DE L’ARTICLE 112, PARAGRAPHE 1, DU RÈGLEMENT (UE) 2024/1689, CONCERNANT LA NÉCESSITÉ DE RÉEXAMINER LA LISTE DES PRATIQUES D’IA INTERDITES ET DES SYSTÈMES D’IA À HAUT RISQUE FIGURANT À L’ANNEXE III</w:t>
      </w:r>
      <w:bookmarkEnd w:id="2"/>
    </w:p>
    <w:p w14:paraId="6EA23767" w14:textId="2A28D9CE" w:rsidR="00EC272A" w:rsidRPr="00124A30" w:rsidRDefault="7B24C2CB" w:rsidP="00124A30">
      <w:pPr>
        <w:jc w:val="both"/>
        <w:rPr>
          <w:rFonts w:ascii="Times New Roman" w:eastAsia="Times New Roman" w:hAnsi="Times New Roman" w:cs="Times New Roman"/>
          <w:b/>
          <w:bCs/>
          <w:noProof/>
          <w:sz w:val="24"/>
          <w:szCs w:val="24"/>
        </w:rPr>
      </w:pPr>
      <w:r>
        <w:rPr>
          <w:rFonts w:ascii="Times New Roman" w:hAnsi="Times New Roman"/>
          <w:b/>
          <w:noProof/>
          <w:sz w:val="24"/>
        </w:rPr>
        <w:t xml:space="preserve">1. Contexte et informations générales </w:t>
      </w:r>
    </w:p>
    <w:p w14:paraId="684CC887" w14:textId="6E6229DF" w:rsidR="637298B9" w:rsidRPr="00124A30" w:rsidRDefault="637298B9" w:rsidP="12876998">
      <w:pPr>
        <w:jc w:val="both"/>
        <w:rPr>
          <w:rFonts w:ascii="Times New Roman" w:eastAsia="Times New Roman" w:hAnsi="Times New Roman" w:cs="Times New Roman"/>
          <w:noProof/>
          <w:sz w:val="24"/>
          <w:szCs w:val="24"/>
        </w:rPr>
      </w:pPr>
    </w:p>
    <w:p w14:paraId="71E4ED14" w14:textId="438D961C" w:rsidR="002E0E2D" w:rsidRPr="00124A30" w:rsidRDefault="3E40640A" w:rsidP="00F8614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Le règlement (UE) 2024/1689 du Parlement européen et du Conseil du 13 juin 2024 établissant des règles harmonisées concernant l’intelligence artificielle et modifiant certains règlements (ci-après le «règlement sur l’IA»</w:t>
      </w:r>
      <w:r>
        <w:rPr>
          <w:rStyle w:val="FootnoteReference"/>
          <w:rFonts w:ascii="Times New Roman" w:eastAsia="Times New Roman" w:hAnsi="Times New Roman" w:cs="Times New Roman"/>
          <w:noProof/>
          <w:sz w:val="24"/>
          <w:szCs w:val="24"/>
        </w:rPr>
        <w:footnoteReference w:id="2"/>
      </w:r>
      <w:r>
        <w:rPr>
          <w:rFonts w:ascii="Times New Roman" w:hAnsi="Times New Roman"/>
          <w:noProof/>
          <w:sz w:val="24"/>
        </w:rPr>
        <w:t>) est entré en vigueur le 1</w:t>
      </w:r>
      <w:r>
        <w:rPr>
          <w:rFonts w:ascii="Times New Roman" w:hAnsi="Times New Roman"/>
          <w:noProof/>
          <w:sz w:val="24"/>
          <w:vertAlign w:val="superscript"/>
        </w:rPr>
        <w:t>er</w:t>
      </w:r>
      <w:r>
        <w:rPr>
          <w:rFonts w:ascii="Times New Roman" w:hAnsi="Times New Roman"/>
          <w:noProof/>
          <w:sz w:val="24"/>
        </w:rPr>
        <w:t> août 2024. Ledit règlement établit un cadre juridique complet visant à réglementer l’intelligence artificielle (IA) dans l’Union. Ce cadre a pour but d’encourager l’innovation et l’adoption de l’IA, tout en garantissant un niveau élevé de protection de la santé, de la sécurité et des droits fondamentaux dans l’Union européenne (UE), y compris la démocratie et l’état de droit.</w:t>
      </w:r>
    </w:p>
    <w:p w14:paraId="3FCC01A6" w14:textId="1A791E93" w:rsidR="0056751E" w:rsidRDefault="6247B49D" w:rsidP="00B26A4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Le règlement sur l’IA suit une approche fondée sur les risques, en classant les systèmes d’IA en quatre catégories de risque différentes: i) risque inacceptable; ii) haut risque; iii) risque pour la transparence; et iv) risque minimal, voire nul. Pour la catégorie des risques inacceptables, le règlement sur l’IA énumère des pratiques spécifiques en matière d’IA qui sont interdites dans l’UE (article 5 du règlement sur l’IA). Les systèmes d’IA sont classés comme «à haut risque» conformément à l’article 6 du règlement sur l’IA, en liaison avec l’annexe I («Liste de la législation d’harmonisation de l’Union») et l’annexe III de ce règlement. L’annexe III couvre huit domaines et énumère des cas d’utilisation concrets pour chaque domaine, que le Parlement européen et le Conseil ont considérés comme présentant un risque élevé de causer un préjudice à la santé et la sécurité des personnes ou aux droits fondamentaux. </w:t>
      </w:r>
    </w:p>
    <w:p w14:paraId="69061415" w14:textId="525FC9C2" w:rsidR="00A072CA" w:rsidRPr="00B26A4E" w:rsidRDefault="5CB66026" w:rsidP="00B26A4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Le règlement sur l’IA est conçu comme un instrument juridique flexible et à l’épreuve du temps qui permet d’adapter certaines règles au rythme rapide des évolutions technologiques, ainsi qu’aux changements potentiels dans l’utilisation des systèmes d’IA et aux risques émergents. À cette fin, le règlement sur l’IA prévoit un suivi et une révision continus, afin de garantir que les règles restent pertinentes et efficaces. Cela s’applique avant même l’entrée en application de dispositions spécifiques, telles que les règles applicables aux systèmes d’IA à haut risque. </w:t>
      </w:r>
    </w:p>
    <w:p w14:paraId="53352727" w14:textId="403D21F0" w:rsidR="001E58A4" w:rsidRPr="00C17E29" w:rsidRDefault="68DCE219" w:rsidP="743A9D73">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L’article 112 du règlement sur l’IA prévoit un instrument de suivi spécifique pour évaluer et réexaminer le règlement sur l’IA. L’article 112, paragraphe 1, du règlement sur l’IA charge la Commission d’évaluer la nécessité de modifier la liste des systèmes d’IA à haut risque figurant à l’annexe III et la liste des pratiques d’IA interdites figurant à l’article 5 dudit règlement, une fois par an après l’entrée en vigueur du règlement et jusqu’à la fin de la période de délégation de pouvoir énoncée à son article 97. La Commission doit transmettre les conclusions de cette évaluation au Parlement européen et au Conseil.</w:t>
      </w:r>
    </w:p>
    <w:p w14:paraId="797841E5" w14:textId="06C08E38" w:rsidR="00555A3A" w:rsidRPr="00C17E29" w:rsidRDefault="16386491" w:rsidP="00C17E2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Le présent rapport est le premier adopté au titre de cette disposition. Son objectif est d’évaluer s’il est nécessaire de modifier la liste des cas d’utilisation figurant à l’annexe III ainsi que la liste des pratiques interdites en matière d’IA établie à l’article 5 du règlement sur l’IA afin de faire en sorte que ce règlement reste pertinent et efficace face à l’évolution rapide des technologies de l’IA. Le réexamen de la liste des domaines couverts par l’annexe III n’entre pas dans le cadre du présent rapport, étant donné que la Commission n’est tenue de procéder à ce réexamen que pour le 2 août 2028 au plus tard, conformément à l’article 112, paragraphe 2, du règlement sur l’IA.</w:t>
      </w:r>
    </w:p>
    <w:p w14:paraId="44AD4E6E" w14:textId="4E3B830B" w:rsidR="10F39BD5" w:rsidRPr="00C17E29" w:rsidRDefault="18A90E9B" w:rsidP="00C17E2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Le présent rapport commence par exposer la méthode utilisée pour son élaboration. Il applique ensuite cette méthode pour présenter une évaluation de la nécessité éventuelle de réexaminer la liste des cas d’utilisation à haut risque figurant à l’annexe III et la liste des pratiques interdites en matière d’IA figurant à l’article 5 du règlement sur l’IA.</w:t>
      </w:r>
    </w:p>
    <w:p w14:paraId="466C65D1" w14:textId="2390062D" w:rsidR="285C794C" w:rsidRPr="00C17E29" w:rsidRDefault="4CA10937" w:rsidP="00C17E2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 portée de l’évaluation figurant dans le présent rapport est limitée car le règlement sur l'IA n'est entré en vigueur que récemment et son entrée en application était restreinte au moment de l’adoption du présent rapport. Le chapitre II du règlement sur l’IA («Pratiques interdites en matière d’IA») est entré en application le 2 février 2025. Toutefois, les règles relatives à l’application de ce chapitre ne s’appliqueront qu’à partir du 2 août 2026, et les autorités nationales compétentes sont toujours en cours de désignation. Les obligations relatives aux systèmes d’IA à haut risque énumérés à l’annexe III du règlement sur l’IA s’appliqueront à partir du 2 août 2026. Une éventuelle prolongation de ce délai est par ailleurs à l’examen</w:t>
      </w:r>
      <w:r>
        <w:rPr>
          <w:rStyle w:val="FootnoteReference"/>
          <w:rFonts w:ascii="Times New Roman" w:eastAsia="Times New Roman" w:hAnsi="Times New Roman" w:cs="Times New Roman"/>
          <w:noProof/>
          <w:sz w:val="24"/>
          <w:szCs w:val="24"/>
        </w:rPr>
        <w:footnoteReference w:id="3"/>
      </w:r>
      <w:r>
        <w:rPr>
          <w:rFonts w:ascii="Times New Roman" w:hAnsi="Times New Roman"/>
          <w:noProof/>
          <w:sz w:val="24"/>
        </w:rPr>
        <w:t>. En outre, si les lignes directrices de la Commission sur les pratiques interdites en matière d’IA ont été publiées en février 2025</w:t>
      </w:r>
      <w:r>
        <w:rPr>
          <w:rStyle w:val="FootnoteReference"/>
          <w:rFonts w:ascii="Times New Roman" w:eastAsia="Times New Roman" w:hAnsi="Times New Roman" w:cs="Times New Roman"/>
          <w:noProof/>
          <w:sz w:val="24"/>
          <w:szCs w:val="24"/>
        </w:rPr>
        <w:footnoteReference w:id="4"/>
      </w:r>
      <w:r>
        <w:rPr>
          <w:rFonts w:ascii="Times New Roman" w:hAnsi="Times New Roman"/>
          <w:noProof/>
          <w:sz w:val="24"/>
        </w:rPr>
        <w:t xml:space="preserve">, celles portant sur la classification des systèmes d’IA à haut risque sont toujours en cours d’élaboration. Par conséquent, des précisions concernant certaines notions et la classification de cas spécifiques d’utilisation de l’IA doivent encore être fournies dans ces lignes directrices et développées dans le cadre de l’application pratique de l’annexe III du règlement sur l’IA et des dispositions connexes. </w:t>
      </w:r>
    </w:p>
    <w:p w14:paraId="222E6D57" w14:textId="2FE47243" w:rsidR="637298B9" w:rsidRPr="009A7D1E" w:rsidRDefault="637298B9" w:rsidP="12876998">
      <w:pPr>
        <w:jc w:val="both"/>
        <w:rPr>
          <w:rFonts w:ascii="Times New Roman" w:eastAsia="Times New Roman" w:hAnsi="Times New Roman" w:cs="Times New Roman"/>
          <w:noProof/>
          <w:sz w:val="24"/>
          <w:szCs w:val="24"/>
        </w:rPr>
      </w:pPr>
    </w:p>
    <w:p w14:paraId="00ACF26D" w14:textId="38230FDD" w:rsidR="180F2CC0" w:rsidRPr="009A7D1E" w:rsidRDefault="6FD9954F" w:rsidP="00124A30">
      <w:pPr>
        <w:spacing w:line="257" w:lineRule="auto"/>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2. Méthode adoptée pour le réexamen au titre de l’article 112, paragraphe 1, du règlement sur l’IA</w:t>
      </w:r>
    </w:p>
    <w:p w14:paraId="5F412BD5" w14:textId="1039AC67" w:rsidR="1D739A6E" w:rsidRPr="00486859" w:rsidRDefault="1D739A6E" w:rsidP="12876998">
      <w:pPr>
        <w:spacing w:line="257" w:lineRule="auto"/>
        <w:jc w:val="both"/>
        <w:rPr>
          <w:rFonts w:ascii="Times New Roman" w:eastAsia="Times New Roman" w:hAnsi="Times New Roman" w:cs="Times New Roman"/>
          <w:b/>
          <w:bCs/>
          <w:noProof/>
          <w:color w:val="000000" w:themeColor="text1"/>
          <w:sz w:val="24"/>
          <w:szCs w:val="24"/>
        </w:rPr>
      </w:pPr>
    </w:p>
    <w:p w14:paraId="5A414D0E" w14:textId="72992E87" w:rsidR="234F3A01" w:rsidRPr="00486859" w:rsidRDefault="4BCF677D" w:rsidP="00486859">
      <w:pPr>
        <w:pStyle w:val="ListParagraph"/>
        <w:numPr>
          <w:ilvl w:val="0"/>
          <w:numId w:val="42"/>
        </w:numPr>
        <w:jc w:val="both"/>
        <w:rPr>
          <w:rFonts w:ascii="Times New Roman" w:hAnsi="Times New Roman" w:cs="Times New Roman"/>
          <w:noProof/>
        </w:rPr>
      </w:pPr>
      <w:r>
        <w:rPr>
          <w:rFonts w:ascii="Times New Roman" w:hAnsi="Times New Roman"/>
          <w:noProof/>
          <w:sz w:val="24"/>
        </w:rPr>
        <w:t>Conformément à l’article 112, paragraphe 11, du règlement sur l’IA, afin d’orienter les évaluations et les réexamens visés à son article 112, paragraphe 1, le Bureau de l’IA entreprendra de mettre au point une méthode objective et participative pour l’évaluation des niveaux de risque fondée sur les critères décrits dans les articles pertinents et l’inclusion de nouveaux systèmes dans la liste figurant à l’annexe III, y compris l’extension des rubriques de domaine existantes ou l’ajout de nouvelles rubriques de domaine dans ladite annexe, ainsi que dans la liste des pratiques interdites figurant à l’article 5 dudit règlement.</w:t>
      </w:r>
    </w:p>
    <w:p w14:paraId="08DE317A" w14:textId="0B7047FE" w:rsidR="694340A3" w:rsidRPr="00486859" w:rsidRDefault="48EED8CF" w:rsidP="00486859">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 présente section du rapport présente l’approche méthodologique mise au point par le Bureau de l’IA pour garantir le respect de cette obligation lors de l’élaboration du présent rapport. Tout d’abord, elle donne un aperçu des critères juridiques applicables au réexamen de la liste des pratiques interdites en matière d’IA établie à l’article 5 du règlement sur l’IA et de la liste des systèmes d’IA à haut risque figurant à l’annexe III (section 2.1 ci-dessous). Ces critères juridiques éclairent l’évaluation plus approfondie de la nécessité d’un éventuel réexamen, en particulier s’agissant de systèmes d’IA spécifiques susceptibles de relever de ces deux catégories. Ensuite, le rapport décrit les méthodes participatives utilisées pour la collecte et l’analyse des éléments de preuve, ainsi que l’approche suivie tout au long du processus d’évaluation (section 2.2 ci-dessous).</w:t>
      </w:r>
    </w:p>
    <w:p w14:paraId="1C99D399" w14:textId="5211196E" w:rsidR="637298B9" w:rsidRPr="009A7D1E" w:rsidRDefault="637298B9" w:rsidP="12876998">
      <w:pPr>
        <w:spacing w:line="257" w:lineRule="auto"/>
        <w:jc w:val="both"/>
        <w:rPr>
          <w:rFonts w:ascii="Times New Roman" w:eastAsia="Times New Roman" w:hAnsi="Times New Roman" w:cs="Times New Roman"/>
          <w:b/>
          <w:bCs/>
          <w:noProof/>
          <w:color w:val="000000" w:themeColor="text1"/>
          <w:sz w:val="24"/>
          <w:szCs w:val="24"/>
        </w:rPr>
      </w:pPr>
    </w:p>
    <w:p w14:paraId="686247D1" w14:textId="41BE27FE" w:rsidR="1D739A6E" w:rsidRPr="009A7D1E" w:rsidRDefault="59392403" w:rsidP="00124A30">
      <w:pPr>
        <w:spacing w:line="257" w:lineRule="auto"/>
        <w:ind w:left="720"/>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2.1. Critères juridiques permettant d’évaluer la nécessité de modifier la liste des pratiques interdites en matière d’IA établie à l’article 5 du règlement sur l’IA et la liste des cas d’utilisation à haut risque figurant à l’annexe III du règlement sur l’IA</w:t>
      </w:r>
    </w:p>
    <w:p w14:paraId="46A33795" w14:textId="161F9964" w:rsidR="23688059" w:rsidRPr="009A7D1E" w:rsidRDefault="23688059" w:rsidP="12876998">
      <w:pPr>
        <w:spacing w:line="257" w:lineRule="auto"/>
        <w:jc w:val="both"/>
        <w:rPr>
          <w:rFonts w:ascii="Times New Roman" w:eastAsia="Times New Roman" w:hAnsi="Times New Roman" w:cs="Times New Roman"/>
          <w:noProof/>
          <w:sz w:val="24"/>
          <w:szCs w:val="24"/>
        </w:rPr>
      </w:pPr>
    </w:p>
    <w:p w14:paraId="35A43BD1" w14:textId="4C7EB111" w:rsidR="2A2632AD" w:rsidRPr="00486859" w:rsidRDefault="74506B80"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L’évaluation de la nécessité de modifier la liste des pratiques interdites en matière d’IA au titre de l’article 5 du règlement sur l’IA, ainsi que les cas d’utilisation à haut risque énoncés à l’annexe III du règlement sur l’IA, est fondée sur des critères juridiques. Dans le cas de l’annexe III du règlement sur l’IA, ces critères sont explicitement prévus dans le règlement lui-même (article 7), tandis que pour l’article 5 du règlement sur l’IA, ils sont déduits de la logique qui sous-tend l’acte législatif.</w:t>
      </w:r>
    </w:p>
    <w:p w14:paraId="7F35069C" w14:textId="73CEFC00" w:rsidR="637298B9" w:rsidRPr="00C565EC" w:rsidRDefault="637298B9" w:rsidP="12876998">
      <w:pPr>
        <w:jc w:val="both"/>
        <w:rPr>
          <w:rFonts w:ascii="Times New Roman" w:eastAsia="Times New Roman" w:hAnsi="Times New Roman" w:cs="Times New Roman"/>
          <w:b/>
          <w:bCs/>
          <w:noProof/>
          <w:sz w:val="24"/>
          <w:szCs w:val="24"/>
        </w:rPr>
      </w:pPr>
    </w:p>
    <w:p w14:paraId="370DA4D6" w14:textId="06FF1E81" w:rsidR="0E74A139" w:rsidRPr="009A7D1E" w:rsidRDefault="251B0994" w:rsidP="12876998">
      <w:pPr>
        <w:jc w:val="both"/>
        <w:rPr>
          <w:rFonts w:ascii="Times New Roman" w:eastAsia="Times New Roman" w:hAnsi="Times New Roman" w:cs="Times New Roman"/>
          <w:b/>
          <w:bCs/>
          <w:noProof/>
          <w:sz w:val="24"/>
          <w:szCs w:val="24"/>
        </w:rPr>
      </w:pPr>
      <w:r>
        <w:rPr>
          <w:rFonts w:ascii="Times New Roman" w:hAnsi="Times New Roman"/>
          <w:b/>
          <w:noProof/>
          <w:sz w:val="24"/>
        </w:rPr>
        <w:t>2.1.1. Critères de révision de la liste des interdictions figurant à l’article 5</w:t>
      </w:r>
    </w:p>
    <w:p w14:paraId="2B67AEAB" w14:textId="788FC75B" w:rsidR="0E74A139" w:rsidRPr="009A7D1E" w:rsidRDefault="0E74A139" w:rsidP="12876998">
      <w:pPr>
        <w:jc w:val="both"/>
        <w:rPr>
          <w:rFonts w:ascii="Times New Roman" w:eastAsia="Times New Roman" w:hAnsi="Times New Roman" w:cs="Times New Roman"/>
          <w:noProof/>
          <w:sz w:val="24"/>
          <w:szCs w:val="24"/>
        </w:rPr>
      </w:pPr>
    </w:p>
    <w:p w14:paraId="134026F6" w14:textId="083130CF" w:rsidR="0E74A139" w:rsidRPr="00486859" w:rsidRDefault="62054E75"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L’article 5 du règlement sur l’IA interdit la mise sur le marché, la mise en service ou l’utilisation d’un nombre limité de systèmes d’IA à l’appui de pratiques de manipulation, d’exploitation, de contrôle social, de surveillance ou autres, qui, de par leur nature même, violent les droits fondamentaux et les valeurs de l’UE. Le considérant 28 du règlement sur l’IA précise que de telles pratiques sont particulièrement néfastes et abusives car elles sont contraires aux valeurs de l’Union relatives au respect de la dignité humaine, à la liberté, à l’égalité, à la démocratie et à l’état de droit, ainsi qu’aux droits fondamentaux consacrés dans la charte des droits fondamentaux de l’Union européenne (ci-après la «Charte»)</w:t>
      </w:r>
      <w:r>
        <w:rPr>
          <w:rStyle w:val="FootnoteReference"/>
          <w:rFonts w:ascii="Times New Roman" w:eastAsia="Times New Roman" w:hAnsi="Times New Roman" w:cs="Times New Roman"/>
          <w:noProof/>
          <w:sz w:val="24"/>
          <w:szCs w:val="24"/>
        </w:rPr>
        <w:footnoteReference w:id="5"/>
      </w:r>
      <w:r>
        <w:rPr>
          <w:rFonts w:ascii="Times New Roman" w:hAnsi="Times New Roman"/>
          <w:noProof/>
          <w:sz w:val="24"/>
        </w:rPr>
        <w:t>. Par conséquent, un réexamen de l’article 5 du règlement sur l’IA peut être justifié chaque fois que des éléments de preuve substantiels donnent à penser que les interdictions actuelles ne prennent pas en compte de manière adéquate des pratiques d’IA nouvelles ou émergentes qui portent effectivement atteinte aux valeurs de l’Union ou aux droits fondamentaux consacrés par la Charte et sont considérées comme particulièrement néfastes et abusives.</w:t>
      </w:r>
    </w:p>
    <w:p w14:paraId="34115DCF" w14:textId="18774089" w:rsidR="0E74A139" w:rsidRPr="00486859" w:rsidRDefault="2DD64E1B"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En outre, l’article 5, paragraphe 8, du règlement sur l’IA dispose que ledit règlement n’affecte pas les interdictions existantes au titre d’autres actes législatifs de l’Union. Cette disposition met l’accent sur les interactions qui se produisent entre le règlement sur l’IA et d’autres cadres juridiques du fait de la nature horizontale du règlement</w:t>
      </w:r>
      <w:r>
        <w:rPr>
          <w:rStyle w:val="FootnoteReference"/>
          <w:rFonts w:ascii="Times New Roman" w:eastAsia="Times New Roman" w:hAnsi="Times New Roman" w:cs="Times New Roman"/>
          <w:noProof/>
          <w:sz w:val="24"/>
          <w:szCs w:val="24"/>
        </w:rPr>
        <w:footnoteReference w:id="6"/>
      </w:r>
      <w:r>
        <w:rPr>
          <w:rFonts w:ascii="Times New Roman" w:hAnsi="Times New Roman"/>
          <w:noProof/>
          <w:sz w:val="24"/>
        </w:rPr>
        <w:t>. Dans l’ensemble, les interdictions prévues par le règlement sur l’IA visent principalement à traiter les cas qui ne sont prévus dans aucun autre acte législatif de l’UE et pour lesquels il convient d’adopter des règles fondées sur le marché et propres à l’IA. Toutefois, si d’autres actes juridiques de l’UE peuvent s’appliquer en parallèle, ils abordent inévitablement les questions sous des angles différents, avec des mécanismes d’application différents, et pourraient donc ne pas tenir suffisamment compte des risques globaux de certaines pratiques inacceptables en matière d’IA.</w:t>
      </w:r>
    </w:p>
    <w:p w14:paraId="20D10C68" w14:textId="6C880FC9" w:rsidR="0E74A139" w:rsidRPr="00486859" w:rsidRDefault="78E74F3F"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En conséquence, l’approche adoptée par la Commission pour réexaminer la liste des pratiques interdites en matière d’IA figurant à l’article 5 du règlement sur l’IA consiste à évaluer la nécessité d’un réexamen, sous réserve d’au moins deux conditions cumulatives: </w:t>
      </w:r>
    </w:p>
    <w:p w14:paraId="6A2CBC86" w14:textId="4263C67B" w:rsidR="0E74A139" w:rsidRPr="009A7D1E" w:rsidRDefault="630E5154" w:rsidP="00B1256E">
      <w:pPr>
        <w:pStyle w:val="ListParagraph"/>
        <w:numPr>
          <w:ilvl w:val="0"/>
          <w:numId w:val="28"/>
        </w:numPr>
        <w:spacing w:after="0" w:line="257" w:lineRule="auto"/>
        <w:ind w:left="1074" w:hanging="357"/>
        <w:jc w:val="both"/>
        <w:rPr>
          <w:rFonts w:ascii="Times New Roman" w:eastAsia="Times New Roman" w:hAnsi="Times New Roman" w:cs="Times New Roman"/>
          <w:noProof/>
          <w:sz w:val="24"/>
          <w:szCs w:val="24"/>
        </w:rPr>
      </w:pPr>
      <w:r>
        <w:rPr>
          <w:rFonts w:ascii="Times New Roman" w:hAnsi="Times New Roman"/>
          <w:noProof/>
          <w:sz w:val="24"/>
        </w:rPr>
        <w:t>il existe des pratiques d’IA nouvelles ou émergentes qui portent atteinte aux valeurs de l’Union ou aux droits et libertés énoncés dans la Charte et qui ne sont pas couvertes par la liste actuelle des pratiques interdites figurant à l’article 5 du règlement sur l’IA; et</w:t>
      </w:r>
    </w:p>
    <w:p w14:paraId="3A5FDF9B" w14:textId="620CAB65" w:rsidR="0E74A139" w:rsidRPr="009A7D1E" w:rsidRDefault="61128D9C" w:rsidP="00B1256E">
      <w:pPr>
        <w:pStyle w:val="ListParagraph"/>
        <w:numPr>
          <w:ilvl w:val="0"/>
          <w:numId w:val="28"/>
        </w:numPr>
        <w:spacing w:after="0" w:line="257" w:lineRule="auto"/>
        <w:ind w:left="1074" w:hanging="357"/>
        <w:jc w:val="both"/>
        <w:rPr>
          <w:rFonts w:ascii="Times New Roman" w:eastAsia="Times New Roman" w:hAnsi="Times New Roman" w:cs="Times New Roman"/>
          <w:noProof/>
          <w:sz w:val="24"/>
          <w:szCs w:val="24"/>
        </w:rPr>
      </w:pPr>
      <w:r>
        <w:rPr>
          <w:rFonts w:ascii="Times New Roman" w:hAnsi="Times New Roman"/>
          <w:noProof/>
          <w:sz w:val="24"/>
        </w:rPr>
        <w:t>des lacunes réglementaires persistent malgré d’autres actes législatifs applicables de l’UE, ce qui nécessite un réexamen des interdictions du règlement sur l’IA afin de faire en sorte que les pratiques préjudiciables en matière d’IA soient couvertes de manière exhaustive.</w:t>
      </w:r>
    </w:p>
    <w:p w14:paraId="52CE59E2" w14:textId="65FAD1BE" w:rsidR="7743D229" w:rsidRPr="00486859" w:rsidRDefault="4C19C040"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L’article 5 ne peut être modifié que par voie législative. Par conséquent, s’il s’avère nécessaire de modifier l’article 5 du règlement sur l’IA, la Commission présentera les conclusions de son évaluation au Parlement européen et au Conseil et examinera la nécessité de présenter une proposition législative à cet effet. </w:t>
      </w:r>
    </w:p>
    <w:p w14:paraId="14D10B0D" w14:textId="0A928AC0" w:rsidR="030E4CE9" w:rsidRPr="009A7D1E" w:rsidRDefault="030E4CE9" w:rsidP="12876998">
      <w:pPr>
        <w:spacing w:line="257" w:lineRule="auto"/>
        <w:jc w:val="both"/>
        <w:rPr>
          <w:rFonts w:ascii="Times New Roman" w:eastAsia="Times New Roman" w:hAnsi="Times New Roman" w:cs="Times New Roman"/>
          <w:noProof/>
          <w:sz w:val="24"/>
          <w:szCs w:val="24"/>
        </w:rPr>
      </w:pPr>
    </w:p>
    <w:p w14:paraId="1C12A404" w14:textId="4F89851D" w:rsidR="0E74A139" w:rsidRPr="009A7D1E" w:rsidRDefault="21143993" w:rsidP="12876998">
      <w:pPr>
        <w:jc w:val="both"/>
        <w:rPr>
          <w:rFonts w:ascii="Times New Roman" w:eastAsia="Times New Roman" w:hAnsi="Times New Roman" w:cs="Times New Roman"/>
          <w:b/>
          <w:bCs/>
          <w:noProof/>
          <w:sz w:val="24"/>
          <w:szCs w:val="24"/>
        </w:rPr>
      </w:pPr>
      <w:r>
        <w:rPr>
          <w:rFonts w:ascii="Times New Roman" w:hAnsi="Times New Roman"/>
          <w:b/>
          <w:noProof/>
          <w:sz w:val="24"/>
        </w:rPr>
        <w:t>2.1.2. Critères de révision de la liste des systèmes d’IA à haut risque figurant à l’annexe III</w:t>
      </w:r>
    </w:p>
    <w:p w14:paraId="1D22E747" w14:textId="212CAB67" w:rsidR="0E74A139" w:rsidRPr="009A7D1E" w:rsidRDefault="0E74A139" w:rsidP="12876998">
      <w:pPr>
        <w:spacing w:line="257" w:lineRule="auto"/>
        <w:jc w:val="both"/>
        <w:rPr>
          <w:rFonts w:ascii="Times New Roman" w:eastAsia="Times New Roman" w:hAnsi="Times New Roman" w:cs="Times New Roman"/>
          <w:noProof/>
          <w:sz w:val="24"/>
          <w:szCs w:val="24"/>
        </w:rPr>
      </w:pPr>
    </w:p>
    <w:p w14:paraId="05636EA3" w14:textId="5066E405" w:rsidR="000D5612" w:rsidRPr="00486859" w:rsidRDefault="523E2490"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L’article 6 du règlement sur l’IA, en liaison avec les annexes I et III, traite de certaines utilisations des systèmes d’IA qui sont classées comme étant à haut risque en raison du risque important qu’elles présentent pour la santé et la sécurité, ou pour les droits fondamentaux des personnes. Les systèmes d’IA à haut risque ne devraient être mis sur le marché de l’Union, mis en service ou utilisés que s’ils satisfont à certaines exigences obligatoires énoncées dans le règlement sur l’IA et destinées à faire face à ces risques. </w:t>
      </w:r>
    </w:p>
    <w:p w14:paraId="1B5E1F2A" w14:textId="54508954" w:rsidR="0E74A139" w:rsidRPr="00407A01" w:rsidRDefault="49276C4D" w:rsidP="12876998">
      <w:pPr>
        <w:spacing w:line="257"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Limitation de l’examen aux cas d’utilisation des systèmes d’IA à haut risque énumérés à l’annexe III </w:t>
      </w:r>
    </w:p>
    <w:p w14:paraId="0BD5CDBA" w14:textId="3AA0727B" w:rsidR="00486859" w:rsidRDefault="5AFA9F2A"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Le règlement sur l’IA établit une distinction entre deux catégories de systèmes d’IA qui sont classés comme «à haut risque» au sens de l’article 6, paragraphes 1 et 2, du règlement sur l’IA. La première catégorie est constituée des systèmes d’IA qui sont intégrés en tant que composants de sécurité dans des produits ou qui sont eux-mêmes des produits régis par la législation d’harmonisation de l’Union répertoriée à l’annexe I, qui pourraient avoir une incidence négative sur la santé et la sécurité des personnes, et qui sont donc classés comme étant à haut risque conformément à l’article 6, paragraphe 1, du règlement sur l’IA. La deuxième catégorie couvre des systèmes d’IA qui, compte tenu de leur destination, sont considérés comme présentant un risque important pour la santé, la sécurité ou les droits fondamentaux et qui sont donc classés comme étant à haut risque conformément à l’article 6, paragraphe 2, du règlement sur l’IA.</w:t>
      </w:r>
    </w:p>
    <w:p w14:paraId="3259BFCC" w14:textId="70424D87" w:rsidR="0E74A139" w:rsidRPr="00486859" w:rsidRDefault="3079C993"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Étant donné que l’article 112, paragraphe 1, du règlement sur l’IA met l’accent sur la nécessité éventuelle d’un réexamen des cas d’utilisation à haut risque énumérés à l’annexe III, les systèmes d’IA qui sont des composants de sécurité de produits, ou qui sont eux-mêmes des produits, relevant du champ d’application de certaines législations d’harmonisation de l’UE énumérées à l’annexe I, n’entrent pas dans le cadre du présent rapport. La référence aux systèmes d’IA à haut risque dans le présent rapport renvoie uniquement aux systèmes d’IA autonomes</w:t>
      </w:r>
      <w:r>
        <w:rPr>
          <w:rStyle w:val="FootnoteReference"/>
          <w:rFonts w:ascii="Times New Roman" w:eastAsia="Times New Roman" w:hAnsi="Times New Roman" w:cs="Times New Roman"/>
          <w:noProof/>
          <w:sz w:val="24"/>
          <w:szCs w:val="24"/>
        </w:rPr>
        <w:footnoteReference w:id="7"/>
      </w:r>
      <w:r>
        <w:rPr>
          <w:rFonts w:ascii="Times New Roman" w:hAnsi="Times New Roman"/>
          <w:noProof/>
          <w:sz w:val="24"/>
        </w:rPr>
        <w:t xml:space="preserve"> relevant des domaines prédéfinis énumérés à l’annexe III.</w:t>
      </w:r>
    </w:p>
    <w:p w14:paraId="4C5F1625" w14:textId="18908AFF" w:rsidR="3F361A87" w:rsidRPr="009A7D1E" w:rsidRDefault="35A970FA" w:rsidP="49B70A6B">
      <w:pPr>
        <w:spacing w:line="257"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Critères énumérés à l’article 7 pour la modification des cas d’utilisation de systèmes d’IA à haut risque </w:t>
      </w:r>
    </w:p>
    <w:p w14:paraId="2DC10839" w14:textId="6AB5CA99" w:rsidR="0E74A139" w:rsidRPr="009A7D1E" w:rsidDel="00904BDE" w:rsidRDefault="71AFF680" w:rsidP="49B70A6B">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L’article 7 du règlement sur l’IA habilite la Commission à modifier, par voie d’actes délégués, l’annexe III en ajoutant, modifiant ou supprimant des cas d’utilisation de systèmes d’IA à haut risque afin de tenir compte du rythme rapide de l’évolution technologique, ainsi que des changements potentiels dans l’utilisation des systèmes d’IA (voir également les considérants 52 et 173 du règlement sur l’IA). Cette habilitation est soumise aux conditions énoncées à l’article 7, paragraphes 1 à 3, du règlement sur l’IA.</w:t>
      </w:r>
    </w:p>
    <w:p w14:paraId="3E69AD5C" w14:textId="4C144445" w:rsidR="0E74A139" w:rsidRPr="009A7D1E" w:rsidDel="00904BDE" w:rsidRDefault="143171FF"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Tout d’abord, l’article 7, paragraphe 1, du règlement sur l’IA dispose que la Commission peut adopter des actes délégués pour ajouter de nouveaux cas d’utilisation à l’annexe III ou pour modifier ceux actuellement énumérés dans cette annexe, à condition i) que les systèmes d’IA soient destinés à être utilisés dans l’un des huit domaines énumérés à l’annexe III et ii) qu’ils présentent un risque de préjudice équivalent ou supérieur à ceux que présentent les systèmes déjà énumérés. Cette deuxième condition fixe un seuil d’évaluation comparative des risques: une condition essentielle pour dresser la liste des cas d’utilisation supplémentaires de systèmes d’IA à haut risque est qu’ils doivent présenter un risque de préjudice pour la santé et la sécurité, ou un risque d’incidence négative sur les droits fondamentaux, équivalent au risque que présentent les systèmes déjà visés à l’annexe III. Cela garantit la cohérence et la proportionnalité dans la classification des systèmes d’IA à haut risque.</w:t>
      </w:r>
    </w:p>
    <w:p w14:paraId="5F32B83F" w14:textId="5461A9A9" w:rsidR="0E74A139" w:rsidRPr="00486859" w:rsidRDefault="78F89BCE"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L’article 7, paragraphe 2, définit les critères à prendre en considération pour déterminer si ce seuil est atteint. Il s’agit notamment de la destination du système d’IA, de la mesure dans laquelle il est susceptible d’être utilisé, de la nature des données traitées, et de l’ampleur actuelle et potentielle du préjudice. Le considérant 52 du règlement sur l’IA précise la logique sous-jacente de ces critères en établissant qu’il convient de classer les systèmes d’IA autonomes comme étant à haut risque si, au vu de leur destination, ils présentent un risque élevé de causer un préjudice à la santé, à la sécurité ou aux droits fondamentaux des citoyens, en tenant compte à la fois de la gravité et de la probabilité du préjudice éventuel, et s’ils sont utilisés dans un certain nombre de domaines spécifiquement prédéfinis dans le règlement sur l’IA. La Commission dispose d’une certaine marge d’appréciation dans l’application des critères, pour autant qu’ils soient dûment pris en compte et considérés comme remplis dans l’évaluation globale. </w:t>
      </w:r>
    </w:p>
    <w:p w14:paraId="4A8F8A06" w14:textId="41B6A770" w:rsidR="00BA5791" w:rsidRPr="00486859" w:rsidRDefault="00BA5791" w:rsidP="00486859">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Par conséquent, la modification de la liste figurant à l’annexe III du règlement sur l’IA ne se fonde pas seulement sur la nouveauté technologique ou une préoccupation publique, mais sur l’existence d’un risque démontrable et comparable présenté par des systèmes d’IA pour la santé, la sécurité ou les droits fondamentaux, semblable à celui des systèmes d’IA actuellement énumérés à l’annexe III.</w:t>
      </w:r>
    </w:p>
    <w:p w14:paraId="6165C937" w14:textId="274D5D20" w:rsidR="3714F808" w:rsidRPr="009A7D1E" w:rsidRDefault="02E5A530" w:rsidP="12876998">
      <w:pPr>
        <w:spacing w:line="257"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Suppression de cas d’utilisation de systèmes d’IA à haut risque de l’annexe III</w:t>
      </w:r>
    </w:p>
    <w:p w14:paraId="10BFFD6B" w14:textId="3DCDA028" w:rsidR="0E74A139" w:rsidRPr="00486859" w:rsidRDefault="0CD2668C" w:rsidP="743A9D73">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L’article 7, paragraphe 3, du règlement sur l’IA précise les conditions à remplir pour supprimer des systèmes d’IA à haut risque de la liste de l’annexe III. À cette fin, la Commission doit démontrer que le cas d’utilisation ne présente plus de risque élevé de préjudice et que sa suppression ne réduirait pas le niveau global de protection de la santé et de la sécurité ou des droits fondamentaux</w:t>
      </w:r>
      <w:r>
        <w:rPr>
          <w:rFonts w:ascii="Times New Roman" w:hAnsi="Times New Roman"/>
          <w:noProof/>
          <w:color w:val="333333"/>
          <w:sz w:val="24"/>
        </w:rPr>
        <w:t xml:space="preserve"> en vertu du </w:t>
      </w:r>
      <w:r>
        <w:rPr>
          <w:rFonts w:ascii="Times New Roman" w:hAnsi="Times New Roman"/>
          <w:noProof/>
          <w:sz w:val="24"/>
        </w:rPr>
        <w:t>droit de l’Union.</w:t>
      </w:r>
    </w:p>
    <w:p w14:paraId="65B8C411" w14:textId="7F50841C" w:rsidR="45274325" w:rsidRPr="009A7D1E" w:rsidRDefault="45274325" w:rsidP="12876998">
      <w:pPr>
        <w:spacing w:line="257" w:lineRule="auto"/>
        <w:jc w:val="both"/>
        <w:rPr>
          <w:rFonts w:ascii="Times New Roman" w:eastAsia="Times New Roman" w:hAnsi="Times New Roman" w:cs="Times New Roman"/>
          <w:noProof/>
          <w:sz w:val="24"/>
          <w:szCs w:val="24"/>
        </w:rPr>
      </w:pPr>
    </w:p>
    <w:p w14:paraId="7B27E65B" w14:textId="1C223178" w:rsidR="45274325" w:rsidRPr="009A7D1E" w:rsidRDefault="03E2F99E" w:rsidP="00124A30">
      <w:pPr>
        <w:spacing w:line="257" w:lineRule="auto"/>
        <w:ind w:left="720"/>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2.2. Méthode de collecte et d’analyse objective et participative d’éléments de preuve utilisée dans le présent rapport et procédures suivies</w:t>
      </w:r>
    </w:p>
    <w:p w14:paraId="7F313B41" w14:textId="08B6B18C" w:rsidR="23688059" w:rsidRPr="009A7D1E" w:rsidRDefault="23688059" w:rsidP="12876998">
      <w:pPr>
        <w:spacing w:after="0" w:line="257" w:lineRule="auto"/>
        <w:jc w:val="both"/>
        <w:rPr>
          <w:rFonts w:ascii="Times New Roman" w:eastAsia="Times New Roman" w:hAnsi="Times New Roman" w:cs="Times New Roman"/>
          <w:noProof/>
          <w:sz w:val="24"/>
          <w:szCs w:val="24"/>
        </w:rPr>
      </w:pPr>
    </w:p>
    <w:p w14:paraId="7EBF941F" w14:textId="2AB79E30" w:rsidR="04EF83AA" w:rsidRPr="00474F7A" w:rsidRDefault="446D0AEE"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Conformément à l’article 112, paragraphe 11, du </w:t>
      </w:r>
      <w:r>
        <w:rPr>
          <w:rFonts w:ascii="Times New Roman" w:hAnsi="Times New Roman"/>
          <w:noProof/>
          <w:color w:val="333333"/>
          <w:sz w:val="24"/>
        </w:rPr>
        <w:t>règlement sur l’IA, le Bureau de l’IA doit entreprendre de mettre au point une méthode objective et participative</w:t>
      </w:r>
      <w:r>
        <w:rPr>
          <w:rFonts w:ascii="Times New Roman" w:hAnsi="Times New Roman"/>
          <w:noProof/>
          <w:sz w:val="24"/>
        </w:rPr>
        <w:t xml:space="preserve"> </w:t>
      </w:r>
      <w:r>
        <w:rPr>
          <w:rFonts w:ascii="Times New Roman" w:hAnsi="Times New Roman"/>
          <w:noProof/>
          <w:color w:val="333333"/>
          <w:sz w:val="24"/>
        </w:rPr>
        <w:t>pour l’évaluation de la nécessité d’un réexamen</w:t>
      </w:r>
      <w:r>
        <w:rPr>
          <w:rFonts w:ascii="Times New Roman" w:hAnsi="Times New Roman"/>
          <w:noProof/>
          <w:sz w:val="24"/>
        </w:rPr>
        <w:t xml:space="preserve"> couverte par le rapport</w:t>
      </w:r>
      <w:r>
        <w:rPr>
          <w:rFonts w:ascii="Times New Roman" w:hAnsi="Times New Roman"/>
          <w:noProof/>
          <w:color w:val="333333"/>
          <w:sz w:val="24"/>
        </w:rPr>
        <w:t>. En outre,</w:t>
      </w:r>
      <w:r>
        <w:rPr>
          <w:rFonts w:ascii="Times New Roman" w:hAnsi="Times New Roman"/>
          <w:noProof/>
          <w:sz w:val="24"/>
        </w:rPr>
        <w:t xml:space="preserve"> conformément à l’article 112, paragraphes 8 et 9, du règlement sur l’IA, la Commission peut demander des informations au Comité européen de l’intelligence artificielle (ci-après le «Comité IA»), aux États membres et aux autorités nationales compétentes lors de l’élaboration de son rapport et elle doit tenir compte des positions et des conclusions du Comité IA, du Parlement européen, du Conseil et d’autres organismes ou sources pertinents lors de ses évaluations et réexamens. </w:t>
      </w:r>
    </w:p>
    <w:p w14:paraId="3BF8A98A" w14:textId="0E5DA2EB" w:rsidR="04EF83AA" w:rsidRPr="00474F7A" w:rsidRDefault="163DB3BA"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Conformément à ces dispositions, la Commission a appliqué la méthode suivante pour l’élaboration du présent rapport:</w:t>
      </w:r>
    </w:p>
    <w:p w14:paraId="7B0E5795" w14:textId="565B72F4" w:rsidR="04EF83AA" w:rsidRPr="009A7D1E" w:rsidRDefault="43F8E810" w:rsidP="12876998">
      <w:pPr>
        <w:pStyle w:val="ListParagraph"/>
        <w:numPr>
          <w:ilvl w:val="0"/>
          <w:numId w:val="14"/>
        </w:numPr>
        <w:spacing w:line="257"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Dialogue avec le Comité IA et consultation des États membres et des autorités nationales compétentes </w:t>
      </w:r>
    </w:p>
    <w:p w14:paraId="0F2618C3" w14:textId="7B09F148" w:rsidR="04EF83AA" w:rsidRPr="009A7D1E" w:rsidRDefault="6EB4C1F6" w:rsidP="743A9D73">
      <w:pPr>
        <w:pStyle w:val="ListParagraph"/>
        <w:spacing w:line="257" w:lineRule="auto"/>
        <w:ind w:left="1440"/>
        <w:jc w:val="both"/>
        <w:rPr>
          <w:rFonts w:ascii="Times New Roman" w:eastAsia="Times New Roman" w:hAnsi="Times New Roman" w:cs="Times New Roman"/>
          <w:noProof/>
          <w:sz w:val="24"/>
          <w:szCs w:val="24"/>
        </w:rPr>
      </w:pPr>
      <w:r>
        <w:rPr>
          <w:rFonts w:ascii="Times New Roman" w:hAnsi="Times New Roman"/>
          <w:noProof/>
          <w:sz w:val="24"/>
        </w:rPr>
        <w:t>La Commission a noué un dialogue avec les États membres et leurs autorités nationales compétentes respectives dans le cadre du processus de désignation, en soumettant des questions pertinentes par l’intermédiaire du Comité IA. Plusieurs sous-groupes du Comité IA ont participé à ce processus.</w:t>
      </w:r>
    </w:p>
    <w:p w14:paraId="4BCC865B" w14:textId="77777777" w:rsidR="00BA5791" w:rsidRPr="00BA5791" w:rsidRDefault="072F19CB" w:rsidP="12876998">
      <w:pPr>
        <w:pStyle w:val="ListParagraph"/>
        <w:numPr>
          <w:ilvl w:val="0"/>
          <w:numId w:val="13"/>
        </w:numPr>
        <w:spacing w:line="257" w:lineRule="auto"/>
        <w:jc w:val="both"/>
        <w:rPr>
          <w:rFonts w:ascii="Times New Roman" w:eastAsia="Times New Roman" w:hAnsi="Times New Roman" w:cs="Times New Roman"/>
          <w:noProof/>
          <w:sz w:val="24"/>
          <w:szCs w:val="24"/>
        </w:rPr>
      </w:pPr>
      <w:r>
        <w:rPr>
          <w:rFonts w:ascii="Times New Roman" w:hAnsi="Times New Roman"/>
          <w:b/>
          <w:noProof/>
          <w:sz w:val="24"/>
        </w:rPr>
        <w:t>Consultation des parties prenantes</w:t>
      </w:r>
    </w:p>
    <w:p w14:paraId="0F368FEF" w14:textId="339EB917" w:rsidR="04EF83AA" w:rsidRPr="009A7D1E" w:rsidRDefault="70B32BB9" w:rsidP="743A9D73">
      <w:pPr>
        <w:pStyle w:val="ListParagraph"/>
        <w:spacing w:line="257" w:lineRule="auto"/>
        <w:ind w:left="1440"/>
        <w:jc w:val="both"/>
        <w:rPr>
          <w:rFonts w:ascii="Times New Roman" w:eastAsia="Times New Roman" w:hAnsi="Times New Roman" w:cs="Times New Roman"/>
          <w:noProof/>
          <w:sz w:val="24"/>
          <w:szCs w:val="24"/>
        </w:rPr>
      </w:pPr>
      <w:r>
        <w:rPr>
          <w:rFonts w:ascii="Times New Roman" w:hAnsi="Times New Roman"/>
          <w:noProof/>
          <w:sz w:val="24"/>
        </w:rPr>
        <w:t>Une consultation multipartite a été menée afin de recueillir les avis et les points de vue d’un large éventail de parties prenantes, y compris des représentants de l’industrie, du monde universitaire, de la société civile et du grand public.</w:t>
      </w:r>
    </w:p>
    <w:p w14:paraId="3FA43253" w14:textId="376B3830" w:rsidR="04EF83AA" w:rsidRPr="009A7D1E" w:rsidRDefault="5937559D" w:rsidP="12876998">
      <w:pPr>
        <w:pStyle w:val="ListParagraph"/>
        <w:numPr>
          <w:ilvl w:val="0"/>
          <w:numId w:val="13"/>
        </w:numPr>
        <w:spacing w:line="257" w:lineRule="auto"/>
        <w:jc w:val="both"/>
        <w:rPr>
          <w:rFonts w:ascii="Times New Roman" w:eastAsia="Times New Roman" w:hAnsi="Times New Roman" w:cs="Times New Roman"/>
          <w:b/>
          <w:bCs/>
          <w:noProof/>
          <w:sz w:val="24"/>
          <w:szCs w:val="24"/>
        </w:rPr>
      </w:pPr>
      <w:r>
        <w:rPr>
          <w:rFonts w:ascii="Times New Roman" w:hAnsi="Times New Roman"/>
          <w:b/>
          <w:noProof/>
          <w:sz w:val="24"/>
        </w:rPr>
        <w:t>Recherches empiriques: analyse des bases de données sur les incidents liés à l’IA</w:t>
      </w:r>
    </w:p>
    <w:p w14:paraId="7CFB324A" w14:textId="3B3BC5EE" w:rsidR="00474F7A" w:rsidRPr="006A0E2B" w:rsidRDefault="13DCFC15" w:rsidP="006A0E2B">
      <w:pPr>
        <w:pStyle w:val="ListParagraph"/>
        <w:spacing w:line="257" w:lineRule="auto"/>
        <w:ind w:left="1440"/>
        <w:jc w:val="both"/>
        <w:rPr>
          <w:rFonts w:ascii="Times New Roman" w:eastAsia="Times New Roman" w:hAnsi="Times New Roman" w:cs="Times New Roman"/>
          <w:noProof/>
          <w:sz w:val="24"/>
          <w:szCs w:val="24"/>
        </w:rPr>
      </w:pPr>
      <w:r>
        <w:rPr>
          <w:rFonts w:ascii="Times New Roman" w:hAnsi="Times New Roman"/>
          <w:noProof/>
          <w:sz w:val="24"/>
        </w:rPr>
        <w:t>La Commission a également analysé les bases de données pertinentes sur les incidents liés à l’IA afin de garantir une approche globale et fondée sur des données probantes, qui s’appuie sur des éléments de preuve empiriques pointant les préjudices causés par les systèmes d’IA.</w:t>
      </w:r>
    </w:p>
    <w:p w14:paraId="06F84E78" w14:textId="512B1616" w:rsidR="04EF83AA" w:rsidRPr="00474F7A" w:rsidRDefault="6CF90F38"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Les sections ci-dessous examinent plus en détail la méthode utilisée pour la collecte et l’analyse objectives et participatives des éléments de preuve utilisés dans le présent rapport. Elles détaillent les approches qui ont été adoptées pour faire en sorte que les informations recueillies soient complètes et intègrent les perspectives de diverses parties prenantes, favorisant ainsi une évaluation transparente, fondée sur des données probantes et bien étayée.</w:t>
      </w:r>
    </w:p>
    <w:p w14:paraId="2ECF246D" w14:textId="7FEDF2CF" w:rsidR="637298B9" w:rsidRPr="009A7D1E" w:rsidRDefault="637298B9" w:rsidP="12876998">
      <w:pPr>
        <w:spacing w:line="257" w:lineRule="auto"/>
        <w:jc w:val="both"/>
        <w:rPr>
          <w:rFonts w:ascii="Times New Roman" w:eastAsia="Times New Roman" w:hAnsi="Times New Roman" w:cs="Times New Roman"/>
          <w:noProof/>
          <w:sz w:val="24"/>
          <w:szCs w:val="24"/>
        </w:rPr>
      </w:pPr>
    </w:p>
    <w:p w14:paraId="1BB2CA97" w14:textId="44DB9592" w:rsidR="681962B0" w:rsidRPr="009A7D1E" w:rsidRDefault="54BD9E08" w:rsidP="00124A30">
      <w:pPr>
        <w:spacing w:line="257" w:lineRule="auto"/>
        <w:jc w:val="both"/>
        <w:rPr>
          <w:rFonts w:ascii="Times New Roman" w:eastAsia="Times New Roman" w:hAnsi="Times New Roman" w:cs="Times New Roman"/>
          <w:b/>
          <w:bCs/>
          <w:noProof/>
          <w:sz w:val="24"/>
          <w:szCs w:val="24"/>
        </w:rPr>
      </w:pPr>
      <w:r>
        <w:rPr>
          <w:rFonts w:ascii="Times New Roman" w:hAnsi="Times New Roman"/>
          <w:b/>
          <w:noProof/>
          <w:sz w:val="24"/>
        </w:rPr>
        <w:t>3. Analyse des informations recueillies</w:t>
      </w:r>
    </w:p>
    <w:p w14:paraId="6B7EA375" w14:textId="7DE95734" w:rsidR="637298B9" w:rsidRPr="009A7D1E" w:rsidRDefault="637298B9" w:rsidP="12876998">
      <w:pPr>
        <w:spacing w:line="257" w:lineRule="auto"/>
        <w:jc w:val="both"/>
        <w:rPr>
          <w:rFonts w:ascii="Times New Roman" w:eastAsia="Times New Roman" w:hAnsi="Times New Roman" w:cs="Times New Roman"/>
          <w:b/>
          <w:bCs/>
          <w:noProof/>
          <w:color w:val="000000" w:themeColor="text1"/>
          <w:sz w:val="24"/>
          <w:szCs w:val="24"/>
        </w:rPr>
      </w:pPr>
    </w:p>
    <w:p w14:paraId="001F8DD0" w14:textId="7EC26078" w:rsidR="681962B0" w:rsidRPr="009A7D1E" w:rsidRDefault="54BD9E08" w:rsidP="00124A30">
      <w:pPr>
        <w:spacing w:line="257" w:lineRule="auto"/>
        <w:ind w:left="720"/>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3.1. Analyse des contributions issues de la consultation avec les États membres et le Comité IA </w:t>
      </w:r>
    </w:p>
    <w:p w14:paraId="716DD3F3" w14:textId="1C490FD0" w:rsidR="385510C3" w:rsidRPr="00474F7A" w:rsidRDefault="01FAA682"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Le Bureau de l’IA a consulté les États membres par l’intermédiaire des sous-groupes concernés du Comité IA</w:t>
      </w:r>
      <w:r>
        <w:rPr>
          <w:rFonts w:ascii="Times New Roman" w:hAnsi="Times New Roman" w:cs="Times New Roman"/>
          <w:noProof/>
          <w:vertAlign w:val="superscript"/>
        </w:rPr>
        <w:footnoteReference w:id="8"/>
      </w:r>
      <w:r>
        <w:rPr>
          <w:noProof/>
        </w:rPr>
        <w:t xml:space="preserve"> </w:t>
      </w:r>
      <w:r>
        <w:rPr>
          <w:rFonts w:ascii="Times New Roman" w:hAnsi="Times New Roman"/>
          <w:noProof/>
          <w:sz w:val="24"/>
        </w:rPr>
        <w:t xml:space="preserve">et les a invités à apporter leur contribution directement au cours des réunions ou par écrit. </w:t>
      </w:r>
    </w:p>
    <w:p w14:paraId="7B8063AC" w14:textId="2D245EF2" w:rsidR="04EF83AA" w:rsidRPr="009A7D1E" w:rsidRDefault="04EF83AA" w:rsidP="12876998">
      <w:pPr>
        <w:jc w:val="both"/>
        <w:rPr>
          <w:rFonts w:ascii="Times New Roman" w:eastAsia="Times New Roman" w:hAnsi="Times New Roman" w:cs="Times New Roman"/>
          <w:noProof/>
          <w:sz w:val="24"/>
          <w:szCs w:val="24"/>
        </w:rPr>
      </w:pPr>
    </w:p>
    <w:p w14:paraId="08643FD5" w14:textId="001A0721" w:rsidR="04EF83AA" w:rsidRDefault="688A7811" w:rsidP="12876998">
      <w:pPr>
        <w:jc w:val="both"/>
        <w:rPr>
          <w:rFonts w:ascii="Times New Roman" w:eastAsia="Times New Roman" w:hAnsi="Times New Roman" w:cs="Times New Roman"/>
          <w:b/>
          <w:bCs/>
          <w:noProof/>
          <w:sz w:val="24"/>
          <w:szCs w:val="24"/>
        </w:rPr>
      </w:pPr>
      <w:r>
        <w:rPr>
          <w:rFonts w:ascii="Times New Roman" w:hAnsi="Times New Roman"/>
          <w:b/>
          <w:noProof/>
          <w:sz w:val="24"/>
        </w:rPr>
        <w:t>3.1.1. Position des États membres sur la nécessité de réexaminer la liste des pratiques interdites figurant à l’article 5 du règlement sur l’IA</w:t>
      </w:r>
    </w:p>
    <w:p w14:paraId="5B1A1D1F" w14:textId="77777777" w:rsidR="00E02D6B" w:rsidRPr="009A7D1E" w:rsidRDefault="00E02D6B" w:rsidP="12876998">
      <w:pPr>
        <w:jc w:val="both"/>
        <w:rPr>
          <w:rFonts w:ascii="Times New Roman" w:eastAsia="Times New Roman" w:hAnsi="Times New Roman" w:cs="Times New Roman"/>
          <w:b/>
          <w:bCs/>
          <w:noProof/>
          <w:sz w:val="24"/>
          <w:szCs w:val="24"/>
        </w:rPr>
      </w:pPr>
    </w:p>
    <w:p w14:paraId="79D40646" w14:textId="0C337107" w:rsidR="04EF83AA" w:rsidRPr="009A7D1E" w:rsidRDefault="0E827EBA" w:rsidP="12876998">
      <w:pPr>
        <w:jc w:val="both"/>
        <w:rPr>
          <w:rFonts w:ascii="Times New Roman" w:eastAsia="Times New Roman" w:hAnsi="Times New Roman" w:cs="Times New Roman"/>
          <w:b/>
          <w:bCs/>
          <w:i/>
          <w:iCs/>
          <w:noProof/>
          <w:sz w:val="24"/>
          <w:szCs w:val="24"/>
        </w:rPr>
      </w:pPr>
      <w:r>
        <w:rPr>
          <w:rFonts w:ascii="Times New Roman" w:hAnsi="Times New Roman"/>
          <w:b/>
          <w:i/>
          <w:noProof/>
          <w:sz w:val="24"/>
        </w:rPr>
        <w:t>Position générale</w:t>
      </w:r>
    </w:p>
    <w:p w14:paraId="507F09CE" w14:textId="3302BEC6" w:rsidR="04EF83AA" w:rsidRPr="00474F7A" w:rsidRDefault="3CD80DAE" w:rsidP="00474F7A">
      <w:pPr>
        <w:pStyle w:val="ListParagraph"/>
        <w:numPr>
          <w:ilvl w:val="0"/>
          <w:numId w:val="42"/>
        </w:numPr>
        <w:spacing w:line="257" w:lineRule="auto"/>
        <w:jc w:val="both"/>
        <w:rPr>
          <w:rFonts w:ascii="Times New Roman" w:eastAsia="Times New Roman" w:hAnsi="Times New Roman" w:cs="Times New Roman"/>
          <w:noProof/>
          <w:sz w:val="24"/>
          <w:szCs w:val="24"/>
        </w:rPr>
      </w:pPr>
      <w:r>
        <w:rPr>
          <w:rFonts w:ascii="Times New Roman" w:hAnsi="Times New Roman"/>
          <w:noProof/>
          <w:sz w:val="24"/>
        </w:rPr>
        <w:t>Lors de la consultation du sous-groupe compétent du Comité IA, la majorité des États membres présents ont déclaré qu’à ce stade, ils ne voyaient pas la nécessité de modifier la liste des pratiques interdites en matière d’IA établie à l’article 5 du règlement sur l’IA. En outre, neuf États membres ont transmis des déclarations écrites par courrier électronique, confirmant eux aussi qu’ils ne jugeaient pas nécessaire de modifier cette liste. Des réponses comparables ont également été reçues de la part des deux observateurs du sous-groupe.</w:t>
      </w:r>
    </w:p>
    <w:p w14:paraId="62C29BBE" w14:textId="6D4E9B5F" w:rsidR="04EF83AA" w:rsidRPr="00474F7A" w:rsidRDefault="2F313652"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Les représentants des États membres interrogés ont fait observer à plusieurs reprises que, étant donné que les dispositions du règlement sur l’IA concernant la définition des systèmes d’IA et des pratiques interdites n’ont commencé à s’appliquer que le 2 février 2025, que les règles d’exécution n’entreront en vigueur que le 2 août 2026 et que les mécanismes d’exécution ne sont pas encore opérationnels, l’évaluation des pratiques particulièrement néfastes et abusives qui sont contraires aux valeurs et aux droits fondamentaux de l’Union ne fait que commencer. En raison du peu de temps écoulé depuis l’entrée en application de l’article 5 du règlement sur l’IA, il existe actuellement un manque d’expérience pratique et de cas d’utilisation concrets sur la base desquels l’efficacité des interdictions prévues par le règlement sur l’IA peut être évaluée. Il a donc été estimé qu’une contribution plus significative pourrait être fournie lorsque les dispositions pertinentes auront été en vigueur pendant une période plus longue. Les États membres ont fait observer que, dans l’état actuel des choses, trop peu de données ou d’analyses concrètes étaient disponibles pour justifier une révision.</w:t>
      </w:r>
    </w:p>
    <w:p w14:paraId="679F6488" w14:textId="078ED7CA" w:rsidR="04EF83AA" w:rsidRPr="00474F7A" w:rsidRDefault="0CA755D6"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À la lumière de ces considérations, la position générale des États membres était que tout effort visant à réviser ou à modifier la liste des pratiques interdites serait plus approprié à un stade ultérieur, une fois qu’une expérience suffisante en matière de mise en œuvre aura été acquise. </w:t>
      </w:r>
    </w:p>
    <w:p w14:paraId="24195BDF" w14:textId="22080A6D" w:rsidR="04EF83AA" w:rsidRPr="009A7D1E" w:rsidRDefault="1994CE79" w:rsidP="12876998">
      <w:pPr>
        <w:jc w:val="both"/>
        <w:rPr>
          <w:rFonts w:ascii="Times New Roman" w:eastAsia="Times New Roman" w:hAnsi="Times New Roman" w:cs="Times New Roman"/>
          <w:b/>
          <w:bCs/>
          <w:i/>
          <w:iCs/>
          <w:noProof/>
          <w:sz w:val="24"/>
          <w:szCs w:val="24"/>
        </w:rPr>
      </w:pPr>
      <w:r>
        <w:rPr>
          <w:rFonts w:ascii="Times New Roman" w:hAnsi="Times New Roman"/>
          <w:b/>
          <w:i/>
          <w:noProof/>
          <w:sz w:val="24"/>
        </w:rPr>
        <w:t>Problèmes signalés en vue d’un suivi plus approfondi</w:t>
      </w:r>
    </w:p>
    <w:p w14:paraId="2FBA599F" w14:textId="7C00B9CB" w:rsidR="04EF83AA" w:rsidRPr="00474F7A" w:rsidRDefault="5A6F0FE2" w:rsidP="743A9D73">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Un État membre a suggéré qu’il serait peut-être pertinent d’évaluer la possibilité d’inclure dans la liste des pratiques interdites en matière d’IA les </w:t>
      </w:r>
      <w:r>
        <w:rPr>
          <w:rFonts w:ascii="Times New Roman" w:hAnsi="Times New Roman"/>
          <w:b/>
          <w:noProof/>
          <w:sz w:val="24"/>
        </w:rPr>
        <w:t>systèmes d’IA destinés à développer ou à distribuer des logiciels malveillants</w:t>
      </w:r>
      <w:r>
        <w:rPr>
          <w:rFonts w:ascii="Times New Roman" w:hAnsi="Times New Roman"/>
          <w:noProof/>
          <w:sz w:val="24"/>
        </w:rPr>
        <w:t xml:space="preserve"> susceptibles de nuire à des infrastructures critiques, de compromettre des bases de données ou de créer des risques pour les droits fondamentaux. Après avoir analysé cette suggestion, la Commission a estimé que les risques auxquels une telle interdiction permettrait de remédier semblaient suffisamment couverts par diverses législations de l’Union</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mais a pris note de la question en vue d’un suivi et d’une évaluation plus approfondis.</w:t>
      </w:r>
    </w:p>
    <w:p w14:paraId="297682D8" w14:textId="2063DCFE" w:rsidR="04A85C60" w:rsidRPr="009A7D1E" w:rsidRDefault="04A85C60" w:rsidP="12876998">
      <w:pPr>
        <w:jc w:val="both"/>
        <w:rPr>
          <w:rFonts w:ascii="Times New Roman" w:eastAsia="Times New Roman" w:hAnsi="Times New Roman" w:cs="Times New Roman"/>
          <w:b/>
          <w:bCs/>
          <w:noProof/>
          <w:sz w:val="24"/>
          <w:szCs w:val="24"/>
        </w:rPr>
      </w:pPr>
    </w:p>
    <w:p w14:paraId="4EA75FFB" w14:textId="01A24E28" w:rsidR="00E02D6B" w:rsidRDefault="389A9455" w:rsidP="12876998">
      <w:pPr>
        <w:jc w:val="both"/>
        <w:rPr>
          <w:rFonts w:ascii="Times New Roman" w:eastAsia="Times New Roman" w:hAnsi="Times New Roman" w:cs="Times New Roman"/>
          <w:b/>
          <w:bCs/>
          <w:noProof/>
          <w:color w:val="000000" w:themeColor="text1"/>
          <w:sz w:val="24"/>
          <w:szCs w:val="24"/>
        </w:rPr>
      </w:pPr>
      <w:r>
        <w:rPr>
          <w:rFonts w:ascii="Times New Roman" w:hAnsi="Times New Roman"/>
          <w:b/>
          <w:noProof/>
          <w:sz w:val="24"/>
        </w:rPr>
        <w:t xml:space="preserve">3.1.2. Position des États membres sur la </w:t>
      </w:r>
      <w:r>
        <w:rPr>
          <w:rFonts w:ascii="Times New Roman" w:hAnsi="Times New Roman"/>
          <w:b/>
          <w:noProof/>
          <w:color w:val="000000" w:themeColor="text1"/>
          <w:sz w:val="24"/>
        </w:rPr>
        <w:t>nécessité de modifier les cas d’utilisation à haut risque visés à l’annexe III du règlement sur l’IA</w:t>
      </w:r>
    </w:p>
    <w:p w14:paraId="19FBB005" w14:textId="77777777" w:rsidR="00E02D6B" w:rsidRPr="009A7D1E" w:rsidRDefault="00E02D6B" w:rsidP="12876998">
      <w:pPr>
        <w:jc w:val="both"/>
        <w:rPr>
          <w:rFonts w:ascii="Times New Roman" w:eastAsia="Times New Roman" w:hAnsi="Times New Roman" w:cs="Times New Roman"/>
          <w:b/>
          <w:bCs/>
          <w:noProof/>
          <w:color w:val="000000" w:themeColor="text1"/>
          <w:sz w:val="24"/>
          <w:szCs w:val="24"/>
        </w:rPr>
      </w:pPr>
    </w:p>
    <w:p w14:paraId="76AD9576" w14:textId="55531BB4" w:rsidR="04EF83AA" w:rsidRPr="009A7D1E" w:rsidRDefault="39C5A03E" w:rsidP="12876998">
      <w:pPr>
        <w:jc w:val="both"/>
        <w:rPr>
          <w:rFonts w:ascii="Times New Roman" w:eastAsia="Times New Roman" w:hAnsi="Times New Roman" w:cs="Times New Roman"/>
          <w:b/>
          <w:bCs/>
          <w:i/>
          <w:iCs/>
          <w:noProof/>
          <w:sz w:val="24"/>
          <w:szCs w:val="24"/>
        </w:rPr>
      </w:pPr>
      <w:r>
        <w:rPr>
          <w:rFonts w:ascii="Times New Roman" w:hAnsi="Times New Roman"/>
          <w:b/>
          <w:i/>
          <w:noProof/>
          <w:sz w:val="24"/>
        </w:rPr>
        <w:t>Position générale</w:t>
      </w:r>
      <w:r>
        <w:rPr>
          <w:rFonts w:ascii="Times New Roman" w:hAnsi="Times New Roman"/>
          <w:noProof/>
          <w:sz w:val="24"/>
        </w:rPr>
        <w:t xml:space="preserve"> </w:t>
      </w:r>
    </w:p>
    <w:p w14:paraId="492FDD0D" w14:textId="73A80C86" w:rsidR="04EF83AA" w:rsidRPr="00474F7A" w:rsidRDefault="74C18EF5" w:rsidP="00474F7A">
      <w:pPr>
        <w:pStyle w:val="ListParagraph"/>
        <w:numPr>
          <w:ilvl w:val="0"/>
          <w:numId w:val="42"/>
        </w:numPr>
        <w:spacing w:before="240" w:after="240"/>
        <w:jc w:val="both"/>
        <w:rPr>
          <w:rFonts w:ascii="Times New Roman" w:eastAsia="Times New Roman" w:hAnsi="Times New Roman" w:cs="Times New Roman"/>
          <w:noProof/>
          <w:sz w:val="24"/>
          <w:szCs w:val="24"/>
        </w:rPr>
      </w:pPr>
      <w:r>
        <w:rPr>
          <w:rFonts w:ascii="Times New Roman" w:hAnsi="Times New Roman"/>
          <w:noProof/>
          <w:sz w:val="24"/>
        </w:rPr>
        <w:t>La nécessité de modifier la liste des cas d’utilisation à haut risque figurant à l’annexe III du règlement sur l’IA a été examinée lors de plusieurs réunions des sous-groupes du Comité IA. Au cours de ces réunions, de nombreux États membres présents ont déclaré ne pas voir pour l’instant la nécessité de modifier l’annexe III. En outre, sept États membres ont transmis des déclarations écrites par courrier électronique, confirmant qu’eux non plus ne jugeaient pas nécessaire de modifier l’annexe III à ce stade.</w:t>
      </w:r>
    </w:p>
    <w:p w14:paraId="5A4EE694" w14:textId="2F5E09D8" w:rsidR="04EF83AA" w:rsidRPr="00474F7A" w:rsidRDefault="22E0DD75"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À l’instar des considérations exposées ci-dessus en ce qui concerne d’éventuelles modifications de la liste des pratiques interdites en matière d’IA figurant à l’article 5 du règlement sur l’IA, les États membres répondants ont fait observer à plusieurs reprises qu’ils continuaient d’évaluer les implications du cadre législatif sur les cas actuels d’utilisation à haut risque de l’IA énumérés à l’annexe III. Les règles relatives aux systèmes d’IA à haut risque ne sont pas encore applicables, et les lignes directrices correspondantes de la Commission sur la classification des systèmes d’IA à haut risque n’ont pas encore été publiées. Compte tenu de ces considérations, les États membres ont estimé, de manière générale, qu’il était prématuré d’apporter des modifications à la liste actuelle des cas d’utilisation à haut risque figurant à l’annexe III du règlement sur l’IA.</w:t>
      </w:r>
    </w:p>
    <w:p w14:paraId="563E0DE2" w14:textId="0C9DCE79" w:rsidR="04EF83AA" w:rsidRPr="009A7D1E" w:rsidRDefault="193679D8" w:rsidP="12876998">
      <w:pPr>
        <w:jc w:val="both"/>
        <w:rPr>
          <w:rFonts w:ascii="Times New Roman" w:eastAsia="Times New Roman" w:hAnsi="Times New Roman" w:cs="Times New Roman"/>
          <w:b/>
          <w:bCs/>
          <w:i/>
          <w:iCs/>
          <w:noProof/>
          <w:sz w:val="24"/>
          <w:szCs w:val="24"/>
        </w:rPr>
      </w:pPr>
      <w:r>
        <w:rPr>
          <w:rFonts w:ascii="Times New Roman" w:hAnsi="Times New Roman"/>
          <w:b/>
          <w:i/>
          <w:noProof/>
          <w:sz w:val="24"/>
        </w:rPr>
        <w:t>Problèmes signalés en vue d’un suivi plus approfondi</w:t>
      </w:r>
      <w:r>
        <w:rPr>
          <w:rFonts w:ascii="Times New Roman" w:hAnsi="Times New Roman"/>
          <w:noProof/>
          <w:sz w:val="24"/>
        </w:rPr>
        <w:t xml:space="preserve"> </w:t>
      </w:r>
    </w:p>
    <w:p w14:paraId="5B4521B6" w14:textId="71944E5A" w:rsidR="04EF83AA" w:rsidRPr="00474F7A" w:rsidRDefault="58EE1DEB"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Deux États membres ont fait part de leurs préoccupations concernant certains cas spécifiques d’utilisation de l’IA</w:t>
      </w:r>
      <w:r>
        <w:rPr>
          <w:rStyle w:val="FootnoteReference"/>
          <w:rFonts w:ascii="Times New Roman" w:eastAsia="Times New Roman" w:hAnsi="Times New Roman" w:cs="Times New Roman"/>
          <w:noProof/>
          <w:sz w:val="24"/>
          <w:szCs w:val="24"/>
        </w:rPr>
        <w:footnoteReference w:id="10"/>
      </w:r>
      <w:r>
        <w:rPr>
          <w:rFonts w:ascii="Times New Roman" w:hAnsi="Times New Roman"/>
          <w:noProof/>
          <w:sz w:val="24"/>
        </w:rPr>
        <w:t>.</w:t>
      </w:r>
    </w:p>
    <w:p w14:paraId="3293EC94" w14:textId="70A5D734" w:rsidR="04EF83AA" w:rsidRPr="00474F7A" w:rsidRDefault="6B022151"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L’une des préoccupations concernait la réglementation des </w:t>
      </w:r>
      <w:r>
        <w:rPr>
          <w:rFonts w:ascii="Times New Roman" w:hAnsi="Times New Roman"/>
          <w:b/>
          <w:noProof/>
          <w:sz w:val="24"/>
        </w:rPr>
        <w:t>dialogueurs d’auto-assistance (thérapie)</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 xml:space="preserve"> fondés sur l’IA qui ne relèvent pas du règlement relatif aux dispositifs médicaux</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xml:space="preserve">. Les dialogueurs d’auto-assistance (thérapie) fondés sur l’IA sont des outils numériques alimentés par l’IA et conçus pour fournir aux utilisateurs un soutien en matière de santé mentale et une aide émotionnelle au moyen d’interfaces conversationnelles. Bien qu’ils soient présentés comme des outils de bien-être plutôt que comme des dispositifs médicaux, ils ont néanmoins une incidence sur les décisions des utilisateurs en matière de santé mentale et peuvent traiter des données à caractère personnel sensibles. Par conséquent, il existe un risque que le soutien et l’aide émotionnelle fournis par ces dialogueurs puissent avoir une incidence négative sur la santé mentale des personnes. À la lumière de ce qui précède, un État membre a soulevé la question de savoir si ces systèmes devraient être classés comme systèmes d’IA à haut risque. </w:t>
      </w:r>
    </w:p>
    <w:p w14:paraId="32CF05F3" w14:textId="70A4F09F" w:rsidR="04EF83AA" w:rsidRPr="00474F7A" w:rsidRDefault="1DD3AECF"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Après avoir analysé cette question, la Commission considère que, lorsque les dialogueurs d’auto-assistance répondent à la définition d’un dispositif médical, ils sont soumis aux exigences et contrôles stricts prévus par le règlement relatif aux dispositifs médicaux. En outre, les dialogueurs d’auto-assistance fondés sur l’IA les plus préjudiciables relèvent potentiellement des interdictions énoncées à l’article 5, points a) et b), du règlement sur l’IA. En ce qui concerne la classification d’autres dialogueurs d’auto-assistance fondés sur l’IA comme étant à haut risque, la plupart de ces systèmes d’IA ne pourraient pas faire partie de l’un des cas d’utilisation figurant actuellement à l’annexe III, si ce n’est certaines exceptions spécifiques déjà couvertes par les cas d’utilisation</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 xml:space="preserve">. En outre, au moins dans une certaine mesure, les obligations de divulgation énoncées à l’article 50 du règlement sur l’IA peuvent servir de mesure d’atténuation pour faire face à certains des risques associés aux dialogueurs d’auto-assistance fondés sur l’IA, en particulier ceux liés à une prise de décision éclairée et à l’incidence psychologique potentielle de l’interaction sur les personnes. Avant d’envisager toute modification de l’annexe III, la Commission évaluera donc la manière dont ces dispositions remédient aux risques susmentionnés dans la pratique. La Commission reconnaît néanmoins qu’à ce stade, l’utilisation et les risques potentiels associés à ce type de système d’IA devraient faire l’objet d’un suivi étroit et d’une collecte de preuves supplémentaires dans les années à venir, en particulier une fois que les dispositions du règlement sur l’IA relatives aux systèmes d’IA à haut risque commenceront à s’appliquer. </w:t>
      </w:r>
    </w:p>
    <w:p w14:paraId="05E7005C" w14:textId="422F9FA9" w:rsidR="00474F7A" w:rsidRDefault="1AFC5F9D"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Une autre préoccupation portait sur </w:t>
      </w:r>
      <w:r>
        <w:rPr>
          <w:rFonts w:ascii="Times New Roman" w:hAnsi="Times New Roman"/>
          <w:b/>
          <w:noProof/>
          <w:sz w:val="24"/>
        </w:rPr>
        <w:t>l’apprentissage personnalisé fondé sur l’IA</w:t>
      </w:r>
      <w:r>
        <w:rPr>
          <w:rFonts w:ascii="Times New Roman" w:hAnsi="Times New Roman"/>
          <w:noProof/>
          <w:sz w:val="24"/>
        </w:rPr>
        <w:t>. L’analyse actuelle fondée sur les critères énumérés à l’article 7 du règlement sur l’IA a conduit la Commission à conclure que les systèmes d’apprentissage autodidacte (indépendant) fondés sur l’IA ne présentent pas, dans la plupart des cas, de risques équivalents ou supérieurs à ceux posés par les systèmes d’IA énumérés à l’annexe III du règlement sur l’IA. En particulier, il existe peu de preuves empiriques d’un risque élevé de préjudice lié à ces systèmes et aucun incident impliquant ces systèmes n’a été recensé. La conclusion est sensiblement la même pour les systèmes d’IA utilisés en vue de développer des supports d’apprentissage à contenu personnalisé dans le contexte de l’apprentissage autodidacte (indépendant). D’autres cas d’utilisation de l’apprentissage personnalisé fondé sur l’IA sont recensés en vue d’une clarification ultérieure dans les prochaines lignes directrices de la Commission sur la classification des systèmes à haut risque.</w:t>
      </w:r>
    </w:p>
    <w:p w14:paraId="118B7C53" w14:textId="678134B9" w:rsidR="04EF83AA" w:rsidRPr="00474F7A" w:rsidRDefault="110D184F" w:rsidP="00474F7A">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Enfin, un État membre a suggéré d’étendre l’annexe III du règlement sur l’IA afin de couvrir les cas d’utilisation de l’IA pour </w:t>
      </w:r>
      <w:r>
        <w:rPr>
          <w:rFonts w:ascii="Times New Roman" w:hAnsi="Times New Roman"/>
          <w:b/>
          <w:noProof/>
          <w:sz w:val="24"/>
        </w:rPr>
        <w:t>l’octroi d’autorisations par les autorités publiques</w:t>
      </w:r>
      <w:r>
        <w:rPr>
          <w:rFonts w:ascii="Times New Roman" w:hAnsi="Times New Roman"/>
          <w:noProof/>
          <w:sz w:val="24"/>
        </w:rPr>
        <w:t xml:space="preserve"> dans les cas où une personne demande, par exemple, un permis de conduire, un permis en relation avec la détention d’armes à feu et de munitions, ou un permis pour la manipulation de substances chimiques ou pour le travail avec des explosifs. À ce stade, il n’existe que peu de preuves attestant que de tels cas d’utilisation justifient une classification à haut risque sur la base des critères énoncés à l’article 7 du règlement sur l’IA. À la lumière de ce qui précède, la Commission estime que ces risques méritent un suivi plus approfondi.</w:t>
      </w:r>
    </w:p>
    <w:p w14:paraId="6814B58E" w14:textId="3D09DA9E" w:rsidR="04EF83AA" w:rsidRPr="009A7D1E" w:rsidRDefault="04EF83AA" w:rsidP="12876998">
      <w:pPr>
        <w:jc w:val="both"/>
        <w:rPr>
          <w:rFonts w:ascii="Times New Roman" w:eastAsia="Times New Roman" w:hAnsi="Times New Roman" w:cs="Times New Roman"/>
          <w:noProof/>
          <w:sz w:val="24"/>
          <w:szCs w:val="24"/>
        </w:rPr>
      </w:pPr>
    </w:p>
    <w:p w14:paraId="5E6EB7DE" w14:textId="120ABEAC" w:rsidR="04EF83AA" w:rsidRPr="009A7D1E" w:rsidRDefault="2213B752" w:rsidP="00124A30">
      <w:pPr>
        <w:spacing w:line="257" w:lineRule="auto"/>
        <w:ind w:left="720"/>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 xml:space="preserve">3.2. Analyse des contributions issues de la consultation des parties prenantes </w:t>
      </w:r>
    </w:p>
    <w:p w14:paraId="3DCD46CA" w14:textId="39000A03" w:rsidR="0004722E" w:rsidRDefault="4FFB6D91"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Du 6 juin au 18 juillet 2025, la Commission a organisé une consultation multipartite</w:t>
      </w:r>
      <w:r>
        <w:rPr>
          <w:rFonts w:ascii="Times New Roman" w:eastAsia="Times New Roman" w:hAnsi="Times New Roman" w:cs="Times New Roman"/>
          <w:noProof/>
          <w:sz w:val="24"/>
          <w:szCs w:val="24"/>
          <w:vertAlign w:val="superscript"/>
        </w:rPr>
        <w:footnoteReference w:id="14"/>
      </w:r>
      <w:r>
        <w:rPr>
          <w:rFonts w:ascii="Times New Roman" w:hAnsi="Times New Roman"/>
          <w:noProof/>
          <w:sz w:val="24"/>
        </w:rPr>
        <w:t xml:space="preserve"> afin de recueillir des contributions sur la mise en œuvre des dispositions du règlement sur l’IA relatives aux systèmes d’IA à haut risque. Cette consultation comprenait également plusieurs questions relatives à la nécessité éventuelle de modifier la liste des cas d’utilisation à haut risque figurant à l’annexe III du règlement sur l’IA et la liste des pratiques interdites en matière d’IA figurant à l’article 5 du règlement sur l’IA. </w:t>
      </w:r>
    </w:p>
    <w:p w14:paraId="4982C63E" w14:textId="7BDF3A52" w:rsidR="12F6FF44" w:rsidRPr="0004722E" w:rsidRDefault="0E34AD31"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Au total, 547 réponses ont été reçues de la part de diverses parties prenantes, dont des entreprises, des organisations de la société civile, les milieux universitaires, des institutions publiques et des personnes agissant à titre privé</w:t>
      </w:r>
      <w:r>
        <w:rPr>
          <w:noProof/>
          <w:vertAlign w:val="superscript"/>
        </w:rPr>
        <w:footnoteReference w:id="15"/>
      </w:r>
      <w:r>
        <w:rPr>
          <w:rFonts w:ascii="Times New Roman" w:hAnsi="Times New Roman"/>
          <w:noProof/>
          <w:sz w:val="24"/>
        </w:rPr>
        <w:t>.</w:t>
      </w:r>
    </w:p>
    <w:p w14:paraId="6E9B3BC5" w14:textId="4380189B" w:rsidR="38FC6B64" w:rsidRPr="009A7D1E" w:rsidRDefault="38FC6B64" w:rsidP="12876998">
      <w:pPr>
        <w:jc w:val="both"/>
        <w:rPr>
          <w:rFonts w:ascii="Times New Roman" w:eastAsia="Times New Roman" w:hAnsi="Times New Roman" w:cs="Times New Roman"/>
          <w:b/>
          <w:bCs/>
          <w:noProof/>
          <w:sz w:val="24"/>
          <w:szCs w:val="24"/>
        </w:rPr>
      </w:pPr>
    </w:p>
    <w:p w14:paraId="21AFED55" w14:textId="6476C785" w:rsidR="23688059" w:rsidRDefault="16B7BFD5" w:rsidP="12876998">
      <w:pPr>
        <w:jc w:val="both"/>
        <w:rPr>
          <w:rFonts w:ascii="Times New Roman" w:eastAsia="Times New Roman" w:hAnsi="Times New Roman" w:cs="Times New Roman"/>
          <w:b/>
          <w:bCs/>
          <w:noProof/>
          <w:sz w:val="24"/>
          <w:szCs w:val="24"/>
        </w:rPr>
      </w:pPr>
      <w:r>
        <w:rPr>
          <w:rFonts w:ascii="Times New Roman" w:hAnsi="Times New Roman"/>
          <w:b/>
          <w:noProof/>
          <w:sz w:val="24"/>
        </w:rPr>
        <w:t>3.2.1. Avis des parties prenantes quant à la nécessité de réexaminer la liste des interdictions figurant à l’article 5 du règlement sur l’IA</w:t>
      </w:r>
    </w:p>
    <w:p w14:paraId="163CF898" w14:textId="67CA8208" w:rsidR="23688059" w:rsidRPr="0004722E" w:rsidRDefault="31E75FB2"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Si bon nombre de parties prenantes ont estimé que la liste actuelle était suffisante</w:t>
      </w:r>
      <w:r>
        <w:rPr>
          <w:rStyle w:val="FootnoteReference"/>
          <w:rFonts w:ascii="Times New Roman" w:eastAsia="Times New Roman" w:hAnsi="Times New Roman" w:cs="Times New Roman"/>
          <w:noProof/>
          <w:sz w:val="24"/>
          <w:szCs w:val="24"/>
        </w:rPr>
        <w:footnoteReference w:id="16"/>
      </w:r>
      <w:r>
        <w:rPr>
          <w:rFonts w:ascii="Times New Roman" w:hAnsi="Times New Roman"/>
          <w:noProof/>
          <w:sz w:val="24"/>
        </w:rPr>
        <w:t>, d’autres ont proposé d’inclure des interdictions supplémentaires</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xml:space="preserve">. Aucune majorité des parties prenantes interrogées ne s'est dégagée en faveur de la suppression d’interdictions existantes. </w:t>
      </w:r>
    </w:p>
    <w:p w14:paraId="59FC6E7B" w14:textId="544065E9" w:rsidR="23688059" w:rsidRPr="0004722E" w:rsidRDefault="42518477"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 Commission a évalué les pratiques que les parties prenantes suggéraient d'ajouter à la liste des interdictions en appliquant la méthode et les critères décrits à la section 2.1.1 ci-dessus. En particulier, elle a cherché à recenser, sur la base des suggestions reçues, les pratiques pouvant être considérées comme particulièrement néfastes et abusives, contraires aux valeurs et aux droits fondamentaux de l’Union, et insuffisamment prises en considération par la législation existante de l’Union. Cette approche a servi de base à l’évaluation visant à déterminer s'il était justifié d'ajouter ces pratiques à la liste des pratiques interdites en matière d’IA, ou s’il serait plus approprié de les traiter au moyen d’autres mécanismes réglementaires dans le cadre du règlement sur l’IA ou, éventuellement, d’autres actes législatifs de l’UE.</w:t>
      </w:r>
    </w:p>
    <w:p w14:paraId="58A3FC71" w14:textId="1D46A5E6" w:rsidR="23688059" w:rsidRPr="0004722E" w:rsidRDefault="5ED9C990"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L'évaluation a conclu que, parmi les pratiques faisant l'objet de suggestions, un nombre considérable était suffisamment pris en compte par les dispositions existantes du règlement sur l’IA, que ce soit dans le cadre des interdictions énoncées à l’article 5 du règlement sur l’IA, de la classification de certains systèmes d’IA comme étant à haut risque au titre de l’annexe III ou de l’annexe I du règlement sur l’IA, ou encore des exigences de transparence énoncées à l’article 50 du règlement sur l’IA. Certaines des suggestions, lorsqu’elles ont été évaluées à la lumière du stade actuel de développement et de déploiement de l’IA, ainsi qu’en tenant compte des incidents enregistrés en lien avec l’IA, ne semblaient pas atteindre le seuil d’interdiction prévu par le règlement sur l’IA</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rPr>
        <w:t>.</w:t>
      </w:r>
    </w:p>
    <w:p w14:paraId="64AAC651" w14:textId="62FD4C9E" w:rsidR="23688059" w:rsidRPr="0004722E" w:rsidRDefault="12B70956"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Les préoccupations suivantes, exprimées à plusieurs reprises par les parties prenantes, ont été notées en vue d’un suivi et d’une évaluation plus approfondis des pratiques:</w:t>
      </w:r>
    </w:p>
    <w:p w14:paraId="195A83F3" w14:textId="3D446731" w:rsidR="23688059" w:rsidRPr="009A7D1E" w:rsidRDefault="1419E48E" w:rsidP="0056751E">
      <w:pPr>
        <w:pStyle w:val="ListParagraph"/>
        <w:numPr>
          <w:ilvl w:val="0"/>
          <w:numId w:val="5"/>
        </w:numPr>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dans le domaine de la biométrie, de nombreuses suggestions avaient trait à l’élargissement de l’interdiction de l’utilisation des </w:t>
      </w:r>
      <w:r>
        <w:rPr>
          <w:rFonts w:ascii="Times New Roman" w:hAnsi="Times New Roman"/>
          <w:b/>
          <w:noProof/>
          <w:sz w:val="24"/>
        </w:rPr>
        <w:t>technologies de reconnaissance des émotions</w:t>
      </w:r>
      <w:r>
        <w:rPr>
          <w:rFonts w:ascii="Times New Roman" w:hAnsi="Times New Roman"/>
          <w:noProof/>
          <w:sz w:val="24"/>
        </w:rPr>
        <w:t xml:space="preserve"> prévue à l’article 5, paragraphe 1, point f), du règlement sur l’IA. Une telle utilisation est interdite sur le lieu de travail et dans les établissements d’enseignement</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L’utilisation de ces systèmes dans tous les autres domaines est classée comme à haut risque au titre de l’annexe III, point 1, du règlement sur l’IA. En outre, l’article 50, paragraphe 3, du règlement sur l’IA exige que les déployeurs de systèmes de reconnaissance des émotions informent les personnes physiques qui y sont exposées du fonctionnement de ces systèmes. Toutefois, plusieurs répondants ont fait part de leurs préoccupations concernant leur déploiement dans des contextes sensibles, tels que la migration, et ont proposé que, plutôt que d’être soumis à des exigences réglementaires applicables aux systèmes à haut risque, leur utilisation dans ces domaines spécifiques soit expressément interdite. En raison de l’absence de preuves empiriques selon lesquelles la classification de ces systèmes comme étant à haut risque ne suffit pas à garantir la protection des droits fondamentaux, la Commission ne voit pas la nécessité immédiate de modifier l’article 5 du règlement sur l’IA à cet égard. Toutefois, ce domaine doit faire l’objet d’un examen plus approfondi;</w:t>
      </w:r>
    </w:p>
    <w:p w14:paraId="36C177E4" w14:textId="5BA5AAF3" w:rsidR="23688059" w:rsidRPr="009A7D1E" w:rsidRDefault="75AEC352" w:rsidP="00705BA5">
      <w:pPr>
        <w:pStyle w:val="ListParagraph"/>
        <w:numPr>
          <w:ilvl w:val="0"/>
          <w:numId w:val="5"/>
        </w:numPr>
        <w:jc w:val="both"/>
        <w:rPr>
          <w:rFonts w:ascii="Times New Roman" w:eastAsia="Times New Roman" w:hAnsi="Times New Roman" w:cs="Times New Roman"/>
          <w:noProof/>
          <w:sz w:val="24"/>
          <w:szCs w:val="24"/>
        </w:rPr>
      </w:pPr>
      <w:r>
        <w:rPr>
          <w:rFonts w:ascii="Times New Roman" w:hAnsi="Times New Roman"/>
          <w:noProof/>
          <w:sz w:val="24"/>
        </w:rPr>
        <w:t xml:space="preserve">la question de la classification des </w:t>
      </w:r>
      <w:r>
        <w:rPr>
          <w:rFonts w:ascii="Times New Roman" w:hAnsi="Times New Roman"/>
          <w:b/>
          <w:noProof/>
          <w:sz w:val="24"/>
        </w:rPr>
        <w:t>systèmes d’IA permettant de créer des interfaces trompeuses ou favorisant une conception addictive</w:t>
      </w:r>
      <w:r>
        <w:rPr>
          <w:rFonts w:ascii="Times New Roman" w:hAnsi="Times New Roman"/>
          <w:noProof/>
          <w:sz w:val="24"/>
        </w:rPr>
        <w:t xml:space="preserve"> a été soulevée par plusieurs parties prenantes. Selon l’évaluation actuelle de la Commission, les cas les plus préjudiciables de telles pratiques sont déjà couverts par les interdictions existantes, en particulier celles énumérées à l’article 5, paragraphe 1, points a) et b), du règlement sur l’IA. En outre, ces pratiques, qu’elles soient ou non fondées sur l’IA, peuvent être couvertes par d’autres actes législatifs de l’Union, tels que la directive sur les pratiques commerciales déloyales</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 xml:space="preserve"> et la législation sur les services numériques</w:t>
      </w:r>
      <w:r>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 Néanmoins, elles restent un sujet de préoccupation important. Il est jugé nécessaire de suivre de près leur évolution afin d’évaluer si la législation existante de l’UE continue d’offrir une protection adéquate, en particulier lorsque les systèmes d’IA permettent de créer des interfaces trompeuses ou favorisent une conception addictive;</w:t>
      </w:r>
    </w:p>
    <w:p w14:paraId="246B66D6" w14:textId="06032851" w:rsidR="23688059" w:rsidRPr="009A7D1E" w:rsidRDefault="42FB1657" w:rsidP="12876998">
      <w:pPr>
        <w:numPr>
          <w:ilvl w:val="0"/>
          <w:numId w:val="5"/>
        </w:numPr>
        <w:jc w:val="both"/>
        <w:rPr>
          <w:rFonts w:ascii="Times New Roman" w:eastAsia="Times New Roman" w:hAnsi="Times New Roman" w:cs="Times New Roman"/>
          <w:noProof/>
          <w:sz w:val="24"/>
          <w:szCs w:val="24"/>
        </w:rPr>
      </w:pPr>
      <w:r>
        <w:rPr>
          <w:rFonts w:ascii="Times New Roman" w:hAnsi="Times New Roman"/>
          <w:noProof/>
          <w:sz w:val="24"/>
        </w:rPr>
        <w:t xml:space="preserve">plusieurs parties prenantes ont attiré l’attention sur les systèmes d’IA qui </w:t>
      </w:r>
      <w:r>
        <w:rPr>
          <w:rFonts w:ascii="Times New Roman" w:hAnsi="Times New Roman"/>
          <w:b/>
          <w:noProof/>
          <w:sz w:val="24"/>
        </w:rPr>
        <w:t>facilitent</w:t>
      </w:r>
      <w:r>
        <w:rPr>
          <w:rFonts w:ascii="Times New Roman" w:hAnsi="Times New Roman"/>
          <w:noProof/>
          <w:sz w:val="24"/>
        </w:rPr>
        <w:t xml:space="preserve"> </w:t>
      </w:r>
      <w:r>
        <w:rPr>
          <w:rFonts w:ascii="Times New Roman" w:hAnsi="Times New Roman"/>
          <w:b/>
          <w:noProof/>
          <w:sz w:val="24"/>
        </w:rPr>
        <w:t xml:space="preserve"> les escroqueries</w:t>
      </w:r>
      <w:r>
        <w:rPr>
          <w:rFonts w:ascii="Times New Roman" w:hAnsi="Times New Roman"/>
          <w:noProof/>
          <w:sz w:val="24"/>
        </w:rPr>
        <w:t xml:space="preserve"> et </w:t>
      </w:r>
      <w:r>
        <w:rPr>
          <w:rFonts w:ascii="Times New Roman" w:hAnsi="Times New Roman"/>
          <w:b/>
          <w:noProof/>
          <w:sz w:val="24"/>
        </w:rPr>
        <w:t>génèrent</w:t>
      </w:r>
      <w:r>
        <w:rPr>
          <w:rFonts w:ascii="Times New Roman" w:hAnsi="Times New Roman"/>
          <w:noProof/>
          <w:sz w:val="24"/>
        </w:rPr>
        <w:t xml:space="preserve"> </w:t>
      </w:r>
      <w:r>
        <w:rPr>
          <w:rFonts w:ascii="Times New Roman" w:hAnsi="Times New Roman"/>
          <w:b/>
          <w:noProof/>
          <w:sz w:val="24"/>
        </w:rPr>
        <w:t xml:space="preserve"> des images de personnes dénudées et d’autres hypertrucages malveillants et dégradants</w:t>
      </w:r>
      <w:r>
        <w:rPr>
          <w:rFonts w:ascii="Times New Roman" w:hAnsi="Times New Roman"/>
          <w:noProof/>
          <w:sz w:val="24"/>
        </w:rPr>
        <w:t>. Ces pratiques préjudiciables ont également été recensées dans l’analyse des incidents et sont examinées plus en détail à la section 3.3.3 ci-dessous.</w:t>
      </w:r>
    </w:p>
    <w:p w14:paraId="78BCFBF5" w14:textId="766556C5" w:rsidR="23688059" w:rsidRPr="009A7D1E" w:rsidRDefault="23688059" w:rsidP="12876998">
      <w:pPr>
        <w:jc w:val="both"/>
        <w:rPr>
          <w:rFonts w:ascii="Times New Roman" w:eastAsia="Times New Roman" w:hAnsi="Times New Roman" w:cs="Times New Roman"/>
          <w:noProof/>
          <w:sz w:val="24"/>
          <w:szCs w:val="24"/>
        </w:rPr>
      </w:pPr>
    </w:p>
    <w:p w14:paraId="4FE76FFC" w14:textId="05EF4DD5" w:rsidR="23688059" w:rsidRPr="009A7D1E" w:rsidRDefault="38DC0A7C" w:rsidP="12876998">
      <w:pPr>
        <w:jc w:val="both"/>
        <w:rPr>
          <w:rFonts w:ascii="Times New Roman" w:eastAsia="Times New Roman" w:hAnsi="Times New Roman" w:cs="Times New Roman"/>
          <w:b/>
          <w:bCs/>
          <w:noProof/>
          <w:color w:val="000000" w:themeColor="text1"/>
          <w:sz w:val="24"/>
          <w:szCs w:val="24"/>
        </w:rPr>
      </w:pPr>
      <w:r>
        <w:rPr>
          <w:rFonts w:ascii="Times New Roman" w:hAnsi="Times New Roman"/>
          <w:b/>
          <w:noProof/>
          <w:sz w:val="24"/>
        </w:rPr>
        <w:t xml:space="preserve">3.2.2. Avis des parties prenantes sur la </w:t>
      </w:r>
      <w:r>
        <w:rPr>
          <w:rFonts w:ascii="Times New Roman" w:hAnsi="Times New Roman"/>
          <w:b/>
          <w:noProof/>
          <w:color w:val="000000" w:themeColor="text1"/>
          <w:sz w:val="24"/>
        </w:rPr>
        <w:t xml:space="preserve">nécessité de modifier les cas d’utilisation visés à l’annexe III du règlement sur l’IA </w:t>
      </w:r>
    </w:p>
    <w:p w14:paraId="3CD7F25D" w14:textId="77777777" w:rsidR="006877E5" w:rsidRDefault="006877E5" w:rsidP="12876998">
      <w:pPr>
        <w:jc w:val="both"/>
        <w:rPr>
          <w:rFonts w:ascii="Times New Roman" w:eastAsia="Times New Roman" w:hAnsi="Times New Roman" w:cs="Times New Roman"/>
          <w:noProof/>
          <w:sz w:val="24"/>
          <w:szCs w:val="24"/>
        </w:rPr>
      </w:pPr>
    </w:p>
    <w:p w14:paraId="5A82717C" w14:textId="0EB22B11" w:rsidR="23688059" w:rsidRPr="0004722E" w:rsidRDefault="05703AB1"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Bien qu’un nombre important de parties prenantes aient estimé que la liste existante des cas d’utilisation à haut risque figurant à l’annexe III du règlement sur l’IA était adéquate</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d’autres ont suggéré d’ajouter de nouveaux cas d’utilisation aux rubriques de domaines existantes ou d’étendre les cas d’utilisation actuels, ou se sont interrogés sur l'opportunité d’ajouter de nouvelles rubriques de domaines à ladite annexe</w:t>
      </w:r>
      <w:r>
        <w:rPr>
          <w:rStyle w:val="FootnoteReference"/>
          <w:rFonts w:ascii="Times New Roman" w:eastAsia="Times New Roman" w:hAnsi="Times New Roman" w:cs="Times New Roman"/>
          <w:noProof/>
          <w:sz w:val="24"/>
          <w:szCs w:val="24"/>
        </w:rPr>
        <w:footnoteReference w:id="23"/>
      </w:r>
      <w:r>
        <w:rPr>
          <w:rFonts w:ascii="Times New Roman" w:hAnsi="Times New Roman"/>
          <w:noProof/>
          <w:sz w:val="24"/>
        </w:rPr>
        <w:t>. Selon la majorité des parties prenantes, aucun des cas d’utilisation actuels de l’annexe III ne devrait être supprimé.</w:t>
      </w:r>
    </w:p>
    <w:p w14:paraId="659C9A02" w14:textId="28FEBBB8" w:rsidR="23688059" w:rsidRPr="0004722E" w:rsidRDefault="7E1B4C82"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 Commission a estimé qu’un nombre considérable des propositions étaient suffisamment prises en compte par les dispositions existantes du règlement sur l’IA</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xml:space="preserve">. Les autres propositions visant à inclure des cas d’utilisation et des rubriques de domaines supplémentaires ont été évaluées à la lumière des critères énumérés à l’article 7 du règlement sur l’IA (voir section 2.1.2 ci-dessus). Plusieurs cas d’utilisation proposés ont été examinés, mais ils n’ont pas été considérés comme présentant un </w:t>
      </w:r>
      <w:r>
        <w:rPr>
          <w:rFonts w:ascii="Times New Roman" w:hAnsi="Times New Roman"/>
          <w:noProof/>
          <w:color w:val="000000" w:themeColor="text1"/>
          <w:sz w:val="24"/>
        </w:rPr>
        <w:t>risque de préjudice équivalent ou supérieur à ceux déjà énumérés à l’annexe III du règlement sur l’IA</w:t>
      </w:r>
      <w:r>
        <w:rPr>
          <w:rStyle w:val="FootnoteReference"/>
          <w:rFonts w:ascii="Times New Roman" w:eastAsia="Times New Roman" w:hAnsi="Times New Roman" w:cs="Times New Roman"/>
          <w:noProof/>
          <w:color w:val="000000" w:themeColor="text1"/>
          <w:sz w:val="24"/>
          <w:szCs w:val="24"/>
        </w:rPr>
        <w:footnoteReference w:id="25"/>
      </w:r>
      <w:r>
        <w:rPr>
          <w:rFonts w:ascii="Times New Roman" w:hAnsi="Times New Roman"/>
          <w:noProof/>
          <w:color w:val="000000" w:themeColor="text1"/>
          <w:sz w:val="24"/>
        </w:rPr>
        <w:t>.</w:t>
      </w:r>
      <w:r>
        <w:rPr>
          <w:rFonts w:ascii="Times New Roman" w:hAnsi="Times New Roman"/>
          <w:noProof/>
          <w:sz w:val="24"/>
        </w:rPr>
        <w:t xml:space="preserve"> Il a été considéré que certaines des préoccupations soulevées par les parties prenantes étaient probablement déjà couvertes par la liste des cas d’utilisation à haut risque figurant à l’annexe III du règlement sur l’IA et qu'elles feraient l’objet de précisions supplémentaires dans les lignes directrices sur la classification des systèmes d’IA à haut risque qui sont en cours d’élaboration par la Commission</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w:t>
      </w:r>
    </w:p>
    <w:p w14:paraId="37651209" w14:textId="53B9EE95" w:rsidR="23688059" w:rsidRPr="0004722E" w:rsidRDefault="79E1AC26"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Les préoccupations suivantes, soulevées à plusieurs reprises par les parties prenantes, ont été recensées par la Commission en vue d’un suivi et d’une évaluation continus à la lumière de l’évolution des pratiques:</w:t>
      </w:r>
    </w:p>
    <w:p w14:paraId="55CCECA7" w14:textId="1A231E5D" w:rsidR="2EB65250" w:rsidRPr="009A7D1E" w:rsidRDefault="2EB65250" w:rsidP="12876998">
      <w:pPr>
        <w:numPr>
          <w:ilvl w:val="0"/>
          <w:numId w:val="4"/>
        </w:numPr>
        <w:jc w:val="both"/>
        <w:rPr>
          <w:rFonts w:ascii="Times New Roman" w:eastAsia="Times New Roman" w:hAnsi="Times New Roman" w:cs="Times New Roman"/>
          <w:noProof/>
          <w:sz w:val="24"/>
          <w:szCs w:val="24"/>
        </w:rPr>
      </w:pPr>
      <w:r>
        <w:rPr>
          <w:rFonts w:ascii="Times New Roman" w:hAnsi="Times New Roman"/>
          <w:noProof/>
          <w:sz w:val="24"/>
        </w:rPr>
        <w:t>un nombre important de suggestions concernaient l’</w:t>
      </w:r>
      <w:r>
        <w:rPr>
          <w:rFonts w:ascii="Times New Roman" w:hAnsi="Times New Roman"/>
          <w:b/>
          <w:noProof/>
          <w:sz w:val="24"/>
        </w:rPr>
        <w:t>annexe III, point 5, du règlement sur l’IA</w:t>
      </w:r>
      <w:r>
        <w:rPr>
          <w:rFonts w:ascii="Times New Roman" w:hAnsi="Times New Roman"/>
          <w:noProof/>
          <w:sz w:val="24"/>
        </w:rPr>
        <w:t xml:space="preserve">. En ce qui concerne le point 5 a), plusieurs parties prenantes se sont interrogées sur l’absence de référence explicite aux systèmes d’IA utilisés dans l’administration publique pour gérer l’accès aux prestations sociales et au logement social. En ce qui concerne le point 5 b), les parties prenantes ont fait observer que les systèmes d’IA utilisés pour le filtrage des locataires et l’éligibilité des services privés (par exemple, télécommunications, services d’utilité publique) ne sont pas clairement couverts. En ce qui concerne le point 5 c), des préoccupations ont été exprimées quant au fait que le cas d’utilisation à haut risque actuel se limite à l’assurance-vie et à l’assurance maladie, sans mention d’autres assurances essentielles (par exemple, les assurances portant sur les véhicules automoteurs, la responsabilité civile professionnelle, les propriétaires de logements ou encore l’invalidité). Il est également suggéré d’étendre le point 5 d) afin d’y inclure les systèmes d’IA qui influencent les décisions d’intervention d’urgence ayant une incidence sur la sécurité et les droits (par exemple, l’évacuation forcée, les confinements). Bien qu’il ait été pris bonne note d’un grand nombre de suggestions en vue de leur prise en compte dans les futures lignes directrices de la Commission sur la classification des systèmes à haut risque, le Bureau de l’IA suivra de près le déploiement des systèmes d’IA dans le domaine couvert par l’annexe III, point 5, du règlement sur l’IA, notamment dans les situations où aucun cas d’utilisation à haut risque pertinent n’existe à l’annexe III en ce qui concerne des systèmes d’IA spécifiques. Une attention particulière sera accordée à la collecte de données empiriques sur les préjudices réels et au recensement des éventuelles lacunes réglementaires qui pourraient justifier de modifier ou de compléter la liste des cas d’utilisation à haut risque figurant à l’annexe III, point 5, ou, plus généralement, l’intitulé de la rubrique; </w:t>
      </w:r>
    </w:p>
    <w:p w14:paraId="29E71603" w14:textId="426744BD" w:rsidR="2B1F232D" w:rsidRPr="009A7D1E" w:rsidRDefault="649F1233" w:rsidP="12876998">
      <w:pPr>
        <w:numPr>
          <w:ilvl w:val="0"/>
          <w:numId w:val="4"/>
        </w:numPr>
        <w:jc w:val="both"/>
        <w:rPr>
          <w:rFonts w:ascii="Times New Roman" w:eastAsia="Times New Roman" w:hAnsi="Times New Roman" w:cs="Times New Roman"/>
          <w:noProof/>
          <w:sz w:val="24"/>
          <w:szCs w:val="24"/>
        </w:rPr>
      </w:pPr>
      <w:r>
        <w:rPr>
          <w:rFonts w:ascii="Times New Roman" w:hAnsi="Times New Roman"/>
          <w:noProof/>
          <w:sz w:val="24"/>
        </w:rPr>
        <w:t xml:space="preserve">confirmant la préoccupation exprimée par un État membre (voir section 3.1 ci-dessus), un problème récurrent dans la consultation des parties prenantes concernait les </w:t>
      </w:r>
      <w:r>
        <w:rPr>
          <w:rFonts w:ascii="Times New Roman" w:hAnsi="Times New Roman"/>
          <w:b/>
          <w:noProof/>
          <w:sz w:val="24"/>
        </w:rPr>
        <w:t>compagnons IA et les dialogueurs de soutien psychologique fondés sur l’IA</w:t>
      </w:r>
      <w:r>
        <w:rPr>
          <w:rFonts w:ascii="Times New Roman" w:hAnsi="Times New Roman"/>
          <w:noProof/>
          <w:sz w:val="24"/>
        </w:rPr>
        <w:t>. Ces systèmes d’IA ont été pointés par les parties prenantes dans le contexte de la nécessité potentielle de modifier les pratiques interdites en matière d’IA ainsi qu’en relation avec les cas d’utilisation visés à l’annexe III. Comme indiqué ci-dessus, si ces systèmes exercent une influence subliminale, manipulatrice ou trompeuse, ou exploitent des vulnérabilités de manière préjudiciable, ils peuvent relever des interdictions prévues à l’article 5, points a) et b), du règlement sur l’IA. Lorsqu’ils comportent des éléments de reconnaissance des émotions, ils peuvent être classés comme étant à haut risque en vertu de l’annexe III, point 1 c), du règlement sur l’IA. Des obligations de transparence s’appliquent également pour garantir que les utilisateurs sachent qu’ils interagissent avec un dialogueur fondé sur l’IA ou qu’ils sont soumis à des systèmes de reconnaissance des émotions ou de catégorisation biométrique. Des garanties supplémentaires sont prévues par la législation sur les services numériques</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rPr>
        <w:t xml:space="preserve"> et la législation de l’UE en matière de protection des données, le cas échéant</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xml:space="preserve">. Néanmoins, compte tenu de la prolifération croissante des compagnons IA et des dialogueurs de soutien psychologique fondés sur l’IA, la Commission estime qu’il est important de suivre de près leur évolution dans les années à venir afin de recueillir de nouveaux éléments probants et d’évaluer si le cadre législatif existant reste adéquat pour parer aux risques qu’ils peuvent présenter; </w:t>
      </w:r>
    </w:p>
    <w:p w14:paraId="3E85A7B5" w14:textId="7A2058DA" w:rsidR="41C0A2F0" w:rsidRPr="009A7D1E" w:rsidRDefault="41C0A2F0" w:rsidP="12876998">
      <w:pPr>
        <w:numPr>
          <w:ilvl w:val="0"/>
          <w:numId w:val="4"/>
        </w:numPr>
        <w:jc w:val="both"/>
        <w:rPr>
          <w:rFonts w:ascii="Times New Roman" w:eastAsia="Times New Roman" w:hAnsi="Times New Roman" w:cs="Times New Roman"/>
          <w:noProof/>
          <w:sz w:val="24"/>
          <w:szCs w:val="24"/>
        </w:rPr>
      </w:pPr>
      <w:r>
        <w:rPr>
          <w:rFonts w:ascii="Times New Roman" w:hAnsi="Times New Roman"/>
          <w:noProof/>
          <w:sz w:val="24"/>
        </w:rPr>
        <w:t xml:space="preserve">certaines parties prenantes ont suggéré de classer les </w:t>
      </w:r>
      <w:r>
        <w:rPr>
          <w:rFonts w:ascii="Times New Roman" w:hAnsi="Times New Roman"/>
          <w:b/>
          <w:noProof/>
          <w:sz w:val="24"/>
        </w:rPr>
        <w:t>systèmes d’IA utilisés dans le recouvrement et l’exécution des créances</w:t>
      </w:r>
      <w:r>
        <w:rPr>
          <w:rFonts w:ascii="Times New Roman" w:hAnsi="Times New Roman"/>
          <w:noProof/>
          <w:sz w:val="24"/>
        </w:rPr>
        <w:t xml:space="preserve"> comme étant à haut risque, compte tenu de leur utilisation croissante par les fournisseurs d’énergie, de télécommunications et de services financiers. Ces systèmes d’IA pourraient potentiellement relever des rubriques de l’annexe III, point 5 ou 8, du règlement sur l’IA. Ces systèmes feront l’objet d’une surveillance supplémentaire de la part de la Commission afin de voir dans quelle mesure ils sont déployés de manière intensive et quels sont les préjudices qui peuvent survenir, en particulier en ce qui concerne les consommateurs vulnérables;</w:t>
      </w:r>
    </w:p>
    <w:p w14:paraId="72A9A20E" w14:textId="45D10193" w:rsidR="12B6FDC2" w:rsidRPr="009A7D1E" w:rsidRDefault="12B6FDC2" w:rsidP="12876998">
      <w:pPr>
        <w:pStyle w:val="ListParagraph"/>
        <w:numPr>
          <w:ilvl w:val="0"/>
          <w:numId w:val="4"/>
        </w:numPr>
        <w:spacing w:before="240" w:after="240"/>
        <w:jc w:val="both"/>
        <w:rPr>
          <w:rFonts w:ascii="Times New Roman" w:eastAsia="Times New Roman" w:hAnsi="Times New Roman" w:cs="Times New Roman"/>
          <w:noProof/>
          <w:sz w:val="24"/>
          <w:szCs w:val="24"/>
        </w:rPr>
      </w:pPr>
      <w:r>
        <w:rPr>
          <w:rFonts w:ascii="Times New Roman" w:hAnsi="Times New Roman"/>
          <w:noProof/>
          <w:sz w:val="24"/>
        </w:rPr>
        <w:t xml:space="preserve">plusieurs parties prenantes ont proposé d’étendre le champ d’application de l’annexe III, point 2, du règlement sur l’IA, qui concerne les systèmes d’IA utilisés dans le domaine des </w:t>
      </w:r>
      <w:r>
        <w:rPr>
          <w:rFonts w:ascii="Times New Roman" w:hAnsi="Times New Roman"/>
          <w:b/>
          <w:noProof/>
          <w:sz w:val="24"/>
        </w:rPr>
        <w:t>infrastructures critiques</w:t>
      </w:r>
      <w:r>
        <w:rPr>
          <w:rFonts w:ascii="Times New Roman" w:hAnsi="Times New Roman"/>
          <w:noProof/>
          <w:sz w:val="24"/>
        </w:rPr>
        <w:t>. Elles proposent que ce domaine couvre non seulement les systèmes d’IA fonctionnant comme des composants de sécurité, mais aussi un éventail plus large de systèmes faisant partie intégrante de la fiabilité et de la continuité de l’infrastructure. Compte tenu de ces suggestions, une surveillance plus approfondie des systèmes d’IA utilisés dans ce domaine est nécessaire pour évaluer l’intensité du déploiement et les préjudices que ces systèmes peuvent causer dans la pratique.</w:t>
      </w:r>
    </w:p>
    <w:p w14:paraId="7687B8BA" w14:textId="3BD2F8F1" w:rsidR="23688059" w:rsidRPr="009A7D1E" w:rsidRDefault="23688059" w:rsidP="12876998">
      <w:pPr>
        <w:jc w:val="both"/>
        <w:rPr>
          <w:rFonts w:ascii="Times New Roman" w:eastAsia="Times New Roman" w:hAnsi="Times New Roman" w:cs="Times New Roman"/>
          <w:noProof/>
          <w:sz w:val="24"/>
          <w:szCs w:val="24"/>
        </w:rPr>
      </w:pPr>
    </w:p>
    <w:p w14:paraId="0079B123" w14:textId="44D87AD9" w:rsidR="3429E7B3" w:rsidRPr="009A7D1E" w:rsidRDefault="0C0E2830" w:rsidP="00124A30">
      <w:pPr>
        <w:spacing w:line="257" w:lineRule="auto"/>
        <w:ind w:left="720"/>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3.3. Recherches empiriques: analyse des bases de données sur les incidents liés à l’IA et d’autres sources</w:t>
      </w:r>
    </w:p>
    <w:p w14:paraId="53C0E68D" w14:textId="7DF0F1D0" w:rsidR="23688059" w:rsidRPr="009A7D1E" w:rsidRDefault="23688059" w:rsidP="12876998">
      <w:pPr>
        <w:jc w:val="both"/>
        <w:rPr>
          <w:rFonts w:ascii="Times New Roman" w:eastAsia="Times New Roman" w:hAnsi="Times New Roman" w:cs="Times New Roman"/>
          <w:noProof/>
          <w:sz w:val="24"/>
          <w:szCs w:val="24"/>
        </w:rPr>
      </w:pPr>
    </w:p>
    <w:p w14:paraId="7F1590BA" w14:textId="3E3EC120" w:rsidR="27CF1F35" w:rsidRPr="0004722E" w:rsidRDefault="47A7E7ED"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Aux fins du présent rapport, les informations figurant dans les bases de données pertinentes sur les incidents liés à l’IA ont également été consultées et analysées. Cette recherche documentaire a été menée afin de recenser les pratiques dangereuses et les incidents passés causés par des systèmes d’IA qui pourraient fournir des preuves empiriques de risques pour la santé, la sécurité et les droits fondamentaux qui se seraient concrétisés afin d’éclairer l’évaluation de la nécessité d’une révision.</w:t>
      </w:r>
      <w:r>
        <w:rPr>
          <w:noProof/>
        </w:rPr>
        <w:t xml:space="preserve"> </w:t>
      </w:r>
      <w:r>
        <w:rPr>
          <w:rFonts w:ascii="Times New Roman" w:hAnsi="Times New Roman"/>
          <w:noProof/>
          <w:color w:val="000000" w:themeColor="text1"/>
          <w:sz w:val="24"/>
        </w:rPr>
        <w:t>Si la recherche empirique décrite dans la section suivante fournit une source supplémentaire pour la cartographie des données relatives aux préjudices et aux incidents dus aux systèmes d’IA, elle présente des limites intrinsèques puisque les bases de données analysées ne contiennent pas des informations complètes et vérifiées sur tous les incidents liés à l’IA. De nombreux incidents ont également une envergure mondiale et ne sont pas limités à l’Europe et les informations détaillées qui permettraient de catégoriser correctement les incidents relevant du règlement sur l’IA ne sont pas toujours disponibles. </w:t>
      </w:r>
    </w:p>
    <w:p w14:paraId="25DE3649" w14:textId="4C5C7212" w:rsidR="637298B9" w:rsidRPr="009A7D1E" w:rsidRDefault="637298B9" w:rsidP="18318B5B">
      <w:pPr>
        <w:jc w:val="both"/>
        <w:rPr>
          <w:rFonts w:ascii="Times New Roman" w:eastAsia="Times New Roman" w:hAnsi="Times New Roman" w:cs="Times New Roman"/>
          <w:noProof/>
          <w:sz w:val="24"/>
          <w:szCs w:val="24"/>
        </w:rPr>
      </w:pPr>
    </w:p>
    <w:p w14:paraId="51C9C859" w14:textId="778AEFE0" w:rsidR="290FA399" w:rsidRPr="009A7D1E" w:rsidRDefault="6F8F79EF" w:rsidP="12876998">
      <w:pPr>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3.3.1. Bases de données et calendrier</w:t>
      </w:r>
    </w:p>
    <w:p w14:paraId="7CE2AA95" w14:textId="77777777" w:rsidR="004438C8" w:rsidRDefault="004438C8" w:rsidP="12876998">
      <w:pPr>
        <w:jc w:val="both"/>
        <w:rPr>
          <w:rFonts w:ascii="Times New Roman" w:eastAsia="Times New Roman" w:hAnsi="Times New Roman" w:cs="Times New Roman"/>
          <w:noProof/>
          <w:color w:val="000000" w:themeColor="text1"/>
          <w:sz w:val="24"/>
          <w:szCs w:val="24"/>
        </w:rPr>
      </w:pPr>
    </w:p>
    <w:p w14:paraId="3A87543E" w14:textId="377D49A8" w:rsidR="27CF1F35" w:rsidRPr="0004722E" w:rsidRDefault="10877FA8"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Ces recherches documentaires s’appuyaient principalement sur la base de données </w:t>
      </w:r>
      <w:r>
        <w:rPr>
          <w:rFonts w:ascii="Times New Roman" w:hAnsi="Times New Roman"/>
          <w:i/>
          <w:noProof/>
          <w:color w:val="000000" w:themeColor="text1"/>
          <w:sz w:val="24"/>
        </w:rPr>
        <w:t>AI Incidents and Hazards Monitor</w:t>
      </w:r>
      <w:r>
        <w:rPr>
          <w:rFonts w:ascii="Times New Roman" w:hAnsi="Times New Roman"/>
          <w:noProof/>
          <w:color w:val="000000" w:themeColor="text1"/>
          <w:sz w:val="24"/>
        </w:rPr>
        <w:t xml:space="preserve"> (AIM)</w:t>
      </w:r>
      <w:r>
        <w:rPr>
          <w:rStyle w:val="FootnoteReference"/>
          <w:rFonts w:ascii="Times New Roman" w:eastAsia="Times New Roman" w:hAnsi="Times New Roman" w:cs="Times New Roman"/>
          <w:noProof/>
          <w:color w:val="000000" w:themeColor="text1"/>
          <w:sz w:val="24"/>
          <w:szCs w:val="24"/>
        </w:rPr>
        <w:footnoteReference w:id="29"/>
      </w:r>
      <w:r>
        <w:rPr>
          <w:rFonts w:ascii="Times New Roman" w:hAnsi="Times New Roman"/>
          <w:noProof/>
          <w:color w:val="000000" w:themeColor="text1"/>
          <w:sz w:val="24"/>
        </w:rPr>
        <w:t xml:space="preserve"> de l’Organisation de coopération et de développement économiques (OCDE). Cette base de données est un projet gratuit et ouvert consacré à l’indexation de l’historique des préjudices ou des quasi-préjudices qui se sont matérialisés dans le monde réel du fait du déploiement de systèmes d’IA. Elle est fondée sur l’IA et recueille des informations sur les incidents liés à l’IA auprès de sources publiques (principalement des incidents liés à l’IA couverts par les médias). La Commission a également consulté le répertoire des risques liés à l’IA</w:t>
      </w:r>
      <w:r>
        <w:rPr>
          <w:rStyle w:val="FootnoteReference"/>
          <w:rFonts w:ascii="Times New Roman" w:eastAsia="Times New Roman" w:hAnsi="Times New Roman" w:cs="Times New Roman"/>
          <w:noProof/>
          <w:color w:val="000000" w:themeColor="text1"/>
          <w:sz w:val="24"/>
          <w:szCs w:val="24"/>
        </w:rPr>
        <w:footnoteReference w:id="30"/>
      </w:r>
      <w:r>
        <w:rPr>
          <w:rFonts w:ascii="Times New Roman" w:hAnsi="Times New Roman"/>
          <w:noProof/>
          <w:color w:val="000000" w:themeColor="text1"/>
          <w:sz w:val="24"/>
        </w:rPr>
        <w:t xml:space="preserve"> de l’Institut de technologie du Massachusetts (MIT)</w:t>
      </w:r>
      <w:r>
        <w:rPr>
          <w:rStyle w:val="FootnoteReference"/>
          <w:rFonts w:ascii="Times New Roman" w:eastAsia="Times New Roman" w:hAnsi="Times New Roman" w:cs="Times New Roman"/>
          <w:noProof/>
          <w:color w:val="000000" w:themeColor="text1"/>
          <w:sz w:val="24"/>
          <w:szCs w:val="24"/>
        </w:rPr>
        <w:footnoteReference w:id="31"/>
      </w:r>
      <w:r>
        <w:rPr>
          <w:rFonts w:ascii="Times New Roman" w:hAnsi="Times New Roman"/>
          <w:noProof/>
          <w:color w:val="000000" w:themeColor="text1"/>
          <w:sz w:val="24"/>
        </w:rPr>
        <w:t>. Cette base de données a été principalement consultée aux fins de l’élaboration de la méthode d’analyse des incidents.</w:t>
      </w:r>
    </w:p>
    <w:p w14:paraId="39E63108" w14:textId="0EC277D8" w:rsidR="746C9934" w:rsidRPr="0004722E" w:rsidRDefault="3416043B"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En raison de la nature des bases de données sur les incidents, qui ne publient que de brefs résumés des événements signalés, les analyses s’appuyant sur ces sources sont, dans une certaine mesure, limitées. Les descriptions concises ne permettent pas systématiquement d’évaluer avec précision les caractéristiques des incidents, pas plus qu’elles ne permettent toujours de les classer avec exactitude selon le cadre méthodologique utilisé dans le présent rapport, comme indiqué à la section 2.1 ci-dessus. Étant donné ces limitations et contraintes, le présent rapport emploie des termes quantitatifs généralisés (tels que «partie substantielle» ou «petite partie»), au lieu de fournir des proportions précises d’incidents.</w:t>
      </w:r>
    </w:p>
    <w:p w14:paraId="0916764D" w14:textId="1D306B1F" w:rsidR="27CF1F35" w:rsidRPr="0004722E" w:rsidRDefault="40941384"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Afin de laisser suffisamment de temps pour l’analyse des incidents, le délai couvert a été limité aux incidents signalés entre le 1</w:t>
      </w:r>
      <w:r>
        <w:rPr>
          <w:rFonts w:ascii="Times New Roman" w:hAnsi="Times New Roman"/>
          <w:noProof/>
          <w:color w:val="000000" w:themeColor="text1"/>
          <w:sz w:val="24"/>
          <w:vertAlign w:val="superscript"/>
        </w:rPr>
        <w:t>er</w:t>
      </w:r>
      <w:r>
        <w:rPr>
          <w:rFonts w:ascii="Times New Roman" w:hAnsi="Times New Roman"/>
          <w:noProof/>
          <w:color w:val="000000" w:themeColor="text1"/>
          <w:sz w:val="24"/>
        </w:rPr>
        <w:t xml:space="preserve"> janvier 2024 (après la finalisation des négociations relatives au règlement sur l’IA) et le 31 mai 2025. Au total, 3 791 incidents ont été signalés dans le système de suivi des incidents et des risques liés à l’IA de l’OCDE au cours de cette période. </w:t>
      </w:r>
    </w:p>
    <w:p w14:paraId="4FB3FB03" w14:textId="0D714FB2" w:rsidR="23688059" w:rsidRPr="009A7D1E" w:rsidRDefault="23688059" w:rsidP="12876998">
      <w:pPr>
        <w:jc w:val="both"/>
        <w:rPr>
          <w:rFonts w:ascii="Times New Roman" w:eastAsia="Times New Roman" w:hAnsi="Times New Roman" w:cs="Times New Roman"/>
          <w:noProof/>
          <w:color w:val="000000" w:themeColor="text1"/>
          <w:sz w:val="24"/>
          <w:szCs w:val="24"/>
        </w:rPr>
      </w:pPr>
    </w:p>
    <w:p w14:paraId="33218A33" w14:textId="2123045C" w:rsidR="76DAC97D" w:rsidRPr="009A7D1E" w:rsidRDefault="7A2E3787" w:rsidP="12876998">
      <w:pPr>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3.3.2. Catégorisation des incidents signalés</w:t>
      </w:r>
    </w:p>
    <w:p w14:paraId="14D36249" w14:textId="77777777" w:rsidR="004438C8" w:rsidRDefault="004438C8" w:rsidP="12876998">
      <w:pPr>
        <w:jc w:val="both"/>
        <w:rPr>
          <w:rFonts w:ascii="Times New Roman" w:eastAsia="Times New Roman" w:hAnsi="Times New Roman" w:cs="Times New Roman"/>
          <w:noProof/>
          <w:color w:val="000000" w:themeColor="text1"/>
          <w:sz w:val="24"/>
          <w:szCs w:val="24"/>
        </w:rPr>
      </w:pPr>
    </w:p>
    <w:p w14:paraId="616AC2BF" w14:textId="1EECAFE8" w:rsidR="76DAC97D" w:rsidRPr="0004722E" w:rsidRDefault="77BB3A21"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 première étape de l’analyse a consisté à classer les 3 791 incidents signalés en six catégories, à savoir:</w:t>
      </w:r>
    </w:p>
    <w:p w14:paraId="3D180B22" w14:textId="09FC9C87"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incidents ne relevant pas du champ d’application du règlement sur l’IA;</w:t>
      </w:r>
    </w:p>
    <w:p w14:paraId="1EDB5312" w14:textId="09BF080D"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incidents susceptibles d’être traités par l’annexe I du règlement sur l’IA;</w:t>
      </w:r>
    </w:p>
    <w:p w14:paraId="0CA56831" w14:textId="658A4F6A" w:rsidR="76DAC97D" w:rsidRPr="009A7D1E" w:rsidRDefault="77BB3A21" w:rsidP="12876998">
      <w:pPr>
        <w:pStyle w:val="ListParagraph"/>
        <w:numPr>
          <w:ilvl w:val="0"/>
          <w:numId w:val="2"/>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incidents susceptibles d’être couverts par l’article 50 du règlement sur l’IA;</w:t>
      </w:r>
    </w:p>
    <w:p w14:paraId="263654A3" w14:textId="333A567C"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incidents qui présentent des risques hypothétiques, sans avoir causé de préjudice au moment du signalement;</w:t>
      </w:r>
    </w:p>
    <w:p w14:paraId="5DED40E1" w14:textId="06157678"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incidents qui sont (ou peuvent être) potentiellement traités par l’article 5 du règlement sur l’IA; et</w:t>
      </w:r>
    </w:p>
    <w:p w14:paraId="4820CE4C" w14:textId="006E8EB9" w:rsidR="76DAC97D" w:rsidRPr="009A7D1E" w:rsidRDefault="77BB3A21" w:rsidP="0056751E">
      <w:pPr>
        <w:pStyle w:val="ListParagraph"/>
        <w:numPr>
          <w:ilvl w:val="0"/>
          <w:numId w:val="2"/>
        </w:numPr>
        <w:ind w:left="714" w:hanging="357"/>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les incidents qui sont (ou peuvent être) potentiellement traités par l’annexe III du règlement sur l’IA.</w:t>
      </w:r>
    </w:p>
    <w:p w14:paraId="09D8B508" w14:textId="5F42B39A" w:rsidR="76DAC97D" w:rsidRPr="009A7D1E" w:rsidRDefault="77BB3A21"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Si les catégories 1 à 4 ont été incluses afin de mieux comprendre le paysage global des incidents liés à l’IA, seuls les incidents relevant des catégories 5 et 6 ont fait l’objet d’une analyse plus approfondie conformément à la méthode utilisée pour le présent rapport et aux critères susmentionnés (section 2.1). </w:t>
      </w:r>
    </w:p>
    <w:p w14:paraId="4738B6C1" w14:textId="31BC1854" w:rsidR="76DAC97D" w:rsidRPr="0004722E" w:rsidRDefault="69ED8EA5"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L’analyse a démontré que près de la moitié de tous les incidents signalés au cours de la période concernée ne relevaient pas du champ d’application du règlement sur l’IA ou étaient suffisamment couverts par d’autres instruments de l’UE</w:t>
      </w:r>
      <w:r>
        <w:rPr>
          <w:rStyle w:val="FootnoteReference"/>
          <w:rFonts w:ascii="Times New Roman" w:eastAsia="Times New Roman" w:hAnsi="Times New Roman" w:cs="Times New Roman"/>
          <w:noProof/>
          <w:color w:val="000000" w:themeColor="text1"/>
          <w:sz w:val="24"/>
          <w:szCs w:val="24"/>
        </w:rPr>
        <w:footnoteReference w:id="32"/>
      </w:r>
      <w:r>
        <w:rPr>
          <w:rFonts w:ascii="Times New Roman" w:hAnsi="Times New Roman"/>
          <w:noProof/>
          <w:color w:val="000000" w:themeColor="text1"/>
          <w:sz w:val="24"/>
        </w:rPr>
        <w:t>. En outre, environ 10 % des incidents signalés étaient susceptibles d’être traités par l’annexe I du règlement sur l’IA</w:t>
      </w:r>
      <w:r>
        <w:rPr>
          <w:rStyle w:val="FootnoteReference"/>
          <w:rFonts w:ascii="Times New Roman" w:eastAsia="Times New Roman" w:hAnsi="Times New Roman" w:cs="Times New Roman"/>
          <w:noProof/>
          <w:color w:val="000000" w:themeColor="text1"/>
          <w:sz w:val="24"/>
          <w:szCs w:val="24"/>
        </w:rPr>
        <w:footnoteReference w:id="33"/>
      </w:r>
      <w:r>
        <w:rPr>
          <w:rFonts w:ascii="Times New Roman" w:hAnsi="Times New Roman"/>
          <w:noProof/>
          <w:color w:val="000000" w:themeColor="text1"/>
          <w:sz w:val="24"/>
        </w:rPr>
        <w:t xml:space="preserve"> et devraient donc voir leur incidence atténuée une fois que ces règles du règlement sur l’IA commenceront à s’appliquer. Une partie des incidents signalés semblait relever de l’article 50 du règlement sur l’IA</w:t>
      </w:r>
      <w:r>
        <w:rPr>
          <w:rStyle w:val="FootnoteReference"/>
          <w:rFonts w:ascii="Times New Roman" w:eastAsia="Times New Roman" w:hAnsi="Times New Roman" w:cs="Times New Roman"/>
          <w:noProof/>
          <w:color w:val="000000" w:themeColor="text1"/>
          <w:sz w:val="24"/>
          <w:szCs w:val="24"/>
        </w:rPr>
        <w:footnoteReference w:id="34"/>
      </w:r>
      <w:r>
        <w:rPr>
          <w:rFonts w:ascii="Times New Roman" w:hAnsi="Times New Roman"/>
          <w:noProof/>
          <w:color w:val="000000" w:themeColor="text1"/>
          <w:sz w:val="24"/>
        </w:rPr>
        <w:t xml:space="preserve"> et, par conséquent, on peut également s’attendre à ce que leurs effets soient atténués lorsque le chapitre pertinent du règlement sur l’IA commencera à s’appliquer. Enfin, certains des incidents signalés étaient des incidents hypothétiques et n’ont donc pas fait l’objet d’une analyse plus approfondie, laquelle se limitait aux préjudices réels qui se sont produits ou qui étaient raisonnablement susceptibles de se produire en raison de l’incident. </w:t>
      </w:r>
    </w:p>
    <w:p w14:paraId="022C29DF" w14:textId="00394DE1" w:rsidR="76DAC97D" w:rsidRPr="0004722E" w:rsidRDefault="3071AF4E"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La Commission a jugé qu’environ 30 % des incidents signalés nécessitaient une analyse plus détaillée. </w:t>
      </w:r>
      <w:r>
        <w:rPr>
          <w:rFonts w:ascii="Times New Roman" w:hAnsi="Times New Roman"/>
          <w:noProof/>
          <w:sz w:val="24"/>
        </w:rPr>
        <w:t>Environ deux tiers de ces incidents relevaient du champ d’application de l’article 5 du règlement sur l’IA ou ont été considérés comme suffisamment pertinents pour justifier une évaluation visant à déterminer s’ils remplissaient les critères d’inscription sur la liste des pratiques interdites en matière d’IA</w:t>
      </w:r>
      <w:r>
        <w:rPr>
          <w:rFonts w:ascii="Times New Roman" w:hAnsi="Times New Roman"/>
          <w:noProof/>
          <w:color w:val="000000" w:themeColor="text1"/>
          <w:sz w:val="24"/>
        </w:rPr>
        <w:t xml:space="preserve"> (section 2.1.1 ci-dessus). Les autres incidents, à savoir un tiers des incidents recensés en vue d’une analyse plus détaillée, étaient susceptibles de relever des rubriques de domaines à haut risque énumérées à l’annexe III du règlement sur l’IA</w:t>
      </w:r>
      <w:r>
        <w:rPr>
          <w:rStyle w:val="FootnoteReference"/>
          <w:rFonts w:ascii="Times New Roman" w:eastAsia="Times New Roman" w:hAnsi="Times New Roman" w:cs="Times New Roman"/>
          <w:noProof/>
          <w:color w:val="000000" w:themeColor="text1"/>
          <w:sz w:val="24"/>
          <w:szCs w:val="24"/>
        </w:rPr>
        <w:footnoteReference w:id="35"/>
      </w:r>
      <w:r>
        <w:rPr>
          <w:rFonts w:ascii="Times New Roman" w:hAnsi="Times New Roman"/>
          <w:noProof/>
          <w:color w:val="000000" w:themeColor="text1"/>
          <w:sz w:val="24"/>
        </w:rPr>
        <w:t xml:space="preserve">. Toutefois, il a fallu vérifier si ces incidents étaient couverts par les cas d’utilisation à haut risque actuellement énumérés à l’annexe III ou, dans la négative, s’ils satisfaisaient aux critères d’inscription à l’annexe III du règlement sur l’IA (critères examinés à la section 2.1.2 ci-dessus). </w:t>
      </w:r>
    </w:p>
    <w:p w14:paraId="79D18F75" w14:textId="356BD47F" w:rsidR="3E16FADC" w:rsidRPr="009A7D1E" w:rsidRDefault="3E16FADC" w:rsidP="12876998">
      <w:pPr>
        <w:jc w:val="both"/>
        <w:rPr>
          <w:rFonts w:ascii="Times New Roman" w:eastAsia="Times New Roman" w:hAnsi="Times New Roman" w:cs="Times New Roman"/>
          <w:b/>
          <w:bCs/>
          <w:noProof/>
          <w:color w:val="000000" w:themeColor="text1"/>
          <w:sz w:val="24"/>
          <w:szCs w:val="24"/>
        </w:rPr>
      </w:pPr>
    </w:p>
    <w:p w14:paraId="2654FB69" w14:textId="7D1B68A4" w:rsidR="76DAC97D" w:rsidRPr="009A7D1E" w:rsidRDefault="719BFF3F" w:rsidP="12876998">
      <w:pPr>
        <w:jc w:val="both"/>
        <w:rPr>
          <w:rFonts w:ascii="Times New Roman" w:eastAsia="Times New Roman" w:hAnsi="Times New Roman" w:cs="Times New Roman"/>
          <w:b/>
          <w:bCs/>
          <w:noProof/>
          <w:color w:val="000000" w:themeColor="text1"/>
          <w:sz w:val="24"/>
          <w:szCs w:val="24"/>
        </w:rPr>
      </w:pPr>
      <w:r>
        <w:rPr>
          <w:rFonts w:ascii="Times New Roman" w:hAnsi="Times New Roman"/>
          <w:b/>
          <w:noProof/>
          <w:color w:val="000000" w:themeColor="text1"/>
          <w:sz w:val="24"/>
        </w:rPr>
        <w:t>3.3.3. Évaluation des incidents recensés en vue d’une évaluation plus approfondie</w:t>
      </w:r>
    </w:p>
    <w:p w14:paraId="57DA934C" w14:textId="77777777" w:rsidR="004438C8" w:rsidRDefault="004438C8" w:rsidP="12876998">
      <w:pPr>
        <w:jc w:val="both"/>
        <w:rPr>
          <w:rFonts w:ascii="Times New Roman" w:eastAsia="Times New Roman" w:hAnsi="Times New Roman" w:cs="Times New Roman"/>
          <w:noProof/>
          <w:sz w:val="24"/>
          <w:szCs w:val="24"/>
        </w:rPr>
      </w:pPr>
    </w:p>
    <w:p w14:paraId="6C61DBCC" w14:textId="0B52C633" w:rsidR="2DA6651A" w:rsidRPr="0004722E" w:rsidRDefault="242A83E3"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 deuxième étape de l’analyse consistait à évaluer si les 30 % d’incidents jugés pertinents en vue d’une analyse plus détaillée étaient couverts par les interdictions prévues à l’article 5 ou par les cas d’utilisation énumérés à l’annexe III du règlement sur l’IA. Dans la négative, l’évaluation ultérieure visait à déterminer la nécessité éventuelle de modifier ces dispositions en ajoutant ou en supprimant des cas d’utilisation pertinents.</w:t>
      </w:r>
    </w:p>
    <w:p w14:paraId="750D15BD" w14:textId="36A7000D" w:rsidR="76DAC97D" w:rsidRPr="009A7D1E" w:rsidRDefault="6ABE8A0E" w:rsidP="12876998">
      <w:pPr>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Incidents susceptibles de relever des pratiques interdites en matière d’IA énumérées à l’article 5 du règlement sur l’IA</w:t>
      </w:r>
    </w:p>
    <w:p w14:paraId="63E3F43E" w14:textId="759A5184" w:rsidR="3B25027D" w:rsidRPr="0004722E" w:rsidRDefault="505D5A52" w:rsidP="0004722E">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En ce qui concerne les incidents susceptibles de relever des interdictions énoncées à l’article 5 du règlement sur l’IA, il semble qu’une partie des incidents évalués étaient déjà couverts par cette disposition</w:t>
      </w:r>
      <w:r>
        <w:rPr>
          <w:rStyle w:val="FootnoteReference"/>
          <w:rFonts w:ascii="Times New Roman" w:eastAsia="Times New Roman" w:hAnsi="Times New Roman" w:cs="Times New Roman"/>
          <w:noProof/>
          <w:color w:val="000000" w:themeColor="text1"/>
          <w:sz w:val="24"/>
          <w:szCs w:val="24"/>
        </w:rPr>
        <w:footnoteReference w:id="36"/>
      </w:r>
      <w:r>
        <w:rPr>
          <w:rFonts w:ascii="Times New Roman" w:hAnsi="Times New Roman"/>
          <w:noProof/>
          <w:sz w:val="24"/>
        </w:rPr>
        <w:t>. Faute d’informations suffisantes pour procéder à une évaluation précise, certains incidents</w:t>
      </w:r>
      <w:r>
        <w:rPr>
          <w:rFonts w:ascii="Times New Roman" w:hAnsi="Times New Roman"/>
          <w:noProof/>
          <w:color w:val="000000" w:themeColor="text1"/>
          <w:sz w:val="24"/>
        </w:rPr>
        <w:t xml:space="preserve"> n’ont pas pu être considérés comme relevant ou non des interdictions prévues à l’article 5 du règlement sur l’IA.</w:t>
      </w:r>
    </w:p>
    <w:p w14:paraId="5E6C4290" w14:textId="3C3622B9" w:rsidR="1148B26A" w:rsidRPr="005E4536" w:rsidDel="003E026C" w:rsidRDefault="33A18773" w:rsidP="528BECAB">
      <w:pPr>
        <w:pStyle w:val="ListParagraph"/>
        <w:numPr>
          <w:ilvl w:val="0"/>
          <w:numId w:val="42"/>
        </w:numPr>
        <w:jc w:val="both"/>
        <w:rPr>
          <w:rFonts w:ascii="Times New Roman" w:eastAsia="Times" w:hAnsi="Times New Roman" w:cs="Times New Roman"/>
          <w:noProof/>
          <w:sz w:val="24"/>
          <w:szCs w:val="24"/>
        </w:rPr>
      </w:pPr>
      <w:r w:rsidRPr="005E4536">
        <w:rPr>
          <w:rFonts w:ascii="Times New Roman" w:hAnsi="Times New Roman" w:cs="Times New Roman"/>
          <w:noProof/>
          <w:color w:val="000000" w:themeColor="text1"/>
          <w:sz w:val="24"/>
        </w:rPr>
        <w:t xml:space="preserve">Toutefois, la Commission a recensé un nombre considérable d’incidents potentiellement liés aux pratiques interdites prévues à l’article 5 du règlement sur l’IA ou constituant des pratiques similaires ayant un effet particulièrement néfaste et abusif, lesquelles n’étaient pas clairement couvertes par cette disposition. </w:t>
      </w:r>
      <w:r w:rsidRPr="005E4536">
        <w:rPr>
          <w:rFonts w:ascii="Times New Roman" w:hAnsi="Times New Roman" w:cs="Times New Roman"/>
          <w:noProof/>
          <w:sz w:val="24"/>
        </w:rPr>
        <w:t>Ces incidents ont été évalués à la lumière des critères présentés à la section 2.1.1 ci-dessus. Cette analyse a mis en évidence les domaines suivants, dont la Commission a pris note:</w:t>
      </w:r>
    </w:p>
    <w:p w14:paraId="4595A4A6" w14:textId="467FEBB7" w:rsidR="26494058" w:rsidRPr="009A7D1E" w:rsidDel="003E026C" w:rsidRDefault="7B3F7406" w:rsidP="12876998">
      <w:pPr>
        <w:pStyle w:val="ListParagraph"/>
        <w:numPr>
          <w:ilvl w:val="0"/>
          <w:numId w:val="7"/>
        </w:numPr>
        <w:contextualSpacing w:val="0"/>
        <w:jc w:val="both"/>
        <w:rPr>
          <w:rFonts w:ascii="Times New Roman" w:eastAsia="Times New Roman" w:hAnsi="Times New Roman" w:cs="Times New Roman"/>
          <w:noProof/>
          <w:color w:val="000000" w:themeColor="text1"/>
          <w:sz w:val="24"/>
          <w:szCs w:val="24"/>
        </w:rPr>
      </w:pPr>
      <w:r w:rsidRPr="005E4536">
        <w:rPr>
          <w:rFonts w:ascii="Times New Roman" w:hAnsi="Times New Roman" w:cs="Times New Roman"/>
          <w:noProof/>
          <w:sz w:val="24"/>
        </w:rPr>
        <w:t xml:space="preserve">Systèmes d’IA destinés ou aptes à produire des images </w:t>
      </w:r>
      <w:r w:rsidRPr="005E4536">
        <w:rPr>
          <w:rFonts w:ascii="Times New Roman" w:hAnsi="Times New Roman" w:cs="Times New Roman"/>
          <w:b/>
          <w:noProof/>
          <w:sz w:val="24"/>
        </w:rPr>
        <w:t>non consensuelles de personnes dénudées et des hypertrucages sexuellement explicites</w:t>
      </w:r>
      <w:r w:rsidRPr="005E4536">
        <w:rPr>
          <w:rFonts w:ascii="Times New Roman" w:hAnsi="Times New Roman" w:cs="Times New Roman"/>
          <w:noProof/>
          <w:sz w:val="24"/>
        </w:rPr>
        <w:t xml:space="preserve">, représentant des personnes réelles, y compris des mineurs.  </w:t>
      </w:r>
      <w:r w:rsidRPr="005E4536">
        <w:rPr>
          <w:rFonts w:ascii="Times New Roman" w:hAnsi="Times New Roman" w:cs="Times New Roman"/>
          <w:noProof/>
          <w:color w:val="000000" w:themeColor="text1"/>
          <w:sz w:val="24"/>
        </w:rPr>
        <w:t>La Commission a examiné si les systèmes d’IA produisant du matériel pédopornographique et des images sexuellement explicites non consensuelles pourraient relever des interdictions existantes ciblant les systèmes d’IA qui ont recours à des techniques subliminales, délibérément manipulatrices ou trompeuses [article 5, paragraphe 1, point a), du règlement sur l’IA] ou exploitent les vulnérabilités dues à l’âge, au handicap ou à une situation sociale ou économique spécifique [article 5, paragraphe 1, point b), du règlement sur l’IA], et qui sont susceptibles de causer un préjudice important. La Commission a conclu que ces pratiques ne relevaient ni de l’article 5, paragraphe 1, point a), ni de l’article 5,</w:t>
      </w:r>
      <w:r>
        <w:rPr>
          <w:rFonts w:ascii="Times New Roman" w:hAnsi="Times New Roman"/>
          <w:noProof/>
          <w:color w:val="000000" w:themeColor="text1"/>
          <w:sz w:val="24"/>
        </w:rPr>
        <w:t xml:space="preserve"> paragraphe 1, point b) du règlement sur l’IA, puisqu’il ne s’agit pas de techniques manipulatrices destinées à inciter les enfants et les victimes à adopter un comportement préjudiciable.</w:t>
      </w:r>
    </w:p>
    <w:p w14:paraId="72665374" w14:textId="477D12C8" w:rsidR="0061C5F0" w:rsidRPr="009A7D1E" w:rsidDel="003E026C" w:rsidRDefault="7B77DC23" w:rsidP="12876998">
      <w:pPr>
        <w:pStyle w:val="ListParagraph"/>
        <w:numPr>
          <w:ilvl w:val="0"/>
          <w:numId w:val="7"/>
        </w:numPr>
        <w:contextualSpacing w:val="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les systèmes d’IA destinés à </w:t>
      </w:r>
      <w:r>
        <w:rPr>
          <w:rFonts w:ascii="Times New Roman" w:hAnsi="Times New Roman"/>
          <w:b/>
          <w:noProof/>
          <w:color w:val="000000" w:themeColor="text1"/>
          <w:sz w:val="24"/>
        </w:rPr>
        <w:t>faciliter les escroqueries et la fraude financière</w:t>
      </w:r>
      <w:r>
        <w:rPr>
          <w:rFonts w:ascii="Times New Roman" w:hAnsi="Times New Roman"/>
          <w:noProof/>
          <w:color w:val="000000" w:themeColor="text1"/>
          <w:sz w:val="24"/>
        </w:rPr>
        <w:t xml:space="preserve"> peuvent potentiellement être couverts par l’article 5, paragraphe 1, points a) et b), du règlement sur l’IA, si les conditions de ces dispositions sont remplies, y compris si le seuil de préjudice financier important est atteint. Le respect de cette condition requiert également nécessairement un lien de causalité plausible entre le préjudice financier qui s’est produit ou est raisonnablement susceptible de se produire et l’utilisation du système d’IA (par exemple, un hypertrucage usurpant l’identité d’un membre de la famille). La Commission estime qu’il est important d’évaluer l’évolution de la pratique des États membres en ce qui concerne l’interprétation de l’exigence d’un préjudice financier important et la manière dont cela aura une incidence sur la couverture de ces pratiques d’IA préjudiciables et frauduleuses par les interdictions prévues à l’article 5 du règlement sur l’IA.</w:t>
      </w:r>
    </w:p>
    <w:p w14:paraId="78480F33" w14:textId="66849C64" w:rsidR="00DD531B" w:rsidRPr="009A7D1E" w:rsidRDefault="00DD531B" w:rsidP="528BECAB">
      <w:pPr>
        <w:ind w:left="360"/>
        <w:jc w:val="both"/>
        <w:rPr>
          <w:rFonts w:ascii="Times New Roman" w:eastAsia="Times New Roman" w:hAnsi="Times New Roman" w:cs="Times New Roman"/>
          <w:noProof/>
          <w:color w:val="000000" w:themeColor="text1"/>
          <w:sz w:val="24"/>
          <w:szCs w:val="24"/>
        </w:rPr>
      </w:pPr>
    </w:p>
    <w:p w14:paraId="01F3D168" w14:textId="5732C6A9" w:rsidR="76DAC97D" w:rsidRPr="009A7D1E" w:rsidRDefault="77BB3A21" w:rsidP="12876998">
      <w:pPr>
        <w:jc w:val="both"/>
        <w:rPr>
          <w:rFonts w:ascii="Times New Roman" w:eastAsia="Times New Roman" w:hAnsi="Times New Roman" w:cs="Times New Roman"/>
          <w:i/>
          <w:iCs/>
          <w:noProof/>
          <w:color w:val="000000" w:themeColor="text1"/>
          <w:sz w:val="24"/>
          <w:szCs w:val="24"/>
        </w:rPr>
      </w:pPr>
      <w:r>
        <w:rPr>
          <w:rFonts w:ascii="Times New Roman" w:hAnsi="Times New Roman"/>
          <w:i/>
          <w:noProof/>
          <w:color w:val="000000" w:themeColor="text1"/>
          <w:sz w:val="24"/>
        </w:rPr>
        <w:t xml:space="preserve">Incidents liés à des cas d’utilisation à haut risque visés à l’annexe III </w:t>
      </w:r>
    </w:p>
    <w:p w14:paraId="27382164" w14:textId="66D0939C" w:rsidR="10DA7CDB" w:rsidRPr="0004722E" w:rsidRDefault="14A0E6BF"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L’analyse des incidents relevant des rubriques de domaines à haut risque de l’annexe III du règlement sur l’IA a montré qu’une part importante de ceux-ci était déjà susceptible d’être couverte par les cas d’utilisation spécifiques énumérés dans cette annexe</w:t>
      </w:r>
      <w:r>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xml:space="preserve">. </w:t>
      </w:r>
      <w:r>
        <w:rPr>
          <w:rFonts w:ascii="Times New Roman" w:hAnsi="Times New Roman"/>
          <w:noProof/>
          <w:color w:val="000000" w:themeColor="text1"/>
          <w:sz w:val="24"/>
        </w:rPr>
        <w:t>En outre</w:t>
      </w:r>
      <w:r>
        <w:rPr>
          <w:rFonts w:ascii="Times New Roman" w:hAnsi="Times New Roman"/>
          <w:noProof/>
          <w:sz w:val="24"/>
        </w:rPr>
        <w:t>, certains incidents signalés ont été évalués comme ne présentant pas un niveau de risque de préjudice équivalent à celui associé aux cas d’utilisation déjà énumérés à l’annexe III du règlement sur l’IA</w:t>
      </w:r>
      <w:r>
        <w:rPr>
          <w:rStyle w:val="FootnoteReference"/>
          <w:rFonts w:ascii="Times New Roman" w:eastAsia="Times New Roman" w:hAnsi="Times New Roman" w:cs="Times New Roman"/>
          <w:noProof/>
          <w:sz w:val="24"/>
          <w:szCs w:val="24"/>
        </w:rPr>
        <w:footnoteReference w:id="38"/>
      </w:r>
      <w:r>
        <w:rPr>
          <w:rFonts w:ascii="Times New Roman" w:hAnsi="Times New Roman"/>
          <w:noProof/>
          <w:sz w:val="24"/>
        </w:rPr>
        <w:t>. Il subsiste un petit nombre d’incidents qu'il a été impossible de classer de manière concluante faute d’informations suffisantes.</w:t>
      </w:r>
    </w:p>
    <w:p w14:paraId="32EA7427" w14:textId="18609617" w:rsidR="3D36DF53" w:rsidRPr="0004722E" w:rsidRDefault="71259B80"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Un nombre considérable d’incidents ont été recensés comme relevant des rubriques de domaine énumérées à l’annexe III du règlement sur l’IA; toutefois, ceux-ci n’étaient pas clairement couverts par les cas d’utilisation spécifiques qui y sont actuellement prévus. Ces incidents ont été évalués à la lumière des critères examinés à la section 2.1.2 ci-dessus. L’analyse a permis de recenser les domaines suivants, retenus comme devant faire l’objet d’un suivi et d’une collecte de données supplémentaires:</w:t>
      </w:r>
    </w:p>
    <w:p w14:paraId="5EA0B053" w14:textId="607CF320" w:rsidR="04EF83AA" w:rsidRPr="009A7D1E" w:rsidRDefault="5925B707" w:rsidP="00BA396E">
      <w:pPr>
        <w:pStyle w:val="ListParagraph"/>
        <w:numPr>
          <w:ilvl w:val="0"/>
          <w:numId w:val="6"/>
        </w:numPr>
        <w:spacing w:before="240" w:after="24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un nombre important d’incidents étaient liés à des </w:t>
      </w:r>
      <w:r>
        <w:rPr>
          <w:rFonts w:ascii="Times New Roman" w:hAnsi="Times New Roman"/>
          <w:b/>
          <w:noProof/>
          <w:color w:val="000000" w:themeColor="text1"/>
          <w:sz w:val="24"/>
        </w:rPr>
        <w:t>campagnes de désinformation politique</w:t>
      </w:r>
      <w:r>
        <w:rPr>
          <w:rFonts w:ascii="Times New Roman" w:hAnsi="Times New Roman"/>
          <w:noProof/>
          <w:color w:val="000000" w:themeColor="text1"/>
          <w:sz w:val="24"/>
        </w:rPr>
        <w:t>, qui relèvent, sur le plan thématique, du domaine de l’administration de la justice et des processus démocratiques énumérés à l’annexe III, point 8, mais qui n’apparaissent pas clairement dans les cas d’utilisation qui y sont énumérés. Ces campagnes de désinformation concernaient en grande partie des hypertrucages de vidéos et d’images, dont les risques sont déjà traités dans une certaine mesure par l’article 50 du règlement sur l’IA. En outre, une partie de ces systèmes d’IA peut être couverte par les interdictions prévues à l’article 5, paragraphe 1, point a) ou b), du règlement sur l’IA, pour autant que toutes les conditions qui y sont énoncées soient remplies. Par ailleurs, le règlement sur les services numériques et le règlement relatif à la transparence et au ciblage de la publicité à caractère politique</w:t>
      </w:r>
      <w:r>
        <w:rPr>
          <w:rStyle w:val="FootnoteReference"/>
          <w:rFonts w:ascii="Times New Roman" w:eastAsia="Times New Roman" w:hAnsi="Times New Roman" w:cs="Times New Roman"/>
          <w:noProof/>
          <w:color w:val="000000" w:themeColor="text1"/>
          <w:sz w:val="24"/>
          <w:szCs w:val="24"/>
        </w:rPr>
        <w:footnoteReference w:id="39"/>
      </w:r>
      <w:r>
        <w:rPr>
          <w:rFonts w:ascii="Times New Roman" w:hAnsi="Times New Roman"/>
          <w:noProof/>
          <w:color w:val="000000" w:themeColor="text1"/>
          <w:sz w:val="24"/>
        </w:rPr>
        <w:t xml:space="preserve"> traitent certaines des questions liées à la désinformation politique. Des mesures et initiatives supplémentaires sont prévues dans la communication récemment adoptée sur le bouclier européen de la démocratie</w:t>
      </w:r>
      <w:r>
        <w:rPr>
          <w:rStyle w:val="FootnoteReference"/>
          <w:rFonts w:ascii="Times New Roman" w:eastAsia="Times New Roman" w:hAnsi="Times New Roman" w:cs="Times New Roman"/>
          <w:noProof/>
          <w:color w:val="000000" w:themeColor="text1"/>
          <w:sz w:val="24"/>
          <w:szCs w:val="24"/>
        </w:rPr>
        <w:footnoteReference w:id="40"/>
      </w:r>
      <w:r>
        <w:rPr>
          <w:rFonts w:ascii="Times New Roman" w:hAnsi="Times New Roman"/>
          <w:noProof/>
          <w:color w:val="000000" w:themeColor="text1"/>
          <w:sz w:val="24"/>
        </w:rPr>
        <w:t>. La Commission évaluera et précisera dans ses futures lignes directrices sur la classification des systèmes d’IA à haut risque si certaines de ces pratiques d’IA pourraient être classées comme relevant des systèmes d’IA destinés à être utilisés pour influencer le résultat d’une élection ou d’un référendum ou le comportement électoral des personnes physiques dans l’exercice de leur vote lors d’élections ou de référendums.</w:t>
      </w:r>
    </w:p>
    <w:p w14:paraId="3D4F1D93" w14:textId="40522E67" w:rsidR="10496ED0" w:rsidRPr="009A7D1E" w:rsidRDefault="10496ED0" w:rsidP="12876998">
      <w:pPr>
        <w:spacing w:before="240" w:after="240"/>
        <w:jc w:val="both"/>
        <w:rPr>
          <w:rFonts w:ascii="Times New Roman" w:eastAsia="Times New Roman" w:hAnsi="Times New Roman" w:cs="Times New Roman"/>
          <w:b/>
          <w:bCs/>
          <w:noProof/>
          <w:sz w:val="24"/>
          <w:szCs w:val="24"/>
        </w:rPr>
      </w:pPr>
    </w:p>
    <w:p w14:paraId="1F108CC9" w14:textId="024FFB3F" w:rsidR="04EF83AA" w:rsidRPr="009A7D1E" w:rsidRDefault="04EF83AA" w:rsidP="12876998">
      <w:pPr>
        <w:ind w:left="1350"/>
        <w:jc w:val="both"/>
        <w:rPr>
          <w:rFonts w:ascii="Times New Roman" w:eastAsia="Times New Roman" w:hAnsi="Times New Roman" w:cs="Times New Roman"/>
          <w:noProof/>
          <w:color w:val="196B24" w:themeColor="accent3"/>
          <w:sz w:val="24"/>
          <w:szCs w:val="24"/>
        </w:rPr>
      </w:pPr>
    </w:p>
    <w:p w14:paraId="3299AF4B" w14:textId="5F48FEFD" w:rsidR="00EC272A" w:rsidRPr="009A7D1E" w:rsidRDefault="5B7DAEF9" w:rsidP="00124A30">
      <w:pPr>
        <w:jc w:val="both"/>
        <w:rPr>
          <w:rFonts w:ascii="Times New Roman" w:eastAsia="Times New Roman" w:hAnsi="Times New Roman" w:cs="Times New Roman"/>
          <w:b/>
          <w:bCs/>
          <w:noProof/>
          <w:sz w:val="24"/>
          <w:szCs w:val="24"/>
        </w:rPr>
      </w:pPr>
      <w:r>
        <w:rPr>
          <w:rFonts w:ascii="Times New Roman" w:hAnsi="Times New Roman"/>
          <w:b/>
          <w:noProof/>
          <w:sz w:val="24"/>
        </w:rPr>
        <w:t xml:space="preserve">Conclusion </w:t>
      </w:r>
    </w:p>
    <w:p w14:paraId="12E7661F" w14:textId="77777777" w:rsidR="00870FBE" w:rsidRPr="009A7D1E" w:rsidRDefault="00870FBE" w:rsidP="12876998">
      <w:pPr>
        <w:jc w:val="both"/>
        <w:rPr>
          <w:rFonts w:ascii="Times New Roman" w:eastAsia="Times New Roman" w:hAnsi="Times New Roman" w:cs="Times New Roman"/>
          <w:b/>
          <w:bCs/>
          <w:noProof/>
          <w:sz w:val="24"/>
          <w:szCs w:val="24"/>
        </w:rPr>
      </w:pPr>
    </w:p>
    <w:p w14:paraId="45499855" w14:textId="6BE8123F" w:rsidR="157C25A0" w:rsidRPr="0004722E" w:rsidRDefault="5D9A8B33" w:rsidP="0004722E">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 xml:space="preserve">Le présent rapport est élaboré par la Commission et adressé au Parlement européen et au Conseil en exécution des obligations qui incombent à la Commission en vertu de l’article 112, paragraphe 1, du règlement sur l’IA. Les conclusions exposées dans le présent rapport sont soumises à l’examen de ces institutions. </w:t>
      </w:r>
    </w:p>
    <w:p w14:paraId="462A87F8" w14:textId="1693DB78" w:rsidR="00CA267C" w:rsidRPr="00911F2C" w:rsidRDefault="002D1CEF" w:rsidP="528BECAB">
      <w:pPr>
        <w:pStyle w:val="ListParagraph"/>
        <w:numPr>
          <w:ilvl w:val="0"/>
          <w:numId w:val="42"/>
        </w:numPr>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À la suite de l’évaluation réalisée sur la base de la méthode objective et participative pour l’examen requis au titre de l’article 112, paragraphe 1, du règlement sur l’IA, la Commission prend note d’une potentielle lacune réglementaire concernant les systèmes d’IA produisant du matériel pédopornographique et des images sexuellement explicites non consensuelles, qui ne sont pas interdits par l’article 5 du règlement sur l’IA, en vue d’une analyse plus approfondie.</w:t>
      </w:r>
      <w:r>
        <w:rPr>
          <w:rFonts w:ascii="Times New Roman" w:hAnsi="Times New Roman"/>
          <w:noProof/>
          <w:color w:val="000000" w:themeColor="text1"/>
          <w:sz w:val="24"/>
        </w:rPr>
        <w:t xml:space="preserve"> </w:t>
      </w:r>
      <w:r>
        <w:rPr>
          <w:rFonts w:ascii="Times New Roman" w:hAnsi="Times New Roman"/>
          <w:noProof/>
          <w:sz w:val="24"/>
        </w:rPr>
        <w:t xml:space="preserve">Étant donné que les dispositions du règlement sur l’IA relatives aux pratiques interdites en matière d’IA sont entrées en application le 2 février 2025 et que les règles d’exécution ne sont pas encore applicables, l’évaluation d’autres pratiques en matière d’IA qui sont particulièrement néfastes et abusives et qui sont contraires aux valeurs et aux droits fondamentaux de l’UE n’en est encore qu’à ses débuts et l’expérience pratique concernant les interdictions fait défaut. Il ne sera possible de procéder à une évaluation plus approfondie de l’application de l’article 5 du règlement sur l’IA qu’après que les interdictions auront été appliquées pendant au moins un an et que des difficultés communes ou des lacunes réglementaires commenceront à apparaître. De même, il sera plus facile d’évaluer le fonctionnement des règles relatives aux systèmes d’IA à haut risque et de recenser les éventuelles lacunes dans l’utilisation de ces systèmes qui présentent un risque élevé de préjudice pour la santé et la sécurité ou pour les droits fondamentaux une fois que les lignes directrices de la Commission sur la classification des systèmes d’IA à haut risque auront été publiées et qu’une expérience pratique aura été acquise. Les bacs à sable réglementaires mis en place conformément au règlement sur l’IA devraient également servir de mécanisme d’apprentissage réglementaire et de collecte de données probantes. Ils faciliteront le recensement des éventuelles lacunes et des difficultés réglementaires en matière d’interprétation. Sur la base des éléments de preuve recueillis et de l’évaluation effectuée dans le présent rapport, la Commission a néanmoins repéré certains systèmes d’IA qui devront faire l’objet d’un suivi et d’une analyse plus approfondie lors de réexamens ultérieurs. </w:t>
      </w:r>
    </w:p>
    <w:p w14:paraId="5C89FDCA" w14:textId="5D8E5154" w:rsidR="6B5A19F2" w:rsidRDefault="428021AB" w:rsidP="528BECAB">
      <w:pPr>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Dans les années à venir, les autorités de surveillance du marché chargées de superviser l’application du règlement sur l’IA sont encouragées à examiner si les interdictions énoncées à l’article 5 du règlement sur l’IA traitent de manière adéquate les applications malveillantes et spécifiques présentant un risque élevé d’utilisation abusive, en s’appuyant sur leur expérience pratique en matière de surveillance et de répression. De même, une fois que les règles relatives aux systèmes d’IA à haut risque commenceront à s’appliquer et que leur mise en œuvre commencera, il conviendra d’accorder une attention particulière aux systèmes d’IA qui pourraient relever de l’un des domaines énumérés à l’annexe III, mais qui ne sont pas explicitement mentionnés dans la liste actuelle des cas d’utilisation à haut risque. Cela permettra de fournir des données probantes aux futurs rapports que la Commission devra adopter sur la base de l’article 112, paragraphe 1, du règlement sur l’IA et d’aider la Commission à déterminer si le champ d’application de l’article 5 et de l’annexe III du règlement sur l’IA reste adéquat au fil du temps, ouvrant ainsi la voie à un réexamen éclairé, objectif et fondé sur des données probantes et à une éventuelle révision des dispositions pertinentes du règlement sur l’IA.</w:t>
      </w:r>
    </w:p>
    <w:p w14:paraId="021BBE92" w14:textId="27F2CFAF" w:rsidR="2A32EA19" w:rsidRDefault="78A69492" w:rsidP="12876998">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Conformément à l’article 112, paragraphe 1, du règlement sur l’IA, la liste des pratiques interdites en matière d’IA établie à l’article 5 du règlement sur l’IA et la liste des cas d’utilisation de systèmes à haut risque établie à l’annexe III du règlement sur l’IA font l’objet d’un réexamen annuel jusqu’à la fin de la période de délégation de pouvoir prévue à l’article 97 du règlement sur l’IA. La prochaine évaluation de la Commission au titre de l’article 112 du règlement sur l’IA est donc prévue pour 2026; une fois qu’elle sera achevée, la Commission publiera ses conclusions dans un rapport.</w:t>
      </w:r>
    </w:p>
    <w:p w14:paraId="794458D1" w14:textId="1B6646B9" w:rsidR="00AA6062" w:rsidRDefault="00AA6062" w:rsidP="12876998">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Afin de garantir une collecte cohérente et systématique des données pertinentes avant l’évaluation de 2026, la Commission a l’intention de coordonner les efforts de suivi en cours au niveau national et au niveau de l’UE. À cette fin, le Bureau de l’IA coopérera avec le Comité IA et les autorités nationales compétentes des États membres, et consultera, le cas échéant, les cadres de coopération déjà établis des points de contact nationaux dans les domaines concernés. Une attention particulière sera accordée aux domaines recensés dans le présent rapport en vue d’un suivi plus approfondi et de la collecte de données probantes. Toutefois, un suivi des évolutions technologiques, ainsi que des éventuels changements pertinents dans l’utilisation des systèmes d’IA, de leurs incidences et des risques émergents, sera également effectué.</w:t>
      </w:r>
    </w:p>
    <w:p w14:paraId="6DA6C585" w14:textId="1EB7DAD7" w:rsidR="408410B3" w:rsidRDefault="408410B3" w:rsidP="2677D305">
      <w:pPr>
        <w:pStyle w:val="ListParagraph"/>
        <w:numPr>
          <w:ilvl w:val="0"/>
          <w:numId w:val="42"/>
        </w:numPr>
        <w:jc w:val="both"/>
        <w:rPr>
          <w:rFonts w:ascii="Times New Roman" w:eastAsia="Times New Roman" w:hAnsi="Times New Roman" w:cs="Times New Roman"/>
          <w:noProof/>
          <w:sz w:val="24"/>
          <w:szCs w:val="24"/>
        </w:rPr>
      </w:pPr>
      <w:r>
        <w:rPr>
          <w:rFonts w:ascii="Times New Roman" w:hAnsi="Times New Roman"/>
          <w:noProof/>
          <w:sz w:val="24"/>
        </w:rPr>
        <w:t>Lorsqu’il s’agira d’évaluer si les risques associés à l’IA sont traités de manière adéquate par la législation existante de l’UE, une fois que l’application du règlement sur l’IA aura commencé et que l’expérience pratique aura été acquise, l’analyse portera sur la manière dont le règlement sur l’IA interagit avec d’autres cadres de l’UE et les complète pour faire face aux risques pour la santé, la sécurité et les droits fondamentaux. Il conviendra d’être particulièrement attentif à la cohérence et à l’interaction pratique entre le règlement sur l’IA et des instruments tels que le règlement sur les services numériques, le règlement sur la gouvernance des données, le règlement sur la transparence et le ciblage de la publicité à caractère politique, ainsi que l’acquis en matière de protection des consommateurs et de libre circulation des marchandises. Cette analyse devrait viser à déterminer dans quelle mesure les règles horizontales, les obligations sectorielles, les mécanismes de gouvernance des données et les garanties liées aux produits atténuent collectivement les risques pertinents, ce qui permettrait de déterminer si une intervention réglementaire supplémentaire est nécessaire.</w:t>
      </w:r>
    </w:p>
    <w:sectPr w:rsidR="408410B3" w:rsidSect="00465834">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1CB40" w14:textId="77777777" w:rsidR="00843E75" w:rsidRDefault="00843E75" w:rsidP="00453737">
      <w:pPr>
        <w:spacing w:after="0" w:line="240" w:lineRule="auto"/>
      </w:pPr>
      <w:r>
        <w:separator/>
      </w:r>
    </w:p>
  </w:endnote>
  <w:endnote w:type="continuationSeparator" w:id="0">
    <w:p w14:paraId="688C1651" w14:textId="77777777" w:rsidR="00843E75" w:rsidRDefault="00843E75" w:rsidP="00453737">
      <w:pPr>
        <w:spacing w:after="0" w:line="240" w:lineRule="auto"/>
      </w:pPr>
      <w:r>
        <w:continuationSeparator/>
      </w:r>
    </w:p>
  </w:endnote>
  <w:endnote w:type="continuationNotice" w:id="1">
    <w:p w14:paraId="1644823F" w14:textId="77777777" w:rsidR="00843E75" w:rsidRDefault="00843E7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Roboto">
    <w:charset w:val="00"/>
    <w:family w:val="auto"/>
    <w:pitch w:val="variable"/>
    <w:sig w:usb0="E0000AFF" w:usb1="5000217F" w:usb2="00000021" w:usb3="00000000" w:csb0="0000019F" w:csb1="00000000"/>
  </w:font>
  <w:font w:name="Times">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4B161" w14:textId="659EDFF6" w:rsidR="002A2CE2" w:rsidRPr="002A2CE2" w:rsidRDefault="002A2CE2" w:rsidP="002A2CE2">
    <w:pPr>
      <w:pStyle w:val="FooterCoverPage"/>
      <w:rPr>
        <w:rFonts w:ascii="Arial" w:hAnsi="Arial" w:cs="Arial"/>
        <w:b/>
        <w:sz w:val="48"/>
      </w:rPr>
    </w:pPr>
    <w:r w:rsidRPr="002A2CE2">
      <w:rPr>
        <w:rFonts w:ascii="Arial" w:hAnsi="Arial" w:cs="Arial"/>
        <w:b/>
        <w:sz w:val="48"/>
      </w:rPr>
      <w:t>FR</w:t>
    </w:r>
    <w:r w:rsidRPr="002A2CE2">
      <w:rPr>
        <w:rFonts w:ascii="Arial" w:hAnsi="Arial" w:cs="Arial"/>
        <w:b/>
        <w:sz w:val="48"/>
      </w:rPr>
      <w:tab/>
    </w:r>
    <w:r w:rsidRPr="002A2CE2">
      <w:rPr>
        <w:rFonts w:ascii="Arial" w:hAnsi="Arial" w:cs="Arial"/>
        <w:b/>
        <w:sz w:val="48"/>
      </w:rPr>
      <w:tab/>
    </w:r>
    <w:r w:rsidRPr="002A2CE2">
      <w:tab/>
    </w:r>
    <w:r w:rsidRPr="002A2CE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25B70" w14:textId="5306088C" w:rsidR="002A2CE2" w:rsidRPr="002A2CE2" w:rsidRDefault="002A2CE2" w:rsidP="002A2CE2">
    <w:pPr>
      <w:pStyle w:val="FooterCoverPage"/>
      <w:rPr>
        <w:rFonts w:ascii="Arial" w:hAnsi="Arial" w:cs="Arial"/>
        <w:b/>
        <w:sz w:val="48"/>
      </w:rPr>
    </w:pPr>
    <w:r w:rsidRPr="002A2CE2">
      <w:rPr>
        <w:rFonts w:ascii="Arial" w:hAnsi="Arial" w:cs="Arial"/>
        <w:b/>
        <w:sz w:val="48"/>
      </w:rPr>
      <w:t>FR</w:t>
    </w:r>
    <w:r w:rsidRPr="002A2CE2">
      <w:rPr>
        <w:rFonts w:ascii="Arial" w:hAnsi="Arial" w:cs="Arial"/>
        <w:b/>
        <w:sz w:val="48"/>
      </w:rPr>
      <w:tab/>
    </w:r>
    <w:r w:rsidRPr="002A2CE2">
      <w:rPr>
        <w:rFonts w:ascii="Arial" w:hAnsi="Arial" w:cs="Arial"/>
        <w:b/>
        <w:sz w:val="48"/>
      </w:rPr>
      <w:tab/>
    </w:r>
    <w:r w:rsidRPr="002A2CE2">
      <w:tab/>
    </w:r>
    <w:r w:rsidRPr="002A2CE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0E7264" w14:textId="77777777" w:rsidR="002A2CE2" w:rsidRPr="002A2CE2" w:rsidRDefault="002A2CE2" w:rsidP="002A2C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53437" w14:textId="77777777" w:rsidR="00465834" w:rsidRDefault="0046583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465834" w14:paraId="77959937" w14:textId="77777777" w:rsidTr="04EF83AA">
      <w:trPr>
        <w:trHeight w:val="300"/>
      </w:trPr>
      <w:tc>
        <w:tcPr>
          <w:tcW w:w="3005" w:type="dxa"/>
        </w:tcPr>
        <w:p w14:paraId="4B266A4A" w14:textId="77777777" w:rsidR="00465834" w:rsidRDefault="00465834" w:rsidP="04EF83AA">
          <w:pPr>
            <w:pStyle w:val="Header"/>
            <w:ind w:left="-115"/>
          </w:pPr>
        </w:p>
      </w:tc>
      <w:tc>
        <w:tcPr>
          <w:tcW w:w="3005" w:type="dxa"/>
        </w:tcPr>
        <w:p w14:paraId="1BC86D2E" w14:textId="77777777" w:rsidR="00465834" w:rsidRDefault="00465834" w:rsidP="04EF83AA">
          <w:pPr>
            <w:pStyle w:val="Header"/>
            <w:jc w:val="center"/>
          </w:pPr>
        </w:p>
      </w:tc>
      <w:tc>
        <w:tcPr>
          <w:tcW w:w="3005" w:type="dxa"/>
        </w:tcPr>
        <w:p w14:paraId="73113E72" w14:textId="05AFAEC0" w:rsidR="00465834" w:rsidRDefault="00465834" w:rsidP="04EF83AA">
          <w:pPr>
            <w:pStyle w:val="Header"/>
            <w:ind w:right="-115"/>
            <w:jc w:val="right"/>
          </w:pPr>
          <w:r>
            <w:fldChar w:fldCharType="begin"/>
          </w:r>
          <w:r>
            <w:instrText>PAGE</w:instrText>
          </w:r>
          <w:r>
            <w:fldChar w:fldCharType="separate"/>
          </w:r>
          <w:r w:rsidR="002A2CE2">
            <w:rPr>
              <w:noProof/>
            </w:rPr>
            <w:t>1</w:t>
          </w:r>
          <w:r>
            <w:fldChar w:fldCharType="end"/>
          </w:r>
        </w:p>
      </w:tc>
    </w:tr>
  </w:tbl>
  <w:p w14:paraId="4123D249" w14:textId="77777777" w:rsidR="00465834" w:rsidRDefault="00465834" w:rsidP="04EF83A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AF085" w14:textId="77777777" w:rsidR="00465834" w:rsidRDefault="00465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FDD9F" w14:textId="77777777" w:rsidR="00843E75" w:rsidRDefault="00843E75" w:rsidP="00453737">
      <w:pPr>
        <w:spacing w:after="0" w:line="240" w:lineRule="auto"/>
      </w:pPr>
      <w:r>
        <w:separator/>
      </w:r>
    </w:p>
  </w:footnote>
  <w:footnote w:type="continuationSeparator" w:id="0">
    <w:p w14:paraId="43F13A4E" w14:textId="77777777" w:rsidR="00843E75" w:rsidRDefault="00843E75" w:rsidP="00453737">
      <w:pPr>
        <w:spacing w:after="0" w:line="240" w:lineRule="auto"/>
      </w:pPr>
      <w:r>
        <w:continuationSeparator/>
      </w:r>
    </w:p>
  </w:footnote>
  <w:footnote w:type="continuationNotice" w:id="1">
    <w:p w14:paraId="4F2DAAF3" w14:textId="77777777" w:rsidR="00843E75" w:rsidRDefault="00843E75">
      <w:pPr>
        <w:spacing w:after="0" w:line="240" w:lineRule="auto"/>
      </w:pPr>
    </w:p>
  </w:footnote>
  <w:footnote w:id="2">
    <w:p w14:paraId="4F7FA729" w14:textId="7177DC3D" w:rsidR="00453737" w:rsidRPr="0056751E" w:rsidRDefault="00453737"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Règlement (UE) 2024/1689 du Parlement européen et du Conseil du 13 juin 2024 établissant des règles harmonisées concernant l’intelligence artificielle («règlement sur l’intelligence artificielle») (JO L, 2024/1689, 12.7.2024).</w:t>
      </w:r>
    </w:p>
  </w:footnote>
  <w:footnote w:id="3">
    <w:p w14:paraId="189D3F01" w14:textId="2E4B920B" w:rsidR="37A6B9B1" w:rsidRPr="00A7267E" w:rsidRDefault="37A6B9B1" w:rsidP="0056751E">
      <w:pPr>
        <w:pStyle w:val="FootnoteText"/>
        <w:jc w:val="both"/>
        <w:rPr>
          <w:rFonts w:ascii="Times New Roman" w:eastAsia="Times New Roman" w:hAnsi="Times New Roman" w:cs="Times New Roman"/>
          <w:lang w:val="en-US"/>
        </w:rPr>
      </w:pPr>
      <w:r>
        <w:rPr>
          <w:rStyle w:val="FootnoteReference"/>
          <w:rFonts w:ascii="Times New Roman" w:hAnsi="Times New Roman" w:cs="Times New Roman"/>
        </w:rPr>
        <w:footnoteRef/>
      </w:r>
      <w:r>
        <w:rPr>
          <w:rFonts w:ascii="Times New Roman" w:hAnsi="Times New Roman"/>
        </w:rPr>
        <w:t xml:space="preserve"> Dans le train de mesures omnibus numérique sur l’IA, la Commission a proposé d’aligner le calendrier des règles en matière d’IA à haut risque sur la disponibilité de normes et d’autres outils de soutien. Une fois que la Commission aura confirmé que ces derniers sont disponibles en nombre suffisant, les règles commenceront à s’appliquer après une période de transition de six mois pour les systèmes d’IA à haut risque figurant à l’annexe III et, en tout état de cause, au plus tard le 2 décembre 2027. Cette proposition est toujours en cours de négociation et doit faire l’objet d’un accord entre le Parlement européen et le Conseil. Pour plus de détails, voir la proposition de règlement du Parlement européen et du Conseil modifiant les règlements (UE) 2024/1689 et (UE) 2018/1139 en ce qui concerne la simplification de la mise en œuvre des règles harmonisées concernant l’intelligence artificielle (train de mesures omnibus numérique sur l’IA). </w:t>
      </w:r>
      <w:r w:rsidRPr="00A7267E">
        <w:rPr>
          <w:rFonts w:ascii="Times New Roman" w:hAnsi="Times New Roman"/>
          <w:lang w:val="en-US"/>
        </w:rPr>
        <w:t>{SWD (2025) 836 final}, Bruxelles, 19.11.2025, COM(2025) 836 final, 2025/0359 (COD).</w:t>
      </w:r>
    </w:p>
  </w:footnote>
  <w:footnote w:id="4">
    <w:p w14:paraId="3C001BC7" w14:textId="100BC91E" w:rsidR="38FC6B64" w:rsidRPr="0056751E" w:rsidRDefault="38FC6B6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sidRPr="00A7267E">
        <w:rPr>
          <w:rFonts w:ascii="Times New Roman" w:hAnsi="Times New Roman"/>
          <w:lang w:val="en-US"/>
        </w:rPr>
        <w:t xml:space="preserve"> Disponible à l’adresse suivante: </w:t>
      </w:r>
      <w:hyperlink r:id="rId1">
        <w:r w:rsidRPr="00A7267E">
          <w:rPr>
            <w:rStyle w:val="Hyperlink"/>
            <w:rFonts w:ascii="Times New Roman" w:hAnsi="Times New Roman"/>
            <w:color w:val="auto"/>
            <w:lang w:val="en-US"/>
          </w:rPr>
          <w:t>Commission publishes the Guidelines on prohibited artificial intelligence (AI) practices, as defined by the AI Act.</w:t>
        </w:r>
      </w:hyperlink>
      <w:hyperlink r:id="rId2">
        <w:r w:rsidRPr="00A7267E">
          <w:rPr>
            <w:rStyle w:val="Hyperlink"/>
            <w:rFonts w:ascii="Times New Roman" w:hAnsi="Times New Roman"/>
            <w:color w:val="auto"/>
            <w:lang w:val="en-US"/>
          </w:rPr>
          <w:t xml:space="preserve"> </w:t>
        </w:r>
        <w:r>
          <w:rPr>
            <w:rStyle w:val="Hyperlink"/>
            <w:rFonts w:ascii="Times New Roman" w:hAnsi="Times New Roman"/>
            <w:color w:val="auto"/>
          </w:rPr>
          <w:t>|</w:t>
        </w:r>
      </w:hyperlink>
      <w:hyperlink r:id="rId3">
        <w:r>
          <w:rPr>
            <w:rStyle w:val="Hyperlink"/>
            <w:rFonts w:ascii="Times New Roman" w:hAnsi="Times New Roman"/>
            <w:color w:val="auto"/>
          </w:rPr>
          <w:t xml:space="preserve"> Shaping Europe’s digital future [La Commission publie les lignes directrices sur les pratiques interdites en matière d’intelligence artificielle (IA) au sens du règlement sur l’IA) | Façonner l’avenir numérique de l’Europe].</w:t>
        </w:r>
      </w:hyperlink>
    </w:p>
  </w:footnote>
  <w:footnote w:id="5">
    <w:p w14:paraId="12E09DBC" w14:textId="0E670151" w:rsidR="55628A77" w:rsidRPr="0056751E" w:rsidRDefault="55628A77"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Charte des droits fondamentaux de l’union européenne. JO C 326 du 26.10.2012, p. 391.</w:t>
      </w:r>
    </w:p>
  </w:footnote>
  <w:footnote w:id="6">
    <w:p w14:paraId="7379E5CB" w14:textId="10EF9678" w:rsidR="49B70A6B" w:rsidRPr="0056751E" w:rsidRDefault="49B70A6B"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à cet égard les sections 2.8, 3.6, 4.4, 5.4, 6.4 et 8.4 des lignes directrices sur les pratiques interdites en matière d’IA.</w:t>
      </w:r>
    </w:p>
  </w:footnote>
  <w:footnote w:id="7">
    <w:p w14:paraId="726E8A39" w14:textId="13F5E20D" w:rsidR="49AF351E" w:rsidRPr="0056751E" w:rsidRDefault="49AF351E"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Les systèmes d’IA à haut risque autres que ceux qui constituent des composants de sécurité de produits, ou qui sont eux-mêmes des produits classés comme étant à haut risque en vertu de l’article 6, paragraphe 1.</w:t>
      </w:r>
    </w:p>
  </w:footnote>
  <w:footnote w:id="8">
    <w:p w14:paraId="56532E47" w14:textId="110C71E9" w:rsidR="637298B9" w:rsidRPr="0056751E" w:rsidRDefault="637298B9"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Ainsi, des questions sur la nécessité de réexaminer la liste des cas d’utilisation figurant à l’annexe III et la liste des pratiques interdites en matière d’IA figurant à l’article 5 du règlement sur l’IA ont été soumises aux États membres lors de la quatrième réunion du sous-groupe du Comité IA sur les interdictions, qui s’est tenue le 13 mai 2025, de la troisième réunion du sous-groupe annexe III du Comité IA sur les systèmes d’IA à haut risque, qui s’est tenue le 16 mai 2025, de la troisième réunion du sous-groupe annexe III du Comité IA «activités répressives et sécurité», qui s’est tenue le 5 juin 2025, et de la deuxième réunion du sous-groupe «IA dans les services financiers» du Comité IA, qui s’est tenue le 13 mai 2025.</w:t>
      </w:r>
    </w:p>
  </w:footnote>
  <w:footnote w:id="9">
    <w:p w14:paraId="0F96EFA0" w14:textId="7EEE23E9" w:rsidR="637298B9" w:rsidRPr="0056751E" w:rsidRDefault="637298B9"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Par exemple, la législation de l’UE en matière de cybersécurité (tirée d’actes juridiques récents, voir le règlement de l’UE sur la cybersolidarité), la directive 2013/40/UE relative aux attaques contre les systèmes d’information et remplaçant la décision-cadre 2005/222/JAI du Conseil. </w:t>
      </w:r>
    </w:p>
  </w:footnote>
  <w:footnote w:id="10">
    <w:p w14:paraId="64E92986" w14:textId="4CCF7B8D"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Comme indiqué ci-dessus, les lignes directrices de la Commission sur les systèmes d’IA à haut risque ne seront publiées qu’en 2026. En conséquence, les évaluations des systèmes d’IA à haut risque qui ont spécifiquement été mentionnés par les États membres, les parties prenantes ou les bases de données sur les incidents liés à l’IA s'appuient uniquement sur le texte du règlement sur l’IA. Compte tenu du peu d’orientations disponibles au stade actuel, il n’a pas toujours été possible de procéder à des évaluations concrètes, et ces cas ont été consignés en vue d’un suivi ultérieur.</w:t>
      </w:r>
    </w:p>
  </w:footnote>
  <w:footnote w:id="11">
    <w:p w14:paraId="48D42432" w14:textId="0AD44042" w:rsidR="38FC6B64" w:rsidRPr="0056751E" w:rsidRDefault="38FC6B6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Des préoccupations similaires ont également été exprimées par diverses parties prenantes (voir la section 3.2 ci-dessous).</w:t>
      </w:r>
    </w:p>
  </w:footnote>
  <w:footnote w:id="12">
    <w:p w14:paraId="020B1F33" w14:textId="4FB3058B" w:rsidR="1BDAEB18" w:rsidRPr="0056751E" w:rsidRDefault="1BDAEB18"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Si un dialogueur est commercialisé comme visant des troubles spécifiques de la santé mentale ou guidant les utilisateurs par des interventions thérapeutiques, il relèverait probablement du champ d’application du règlement relatif aux dispositifs médicaux, étant donné qu’il peut être considéré comme un logiciel destiné au traitement ou à l’atténuation d’une maladie [article 2, point 1), du règlement relatif aux dispositifs médicaux]. Règlement (UE) 2017/745 du Parlement européen et du Conseil du 5 avril 2017 relatif aux dispositifs médicaux, modifiant la directive 2001/83/CE, le règlement (CE) nº 178/2002 et le règlement (CE) nº 1223/2009 et abrogeant les directives du Conseil 90/385/CEE et 93/42/CEE (JO L 117 du 5.5.2017, p. 1).</w:t>
      </w:r>
    </w:p>
  </w:footnote>
  <w:footnote w:id="13">
    <w:p w14:paraId="0A5F7B53" w14:textId="5882959C" w:rsidR="02A53094" w:rsidRPr="0056751E" w:rsidRDefault="02A5309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Par exemple, les dialogueurs d’auto-assistance fondés sur l’IA dotés de fonctionnalités de reconnaissance des émotions. Les systèmes d’IA destinés à être utilisés pour la reconnaissance des émotions sont classés comme étant à haut risque conformément à l’annexe III, point 1 c).</w:t>
      </w:r>
    </w:p>
  </w:footnote>
  <w:footnote w:id="14">
    <w:p w14:paraId="492D198D" w14:textId="126576A2" w:rsidR="55628A77" w:rsidRPr="0056751E" w:rsidRDefault="55628A77"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4">
        <w:r>
          <w:rPr>
            <w:rStyle w:val="Hyperlink"/>
            <w:rFonts w:ascii="Times New Roman" w:hAnsi="Times New Roman"/>
            <w:color w:val="auto"/>
          </w:rPr>
          <w:t>La Commission lance une consultation publique sur les systèmes d’IA à haut risque |</w:t>
        </w:r>
      </w:hyperlink>
      <w:hyperlink r:id="rId5">
        <w:r>
          <w:rPr>
            <w:rStyle w:val="Hyperlink"/>
            <w:rFonts w:ascii="Times New Roman" w:hAnsi="Times New Roman"/>
            <w:color w:val="auto"/>
          </w:rPr>
          <w:t xml:space="preserve"> Portail e-Justice européen</w:t>
        </w:r>
      </w:hyperlink>
      <w:r>
        <w:rPr>
          <w:rFonts w:ascii="Times New Roman" w:hAnsi="Times New Roman"/>
        </w:rPr>
        <w:t>.</w:t>
      </w:r>
    </w:p>
  </w:footnote>
  <w:footnote w:id="15">
    <w:p w14:paraId="5228D363" w14:textId="45CB00F4" w:rsidR="5B492D5F" w:rsidRPr="0056751E" w:rsidRDefault="00A734F7"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Au total, 409 répondants ont indiqué représenter une organisation. Parmi ceux-ci, le plus grand groupe de répondants représentait des entreprises (150 réponses), suivi par des associations (93 réponses) et des répondants ayant sélectionné «autres organisations» (81 réponses). Les organisations ou associations de la société civile représentaient 56 réponses, tandis que les instituts de recherche (11 réponses), les universités (7 réponses), les groupes de réflexion (6 réponses) et les organisations de consommateurs (5 réponses) représentaient la minorité des organisations.  Au total, 138 répondants ont indiqué agir à titre personnel. Parmi ces derniers, les groupes les plus importants étaient ceux qui se décrivaient comme d’autres experts ou organisations indépendants possédant une expertise pertinente (35), fournisseurs de systèmes d’IA (34) et appartenant au monde universitaire (28), tandis que 14 ont sélectionné «autres» et 13 se sont présentés comme déployeurs de systèmes d’IA. Les quelques autres répondants ayant répondu qu’ils agissaient à titre personnel ont indiqué un lien avec une organisation de la société civile (7), d’autres opérateurs (3), une association d’entreprises (2) ou une autorité de contrôle (2).   </w:t>
      </w:r>
    </w:p>
  </w:footnote>
  <w:footnote w:id="16">
    <w:p w14:paraId="66EEBEC0" w14:textId="3AF86656" w:rsidR="02A53094" w:rsidRPr="0056751E" w:rsidRDefault="02A5309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Il a été considéré que tant les répondants qui ont explicitement exprimé cette position dans leurs réponses que ceux qui n’ont pas formulé d’observations à ce sujet estimaient que la liste actuelle des interdictions était suffisante.</w:t>
      </w:r>
    </w:p>
  </w:footnote>
  <w:footnote w:id="17">
    <w:p w14:paraId="5EEB4BD7" w14:textId="6085FAA3" w:rsidR="006877E5" w:rsidRPr="0056751E" w:rsidRDefault="006877E5"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Un peu plus de 10 % des répondants.</w:t>
      </w:r>
    </w:p>
  </w:footnote>
  <w:footnote w:id="18">
    <w:p w14:paraId="71DAD300" w14:textId="7ED2EF43" w:rsidR="53E14BB3" w:rsidRPr="0056751E" w:rsidRDefault="53E14BB3"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C’est le cas, par exemple, des suggestions visant à interdire les systèmes d’IA utilisés dans la gestion de la migration, les clones vocaux dans les applications d’IA destinées aux consommateurs, ou les personnages générés par l’IA utilisés pour la messagerie politique.</w:t>
      </w:r>
    </w:p>
  </w:footnote>
  <w:footnote w:id="19">
    <w:p w14:paraId="71369C6D" w14:textId="099DABDF" w:rsidR="49AF351E" w:rsidRPr="0056751E" w:rsidRDefault="49AF351E"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Sauf lorsque l’utilisation du système d’IA est destinée à être mise en place ou mise sur le marché pour des raisons médicales ou de sécurité.</w:t>
      </w:r>
    </w:p>
  </w:footnote>
  <w:footnote w:id="20">
    <w:p w14:paraId="2BD4887A" w14:textId="215F25B8" w:rsidR="068DD44B" w:rsidRPr="0056751E" w:rsidRDefault="068DD44B"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nº 2006/2004 du Parlement européen et du Conseil («directive sur les pratiques commerciales déloyales») (JO L 149 du 11.6.2005, p. 22).</w:t>
      </w:r>
    </w:p>
  </w:footnote>
  <w:footnote w:id="21">
    <w:p w14:paraId="769072FB" w14:textId="05CA91F9" w:rsidR="068DD44B" w:rsidRPr="0056751E" w:rsidRDefault="068DD44B" w:rsidP="0056751E">
      <w:pPr>
        <w:pStyle w:val="FootnoteText"/>
        <w:jc w:val="both"/>
        <w:rPr>
          <w:rFonts w:ascii="Times New Roman" w:eastAsia="Roboto"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2022/2065 du Parlement européen et du Conseil du 19 octobre 2022 relatif à un marché unique des services numériques et modifiant la directive 2000/31/CE (règlement sur les services numériques) (JO L 277 du 27.10.2022, p. 1).</w:t>
      </w:r>
    </w:p>
  </w:footnote>
  <w:footnote w:id="22">
    <w:p w14:paraId="1F2BC509" w14:textId="31FCD1BD" w:rsidR="12876998" w:rsidRPr="0056751E" w:rsidRDefault="12876998"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Il a été considéré que tant les répondants ayant explicitement exprimé cette position dans leurs réponses que ceux qui n’ont pas formulé d’observations à ce sujet estimaient que la liste actuelle des cas d’utilisation à haut risque de l’IA figurant à l’annexe III était adéquate. </w:t>
      </w:r>
    </w:p>
  </w:footnote>
  <w:footnote w:id="23">
    <w:p w14:paraId="78F373D9" w14:textId="2EB16863" w:rsidR="006877E5" w:rsidRPr="0056751E" w:rsidRDefault="006877E5"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Environ 20 % des répondants.</w:t>
      </w:r>
    </w:p>
  </w:footnote>
  <w:footnote w:id="24">
    <w:p w14:paraId="54A0D389" w14:textId="27B8727F" w:rsidR="74D11854" w:rsidRPr="0056751E" w:rsidRDefault="74D1185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Style w:val="FootnoteReference"/>
          <w:rFonts w:ascii="Times New Roman" w:hAnsi="Times New Roman"/>
        </w:rPr>
        <w:t xml:space="preserve"> </w:t>
      </w:r>
      <w:r>
        <w:rPr>
          <w:rFonts w:ascii="Times New Roman" w:hAnsi="Times New Roman"/>
        </w:rPr>
        <w:t>C’est notamment le cas, par exemple, des suggestions concernant l'ajout des systèmes biométriques spécifiques à la liste des systèmes à haut risque (ceux-ci étant déjà couverts par le point 1 de l’annexe III).</w:t>
      </w:r>
    </w:p>
  </w:footnote>
  <w:footnote w:id="25">
    <w:p w14:paraId="3611F7E8" w14:textId="76F0C571" w:rsidR="1F7804C3" w:rsidRPr="0056751E" w:rsidRDefault="1F7804C3"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 exemple, les systèmes d’IA conçus pour les fournisseurs de services en ligne afin de s’assurer que les services de médias audiovisuels d’intérêt public bénéficient d’une visibilité appropriée; certains systèmes d’IA utilisés dans l’élevage.</w:t>
      </w:r>
    </w:p>
  </w:footnote>
  <w:footnote w:id="26">
    <w:p w14:paraId="0862121A" w14:textId="53A880F0" w:rsidR="74D11854" w:rsidRPr="0056751E" w:rsidRDefault="74D1185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C’est notamment le cas des préoccupations exprimées en ce qui concerne les systèmes d’IA spécifiques utilisés dans le domaine de l’emploi et de la reconnaissance des émotions.</w:t>
      </w:r>
    </w:p>
  </w:footnote>
  <w:footnote w:id="27">
    <w:p w14:paraId="2FB7019B" w14:textId="7C3CA7D2" w:rsidR="74D11854" w:rsidRPr="0056751E" w:rsidRDefault="74D11854"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Le règlement sur les services numériques interdit la conception d’interfaces manipulatrices (interfaces trompeuses) et oblige les fournisseurs de très grandes plateformes en ligne et de très grands moteurs de recherche en ligne à recenser, évaluer et analyser tout risque systémique découlant de la conception ou du fonctionnement de leurs services et de leurs systèmes connexes, y compris des systèmes algorithmiques (article 34 du règlement sur les services numériques). Les fournisseurs sont également tenus de mettre en place des mesures d’atténuation raisonnables, proportionnées et efficaces, qui peuvent inclure le test et l’adaptation de leurs systèmes algorithmiques (article 35 du règlement sur les services numériques). Le règlement sur les services numériques impose en outre aux fournisseurs de plateformes en ligne accessibles aux mineurs de mettre en place des mesures appropriées et proportionnées pour garantir un niveau élevé de protection de la vie privée, de sûreté et de sécurité des mineurs sur leur service (article 28, paragraphe 1, du règlement sur les services numériques). Règlement (UE) 2022/2065 du Parlement européen et du Conseil du 19 octobre 2022 relatif à un marché unique des services numériques et modifiant la directive 2000/31/CE (règlement sur les services numériques) (JO L 277 du 27.10.2022, p. 1).</w:t>
      </w:r>
    </w:p>
  </w:footnote>
  <w:footnote w:id="28">
    <w:p w14:paraId="20B89C9D" w14:textId="37166F3A" w:rsidR="00863409" w:rsidRPr="0056751E" w:rsidRDefault="00863409"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Tels que les principes de traitement des données et les droits des personnes concernées établis par le RGPD qui seraient applicables en lien avec un système d’IA, par exemple parce que les données à caractère personnel sont utilisées pour développer un système d’IA ou constituent des entrées ou des sorties de ces systèmes durant leur déploiement.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w:t>
      </w:r>
    </w:p>
  </w:footnote>
  <w:footnote w:id="29">
    <w:p w14:paraId="189DF0CF" w14:textId="4A01E669" w:rsidR="38FC6B64" w:rsidRPr="0056751E" w:rsidRDefault="38FC6B6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t xml:space="preserve"> </w:t>
      </w:r>
      <w:r>
        <w:rPr>
          <w:rFonts w:ascii="Times New Roman" w:hAnsi="Times New Roman"/>
        </w:rPr>
        <w:t xml:space="preserve">Disponible à l’adresse suivante: </w:t>
      </w:r>
      <w:hyperlink r:id="rId6">
        <w:r>
          <w:rPr>
            <w:rStyle w:val="Hyperlink"/>
            <w:rFonts w:ascii="Times New Roman" w:hAnsi="Times New Roman"/>
            <w:color w:val="auto"/>
          </w:rPr>
          <w:t>https://oecd.ai/fr/incidents?search_terms=%5B%5D&amp;and_condition=false&amp;from_date=2014-01-01&amp;to_date=2025-05-27&amp;properties_config=%7B%22principles%22:%5B%5D,%22industries%22:%5B%5D,%22harm_types%22:%5B%5D,%22harm_levels%22:%5B%5D,%22harmed_entities%22:%5B%5D,%22languages%22:%5B%5D%7D&amp;order_by=date&amp;num_results=20</w:t>
        </w:r>
      </w:hyperlink>
      <w:r>
        <w:t>.</w:t>
      </w:r>
    </w:p>
  </w:footnote>
  <w:footnote w:id="30">
    <w:p w14:paraId="53C50AA2" w14:textId="66E37D3D" w:rsidR="5ACC5A3D" w:rsidRPr="0056751E" w:rsidRDefault="5ACC5A3D"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Disponible à l’adresse suivante: https://airisk.mit.edu/.</w:t>
      </w:r>
    </w:p>
  </w:footnote>
  <w:footnote w:id="31">
    <w:p w14:paraId="412B9AD2" w14:textId="566F7D0B"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 répertoire se compose de trois parties: i) la base de données sur les risques liés à l’IA; ii) la taxinomie causale des risques liés à l’IA (qui répertorie comment, quand et pourquoi les risques liés à l’IA surviennent); et iii) la taxinomie des domaines des risques liés à l’IA [qui classe les risques liés à l’IA en sept domaines (par exemple, «désinformation») et 24 sous-domaines (par exemple, «informations fausses ou trompeuses»)].</w:t>
      </w:r>
    </w:p>
  </w:footnote>
  <w:footnote w:id="32">
    <w:p w14:paraId="215C3F17" w14:textId="01407C3E"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Ces incidents concernaient généralement des questions qui sont traitées par d’autres actes législatifs pertinents de l’UE, telles que les violations de la confidentialité des données, qui sont régies par le RGPD. En outre, bon nombre de ces incidents concernaient des litiges en matière de droit d’auteur, traités par des instruments tels que la législation de l’UE sur le droit d’auteur. Par ailleurs, de nombreux incidents concernaient des domaines qui relèvent de la compétence des États membres, tels que l’utilisation de l’IA dans les applications militaires.</w:t>
      </w:r>
    </w:p>
  </w:footnote>
  <w:footnote w:id="33">
    <w:p w14:paraId="7012FFA8" w14:textId="2B919F20" w:rsidR="49AF351E" w:rsidRPr="0056751E" w:rsidRDefault="49AF351E"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Ces incidents concernaient principalement des préjudices résultant de l’utilisation de l’IA dans des dispositifs médicaux ou des véhicules autonomes.</w:t>
      </w:r>
    </w:p>
  </w:footnote>
  <w:footnote w:id="34">
    <w:p w14:paraId="2CABD688" w14:textId="2443D4D2" w:rsidR="49AF351E" w:rsidRPr="0056751E" w:rsidRDefault="49AF351E"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Ces incidents concernent des hypertrucages dépourvus de filigranes appropriés ou d’autres mesures de transparence.</w:t>
      </w:r>
    </w:p>
  </w:footnote>
  <w:footnote w:id="35">
    <w:p w14:paraId="1099F205" w14:textId="5BD18A14"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Le plus souvent, ces incidents concernaient l’utilisation de l’IA par les services répressifs dans l’identification biométrique, la gestion des contrôles aux frontières, les services essentiels, les établissements d’enseignement et de formation professionnelle, ainsi que l’administration de la justice et les processus démocratiques.</w:t>
      </w:r>
    </w:p>
  </w:footnote>
  <w:footnote w:id="36">
    <w:p w14:paraId="6E15C762" w14:textId="661AA88C"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Ces incidents, qui étaient potentiellement couverts par l’article 5 du règlement sur l’IA, avaient trait à divers sujets, tels que l’identification biométrique en temps réel ou la reconnaissance des émotions sur le lieu de travail.</w:t>
      </w:r>
    </w:p>
  </w:footnote>
  <w:footnote w:id="37">
    <w:p w14:paraId="65E4F2DA" w14:textId="48208063"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Les incidents dans le domaine de la biométrie (annexe III, point 1) concernaient souvent des systèmes d’IA utilisés dans des caméras de surveillance pour la reconnaissance faciale à distance afin d’identifier des suspects. Dans le domaine de l’emploi, les incidents recensés étaient liés aux systèmes d’IA utilisés pour optimiser les processus d’embauche et de licenciement, tels que le scannage des CV, ou la surveillance des salariés sur les plateformes utilisées au travail. Dans le domaine de l’accès aux services essentiels et de leur utilisation, les incidents signalés avaient souvent trait à l’utilisation d’un algorithme fondé sur l’IA pour signaler des cas de fraudes potentielles chez les personnes percevant des allocations de logement, ce qui a conduit à des enquêtes inutiles et à des violations des droits. S’agissant du domaine répressif, les incidents recensés comprennent l’utilisation de l’IA pour évaluer les risques auxquels sont confrontées les victimes de violence domestique. En ce qui concerne la gestion des contrôles aux frontières, les incidents étaient liés au pistage et à l’identification faciale des migrants au moyen de caméras. </w:t>
      </w:r>
    </w:p>
  </w:footnote>
  <w:footnote w:id="38">
    <w:p w14:paraId="0D6B7A3C" w14:textId="0770C405" w:rsidR="637298B9" w:rsidRPr="0056751E" w:rsidRDefault="637298B9" w:rsidP="0056751E">
      <w:pPr>
        <w:pStyle w:val="FootnoteText"/>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Plusieurs incidents ont révélé l’utilisation de caméras d’IA pour détecter des infractions routières ou pour suivre la densité des foules et garantir la sécurité lors d’événements publics. Ces applications de l’IA relèvent des services répressifs; toutefois, elles ne semblent pas présenter un risque de préjudice équivalent ou supérieur au risque de préjudice ou d’incidence négative que présentent d’autres systèmes d’IA à haut risque déjà énumérés à l’annexe III, point 6. Cela s’explique principalement par le fait qu’elles concernent généralement des infractions administratives, dont les conséquences sont moins intrusives que celles liées aux infractions pénales, ou qu’elles sont utilisées pour garantir la sécurité sans effet direct sur les droits fondamentaux. En conséquence, ces cas d’utilisation de l’IA ne nécessitent actuellement pas de modification de l’annexe III.</w:t>
      </w:r>
    </w:p>
  </w:footnote>
  <w:footnote w:id="39">
    <w:p w14:paraId="1C3086BD" w14:textId="7A3A2D7E" w:rsidR="555D16D4" w:rsidRPr="0056751E" w:rsidRDefault="555D16D4" w:rsidP="0056751E">
      <w:pPr>
        <w:pStyle w:val="FootnoteText"/>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Règlement (UE) 2024/900 du Parlement européen et du Conseil du 13 mars 2024 relatif à la transparence et au ciblage de la publicité à caractère politique (JO L, 2024/900, 20.3.2024).</w:t>
      </w:r>
    </w:p>
  </w:footnote>
  <w:footnote w:id="40">
    <w:p w14:paraId="1E97EEDF" w14:textId="2A69FAD8" w:rsidR="00215216" w:rsidRPr="0056751E" w:rsidRDefault="00215216" w:rsidP="005675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Communication conjointe au Parlement européen, au Conseil, au Comité économique et social européen et au Comité des régions. Bouclier européen de la démocratie: renforcer la position de démocraties fortes et résilientes. Bruxelles, 12.11.2025. JOIN(2025) 791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8521" w14:textId="77777777" w:rsidR="002A2CE2" w:rsidRPr="002A2CE2" w:rsidRDefault="002A2CE2" w:rsidP="002A2CE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F1381" w14:textId="77777777" w:rsidR="002A2CE2" w:rsidRPr="002A2CE2" w:rsidRDefault="002A2CE2" w:rsidP="002A2C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826CB" w14:textId="77777777" w:rsidR="002A2CE2" w:rsidRPr="002A2CE2" w:rsidRDefault="002A2CE2" w:rsidP="002A2C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4AAB8" w14:textId="77777777" w:rsidR="00465834" w:rsidRDefault="004658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465834" w14:paraId="106A9B79" w14:textId="77777777" w:rsidTr="04EF83AA">
      <w:trPr>
        <w:trHeight w:val="300"/>
      </w:trPr>
      <w:tc>
        <w:tcPr>
          <w:tcW w:w="3005" w:type="dxa"/>
        </w:tcPr>
        <w:p w14:paraId="49B4AE1E" w14:textId="77777777" w:rsidR="00465834" w:rsidRDefault="00465834" w:rsidP="04EF83AA">
          <w:pPr>
            <w:pStyle w:val="Header"/>
            <w:ind w:left="-115"/>
          </w:pPr>
        </w:p>
      </w:tc>
      <w:tc>
        <w:tcPr>
          <w:tcW w:w="3005" w:type="dxa"/>
        </w:tcPr>
        <w:p w14:paraId="33888DEA" w14:textId="77777777" w:rsidR="00465834" w:rsidRDefault="00465834" w:rsidP="04EF83AA">
          <w:pPr>
            <w:pStyle w:val="Header"/>
            <w:jc w:val="center"/>
          </w:pPr>
        </w:p>
      </w:tc>
      <w:tc>
        <w:tcPr>
          <w:tcW w:w="3005" w:type="dxa"/>
        </w:tcPr>
        <w:p w14:paraId="18B91BC2" w14:textId="77777777" w:rsidR="00465834" w:rsidRDefault="00465834" w:rsidP="04EF83AA">
          <w:pPr>
            <w:pStyle w:val="Header"/>
            <w:ind w:right="-115"/>
            <w:jc w:val="right"/>
          </w:pPr>
        </w:p>
      </w:tc>
    </w:tr>
  </w:tbl>
  <w:p w14:paraId="64DB3B0F" w14:textId="77777777" w:rsidR="00465834" w:rsidRDefault="00465834" w:rsidP="04EF83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5131" w14:textId="77777777" w:rsidR="00465834" w:rsidRDefault="00465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5831"/>
    <w:multiLevelType w:val="hybridMultilevel"/>
    <w:tmpl w:val="D652A86C"/>
    <w:lvl w:ilvl="0" w:tplc="C3402B3C">
      <w:start w:val="1"/>
      <w:numFmt w:val="upperRoman"/>
      <w:lvlText w:val="%1."/>
      <w:lvlJc w:val="left"/>
      <w:pPr>
        <w:ind w:left="720" w:hanging="360"/>
      </w:pPr>
    </w:lvl>
    <w:lvl w:ilvl="1" w:tplc="241217B2">
      <w:start w:val="1"/>
      <w:numFmt w:val="lowerLetter"/>
      <w:lvlText w:val="%2."/>
      <w:lvlJc w:val="left"/>
      <w:pPr>
        <w:ind w:left="1440" w:hanging="360"/>
      </w:pPr>
    </w:lvl>
    <w:lvl w:ilvl="2" w:tplc="83CC88B0">
      <w:start w:val="1"/>
      <w:numFmt w:val="lowerRoman"/>
      <w:lvlText w:val="%3."/>
      <w:lvlJc w:val="right"/>
      <w:pPr>
        <w:ind w:left="2160" w:hanging="180"/>
      </w:pPr>
    </w:lvl>
    <w:lvl w:ilvl="3" w:tplc="2CAADC2C">
      <w:start w:val="1"/>
      <w:numFmt w:val="decimal"/>
      <w:lvlText w:val="%4."/>
      <w:lvlJc w:val="left"/>
      <w:pPr>
        <w:ind w:left="2880" w:hanging="360"/>
      </w:pPr>
    </w:lvl>
    <w:lvl w:ilvl="4" w:tplc="1CBCD852">
      <w:start w:val="1"/>
      <w:numFmt w:val="lowerLetter"/>
      <w:lvlText w:val="%5."/>
      <w:lvlJc w:val="left"/>
      <w:pPr>
        <w:ind w:left="3600" w:hanging="360"/>
      </w:pPr>
    </w:lvl>
    <w:lvl w:ilvl="5" w:tplc="490014E6">
      <w:start w:val="1"/>
      <w:numFmt w:val="lowerRoman"/>
      <w:lvlText w:val="%6."/>
      <w:lvlJc w:val="right"/>
      <w:pPr>
        <w:ind w:left="4320" w:hanging="180"/>
      </w:pPr>
    </w:lvl>
    <w:lvl w:ilvl="6" w:tplc="262A698E">
      <w:start w:val="1"/>
      <w:numFmt w:val="decimal"/>
      <w:lvlText w:val="%7."/>
      <w:lvlJc w:val="left"/>
      <w:pPr>
        <w:ind w:left="5040" w:hanging="360"/>
      </w:pPr>
    </w:lvl>
    <w:lvl w:ilvl="7" w:tplc="DAFEDEB4">
      <w:start w:val="1"/>
      <w:numFmt w:val="lowerLetter"/>
      <w:lvlText w:val="%8."/>
      <w:lvlJc w:val="left"/>
      <w:pPr>
        <w:ind w:left="5760" w:hanging="360"/>
      </w:pPr>
    </w:lvl>
    <w:lvl w:ilvl="8" w:tplc="1D6C3406">
      <w:start w:val="1"/>
      <w:numFmt w:val="lowerRoman"/>
      <w:lvlText w:val="%9."/>
      <w:lvlJc w:val="right"/>
      <w:pPr>
        <w:ind w:left="6480" w:hanging="180"/>
      </w:pPr>
    </w:lvl>
  </w:abstractNum>
  <w:abstractNum w:abstractNumId="1" w15:restartNumberingAfterBreak="0">
    <w:nsid w:val="059C5D66"/>
    <w:multiLevelType w:val="hybridMultilevel"/>
    <w:tmpl w:val="CDDAA60A"/>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8A4D43"/>
    <w:multiLevelType w:val="hybridMultilevel"/>
    <w:tmpl w:val="90B02B78"/>
    <w:lvl w:ilvl="0" w:tplc="DF1024B8">
      <w:start w:val="1"/>
      <w:numFmt w:val="bullet"/>
      <w:lvlText w:val="·"/>
      <w:lvlJc w:val="left"/>
      <w:pPr>
        <w:ind w:left="720" w:hanging="360"/>
      </w:pPr>
      <w:rPr>
        <w:rFonts w:ascii="Symbol" w:hAnsi="Symbol" w:hint="default"/>
      </w:rPr>
    </w:lvl>
    <w:lvl w:ilvl="1" w:tplc="29760EA8">
      <w:start w:val="1"/>
      <w:numFmt w:val="bullet"/>
      <w:lvlText w:val="o"/>
      <w:lvlJc w:val="left"/>
      <w:pPr>
        <w:ind w:left="1440" w:hanging="360"/>
      </w:pPr>
      <w:rPr>
        <w:rFonts w:ascii="Courier New" w:hAnsi="Courier New" w:hint="default"/>
      </w:rPr>
    </w:lvl>
    <w:lvl w:ilvl="2" w:tplc="AC7EEAAE">
      <w:start w:val="1"/>
      <w:numFmt w:val="bullet"/>
      <w:lvlText w:val=""/>
      <w:lvlJc w:val="left"/>
      <w:pPr>
        <w:ind w:left="2160" w:hanging="360"/>
      </w:pPr>
      <w:rPr>
        <w:rFonts w:ascii="Wingdings" w:hAnsi="Wingdings" w:hint="default"/>
      </w:rPr>
    </w:lvl>
    <w:lvl w:ilvl="3" w:tplc="CF0474F2">
      <w:start w:val="1"/>
      <w:numFmt w:val="bullet"/>
      <w:lvlText w:val=""/>
      <w:lvlJc w:val="left"/>
      <w:pPr>
        <w:ind w:left="2880" w:hanging="360"/>
      </w:pPr>
      <w:rPr>
        <w:rFonts w:ascii="Symbol" w:hAnsi="Symbol" w:hint="default"/>
      </w:rPr>
    </w:lvl>
    <w:lvl w:ilvl="4" w:tplc="D48A50C8">
      <w:start w:val="1"/>
      <w:numFmt w:val="bullet"/>
      <w:lvlText w:val="o"/>
      <w:lvlJc w:val="left"/>
      <w:pPr>
        <w:ind w:left="3600" w:hanging="360"/>
      </w:pPr>
      <w:rPr>
        <w:rFonts w:ascii="Courier New" w:hAnsi="Courier New" w:hint="default"/>
      </w:rPr>
    </w:lvl>
    <w:lvl w:ilvl="5" w:tplc="981AA6AC">
      <w:start w:val="1"/>
      <w:numFmt w:val="bullet"/>
      <w:lvlText w:val=""/>
      <w:lvlJc w:val="left"/>
      <w:pPr>
        <w:ind w:left="4320" w:hanging="360"/>
      </w:pPr>
      <w:rPr>
        <w:rFonts w:ascii="Wingdings" w:hAnsi="Wingdings" w:hint="default"/>
      </w:rPr>
    </w:lvl>
    <w:lvl w:ilvl="6" w:tplc="C80AE02E">
      <w:start w:val="1"/>
      <w:numFmt w:val="bullet"/>
      <w:lvlText w:val=""/>
      <w:lvlJc w:val="left"/>
      <w:pPr>
        <w:ind w:left="5040" w:hanging="360"/>
      </w:pPr>
      <w:rPr>
        <w:rFonts w:ascii="Symbol" w:hAnsi="Symbol" w:hint="default"/>
      </w:rPr>
    </w:lvl>
    <w:lvl w:ilvl="7" w:tplc="02A4C5EC">
      <w:start w:val="1"/>
      <w:numFmt w:val="bullet"/>
      <w:lvlText w:val="o"/>
      <w:lvlJc w:val="left"/>
      <w:pPr>
        <w:ind w:left="5760" w:hanging="360"/>
      </w:pPr>
      <w:rPr>
        <w:rFonts w:ascii="Courier New" w:hAnsi="Courier New" w:hint="default"/>
      </w:rPr>
    </w:lvl>
    <w:lvl w:ilvl="8" w:tplc="6584D114">
      <w:start w:val="1"/>
      <w:numFmt w:val="bullet"/>
      <w:lvlText w:val=""/>
      <w:lvlJc w:val="left"/>
      <w:pPr>
        <w:ind w:left="6480" w:hanging="360"/>
      </w:pPr>
      <w:rPr>
        <w:rFonts w:ascii="Wingdings" w:hAnsi="Wingdings" w:hint="default"/>
      </w:rPr>
    </w:lvl>
  </w:abstractNum>
  <w:abstractNum w:abstractNumId="3" w15:restartNumberingAfterBreak="0">
    <w:nsid w:val="0718C516"/>
    <w:multiLevelType w:val="hybridMultilevel"/>
    <w:tmpl w:val="3B58269E"/>
    <w:lvl w:ilvl="0" w:tplc="C29683EA">
      <w:start w:val="1"/>
      <w:numFmt w:val="upperRoman"/>
      <w:lvlText w:val="%1."/>
      <w:lvlJc w:val="left"/>
      <w:pPr>
        <w:ind w:left="720" w:hanging="360"/>
      </w:pPr>
    </w:lvl>
    <w:lvl w:ilvl="1" w:tplc="1F74FECA">
      <w:start w:val="1"/>
      <w:numFmt w:val="lowerLetter"/>
      <w:lvlText w:val="%2."/>
      <w:lvlJc w:val="left"/>
      <w:pPr>
        <w:ind w:left="1440" w:hanging="360"/>
      </w:pPr>
    </w:lvl>
    <w:lvl w:ilvl="2" w:tplc="2828DB46">
      <w:start w:val="1"/>
      <w:numFmt w:val="lowerRoman"/>
      <w:lvlText w:val="%3."/>
      <w:lvlJc w:val="right"/>
      <w:pPr>
        <w:ind w:left="2160" w:hanging="180"/>
      </w:pPr>
    </w:lvl>
    <w:lvl w:ilvl="3" w:tplc="AD6C7FE6">
      <w:start w:val="1"/>
      <w:numFmt w:val="decimal"/>
      <w:lvlText w:val="%4."/>
      <w:lvlJc w:val="left"/>
      <w:pPr>
        <w:ind w:left="2880" w:hanging="360"/>
      </w:pPr>
    </w:lvl>
    <w:lvl w:ilvl="4" w:tplc="060665DE">
      <w:start w:val="1"/>
      <w:numFmt w:val="lowerLetter"/>
      <w:lvlText w:val="%5."/>
      <w:lvlJc w:val="left"/>
      <w:pPr>
        <w:ind w:left="3600" w:hanging="360"/>
      </w:pPr>
    </w:lvl>
    <w:lvl w:ilvl="5" w:tplc="6C70813A">
      <w:start w:val="1"/>
      <w:numFmt w:val="lowerRoman"/>
      <w:lvlText w:val="%6."/>
      <w:lvlJc w:val="right"/>
      <w:pPr>
        <w:ind w:left="4320" w:hanging="180"/>
      </w:pPr>
    </w:lvl>
    <w:lvl w:ilvl="6" w:tplc="FDDA3320">
      <w:start w:val="1"/>
      <w:numFmt w:val="decimal"/>
      <w:lvlText w:val="%7."/>
      <w:lvlJc w:val="left"/>
      <w:pPr>
        <w:ind w:left="5040" w:hanging="360"/>
      </w:pPr>
    </w:lvl>
    <w:lvl w:ilvl="7" w:tplc="D4007E54">
      <w:start w:val="1"/>
      <w:numFmt w:val="lowerLetter"/>
      <w:lvlText w:val="%8."/>
      <w:lvlJc w:val="left"/>
      <w:pPr>
        <w:ind w:left="5760" w:hanging="360"/>
      </w:pPr>
    </w:lvl>
    <w:lvl w:ilvl="8" w:tplc="C1A6AB4A">
      <w:start w:val="1"/>
      <w:numFmt w:val="lowerRoman"/>
      <w:lvlText w:val="%9."/>
      <w:lvlJc w:val="right"/>
      <w:pPr>
        <w:ind w:left="6480" w:hanging="180"/>
      </w:pPr>
    </w:lvl>
  </w:abstractNum>
  <w:abstractNum w:abstractNumId="4" w15:restartNumberingAfterBreak="0">
    <w:nsid w:val="08712068"/>
    <w:multiLevelType w:val="hybridMultilevel"/>
    <w:tmpl w:val="E842CD4C"/>
    <w:lvl w:ilvl="0" w:tplc="9AB6D736">
      <w:start w:val="1"/>
      <w:numFmt w:val="upperRoman"/>
      <w:lvlText w:val="%1."/>
      <w:lvlJc w:val="left"/>
      <w:pPr>
        <w:ind w:left="720" w:hanging="360"/>
      </w:pPr>
    </w:lvl>
    <w:lvl w:ilvl="1" w:tplc="E556ACCC">
      <w:start w:val="1"/>
      <w:numFmt w:val="lowerLetter"/>
      <w:lvlText w:val="%2."/>
      <w:lvlJc w:val="left"/>
      <w:pPr>
        <w:ind w:left="1440" w:hanging="360"/>
      </w:pPr>
    </w:lvl>
    <w:lvl w:ilvl="2" w:tplc="A7B67E0C">
      <w:start w:val="1"/>
      <w:numFmt w:val="lowerRoman"/>
      <w:lvlText w:val="%3."/>
      <w:lvlJc w:val="right"/>
      <w:pPr>
        <w:ind w:left="2160" w:hanging="180"/>
      </w:pPr>
    </w:lvl>
    <w:lvl w:ilvl="3" w:tplc="F9085F22">
      <w:start w:val="1"/>
      <w:numFmt w:val="decimal"/>
      <w:lvlText w:val="%4."/>
      <w:lvlJc w:val="left"/>
      <w:pPr>
        <w:ind w:left="2880" w:hanging="360"/>
      </w:pPr>
    </w:lvl>
    <w:lvl w:ilvl="4" w:tplc="2D243B2A">
      <w:start w:val="1"/>
      <w:numFmt w:val="lowerLetter"/>
      <w:lvlText w:val="%5."/>
      <w:lvlJc w:val="left"/>
      <w:pPr>
        <w:ind w:left="3600" w:hanging="360"/>
      </w:pPr>
    </w:lvl>
    <w:lvl w:ilvl="5" w:tplc="0262E7BA">
      <w:start w:val="1"/>
      <w:numFmt w:val="lowerRoman"/>
      <w:lvlText w:val="%6."/>
      <w:lvlJc w:val="right"/>
      <w:pPr>
        <w:ind w:left="4320" w:hanging="180"/>
      </w:pPr>
    </w:lvl>
    <w:lvl w:ilvl="6" w:tplc="69E04644">
      <w:start w:val="1"/>
      <w:numFmt w:val="decimal"/>
      <w:lvlText w:val="%7."/>
      <w:lvlJc w:val="left"/>
      <w:pPr>
        <w:ind w:left="5040" w:hanging="360"/>
      </w:pPr>
    </w:lvl>
    <w:lvl w:ilvl="7" w:tplc="F25E9C8E">
      <w:start w:val="1"/>
      <w:numFmt w:val="lowerLetter"/>
      <w:lvlText w:val="%8."/>
      <w:lvlJc w:val="left"/>
      <w:pPr>
        <w:ind w:left="5760" w:hanging="360"/>
      </w:pPr>
    </w:lvl>
    <w:lvl w:ilvl="8" w:tplc="77F2FD6E">
      <w:start w:val="1"/>
      <w:numFmt w:val="lowerRoman"/>
      <w:lvlText w:val="%9."/>
      <w:lvlJc w:val="right"/>
      <w:pPr>
        <w:ind w:left="6480" w:hanging="180"/>
      </w:pPr>
    </w:lvl>
  </w:abstractNum>
  <w:abstractNum w:abstractNumId="5" w15:restartNumberingAfterBreak="0">
    <w:nsid w:val="0D761BAE"/>
    <w:multiLevelType w:val="hybridMultilevel"/>
    <w:tmpl w:val="284AF1AC"/>
    <w:lvl w:ilvl="0" w:tplc="6C56B0F4">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D843A99"/>
    <w:multiLevelType w:val="hybridMultilevel"/>
    <w:tmpl w:val="3D7AF768"/>
    <w:lvl w:ilvl="0" w:tplc="D108C59A">
      <w:start w:val="1"/>
      <w:numFmt w:val="bullet"/>
      <w:lvlText w:val="-"/>
      <w:lvlJc w:val="left"/>
      <w:pPr>
        <w:ind w:left="1080" w:hanging="360"/>
      </w:pPr>
      <w:rPr>
        <w:rFonts w:ascii="Aptos" w:hAnsi="Aptos" w:hint="default"/>
      </w:rPr>
    </w:lvl>
    <w:lvl w:ilvl="1" w:tplc="5268D412">
      <w:start w:val="1"/>
      <w:numFmt w:val="bullet"/>
      <w:lvlText w:val="o"/>
      <w:lvlJc w:val="left"/>
      <w:pPr>
        <w:ind w:left="1800" w:hanging="360"/>
      </w:pPr>
      <w:rPr>
        <w:rFonts w:ascii="Courier New" w:hAnsi="Courier New" w:hint="default"/>
      </w:rPr>
    </w:lvl>
    <w:lvl w:ilvl="2" w:tplc="3FAE5834">
      <w:start w:val="1"/>
      <w:numFmt w:val="bullet"/>
      <w:lvlText w:val=""/>
      <w:lvlJc w:val="left"/>
      <w:pPr>
        <w:ind w:left="2520" w:hanging="360"/>
      </w:pPr>
      <w:rPr>
        <w:rFonts w:ascii="Wingdings" w:hAnsi="Wingdings" w:hint="default"/>
      </w:rPr>
    </w:lvl>
    <w:lvl w:ilvl="3" w:tplc="1764C9D2">
      <w:start w:val="1"/>
      <w:numFmt w:val="bullet"/>
      <w:lvlText w:val=""/>
      <w:lvlJc w:val="left"/>
      <w:pPr>
        <w:ind w:left="3240" w:hanging="360"/>
      </w:pPr>
      <w:rPr>
        <w:rFonts w:ascii="Symbol" w:hAnsi="Symbol" w:hint="default"/>
      </w:rPr>
    </w:lvl>
    <w:lvl w:ilvl="4" w:tplc="28E2B160">
      <w:start w:val="1"/>
      <w:numFmt w:val="bullet"/>
      <w:lvlText w:val="o"/>
      <w:lvlJc w:val="left"/>
      <w:pPr>
        <w:ind w:left="3960" w:hanging="360"/>
      </w:pPr>
      <w:rPr>
        <w:rFonts w:ascii="Courier New" w:hAnsi="Courier New" w:hint="default"/>
      </w:rPr>
    </w:lvl>
    <w:lvl w:ilvl="5" w:tplc="20E44162">
      <w:start w:val="1"/>
      <w:numFmt w:val="bullet"/>
      <w:lvlText w:val=""/>
      <w:lvlJc w:val="left"/>
      <w:pPr>
        <w:ind w:left="4680" w:hanging="360"/>
      </w:pPr>
      <w:rPr>
        <w:rFonts w:ascii="Wingdings" w:hAnsi="Wingdings" w:hint="default"/>
      </w:rPr>
    </w:lvl>
    <w:lvl w:ilvl="6" w:tplc="D3CE0E90">
      <w:start w:val="1"/>
      <w:numFmt w:val="bullet"/>
      <w:lvlText w:val=""/>
      <w:lvlJc w:val="left"/>
      <w:pPr>
        <w:ind w:left="5400" w:hanging="360"/>
      </w:pPr>
      <w:rPr>
        <w:rFonts w:ascii="Symbol" w:hAnsi="Symbol" w:hint="default"/>
      </w:rPr>
    </w:lvl>
    <w:lvl w:ilvl="7" w:tplc="0C465C38">
      <w:start w:val="1"/>
      <w:numFmt w:val="bullet"/>
      <w:lvlText w:val="o"/>
      <w:lvlJc w:val="left"/>
      <w:pPr>
        <w:ind w:left="6120" w:hanging="360"/>
      </w:pPr>
      <w:rPr>
        <w:rFonts w:ascii="Courier New" w:hAnsi="Courier New" w:hint="default"/>
      </w:rPr>
    </w:lvl>
    <w:lvl w:ilvl="8" w:tplc="6840F882">
      <w:start w:val="1"/>
      <w:numFmt w:val="bullet"/>
      <w:lvlText w:val=""/>
      <w:lvlJc w:val="left"/>
      <w:pPr>
        <w:ind w:left="6840" w:hanging="360"/>
      </w:pPr>
      <w:rPr>
        <w:rFonts w:ascii="Wingdings" w:hAnsi="Wingdings" w:hint="default"/>
      </w:rPr>
    </w:lvl>
  </w:abstractNum>
  <w:abstractNum w:abstractNumId="7" w15:restartNumberingAfterBreak="0">
    <w:nsid w:val="0DBD092D"/>
    <w:multiLevelType w:val="hybridMultilevel"/>
    <w:tmpl w:val="4E4621E0"/>
    <w:lvl w:ilvl="0" w:tplc="164833AA">
      <w:start w:val="1"/>
      <w:numFmt w:val="upperRoman"/>
      <w:lvlText w:val="%1."/>
      <w:lvlJc w:val="left"/>
      <w:pPr>
        <w:ind w:left="720" w:hanging="360"/>
      </w:pPr>
    </w:lvl>
    <w:lvl w:ilvl="1" w:tplc="7180D29E">
      <w:start w:val="1"/>
      <w:numFmt w:val="lowerLetter"/>
      <w:lvlText w:val="%2."/>
      <w:lvlJc w:val="left"/>
      <w:pPr>
        <w:ind w:left="1440" w:hanging="360"/>
      </w:pPr>
    </w:lvl>
    <w:lvl w:ilvl="2" w:tplc="829E638E">
      <w:start w:val="1"/>
      <w:numFmt w:val="lowerRoman"/>
      <w:lvlText w:val="%3."/>
      <w:lvlJc w:val="right"/>
      <w:pPr>
        <w:ind w:left="2160" w:hanging="180"/>
      </w:pPr>
    </w:lvl>
    <w:lvl w:ilvl="3" w:tplc="C69CDC9A">
      <w:start w:val="1"/>
      <w:numFmt w:val="decimal"/>
      <w:lvlText w:val="%4."/>
      <w:lvlJc w:val="left"/>
      <w:pPr>
        <w:ind w:left="2880" w:hanging="360"/>
      </w:pPr>
    </w:lvl>
    <w:lvl w:ilvl="4" w:tplc="9DA0742C">
      <w:start w:val="1"/>
      <w:numFmt w:val="lowerLetter"/>
      <w:lvlText w:val="%5."/>
      <w:lvlJc w:val="left"/>
      <w:pPr>
        <w:ind w:left="3600" w:hanging="360"/>
      </w:pPr>
    </w:lvl>
    <w:lvl w:ilvl="5" w:tplc="5524A286">
      <w:start w:val="1"/>
      <w:numFmt w:val="lowerRoman"/>
      <w:lvlText w:val="%6."/>
      <w:lvlJc w:val="right"/>
      <w:pPr>
        <w:ind w:left="4320" w:hanging="180"/>
      </w:pPr>
    </w:lvl>
    <w:lvl w:ilvl="6" w:tplc="83303C3A">
      <w:start w:val="1"/>
      <w:numFmt w:val="decimal"/>
      <w:lvlText w:val="%7."/>
      <w:lvlJc w:val="left"/>
      <w:pPr>
        <w:ind w:left="5040" w:hanging="360"/>
      </w:pPr>
    </w:lvl>
    <w:lvl w:ilvl="7" w:tplc="D39824C6">
      <w:start w:val="1"/>
      <w:numFmt w:val="lowerLetter"/>
      <w:lvlText w:val="%8."/>
      <w:lvlJc w:val="left"/>
      <w:pPr>
        <w:ind w:left="5760" w:hanging="360"/>
      </w:pPr>
    </w:lvl>
    <w:lvl w:ilvl="8" w:tplc="2D160602">
      <w:start w:val="1"/>
      <w:numFmt w:val="lowerRoman"/>
      <w:lvlText w:val="%9."/>
      <w:lvlJc w:val="right"/>
      <w:pPr>
        <w:ind w:left="6480" w:hanging="180"/>
      </w:pPr>
    </w:lvl>
  </w:abstractNum>
  <w:abstractNum w:abstractNumId="8" w15:restartNumberingAfterBreak="0">
    <w:nsid w:val="11E24AAC"/>
    <w:multiLevelType w:val="hybridMultilevel"/>
    <w:tmpl w:val="56B828CC"/>
    <w:lvl w:ilvl="0" w:tplc="DBB67510">
      <w:start w:val="1"/>
      <w:numFmt w:val="bullet"/>
      <w:lvlText w:val=""/>
      <w:lvlJc w:val="left"/>
      <w:pPr>
        <w:ind w:left="720" w:hanging="360"/>
      </w:pPr>
      <w:rPr>
        <w:rFonts w:ascii="Symbol" w:hAnsi="Symbol"/>
      </w:rPr>
    </w:lvl>
    <w:lvl w:ilvl="1" w:tplc="741E3E10">
      <w:start w:val="1"/>
      <w:numFmt w:val="bullet"/>
      <w:lvlText w:val=""/>
      <w:lvlJc w:val="left"/>
      <w:pPr>
        <w:ind w:left="720" w:hanging="360"/>
      </w:pPr>
      <w:rPr>
        <w:rFonts w:ascii="Symbol" w:hAnsi="Symbol"/>
      </w:rPr>
    </w:lvl>
    <w:lvl w:ilvl="2" w:tplc="BB5C4802">
      <w:start w:val="1"/>
      <w:numFmt w:val="bullet"/>
      <w:lvlText w:val=""/>
      <w:lvlJc w:val="left"/>
      <w:pPr>
        <w:ind w:left="720" w:hanging="360"/>
      </w:pPr>
      <w:rPr>
        <w:rFonts w:ascii="Symbol" w:hAnsi="Symbol"/>
      </w:rPr>
    </w:lvl>
    <w:lvl w:ilvl="3" w:tplc="05ACD89E">
      <w:start w:val="1"/>
      <w:numFmt w:val="bullet"/>
      <w:lvlText w:val=""/>
      <w:lvlJc w:val="left"/>
      <w:pPr>
        <w:ind w:left="720" w:hanging="360"/>
      </w:pPr>
      <w:rPr>
        <w:rFonts w:ascii="Symbol" w:hAnsi="Symbol"/>
      </w:rPr>
    </w:lvl>
    <w:lvl w:ilvl="4" w:tplc="E110C29C">
      <w:start w:val="1"/>
      <w:numFmt w:val="bullet"/>
      <w:lvlText w:val=""/>
      <w:lvlJc w:val="left"/>
      <w:pPr>
        <w:ind w:left="720" w:hanging="360"/>
      </w:pPr>
      <w:rPr>
        <w:rFonts w:ascii="Symbol" w:hAnsi="Symbol"/>
      </w:rPr>
    </w:lvl>
    <w:lvl w:ilvl="5" w:tplc="93E2C204">
      <w:start w:val="1"/>
      <w:numFmt w:val="bullet"/>
      <w:lvlText w:val=""/>
      <w:lvlJc w:val="left"/>
      <w:pPr>
        <w:ind w:left="720" w:hanging="360"/>
      </w:pPr>
      <w:rPr>
        <w:rFonts w:ascii="Symbol" w:hAnsi="Symbol"/>
      </w:rPr>
    </w:lvl>
    <w:lvl w:ilvl="6" w:tplc="9F34F50C">
      <w:start w:val="1"/>
      <w:numFmt w:val="bullet"/>
      <w:lvlText w:val=""/>
      <w:lvlJc w:val="left"/>
      <w:pPr>
        <w:ind w:left="720" w:hanging="360"/>
      </w:pPr>
      <w:rPr>
        <w:rFonts w:ascii="Symbol" w:hAnsi="Symbol"/>
      </w:rPr>
    </w:lvl>
    <w:lvl w:ilvl="7" w:tplc="96F4896C">
      <w:start w:val="1"/>
      <w:numFmt w:val="bullet"/>
      <w:lvlText w:val=""/>
      <w:lvlJc w:val="left"/>
      <w:pPr>
        <w:ind w:left="720" w:hanging="360"/>
      </w:pPr>
      <w:rPr>
        <w:rFonts w:ascii="Symbol" w:hAnsi="Symbol"/>
      </w:rPr>
    </w:lvl>
    <w:lvl w:ilvl="8" w:tplc="8A6CD23E">
      <w:start w:val="1"/>
      <w:numFmt w:val="bullet"/>
      <w:lvlText w:val=""/>
      <w:lvlJc w:val="left"/>
      <w:pPr>
        <w:ind w:left="720" w:hanging="360"/>
      </w:pPr>
      <w:rPr>
        <w:rFonts w:ascii="Symbol" w:hAnsi="Symbol"/>
      </w:rPr>
    </w:lvl>
  </w:abstractNum>
  <w:abstractNum w:abstractNumId="9" w15:restartNumberingAfterBreak="0">
    <w:nsid w:val="12CF3BD8"/>
    <w:multiLevelType w:val="hybridMultilevel"/>
    <w:tmpl w:val="C0D2D2E0"/>
    <w:lvl w:ilvl="0" w:tplc="922055EA">
      <w:start w:val="1"/>
      <w:numFmt w:val="bullet"/>
      <w:lvlText w:val=""/>
      <w:lvlJc w:val="left"/>
      <w:pPr>
        <w:ind w:left="1800" w:hanging="360"/>
      </w:pPr>
      <w:rPr>
        <w:rFonts w:ascii="Symbol" w:hAnsi="Symbol" w:hint="default"/>
      </w:rPr>
    </w:lvl>
    <w:lvl w:ilvl="1" w:tplc="5672EADC">
      <w:start w:val="1"/>
      <w:numFmt w:val="bullet"/>
      <w:lvlText w:val="o"/>
      <w:lvlJc w:val="left"/>
      <w:pPr>
        <w:ind w:left="2520" w:hanging="360"/>
      </w:pPr>
      <w:rPr>
        <w:rFonts w:ascii="Courier New" w:hAnsi="Courier New" w:hint="default"/>
      </w:rPr>
    </w:lvl>
    <w:lvl w:ilvl="2" w:tplc="7696BE72">
      <w:start w:val="1"/>
      <w:numFmt w:val="bullet"/>
      <w:lvlText w:val=""/>
      <w:lvlJc w:val="left"/>
      <w:pPr>
        <w:ind w:left="3240" w:hanging="360"/>
      </w:pPr>
      <w:rPr>
        <w:rFonts w:ascii="Wingdings" w:hAnsi="Wingdings" w:hint="default"/>
      </w:rPr>
    </w:lvl>
    <w:lvl w:ilvl="3" w:tplc="C27479E0">
      <w:start w:val="1"/>
      <w:numFmt w:val="bullet"/>
      <w:lvlText w:val=""/>
      <w:lvlJc w:val="left"/>
      <w:pPr>
        <w:ind w:left="3960" w:hanging="360"/>
      </w:pPr>
      <w:rPr>
        <w:rFonts w:ascii="Symbol" w:hAnsi="Symbol" w:hint="default"/>
      </w:rPr>
    </w:lvl>
    <w:lvl w:ilvl="4" w:tplc="02EC7060">
      <w:start w:val="1"/>
      <w:numFmt w:val="bullet"/>
      <w:lvlText w:val="o"/>
      <w:lvlJc w:val="left"/>
      <w:pPr>
        <w:ind w:left="4680" w:hanging="360"/>
      </w:pPr>
      <w:rPr>
        <w:rFonts w:ascii="Courier New" w:hAnsi="Courier New" w:hint="default"/>
      </w:rPr>
    </w:lvl>
    <w:lvl w:ilvl="5" w:tplc="8EDE56F8">
      <w:start w:val="1"/>
      <w:numFmt w:val="bullet"/>
      <w:lvlText w:val=""/>
      <w:lvlJc w:val="left"/>
      <w:pPr>
        <w:ind w:left="5400" w:hanging="360"/>
      </w:pPr>
      <w:rPr>
        <w:rFonts w:ascii="Wingdings" w:hAnsi="Wingdings" w:hint="default"/>
      </w:rPr>
    </w:lvl>
    <w:lvl w:ilvl="6" w:tplc="C0A073F8">
      <w:start w:val="1"/>
      <w:numFmt w:val="bullet"/>
      <w:lvlText w:val=""/>
      <w:lvlJc w:val="left"/>
      <w:pPr>
        <w:ind w:left="6120" w:hanging="360"/>
      </w:pPr>
      <w:rPr>
        <w:rFonts w:ascii="Symbol" w:hAnsi="Symbol" w:hint="default"/>
      </w:rPr>
    </w:lvl>
    <w:lvl w:ilvl="7" w:tplc="957EAF98">
      <w:start w:val="1"/>
      <w:numFmt w:val="bullet"/>
      <w:lvlText w:val="o"/>
      <w:lvlJc w:val="left"/>
      <w:pPr>
        <w:ind w:left="6840" w:hanging="360"/>
      </w:pPr>
      <w:rPr>
        <w:rFonts w:ascii="Courier New" w:hAnsi="Courier New" w:hint="default"/>
      </w:rPr>
    </w:lvl>
    <w:lvl w:ilvl="8" w:tplc="F7228BE0">
      <w:start w:val="1"/>
      <w:numFmt w:val="bullet"/>
      <w:lvlText w:val=""/>
      <w:lvlJc w:val="left"/>
      <w:pPr>
        <w:ind w:left="7560" w:hanging="360"/>
      </w:pPr>
      <w:rPr>
        <w:rFonts w:ascii="Wingdings" w:hAnsi="Wingdings" w:hint="default"/>
      </w:rPr>
    </w:lvl>
  </w:abstractNum>
  <w:abstractNum w:abstractNumId="10" w15:restartNumberingAfterBreak="0">
    <w:nsid w:val="1A5FB586"/>
    <w:multiLevelType w:val="hybridMultilevel"/>
    <w:tmpl w:val="69E282D0"/>
    <w:lvl w:ilvl="0" w:tplc="CDBC5AA2">
      <w:start w:val="1"/>
      <w:numFmt w:val="bullet"/>
      <w:lvlText w:val="-"/>
      <w:lvlJc w:val="left"/>
      <w:pPr>
        <w:ind w:left="1080" w:hanging="360"/>
      </w:pPr>
      <w:rPr>
        <w:rFonts w:ascii="Aptos" w:hAnsi="Aptos" w:hint="default"/>
      </w:rPr>
    </w:lvl>
    <w:lvl w:ilvl="1" w:tplc="797E3CEC">
      <w:start w:val="1"/>
      <w:numFmt w:val="bullet"/>
      <w:lvlText w:val="o"/>
      <w:lvlJc w:val="left"/>
      <w:pPr>
        <w:ind w:left="1800" w:hanging="360"/>
      </w:pPr>
      <w:rPr>
        <w:rFonts w:ascii="Courier New" w:hAnsi="Courier New" w:hint="default"/>
      </w:rPr>
    </w:lvl>
    <w:lvl w:ilvl="2" w:tplc="946EED9E">
      <w:start w:val="1"/>
      <w:numFmt w:val="bullet"/>
      <w:lvlText w:val=""/>
      <w:lvlJc w:val="left"/>
      <w:pPr>
        <w:ind w:left="2520" w:hanging="360"/>
      </w:pPr>
      <w:rPr>
        <w:rFonts w:ascii="Wingdings" w:hAnsi="Wingdings" w:hint="default"/>
      </w:rPr>
    </w:lvl>
    <w:lvl w:ilvl="3" w:tplc="549072E4">
      <w:start w:val="1"/>
      <w:numFmt w:val="bullet"/>
      <w:lvlText w:val=""/>
      <w:lvlJc w:val="left"/>
      <w:pPr>
        <w:ind w:left="3240" w:hanging="360"/>
      </w:pPr>
      <w:rPr>
        <w:rFonts w:ascii="Symbol" w:hAnsi="Symbol" w:hint="default"/>
      </w:rPr>
    </w:lvl>
    <w:lvl w:ilvl="4" w:tplc="0452FF5E">
      <w:start w:val="1"/>
      <w:numFmt w:val="bullet"/>
      <w:lvlText w:val="o"/>
      <w:lvlJc w:val="left"/>
      <w:pPr>
        <w:ind w:left="3960" w:hanging="360"/>
      </w:pPr>
      <w:rPr>
        <w:rFonts w:ascii="Courier New" w:hAnsi="Courier New" w:hint="default"/>
      </w:rPr>
    </w:lvl>
    <w:lvl w:ilvl="5" w:tplc="545CD800">
      <w:start w:val="1"/>
      <w:numFmt w:val="bullet"/>
      <w:lvlText w:val=""/>
      <w:lvlJc w:val="left"/>
      <w:pPr>
        <w:ind w:left="4680" w:hanging="360"/>
      </w:pPr>
      <w:rPr>
        <w:rFonts w:ascii="Wingdings" w:hAnsi="Wingdings" w:hint="default"/>
      </w:rPr>
    </w:lvl>
    <w:lvl w:ilvl="6" w:tplc="EF0412F4">
      <w:start w:val="1"/>
      <w:numFmt w:val="bullet"/>
      <w:lvlText w:val=""/>
      <w:lvlJc w:val="left"/>
      <w:pPr>
        <w:ind w:left="5400" w:hanging="360"/>
      </w:pPr>
      <w:rPr>
        <w:rFonts w:ascii="Symbol" w:hAnsi="Symbol" w:hint="default"/>
      </w:rPr>
    </w:lvl>
    <w:lvl w:ilvl="7" w:tplc="96EC6946">
      <w:start w:val="1"/>
      <w:numFmt w:val="bullet"/>
      <w:lvlText w:val="o"/>
      <w:lvlJc w:val="left"/>
      <w:pPr>
        <w:ind w:left="6120" w:hanging="360"/>
      </w:pPr>
      <w:rPr>
        <w:rFonts w:ascii="Courier New" w:hAnsi="Courier New" w:hint="default"/>
      </w:rPr>
    </w:lvl>
    <w:lvl w:ilvl="8" w:tplc="0130E9A4">
      <w:start w:val="1"/>
      <w:numFmt w:val="bullet"/>
      <w:lvlText w:val=""/>
      <w:lvlJc w:val="left"/>
      <w:pPr>
        <w:ind w:left="6840" w:hanging="360"/>
      </w:pPr>
      <w:rPr>
        <w:rFonts w:ascii="Wingdings" w:hAnsi="Wingdings" w:hint="default"/>
      </w:rPr>
    </w:lvl>
  </w:abstractNum>
  <w:abstractNum w:abstractNumId="11" w15:restartNumberingAfterBreak="0">
    <w:nsid w:val="1A732D0F"/>
    <w:multiLevelType w:val="hybridMultilevel"/>
    <w:tmpl w:val="E0E2C7CC"/>
    <w:lvl w:ilvl="0" w:tplc="72604F18">
      <w:start w:val="1"/>
      <w:numFmt w:val="decimal"/>
      <w:lvlText w:val="%1."/>
      <w:lvlJc w:val="left"/>
      <w:pPr>
        <w:ind w:left="720" w:hanging="360"/>
      </w:pPr>
    </w:lvl>
    <w:lvl w:ilvl="1" w:tplc="D27C8C1E">
      <w:start w:val="1"/>
      <w:numFmt w:val="lowerLetter"/>
      <w:lvlText w:val="%2."/>
      <w:lvlJc w:val="left"/>
      <w:pPr>
        <w:ind w:left="1440" w:hanging="360"/>
      </w:pPr>
      <w:rPr>
        <w:rFonts w:ascii="Times New Roman" w:hAnsi="Times New Roman" w:hint="default"/>
      </w:rPr>
    </w:lvl>
    <w:lvl w:ilvl="2" w:tplc="F3909C90">
      <w:start w:val="1"/>
      <w:numFmt w:val="lowerRoman"/>
      <w:lvlText w:val="%3."/>
      <w:lvlJc w:val="right"/>
      <w:pPr>
        <w:ind w:left="2160" w:hanging="180"/>
      </w:pPr>
    </w:lvl>
    <w:lvl w:ilvl="3" w:tplc="DC1CB404">
      <w:start w:val="1"/>
      <w:numFmt w:val="decimal"/>
      <w:lvlText w:val="%4."/>
      <w:lvlJc w:val="left"/>
      <w:pPr>
        <w:ind w:left="2880" w:hanging="360"/>
      </w:pPr>
    </w:lvl>
    <w:lvl w:ilvl="4" w:tplc="B4489F54">
      <w:start w:val="1"/>
      <w:numFmt w:val="lowerLetter"/>
      <w:lvlText w:val="%5."/>
      <w:lvlJc w:val="left"/>
      <w:pPr>
        <w:ind w:left="3600" w:hanging="360"/>
      </w:pPr>
    </w:lvl>
    <w:lvl w:ilvl="5" w:tplc="E0DE33B2">
      <w:start w:val="1"/>
      <w:numFmt w:val="lowerRoman"/>
      <w:lvlText w:val="%6."/>
      <w:lvlJc w:val="right"/>
      <w:pPr>
        <w:ind w:left="4320" w:hanging="180"/>
      </w:pPr>
    </w:lvl>
    <w:lvl w:ilvl="6" w:tplc="B74C5116">
      <w:start w:val="1"/>
      <w:numFmt w:val="decimal"/>
      <w:lvlText w:val="%7."/>
      <w:lvlJc w:val="left"/>
      <w:pPr>
        <w:ind w:left="5040" w:hanging="360"/>
      </w:pPr>
    </w:lvl>
    <w:lvl w:ilvl="7" w:tplc="3A0E8C20">
      <w:start w:val="1"/>
      <w:numFmt w:val="lowerLetter"/>
      <w:lvlText w:val="%8."/>
      <w:lvlJc w:val="left"/>
      <w:pPr>
        <w:ind w:left="5760" w:hanging="360"/>
      </w:pPr>
    </w:lvl>
    <w:lvl w:ilvl="8" w:tplc="2848C10E">
      <w:start w:val="1"/>
      <w:numFmt w:val="lowerRoman"/>
      <w:lvlText w:val="%9."/>
      <w:lvlJc w:val="right"/>
      <w:pPr>
        <w:ind w:left="6480" w:hanging="180"/>
      </w:pPr>
    </w:lvl>
  </w:abstractNum>
  <w:abstractNum w:abstractNumId="12" w15:restartNumberingAfterBreak="0">
    <w:nsid w:val="1B040D97"/>
    <w:multiLevelType w:val="hybridMultilevel"/>
    <w:tmpl w:val="6B66B76A"/>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082D29"/>
    <w:multiLevelType w:val="hybridMultilevel"/>
    <w:tmpl w:val="903012A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B9B48A0"/>
    <w:multiLevelType w:val="hybridMultilevel"/>
    <w:tmpl w:val="82209B6C"/>
    <w:lvl w:ilvl="0" w:tplc="6C56B0F4">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1CF4789B"/>
    <w:multiLevelType w:val="hybridMultilevel"/>
    <w:tmpl w:val="33BC2C70"/>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E431E96"/>
    <w:multiLevelType w:val="hybridMultilevel"/>
    <w:tmpl w:val="3ECC8E2A"/>
    <w:lvl w:ilvl="0" w:tplc="51E887D6">
      <w:start w:val="1"/>
      <w:numFmt w:val="bullet"/>
      <w:lvlText w:val=""/>
      <w:lvlJc w:val="left"/>
      <w:pPr>
        <w:ind w:left="720" w:hanging="360"/>
      </w:pPr>
      <w:rPr>
        <w:rFonts w:ascii="Symbol" w:hAnsi="Symbol"/>
      </w:rPr>
    </w:lvl>
    <w:lvl w:ilvl="1" w:tplc="C7BE4C7C">
      <w:start w:val="1"/>
      <w:numFmt w:val="bullet"/>
      <w:lvlText w:val=""/>
      <w:lvlJc w:val="left"/>
      <w:pPr>
        <w:ind w:left="720" w:hanging="360"/>
      </w:pPr>
      <w:rPr>
        <w:rFonts w:ascii="Symbol" w:hAnsi="Symbol"/>
      </w:rPr>
    </w:lvl>
    <w:lvl w:ilvl="2" w:tplc="9C3EA76E">
      <w:start w:val="1"/>
      <w:numFmt w:val="bullet"/>
      <w:lvlText w:val=""/>
      <w:lvlJc w:val="left"/>
      <w:pPr>
        <w:ind w:left="720" w:hanging="360"/>
      </w:pPr>
      <w:rPr>
        <w:rFonts w:ascii="Symbol" w:hAnsi="Symbol"/>
      </w:rPr>
    </w:lvl>
    <w:lvl w:ilvl="3" w:tplc="9588F5A8">
      <w:start w:val="1"/>
      <w:numFmt w:val="bullet"/>
      <w:lvlText w:val=""/>
      <w:lvlJc w:val="left"/>
      <w:pPr>
        <w:ind w:left="720" w:hanging="360"/>
      </w:pPr>
      <w:rPr>
        <w:rFonts w:ascii="Symbol" w:hAnsi="Symbol"/>
      </w:rPr>
    </w:lvl>
    <w:lvl w:ilvl="4" w:tplc="C37E4D06">
      <w:start w:val="1"/>
      <w:numFmt w:val="bullet"/>
      <w:lvlText w:val=""/>
      <w:lvlJc w:val="left"/>
      <w:pPr>
        <w:ind w:left="720" w:hanging="360"/>
      </w:pPr>
      <w:rPr>
        <w:rFonts w:ascii="Symbol" w:hAnsi="Symbol"/>
      </w:rPr>
    </w:lvl>
    <w:lvl w:ilvl="5" w:tplc="74E4E43E">
      <w:start w:val="1"/>
      <w:numFmt w:val="bullet"/>
      <w:lvlText w:val=""/>
      <w:lvlJc w:val="left"/>
      <w:pPr>
        <w:ind w:left="720" w:hanging="360"/>
      </w:pPr>
      <w:rPr>
        <w:rFonts w:ascii="Symbol" w:hAnsi="Symbol"/>
      </w:rPr>
    </w:lvl>
    <w:lvl w:ilvl="6" w:tplc="AA029550">
      <w:start w:val="1"/>
      <w:numFmt w:val="bullet"/>
      <w:lvlText w:val=""/>
      <w:lvlJc w:val="left"/>
      <w:pPr>
        <w:ind w:left="720" w:hanging="360"/>
      </w:pPr>
      <w:rPr>
        <w:rFonts w:ascii="Symbol" w:hAnsi="Symbol"/>
      </w:rPr>
    </w:lvl>
    <w:lvl w:ilvl="7" w:tplc="C9267542">
      <w:start w:val="1"/>
      <w:numFmt w:val="bullet"/>
      <w:lvlText w:val=""/>
      <w:lvlJc w:val="left"/>
      <w:pPr>
        <w:ind w:left="720" w:hanging="360"/>
      </w:pPr>
      <w:rPr>
        <w:rFonts w:ascii="Symbol" w:hAnsi="Symbol"/>
      </w:rPr>
    </w:lvl>
    <w:lvl w:ilvl="8" w:tplc="F0BC1030">
      <w:start w:val="1"/>
      <w:numFmt w:val="bullet"/>
      <w:lvlText w:val=""/>
      <w:lvlJc w:val="left"/>
      <w:pPr>
        <w:ind w:left="720" w:hanging="360"/>
      </w:pPr>
      <w:rPr>
        <w:rFonts w:ascii="Symbol" w:hAnsi="Symbol"/>
      </w:rPr>
    </w:lvl>
  </w:abstractNum>
  <w:abstractNum w:abstractNumId="17" w15:restartNumberingAfterBreak="0">
    <w:nsid w:val="1ED9E07F"/>
    <w:multiLevelType w:val="hybridMultilevel"/>
    <w:tmpl w:val="4D0048B8"/>
    <w:lvl w:ilvl="0" w:tplc="325684CA">
      <w:start w:val="1"/>
      <w:numFmt w:val="bullet"/>
      <w:lvlText w:val="-"/>
      <w:lvlJc w:val="left"/>
      <w:pPr>
        <w:ind w:left="1080" w:hanging="360"/>
      </w:pPr>
      <w:rPr>
        <w:rFonts w:ascii="Aptos" w:hAnsi="Aptos" w:hint="default"/>
      </w:rPr>
    </w:lvl>
    <w:lvl w:ilvl="1" w:tplc="DD8CEB0A">
      <w:start w:val="1"/>
      <w:numFmt w:val="bullet"/>
      <w:lvlText w:val="o"/>
      <w:lvlJc w:val="left"/>
      <w:pPr>
        <w:ind w:left="1800" w:hanging="360"/>
      </w:pPr>
      <w:rPr>
        <w:rFonts w:ascii="Courier New" w:hAnsi="Courier New" w:hint="default"/>
      </w:rPr>
    </w:lvl>
    <w:lvl w:ilvl="2" w:tplc="A4584CA4">
      <w:start w:val="1"/>
      <w:numFmt w:val="bullet"/>
      <w:lvlText w:val=""/>
      <w:lvlJc w:val="left"/>
      <w:pPr>
        <w:ind w:left="2520" w:hanging="360"/>
      </w:pPr>
      <w:rPr>
        <w:rFonts w:ascii="Wingdings" w:hAnsi="Wingdings" w:hint="default"/>
      </w:rPr>
    </w:lvl>
    <w:lvl w:ilvl="3" w:tplc="9FF623BE">
      <w:start w:val="1"/>
      <w:numFmt w:val="bullet"/>
      <w:lvlText w:val=""/>
      <w:lvlJc w:val="left"/>
      <w:pPr>
        <w:ind w:left="3240" w:hanging="360"/>
      </w:pPr>
      <w:rPr>
        <w:rFonts w:ascii="Symbol" w:hAnsi="Symbol" w:hint="default"/>
      </w:rPr>
    </w:lvl>
    <w:lvl w:ilvl="4" w:tplc="7F042ACE">
      <w:start w:val="1"/>
      <w:numFmt w:val="bullet"/>
      <w:lvlText w:val="o"/>
      <w:lvlJc w:val="left"/>
      <w:pPr>
        <w:ind w:left="3960" w:hanging="360"/>
      </w:pPr>
      <w:rPr>
        <w:rFonts w:ascii="Courier New" w:hAnsi="Courier New" w:hint="default"/>
      </w:rPr>
    </w:lvl>
    <w:lvl w:ilvl="5" w:tplc="799005D0">
      <w:start w:val="1"/>
      <w:numFmt w:val="bullet"/>
      <w:lvlText w:val=""/>
      <w:lvlJc w:val="left"/>
      <w:pPr>
        <w:ind w:left="4680" w:hanging="360"/>
      </w:pPr>
      <w:rPr>
        <w:rFonts w:ascii="Wingdings" w:hAnsi="Wingdings" w:hint="default"/>
      </w:rPr>
    </w:lvl>
    <w:lvl w:ilvl="6" w:tplc="49222CB8">
      <w:start w:val="1"/>
      <w:numFmt w:val="bullet"/>
      <w:lvlText w:val=""/>
      <w:lvlJc w:val="left"/>
      <w:pPr>
        <w:ind w:left="5400" w:hanging="360"/>
      </w:pPr>
      <w:rPr>
        <w:rFonts w:ascii="Symbol" w:hAnsi="Symbol" w:hint="default"/>
      </w:rPr>
    </w:lvl>
    <w:lvl w:ilvl="7" w:tplc="D9705B82">
      <w:start w:val="1"/>
      <w:numFmt w:val="bullet"/>
      <w:lvlText w:val="o"/>
      <w:lvlJc w:val="left"/>
      <w:pPr>
        <w:ind w:left="6120" w:hanging="360"/>
      </w:pPr>
      <w:rPr>
        <w:rFonts w:ascii="Courier New" w:hAnsi="Courier New" w:hint="default"/>
      </w:rPr>
    </w:lvl>
    <w:lvl w:ilvl="8" w:tplc="22104666">
      <w:start w:val="1"/>
      <w:numFmt w:val="bullet"/>
      <w:lvlText w:val=""/>
      <w:lvlJc w:val="left"/>
      <w:pPr>
        <w:ind w:left="6840" w:hanging="360"/>
      </w:pPr>
      <w:rPr>
        <w:rFonts w:ascii="Wingdings" w:hAnsi="Wingdings" w:hint="default"/>
      </w:rPr>
    </w:lvl>
  </w:abstractNum>
  <w:abstractNum w:abstractNumId="18" w15:restartNumberingAfterBreak="0">
    <w:nsid w:val="20B3FB7E"/>
    <w:multiLevelType w:val="hybridMultilevel"/>
    <w:tmpl w:val="6792D330"/>
    <w:lvl w:ilvl="0" w:tplc="5E681F34">
      <w:start w:val="1"/>
      <w:numFmt w:val="bullet"/>
      <w:lvlText w:val="-"/>
      <w:lvlJc w:val="left"/>
      <w:pPr>
        <w:ind w:left="1080" w:hanging="360"/>
      </w:pPr>
      <w:rPr>
        <w:rFonts w:ascii="Aptos" w:hAnsi="Aptos" w:hint="default"/>
      </w:rPr>
    </w:lvl>
    <w:lvl w:ilvl="1" w:tplc="736A2FF2">
      <w:start w:val="1"/>
      <w:numFmt w:val="bullet"/>
      <w:lvlText w:val="o"/>
      <w:lvlJc w:val="left"/>
      <w:pPr>
        <w:ind w:left="1800" w:hanging="360"/>
      </w:pPr>
      <w:rPr>
        <w:rFonts w:ascii="Courier New" w:hAnsi="Courier New" w:hint="default"/>
      </w:rPr>
    </w:lvl>
    <w:lvl w:ilvl="2" w:tplc="BE0AFCF2">
      <w:start w:val="1"/>
      <w:numFmt w:val="bullet"/>
      <w:lvlText w:val=""/>
      <w:lvlJc w:val="left"/>
      <w:pPr>
        <w:ind w:left="2520" w:hanging="360"/>
      </w:pPr>
      <w:rPr>
        <w:rFonts w:ascii="Wingdings" w:hAnsi="Wingdings" w:hint="default"/>
      </w:rPr>
    </w:lvl>
    <w:lvl w:ilvl="3" w:tplc="97CA9F6A">
      <w:start w:val="1"/>
      <w:numFmt w:val="bullet"/>
      <w:lvlText w:val=""/>
      <w:lvlJc w:val="left"/>
      <w:pPr>
        <w:ind w:left="3240" w:hanging="360"/>
      </w:pPr>
      <w:rPr>
        <w:rFonts w:ascii="Symbol" w:hAnsi="Symbol" w:hint="default"/>
      </w:rPr>
    </w:lvl>
    <w:lvl w:ilvl="4" w:tplc="153E2D24">
      <w:start w:val="1"/>
      <w:numFmt w:val="bullet"/>
      <w:lvlText w:val="o"/>
      <w:lvlJc w:val="left"/>
      <w:pPr>
        <w:ind w:left="3960" w:hanging="360"/>
      </w:pPr>
      <w:rPr>
        <w:rFonts w:ascii="Courier New" w:hAnsi="Courier New" w:hint="default"/>
      </w:rPr>
    </w:lvl>
    <w:lvl w:ilvl="5" w:tplc="0C102E44">
      <w:start w:val="1"/>
      <w:numFmt w:val="bullet"/>
      <w:lvlText w:val=""/>
      <w:lvlJc w:val="left"/>
      <w:pPr>
        <w:ind w:left="4680" w:hanging="360"/>
      </w:pPr>
      <w:rPr>
        <w:rFonts w:ascii="Wingdings" w:hAnsi="Wingdings" w:hint="default"/>
      </w:rPr>
    </w:lvl>
    <w:lvl w:ilvl="6" w:tplc="3B4C3CAE">
      <w:start w:val="1"/>
      <w:numFmt w:val="bullet"/>
      <w:lvlText w:val=""/>
      <w:lvlJc w:val="left"/>
      <w:pPr>
        <w:ind w:left="5400" w:hanging="360"/>
      </w:pPr>
      <w:rPr>
        <w:rFonts w:ascii="Symbol" w:hAnsi="Symbol" w:hint="default"/>
      </w:rPr>
    </w:lvl>
    <w:lvl w:ilvl="7" w:tplc="62B8A05E">
      <w:start w:val="1"/>
      <w:numFmt w:val="bullet"/>
      <w:lvlText w:val="o"/>
      <w:lvlJc w:val="left"/>
      <w:pPr>
        <w:ind w:left="6120" w:hanging="360"/>
      </w:pPr>
      <w:rPr>
        <w:rFonts w:ascii="Courier New" w:hAnsi="Courier New" w:hint="default"/>
      </w:rPr>
    </w:lvl>
    <w:lvl w:ilvl="8" w:tplc="B4B4F024">
      <w:start w:val="1"/>
      <w:numFmt w:val="bullet"/>
      <w:lvlText w:val=""/>
      <w:lvlJc w:val="left"/>
      <w:pPr>
        <w:ind w:left="6840" w:hanging="360"/>
      </w:pPr>
      <w:rPr>
        <w:rFonts w:ascii="Wingdings" w:hAnsi="Wingdings" w:hint="default"/>
      </w:rPr>
    </w:lvl>
  </w:abstractNum>
  <w:abstractNum w:abstractNumId="19" w15:restartNumberingAfterBreak="0">
    <w:nsid w:val="22F70A1D"/>
    <w:multiLevelType w:val="hybridMultilevel"/>
    <w:tmpl w:val="6C44E86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7591D05"/>
    <w:multiLevelType w:val="hybridMultilevel"/>
    <w:tmpl w:val="FFFFFFFF"/>
    <w:lvl w:ilvl="0" w:tplc="F66E7CFC">
      <w:start w:val="1"/>
      <w:numFmt w:val="bullet"/>
      <w:lvlText w:val="o"/>
      <w:lvlJc w:val="left"/>
      <w:pPr>
        <w:ind w:left="720" w:hanging="360"/>
      </w:pPr>
      <w:rPr>
        <w:rFonts w:ascii="&quot;Courier New&quot;" w:hAnsi="&quot;Courier New&quot;" w:hint="default"/>
      </w:rPr>
    </w:lvl>
    <w:lvl w:ilvl="1" w:tplc="44946DD8">
      <w:start w:val="1"/>
      <w:numFmt w:val="bullet"/>
      <w:lvlText w:val="o"/>
      <w:lvlJc w:val="left"/>
      <w:pPr>
        <w:ind w:left="1440" w:hanging="360"/>
      </w:pPr>
      <w:rPr>
        <w:rFonts w:ascii="Courier New" w:hAnsi="Courier New" w:hint="default"/>
      </w:rPr>
    </w:lvl>
    <w:lvl w:ilvl="2" w:tplc="7D14F458">
      <w:start w:val="1"/>
      <w:numFmt w:val="bullet"/>
      <w:lvlText w:val=""/>
      <w:lvlJc w:val="left"/>
      <w:pPr>
        <w:ind w:left="2160" w:hanging="360"/>
      </w:pPr>
      <w:rPr>
        <w:rFonts w:ascii="Wingdings" w:hAnsi="Wingdings" w:hint="default"/>
      </w:rPr>
    </w:lvl>
    <w:lvl w:ilvl="3" w:tplc="68002804">
      <w:start w:val="1"/>
      <w:numFmt w:val="bullet"/>
      <w:lvlText w:val=""/>
      <w:lvlJc w:val="left"/>
      <w:pPr>
        <w:ind w:left="2880" w:hanging="360"/>
      </w:pPr>
      <w:rPr>
        <w:rFonts w:ascii="Symbol" w:hAnsi="Symbol" w:hint="default"/>
      </w:rPr>
    </w:lvl>
    <w:lvl w:ilvl="4" w:tplc="934691C8">
      <w:start w:val="1"/>
      <w:numFmt w:val="bullet"/>
      <w:lvlText w:val="o"/>
      <w:lvlJc w:val="left"/>
      <w:pPr>
        <w:ind w:left="3600" w:hanging="360"/>
      </w:pPr>
      <w:rPr>
        <w:rFonts w:ascii="Courier New" w:hAnsi="Courier New" w:hint="default"/>
      </w:rPr>
    </w:lvl>
    <w:lvl w:ilvl="5" w:tplc="3F423912">
      <w:start w:val="1"/>
      <w:numFmt w:val="bullet"/>
      <w:lvlText w:val=""/>
      <w:lvlJc w:val="left"/>
      <w:pPr>
        <w:ind w:left="4320" w:hanging="360"/>
      </w:pPr>
      <w:rPr>
        <w:rFonts w:ascii="Wingdings" w:hAnsi="Wingdings" w:hint="default"/>
      </w:rPr>
    </w:lvl>
    <w:lvl w:ilvl="6" w:tplc="CC94EA68">
      <w:start w:val="1"/>
      <w:numFmt w:val="bullet"/>
      <w:lvlText w:val=""/>
      <w:lvlJc w:val="left"/>
      <w:pPr>
        <w:ind w:left="5040" w:hanging="360"/>
      </w:pPr>
      <w:rPr>
        <w:rFonts w:ascii="Symbol" w:hAnsi="Symbol" w:hint="default"/>
      </w:rPr>
    </w:lvl>
    <w:lvl w:ilvl="7" w:tplc="58D66D04">
      <w:start w:val="1"/>
      <w:numFmt w:val="bullet"/>
      <w:lvlText w:val="o"/>
      <w:lvlJc w:val="left"/>
      <w:pPr>
        <w:ind w:left="5760" w:hanging="360"/>
      </w:pPr>
      <w:rPr>
        <w:rFonts w:ascii="Courier New" w:hAnsi="Courier New" w:hint="default"/>
      </w:rPr>
    </w:lvl>
    <w:lvl w:ilvl="8" w:tplc="C24671C6">
      <w:start w:val="1"/>
      <w:numFmt w:val="bullet"/>
      <w:lvlText w:val=""/>
      <w:lvlJc w:val="left"/>
      <w:pPr>
        <w:ind w:left="6480" w:hanging="360"/>
      </w:pPr>
      <w:rPr>
        <w:rFonts w:ascii="Wingdings" w:hAnsi="Wingdings" w:hint="default"/>
      </w:rPr>
    </w:lvl>
  </w:abstractNum>
  <w:abstractNum w:abstractNumId="21" w15:restartNumberingAfterBreak="0">
    <w:nsid w:val="281A37EC"/>
    <w:multiLevelType w:val="hybridMultilevel"/>
    <w:tmpl w:val="2308309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A3B4DA0"/>
    <w:multiLevelType w:val="hybridMultilevel"/>
    <w:tmpl w:val="74B0F32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AB80770"/>
    <w:multiLevelType w:val="hybridMultilevel"/>
    <w:tmpl w:val="F72AAC7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2413B7E"/>
    <w:multiLevelType w:val="hybridMultilevel"/>
    <w:tmpl w:val="4048745E"/>
    <w:lvl w:ilvl="0" w:tplc="FFFFFFFF">
      <w:start w:val="1"/>
      <w:numFmt w:val="bullet"/>
      <w:lvlText w:val="-"/>
      <w:lvlJc w:val="left"/>
      <w:pPr>
        <w:ind w:left="1080" w:hanging="360"/>
      </w:pPr>
      <w:rPr>
        <w:rFonts w:ascii="Aptos" w:hAnsi="Aptos" w:hint="default"/>
      </w:rPr>
    </w:lvl>
    <w:lvl w:ilvl="1" w:tplc="7250DCF4">
      <w:start w:val="1"/>
      <w:numFmt w:val="bullet"/>
      <w:lvlText w:val="o"/>
      <w:lvlJc w:val="left"/>
      <w:pPr>
        <w:ind w:left="1800" w:hanging="360"/>
      </w:pPr>
      <w:rPr>
        <w:rFonts w:ascii="Courier New" w:hAnsi="Courier New" w:hint="default"/>
      </w:rPr>
    </w:lvl>
    <w:lvl w:ilvl="2" w:tplc="00144844">
      <w:start w:val="1"/>
      <w:numFmt w:val="bullet"/>
      <w:lvlText w:val=""/>
      <w:lvlJc w:val="left"/>
      <w:pPr>
        <w:ind w:left="2520" w:hanging="360"/>
      </w:pPr>
      <w:rPr>
        <w:rFonts w:ascii="Wingdings" w:hAnsi="Wingdings" w:hint="default"/>
      </w:rPr>
    </w:lvl>
    <w:lvl w:ilvl="3" w:tplc="CCF6B82A">
      <w:start w:val="1"/>
      <w:numFmt w:val="bullet"/>
      <w:lvlText w:val=""/>
      <w:lvlJc w:val="left"/>
      <w:pPr>
        <w:ind w:left="3240" w:hanging="360"/>
      </w:pPr>
      <w:rPr>
        <w:rFonts w:ascii="Symbol" w:hAnsi="Symbol" w:hint="default"/>
      </w:rPr>
    </w:lvl>
    <w:lvl w:ilvl="4" w:tplc="A2088ECC">
      <w:start w:val="1"/>
      <w:numFmt w:val="bullet"/>
      <w:lvlText w:val="o"/>
      <w:lvlJc w:val="left"/>
      <w:pPr>
        <w:ind w:left="3960" w:hanging="360"/>
      </w:pPr>
      <w:rPr>
        <w:rFonts w:ascii="Courier New" w:hAnsi="Courier New" w:hint="default"/>
      </w:rPr>
    </w:lvl>
    <w:lvl w:ilvl="5" w:tplc="B0A2D6AC">
      <w:start w:val="1"/>
      <w:numFmt w:val="bullet"/>
      <w:lvlText w:val=""/>
      <w:lvlJc w:val="left"/>
      <w:pPr>
        <w:ind w:left="4680" w:hanging="360"/>
      </w:pPr>
      <w:rPr>
        <w:rFonts w:ascii="Wingdings" w:hAnsi="Wingdings" w:hint="default"/>
      </w:rPr>
    </w:lvl>
    <w:lvl w:ilvl="6" w:tplc="0FAA5EB8">
      <w:start w:val="1"/>
      <w:numFmt w:val="bullet"/>
      <w:lvlText w:val=""/>
      <w:lvlJc w:val="left"/>
      <w:pPr>
        <w:ind w:left="5400" w:hanging="360"/>
      </w:pPr>
      <w:rPr>
        <w:rFonts w:ascii="Symbol" w:hAnsi="Symbol" w:hint="default"/>
      </w:rPr>
    </w:lvl>
    <w:lvl w:ilvl="7" w:tplc="3FAAF084">
      <w:start w:val="1"/>
      <w:numFmt w:val="bullet"/>
      <w:lvlText w:val="o"/>
      <w:lvlJc w:val="left"/>
      <w:pPr>
        <w:ind w:left="6120" w:hanging="360"/>
      </w:pPr>
      <w:rPr>
        <w:rFonts w:ascii="Courier New" w:hAnsi="Courier New" w:hint="default"/>
      </w:rPr>
    </w:lvl>
    <w:lvl w:ilvl="8" w:tplc="8612EEF0">
      <w:start w:val="1"/>
      <w:numFmt w:val="bullet"/>
      <w:lvlText w:val=""/>
      <w:lvlJc w:val="left"/>
      <w:pPr>
        <w:ind w:left="6840" w:hanging="360"/>
      </w:pPr>
      <w:rPr>
        <w:rFonts w:ascii="Wingdings" w:hAnsi="Wingdings" w:hint="default"/>
      </w:rPr>
    </w:lvl>
  </w:abstractNum>
  <w:abstractNum w:abstractNumId="25" w15:restartNumberingAfterBreak="0">
    <w:nsid w:val="3554FE09"/>
    <w:multiLevelType w:val="hybridMultilevel"/>
    <w:tmpl w:val="4BB0F81E"/>
    <w:lvl w:ilvl="0" w:tplc="4330F6EE">
      <w:start w:val="1"/>
      <w:numFmt w:val="decimal"/>
      <w:lvlText w:val="%1."/>
      <w:lvlJc w:val="left"/>
      <w:pPr>
        <w:ind w:left="720" w:hanging="360"/>
      </w:pPr>
    </w:lvl>
    <w:lvl w:ilvl="1" w:tplc="BA46BFF0">
      <w:start w:val="1"/>
      <w:numFmt w:val="lowerLetter"/>
      <w:lvlText w:val="%2."/>
      <w:lvlJc w:val="left"/>
      <w:pPr>
        <w:ind w:left="1440" w:hanging="360"/>
      </w:pPr>
    </w:lvl>
    <w:lvl w:ilvl="2" w:tplc="F7C4E152">
      <w:start w:val="1"/>
      <w:numFmt w:val="lowerRoman"/>
      <w:lvlText w:val="%3."/>
      <w:lvlJc w:val="right"/>
      <w:pPr>
        <w:ind w:left="2160" w:hanging="180"/>
      </w:pPr>
    </w:lvl>
    <w:lvl w:ilvl="3" w:tplc="BCD24BBA">
      <w:start w:val="1"/>
      <w:numFmt w:val="decimal"/>
      <w:lvlText w:val="%4."/>
      <w:lvlJc w:val="left"/>
      <w:pPr>
        <w:ind w:left="2880" w:hanging="360"/>
      </w:pPr>
    </w:lvl>
    <w:lvl w:ilvl="4" w:tplc="704C8F12">
      <w:start w:val="1"/>
      <w:numFmt w:val="lowerLetter"/>
      <w:lvlText w:val="%5."/>
      <w:lvlJc w:val="left"/>
      <w:pPr>
        <w:ind w:left="3600" w:hanging="360"/>
      </w:pPr>
    </w:lvl>
    <w:lvl w:ilvl="5" w:tplc="19A2D1C4">
      <w:start w:val="1"/>
      <w:numFmt w:val="lowerRoman"/>
      <w:lvlText w:val="%6."/>
      <w:lvlJc w:val="right"/>
      <w:pPr>
        <w:ind w:left="4320" w:hanging="180"/>
      </w:pPr>
    </w:lvl>
    <w:lvl w:ilvl="6" w:tplc="D1461F9E">
      <w:start w:val="1"/>
      <w:numFmt w:val="decimal"/>
      <w:lvlText w:val="%7."/>
      <w:lvlJc w:val="left"/>
      <w:pPr>
        <w:ind w:left="5040" w:hanging="360"/>
      </w:pPr>
    </w:lvl>
    <w:lvl w:ilvl="7" w:tplc="61708A20">
      <w:start w:val="1"/>
      <w:numFmt w:val="lowerLetter"/>
      <w:lvlText w:val="%8."/>
      <w:lvlJc w:val="left"/>
      <w:pPr>
        <w:ind w:left="5760" w:hanging="360"/>
      </w:pPr>
    </w:lvl>
    <w:lvl w:ilvl="8" w:tplc="759408A8">
      <w:start w:val="1"/>
      <w:numFmt w:val="lowerRoman"/>
      <w:lvlText w:val="%9."/>
      <w:lvlJc w:val="right"/>
      <w:pPr>
        <w:ind w:left="6480" w:hanging="180"/>
      </w:pPr>
    </w:lvl>
  </w:abstractNum>
  <w:abstractNum w:abstractNumId="26" w15:restartNumberingAfterBreak="0">
    <w:nsid w:val="35F069CD"/>
    <w:multiLevelType w:val="hybridMultilevel"/>
    <w:tmpl w:val="69D6BD2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70C166B"/>
    <w:multiLevelType w:val="hybridMultilevel"/>
    <w:tmpl w:val="592431EE"/>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9B36D4B"/>
    <w:multiLevelType w:val="hybridMultilevel"/>
    <w:tmpl w:val="F0F6B6A2"/>
    <w:lvl w:ilvl="0" w:tplc="1DF6CDDA">
      <w:start w:val="1"/>
      <w:numFmt w:val="bullet"/>
      <w:lvlText w:val=""/>
      <w:lvlJc w:val="left"/>
      <w:pPr>
        <w:ind w:left="720" w:hanging="360"/>
      </w:pPr>
      <w:rPr>
        <w:rFonts w:ascii="Symbol" w:hAnsi="Symbol" w:hint="default"/>
      </w:rPr>
    </w:lvl>
    <w:lvl w:ilvl="1" w:tplc="BCFC9278">
      <w:start w:val="1"/>
      <w:numFmt w:val="bullet"/>
      <w:lvlText w:val="o"/>
      <w:lvlJc w:val="left"/>
      <w:pPr>
        <w:ind w:left="1440" w:hanging="360"/>
      </w:pPr>
      <w:rPr>
        <w:rFonts w:ascii="Courier New" w:hAnsi="Courier New" w:hint="default"/>
      </w:rPr>
    </w:lvl>
    <w:lvl w:ilvl="2" w:tplc="7DD00728">
      <w:start w:val="1"/>
      <w:numFmt w:val="bullet"/>
      <w:lvlText w:val=""/>
      <w:lvlJc w:val="left"/>
      <w:pPr>
        <w:ind w:left="2160" w:hanging="360"/>
      </w:pPr>
      <w:rPr>
        <w:rFonts w:ascii="Wingdings" w:hAnsi="Wingdings" w:hint="default"/>
      </w:rPr>
    </w:lvl>
    <w:lvl w:ilvl="3" w:tplc="F1C6CD3E">
      <w:start w:val="1"/>
      <w:numFmt w:val="bullet"/>
      <w:lvlText w:val=""/>
      <w:lvlJc w:val="left"/>
      <w:pPr>
        <w:ind w:left="2880" w:hanging="360"/>
      </w:pPr>
      <w:rPr>
        <w:rFonts w:ascii="Symbol" w:hAnsi="Symbol" w:hint="default"/>
      </w:rPr>
    </w:lvl>
    <w:lvl w:ilvl="4" w:tplc="5DC81AD6">
      <w:start w:val="1"/>
      <w:numFmt w:val="bullet"/>
      <w:lvlText w:val="o"/>
      <w:lvlJc w:val="left"/>
      <w:pPr>
        <w:ind w:left="3600" w:hanging="360"/>
      </w:pPr>
      <w:rPr>
        <w:rFonts w:ascii="Courier New" w:hAnsi="Courier New" w:hint="default"/>
      </w:rPr>
    </w:lvl>
    <w:lvl w:ilvl="5" w:tplc="E51629B4">
      <w:start w:val="1"/>
      <w:numFmt w:val="bullet"/>
      <w:lvlText w:val=""/>
      <w:lvlJc w:val="left"/>
      <w:pPr>
        <w:ind w:left="4320" w:hanging="360"/>
      </w:pPr>
      <w:rPr>
        <w:rFonts w:ascii="Wingdings" w:hAnsi="Wingdings" w:hint="default"/>
      </w:rPr>
    </w:lvl>
    <w:lvl w:ilvl="6" w:tplc="2C5299E0">
      <w:start w:val="1"/>
      <w:numFmt w:val="bullet"/>
      <w:lvlText w:val=""/>
      <w:lvlJc w:val="left"/>
      <w:pPr>
        <w:ind w:left="5040" w:hanging="360"/>
      </w:pPr>
      <w:rPr>
        <w:rFonts w:ascii="Symbol" w:hAnsi="Symbol" w:hint="default"/>
      </w:rPr>
    </w:lvl>
    <w:lvl w:ilvl="7" w:tplc="B4E42EB6">
      <w:start w:val="1"/>
      <w:numFmt w:val="bullet"/>
      <w:lvlText w:val="o"/>
      <w:lvlJc w:val="left"/>
      <w:pPr>
        <w:ind w:left="5760" w:hanging="360"/>
      </w:pPr>
      <w:rPr>
        <w:rFonts w:ascii="Courier New" w:hAnsi="Courier New" w:hint="default"/>
      </w:rPr>
    </w:lvl>
    <w:lvl w:ilvl="8" w:tplc="507634B6">
      <w:start w:val="1"/>
      <w:numFmt w:val="bullet"/>
      <w:lvlText w:val=""/>
      <w:lvlJc w:val="left"/>
      <w:pPr>
        <w:ind w:left="6480" w:hanging="360"/>
      </w:pPr>
      <w:rPr>
        <w:rFonts w:ascii="Wingdings" w:hAnsi="Wingdings" w:hint="default"/>
      </w:rPr>
    </w:lvl>
  </w:abstractNum>
  <w:abstractNum w:abstractNumId="29" w15:restartNumberingAfterBreak="0">
    <w:nsid w:val="3E5203A5"/>
    <w:multiLevelType w:val="hybridMultilevel"/>
    <w:tmpl w:val="E318CD26"/>
    <w:lvl w:ilvl="0" w:tplc="C7DA7790">
      <w:start w:val="1"/>
      <w:numFmt w:val="upperRoman"/>
      <w:lvlText w:val="%1."/>
      <w:lvlJc w:val="left"/>
      <w:pPr>
        <w:ind w:left="1080" w:hanging="720"/>
      </w:pPr>
    </w:lvl>
    <w:lvl w:ilvl="1" w:tplc="508C7F02">
      <w:start w:val="1"/>
      <w:numFmt w:val="lowerLetter"/>
      <w:lvlText w:val="%2."/>
      <w:lvlJc w:val="left"/>
      <w:pPr>
        <w:ind w:left="1440" w:hanging="360"/>
      </w:pPr>
    </w:lvl>
    <w:lvl w:ilvl="2" w:tplc="D18EE936">
      <w:start w:val="1"/>
      <w:numFmt w:val="lowerRoman"/>
      <w:lvlText w:val="%3."/>
      <w:lvlJc w:val="right"/>
      <w:pPr>
        <w:ind w:left="2160" w:hanging="180"/>
      </w:pPr>
    </w:lvl>
    <w:lvl w:ilvl="3" w:tplc="5BE24032">
      <w:start w:val="1"/>
      <w:numFmt w:val="decimal"/>
      <w:lvlText w:val="%4."/>
      <w:lvlJc w:val="left"/>
      <w:pPr>
        <w:ind w:left="2880" w:hanging="360"/>
      </w:pPr>
    </w:lvl>
    <w:lvl w:ilvl="4" w:tplc="47BA1F54">
      <w:start w:val="1"/>
      <w:numFmt w:val="lowerLetter"/>
      <w:lvlText w:val="%5."/>
      <w:lvlJc w:val="left"/>
      <w:pPr>
        <w:ind w:left="3600" w:hanging="360"/>
      </w:pPr>
    </w:lvl>
    <w:lvl w:ilvl="5" w:tplc="245C4672">
      <w:start w:val="1"/>
      <w:numFmt w:val="lowerRoman"/>
      <w:lvlText w:val="%6."/>
      <w:lvlJc w:val="right"/>
      <w:pPr>
        <w:ind w:left="4320" w:hanging="180"/>
      </w:pPr>
    </w:lvl>
    <w:lvl w:ilvl="6" w:tplc="E59AE15A">
      <w:start w:val="1"/>
      <w:numFmt w:val="decimal"/>
      <w:lvlText w:val="%7."/>
      <w:lvlJc w:val="left"/>
      <w:pPr>
        <w:ind w:left="5040" w:hanging="360"/>
      </w:pPr>
    </w:lvl>
    <w:lvl w:ilvl="7" w:tplc="B470E228">
      <w:start w:val="1"/>
      <w:numFmt w:val="lowerLetter"/>
      <w:lvlText w:val="%8."/>
      <w:lvlJc w:val="left"/>
      <w:pPr>
        <w:ind w:left="5760" w:hanging="360"/>
      </w:pPr>
    </w:lvl>
    <w:lvl w:ilvl="8" w:tplc="A7168ACA">
      <w:start w:val="1"/>
      <w:numFmt w:val="lowerRoman"/>
      <w:lvlText w:val="%9."/>
      <w:lvlJc w:val="right"/>
      <w:pPr>
        <w:ind w:left="6480" w:hanging="180"/>
      </w:pPr>
    </w:lvl>
  </w:abstractNum>
  <w:abstractNum w:abstractNumId="30" w15:restartNumberingAfterBreak="0">
    <w:nsid w:val="4292AD7B"/>
    <w:multiLevelType w:val="hybridMultilevel"/>
    <w:tmpl w:val="AAFE6DCC"/>
    <w:lvl w:ilvl="0" w:tplc="B90A45A0">
      <w:start w:val="1"/>
      <w:numFmt w:val="bullet"/>
      <w:lvlText w:val=""/>
      <w:lvlJc w:val="left"/>
      <w:pPr>
        <w:ind w:left="1080" w:hanging="360"/>
      </w:pPr>
      <w:rPr>
        <w:rFonts w:ascii="Symbol" w:hAnsi="Symbol" w:hint="default"/>
      </w:rPr>
    </w:lvl>
    <w:lvl w:ilvl="1" w:tplc="7C60F5BA">
      <w:start w:val="1"/>
      <w:numFmt w:val="bullet"/>
      <w:lvlText w:val="o"/>
      <w:lvlJc w:val="left"/>
      <w:pPr>
        <w:ind w:left="1800" w:hanging="360"/>
      </w:pPr>
      <w:rPr>
        <w:rFonts w:ascii="Courier New" w:hAnsi="Courier New" w:hint="default"/>
      </w:rPr>
    </w:lvl>
    <w:lvl w:ilvl="2" w:tplc="A9408CB6">
      <w:start w:val="1"/>
      <w:numFmt w:val="bullet"/>
      <w:lvlText w:val=""/>
      <w:lvlJc w:val="left"/>
      <w:pPr>
        <w:ind w:left="2520" w:hanging="360"/>
      </w:pPr>
      <w:rPr>
        <w:rFonts w:ascii="Wingdings" w:hAnsi="Wingdings" w:hint="default"/>
      </w:rPr>
    </w:lvl>
    <w:lvl w:ilvl="3" w:tplc="97F879DC">
      <w:start w:val="1"/>
      <w:numFmt w:val="bullet"/>
      <w:lvlText w:val=""/>
      <w:lvlJc w:val="left"/>
      <w:pPr>
        <w:ind w:left="3240" w:hanging="360"/>
      </w:pPr>
      <w:rPr>
        <w:rFonts w:ascii="Symbol" w:hAnsi="Symbol" w:hint="default"/>
      </w:rPr>
    </w:lvl>
    <w:lvl w:ilvl="4" w:tplc="7F92660E">
      <w:start w:val="1"/>
      <w:numFmt w:val="bullet"/>
      <w:lvlText w:val="o"/>
      <w:lvlJc w:val="left"/>
      <w:pPr>
        <w:ind w:left="3960" w:hanging="360"/>
      </w:pPr>
      <w:rPr>
        <w:rFonts w:ascii="Courier New" w:hAnsi="Courier New" w:hint="default"/>
      </w:rPr>
    </w:lvl>
    <w:lvl w:ilvl="5" w:tplc="C57831B8">
      <w:start w:val="1"/>
      <w:numFmt w:val="bullet"/>
      <w:lvlText w:val=""/>
      <w:lvlJc w:val="left"/>
      <w:pPr>
        <w:ind w:left="4680" w:hanging="360"/>
      </w:pPr>
      <w:rPr>
        <w:rFonts w:ascii="Wingdings" w:hAnsi="Wingdings" w:hint="default"/>
      </w:rPr>
    </w:lvl>
    <w:lvl w:ilvl="6" w:tplc="EE886D72">
      <w:start w:val="1"/>
      <w:numFmt w:val="bullet"/>
      <w:lvlText w:val=""/>
      <w:lvlJc w:val="left"/>
      <w:pPr>
        <w:ind w:left="5400" w:hanging="360"/>
      </w:pPr>
      <w:rPr>
        <w:rFonts w:ascii="Symbol" w:hAnsi="Symbol" w:hint="default"/>
      </w:rPr>
    </w:lvl>
    <w:lvl w:ilvl="7" w:tplc="1F7E8622">
      <w:start w:val="1"/>
      <w:numFmt w:val="bullet"/>
      <w:lvlText w:val="o"/>
      <w:lvlJc w:val="left"/>
      <w:pPr>
        <w:ind w:left="6120" w:hanging="360"/>
      </w:pPr>
      <w:rPr>
        <w:rFonts w:ascii="Courier New" w:hAnsi="Courier New" w:hint="default"/>
      </w:rPr>
    </w:lvl>
    <w:lvl w:ilvl="8" w:tplc="50ECCA50">
      <w:start w:val="1"/>
      <w:numFmt w:val="bullet"/>
      <w:lvlText w:val=""/>
      <w:lvlJc w:val="left"/>
      <w:pPr>
        <w:ind w:left="6840" w:hanging="360"/>
      </w:pPr>
      <w:rPr>
        <w:rFonts w:ascii="Wingdings" w:hAnsi="Wingdings" w:hint="default"/>
      </w:rPr>
    </w:lvl>
  </w:abstractNum>
  <w:abstractNum w:abstractNumId="31" w15:restartNumberingAfterBreak="0">
    <w:nsid w:val="444548EF"/>
    <w:multiLevelType w:val="hybridMultilevel"/>
    <w:tmpl w:val="5992AB1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4B344B3"/>
    <w:multiLevelType w:val="hybridMultilevel"/>
    <w:tmpl w:val="DFC879BC"/>
    <w:lvl w:ilvl="0" w:tplc="8ABE1CF6">
      <w:start w:val="1"/>
      <w:numFmt w:val="upperRoman"/>
      <w:lvlText w:val="%1."/>
      <w:lvlJc w:val="left"/>
      <w:pPr>
        <w:ind w:left="720" w:hanging="360"/>
      </w:pPr>
    </w:lvl>
    <w:lvl w:ilvl="1" w:tplc="728842EA">
      <w:start w:val="1"/>
      <w:numFmt w:val="lowerLetter"/>
      <w:lvlText w:val="%2."/>
      <w:lvlJc w:val="left"/>
      <w:pPr>
        <w:ind w:left="1440" w:hanging="360"/>
      </w:pPr>
    </w:lvl>
    <w:lvl w:ilvl="2" w:tplc="7D6AAF84">
      <w:start w:val="1"/>
      <w:numFmt w:val="lowerRoman"/>
      <w:lvlText w:val="%3."/>
      <w:lvlJc w:val="right"/>
      <w:pPr>
        <w:ind w:left="2160" w:hanging="180"/>
      </w:pPr>
    </w:lvl>
    <w:lvl w:ilvl="3" w:tplc="E7241450">
      <w:start w:val="1"/>
      <w:numFmt w:val="decimal"/>
      <w:lvlText w:val="%4."/>
      <w:lvlJc w:val="left"/>
      <w:pPr>
        <w:ind w:left="2880" w:hanging="360"/>
      </w:pPr>
    </w:lvl>
    <w:lvl w:ilvl="4" w:tplc="BDFA980E">
      <w:start w:val="1"/>
      <w:numFmt w:val="lowerLetter"/>
      <w:lvlText w:val="%5."/>
      <w:lvlJc w:val="left"/>
      <w:pPr>
        <w:ind w:left="3600" w:hanging="360"/>
      </w:pPr>
    </w:lvl>
    <w:lvl w:ilvl="5" w:tplc="BD284EAA">
      <w:start w:val="1"/>
      <w:numFmt w:val="lowerRoman"/>
      <w:lvlText w:val="%6."/>
      <w:lvlJc w:val="right"/>
      <w:pPr>
        <w:ind w:left="4320" w:hanging="180"/>
      </w:pPr>
    </w:lvl>
    <w:lvl w:ilvl="6" w:tplc="374CEEE2">
      <w:start w:val="1"/>
      <w:numFmt w:val="decimal"/>
      <w:lvlText w:val="%7."/>
      <w:lvlJc w:val="left"/>
      <w:pPr>
        <w:ind w:left="5040" w:hanging="360"/>
      </w:pPr>
    </w:lvl>
    <w:lvl w:ilvl="7" w:tplc="D5D62378">
      <w:start w:val="1"/>
      <w:numFmt w:val="lowerLetter"/>
      <w:lvlText w:val="%8."/>
      <w:lvlJc w:val="left"/>
      <w:pPr>
        <w:ind w:left="5760" w:hanging="360"/>
      </w:pPr>
    </w:lvl>
    <w:lvl w:ilvl="8" w:tplc="21C4D408">
      <w:start w:val="1"/>
      <w:numFmt w:val="lowerRoman"/>
      <w:lvlText w:val="%9."/>
      <w:lvlJc w:val="right"/>
      <w:pPr>
        <w:ind w:left="6480" w:hanging="180"/>
      </w:pPr>
    </w:lvl>
  </w:abstractNum>
  <w:abstractNum w:abstractNumId="33" w15:restartNumberingAfterBreak="0">
    <w:nsid w:val="457B4DEB"/>
    <w:multiLevelType w:val="hybridMultilevel"/>
    <w:tmpl w:val="DB5CD9B0"/>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603C93A"/>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5" w15:restartNumberingAfterBreak="0">
    <w:nsid w:val="4647DD93"/>
    <w:multiLevelType w:val="hybridMultilevel"/>
    <w:tmpl w:val="E6AE4BA8"/>
    <w:lvl w:ilvl="0" w:tplc="EA7C3D66">
      <w:start w:val="1"/>
      <w:numFmt w:val="bullet"/>
      <w:lvlText w:val=""/>
      <w:lvlJc w:val="left"/>
      <w:pPr>
        <w:ind w:left="1080" w:hanging="360"/>
      </w:pPr>
      <w:rPr>
        <w:rFonts w:ascii="Symbol" w:hAnsi="Symbol" w:hint="default"/>
      </w:rPr>
    </w:lvl>
    <w:lvl w:ilvl="1" w:tplc="000068DA">
      <w:start w:val="1"/>
      <w:numFmt w:val="bullet"/>
      <w:lvlText w:val="o"/>
      <w:lvlJc w:val="left"/>
      <w:pPr>
        <w:ind w:left="1800" w:hanging="360"/>
      </w:pPr>
      <w:rPr>
        <w:rFonts w:ascii="Courier New" w:hAnsi="Courier New" w:hint="default"/>
      </w:rPr>
    </w:lvl>
    <w:lvl w:ilvl="2" w:tplc="13260B98">
      <w:start w:val="1"/>
      <w:numFmt w:val="bullet"/>
      <w:lvlText w:val=""/>
      <w:lvlJc w:val="left"/>
      <w:pPr>
        <w:ind w:left="2520" w:hanging="360"/>
      </w:pPr>
      <w:rPr>
        <w:rFonts w:ascii="Wingdings" w:hAnsi="Wingdings" w:hint="default"/>
      </w:rPr>
    </w:lvl>
    <w:lvl w:ilvl="3" w:tplc="25D2477C">
      <w:start w:val="1"/>
      <w:numFmt w:val="bullet"/>
      <w:lvlText w:val=""/>
      <w:lvlJc w:val="left"/>
      <w:pPr>
        <w:ind w:left="3240" w:hanging="360"/>
      </w:pPr>
      <w:rPr>
        <w:rFonts w:ascii="Symbol" w:hAnsi="Symbol" w:hint="default"/>
      </w:rPr>
    </w:lvl>
    <w:lvl w:ilvl="4" w:tplc="CDAAA9D0">
      <w:start w:val="1"/>
      <w:numFmt w:val="bullet"/>
      <w:lvlText w:val="o"/>
      <w:lvlJc w:val="left"/>
      <w:pPr>
        <w:ind w:left="3960" w:hanging="360"/>
      </w:pPr>
      <w:rPr>
        <w:rFonts w:ascii="Courier New" w:hAnsi="Courier New" w:hint="default"/>
      </w:rPr>
    </w:lvl>
    <w:lvl w:ilvl="5" w:tplc="16645050">
      <w:start w:val="1"/>
      <w:numFmt w:val="bullet"/>
      <w:lvlText w:val=""/>
      <w:lvlJc w:val="left"/>
      <w:pPr>
        <w:ind w:left="4680" w:hanging="360"/>
      </w:pPr>
      <w:rPr>
        <w:rFonts w:ascii="Wingdings" w:hAnsi="Wingdings" w:hint="default"/>
      </w:rPr>
    </w:lvl>
    <w:lvl w:ilvl="6" w:tplc="9892C47C">
      <w:start w:val="1"/>
      <w:numFmt w:val="bullet"/>
      <w:lvlText w:val=""/>
      <w:lvlJc w:val="left"/>
      <w:pPr>
        <w:ind w:left="5400" w:hanging="360"/>
      </w:pPr>
      <w:rPr>
        <w:rFonts w:ascii="Symbol" w:hAnsi="Symbol" w:hint="default"/>
      </w:rPr>
    </w:lvl>
    <w:lvl w:ilvl="7" w:tplc="56C8983E">
      <w:start w:val="1"/>
      <w:numFmt w:val="bullet"/>
      <w:lvlText w:val="o"/>
      <w:lvlJc w:val="left"/>
      <w:pPr>
        <w:ind w:left="6120" w:hanging="360"/>
      </w:pPr>
      <w:rPr>
        <w:rFonts w:ascii="Courier New" w:hAnsi="Courier New" w:hint="default"/>
      </w:rPr>
    </w:lvl>
    <w:lvl w:ilvl="8" w:tplc="EA1CEF58">
      <w:start w:val="1"/>
      <w:numFmt w:val="bullet"/>
      <w:lvlText w:val=""/>
      <w:lvlJc w:val="left"/>
      <w:pPr>
        <w:ind w:left="6840" w:hanging="360"/>
      </w:pPr>
      <w:rPr>
        <w:rFonts w:ascii="Wingdings" w:hAnsi="Wingdings" w:hint="default"/>
      </w:rPr>
    </w:lvl>
  </w:abstractNum>
  <w:abstractNum w:abstractNumId="36" w15:restartNumberingAfterBreak="0">
    <w:nsid w:val="46C5B200"/>
    <w:multiLevelType w:val="hybridMultilevel"/>
    <w:tmpl w:val="8B6656A4"/>
    <w:lvl w:ilvl="0" w:tplc="5CD0F9C0">
      <w:start w:val="1"/>
      <w:numFmt w:val="bullet"/>
      <w:lvlText w:val=""/>
      <w:lvlJc w:val="left"/>
      <w:pPr>
        <w:ind w:left="720" w:hanging="360"/>
      </w:pPr>
      <w:rPr>
        <w:rFonts w:ascii="Symbol" w:hAnsi="Symbol" w:hint="default"/>
      </w:rPr>
    </w:lvl>
    <w:lvl w:ilvl="1" w:tplc="E9AE561E">
      <w:start w:val="1"/>
      <w:numFmt w:val="bullet"/>
      <w:lvlText w:val="o"/>
      <w:lvlJc w:val="left"/>
      <w:pPr>
        <w:ind w:left="1440" w:hanging="360"/>
      </w:pPr>
      <w:rPr>
        <w:rFonts w:ascii="Courier New" w:hAnsi="Courier New" w:hint="default"/>
      </w:rPr>
    </w:lvl>
    <w:lvl w:ilvl="2" w:tplc="38BE403C">
      <w:start w:val="1"/>
      <w:numFmt w:val="bullet"/>
      <w:lvlText w:val=""/>
      <w:lvlJc w:val="left"/>
      <w:pPr>
        <w:ind w:left="2160" w:hanging="360"/>
      </w:pPr>
      <w:rPr>
        <w:rFonts w:ascii="Wingdings" w:hAnsi="Wingdings" w:hint="default"/>
      </w:rPr>
    </w:lvl>
    <w:lvl w:ilvl="3" w:tplc="B67AF992">
      <w:start w:val="1"/>
      <w:numFmt w:val="bullet"/>
      <w:lvlText w:val=""/>
      <w:lvlJc w:val="left"/>
      <w:pPr>
        <w:ind w:left="2880" w:hanging="360"/>
      </w:pPr>
      <w:rPr>
        <w:rFonts w:ascii="Symbol" w:hAnsi="Symbol" w:hint="default"/>
      </w:rPr>
    </w:lvl>
    <w:lvl w:ilvl="4" w:tplc="18F0FAA4">
      <w:start w:val="1"/>
      <w:numFmt w:val="bullet"/>
      <w:lvlText w:val="o"/>
      <w:lvlJc w:val="left"/>
      <w:pPr>
        <w:ind w:left="3600" w:hanging="360"/>
      </w:pPr>
      <w:rPr>
        <w:rFonts w:ascii="Courier New" w:hAnsi="Courier New" w:hint="default"/>
      </w:rPr>
    </w:lvl>
    <w:lvl w:ilvl="5" w:tplc="FB326ECE">
      <w:start w:val="1"/>
      <w:numFmt w:val="bullet"/>
      <w:lvlText w:val=""/>
      <w:lvlJc w:val="left"/>
      <w:pPr>
        <w:ind w:left="4320" w:hanging="360"/>
      </w:pPr>
      <w:rPr>
        <w:rFonts w:ascii="Wingdings" w:hAnsi="Wingdings" w:hint="default"/>
      </w:rPr>
    </w:lvl>
    <w:lvl w:ilvl="6" w:tplc="377CF4D6">
      <w:start w:val="1"/>
      <w:numFmt w:val="bullet"/>
      <w:lvlText w:val=""/>
      <w:lvlJc w:val="left"/>
      <w:pPr>
        <w:ind w:left="5040" w:hanging="360"/>
      </w:pPr>
      <w:rPr>
        <w:rFonts w:ascii="Symbol" w:hAnsi="Symbol" w:hint="default"/>
      </w:rPr>
    </w:lvl>
    <w:lvl w:ilvl="7" w:tplc="5A1A03FA">
      <w:start w:val="1"/>
      <w:numFmt w:val="bullet"/>
      <w:lvlText w:val="o"/>
      <w:lvlJc w:val="left"/>
      <w:pPr>
        <w:ind w:left="5760" w:hanging="360"/>
      </w:pPr>
      <w:rPr>
        <w:rFonts w:ascii="Courier New" w:hAnsi="Courier New" w:hint="default"/>
      </w:rPr>
    </w:lvl>
    <w:lvl w:ilvl="8" w:tplc="F712FFE8">
      <w:start w:val="1"/>
      <w:numFmt w:val="bullet"/>
      <w:lvlText w:val=""/>
      <w:lvlJc w:val="left"/>
      <w:pPr>
        <w:ind w:left="6480" w:hanging="360"/>
      </w:pPr>
      <w:rPr>
        <w:rFonts w:ascii="Wingdings" w:hAnsi="Wingdings" w:hint="default"/>
      </w:rPr>
    </w:lvl>
  </w:abstractNum>
  <w:abstractNum w:abstractNumId="37" w15:restartNumberingAfterBreak="0">
    <w:nsid w:val="46E8419D"/>
    <w:multiLevelType w:val="hybridMultilevel"/>
    <w:tmpl w:val="FA5A0A9A"/>
    <w:lvl w:ilvl="0" w:tplc="2A043AE0">
      <w:start w:val="1"/>
      <w:numFmt w:val="bullet"/>
      <w:lvlText w:val="·"/>
      <w:lvlJc w:val="left"/>
      <w:pPr>
        <w:ind w:left="1080" w:hanging="360"/>
      </w:pPr>
      <w:rPr>
        <w:rFonts w:ascii="Symbol" w:hAnsi="Symbol" w:hint="default"/>
      </w:rPr>
    </w:lvl>
    <w:lvl w:ilvl="1" w:tplc="0D22309E">
      <w:start w:val="1"/>
      <w:numFmt w:val="bullet"/>
      <w:lvlText w:val="o"/>
      <w:lvlJc w:val="left"/>
      <w:pPr>
        <w:ind w:left="1800" w:hanging="360"/>
      </w:pPr>
      <w:rPr>
        <w:rFonts w:ascii="Courier New" w:hAnsi="Courier New" w:hint="default"/>
      </w:rPr>
    </w:lvl>
    <w:lvl w:ilvl="2" w:tplc="72A0FB84">
      <w:start w:val="1"/>
      <w:numFmt w:val="bullet"/>
      <w:lvlText w:val=""/>
      <w:lvlJc w:val="left"/>
      <w:pPr>
        <w:ind w:left="2520" w:hanging="360"/>
      </w:pPr>
      <w:rPr>
        <w:rFonts w:ascii="Wingdings" w:hAnsi="Wingdings" w:hint="default"/>
      </w:rPr>
    </w:lvl>
    <w:lvl w:ilvl="3" w:tplc="B7D279AC">
      <w:start w:val="1"/>
      <w:numFmt w:val="bullet"/>
      <w:lvlText w:val=""/>
      <w:lvlJc w:val="left"/>
      <w:pPr>
        <w:ind w:left="3240" w:hanging="360"/>
      </w:pPr>
      <w:rPr>
        <w:rFonts w:ascii="Symbol" w:hAnsi="Symbol" w:hint="default"/>
      </w:rPr>
    </w:lvl>
    <w:lvl w:ilvl="4" w:tplc="4BFA4BF0">
      <w:start w:val="1"/>
      <w:numFmt w:val="bullet"/>
      <w:lvlText w:val="o"/>
      <w:lvlJc w:val="left"/>
      <w:pPr>
        <w:ind w:left="3960" w:hanging="360"/>
      </w:pPr>
      <w:rPr>
        <w:rFonts w:ascii="Courier New" w:hAnsi="Courier New" w:hint="default"/>
      </w:rPr>
    </w:lvl>
    <w:lvl w:ilvl="5" w:tplc="843A421C">
      <w:start w:val="1"/>
      <w:numFmt w:val="bullet"/>
      <w:lvlText w:val=""/>
      <w:lvlJc w:val="left"/>
      <w:pPr>
        <w:ind w:left="4680" w:hanging="360"/>
      </w:pPr>
      <w:rPr>
        <w:rFonts w:ascii="Wingdings" w:hAnsi="Wingdings" w:hint="default"/>
      </w:rPr>
    </w:lvl>
    <w:lvl w:ilvl="6" w:tplc="C00E7210">
      <w:start w:val="1"/>
      <w:numFmt w:val="bullet"/>
      <w:lvlText w:val=""/>
      <w:lvlJc w:val="left"/>
      <w:pPr>
        <w:ind w:left="5400" w:hanging="360"/>
      </w:pPr>
      <w:rPr>
        <w:rFonts w:ascii="Symbol" w:hAnsi="Symbol" w:hint="default"/>
      </w:rPr>
    </w:lvl>
    <w:lvl w:ilvl="7" w:tplc="38FEC60A">
      <w:start w:val="1"/>
      <w:numFmt w:val="bullet"/>
      <w:lvlText w:val="o"/>
      <w:lvlJc w:val="left"/>
      <w:pPr>
        <w:ind w:left="6120" w:hanging="360"/>
      </w:pPr>
      <w:rPr>
        <w:rFonts w:ascii="Courier New" w:hAnsi="Courier New" w:hint="default"/>
      </w:rPr>
    </w:lvl>
    <w:lvl w:ilvl="8" w:tplc="F35E2852">
      <w:start w:val="1"/>
      <w:numFmt w:val="bullet"/>
      <w:lvlText w:val=""/>
      <w:lvlJc w:val="left"/>
      <w:pPr>
        <w:ind w:left="6840" w:hanging="360"/>
      </w:pPr>
      <w:rPr>
        <w:rFonts w:ascii="Wingdings" w:hAnsi="Wingdings" w:hint="default"/>
      </w:rPr>
    </w:lvl>
  </w:abstractNum>
  <w:abstractNum w:abstractNumId="38" w15:restartNumberingAfterBreak="0">
    <w:nsid w:val="47B9502B"/>
    <w:multiLevelType w:val="hybridMultilevel"/>
    <w:tmpl w:val="94B089A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A9521F8"/>
    <w:multiLevelType w:val="hybridMultilevel"/>
    <w:tmpl w:val="B83432AC"/>
    <w:lvl w:ilvl="0" w:tplc="5A48F55A">
      <w:start w:val="1"/>
      <w:numFmt w:val="bullet"/>
      <w:lvlText w:val=""/>
      <w:lvlJc w:val="left"/>
      <w:pPr>
        <w:ind w:left="720" w:hanging="360"/>
      </w:pPr>
      <w:rPr>
        <w:rFonts w:ascii="Symbol" w:hAnsi="Symbol" w:hint="default"/>
      </w:rPr>
    </w:lvl>
    <w:lvl w:ilvl="1" w:tplc="22764A86">
      <w:start w:val="1"/>
      <w:numFmt w:val="bullet"/>
      <w:lvlText w:val=""/>
      <w:lvlJc w:val="left"/>
      <w:pPr>
        <w:ind w:left="1440" w:hanging="360"/>
      </w:pPr>
      <w:rPr>
        <w:rFonts w:ascii="Wingdings" w:hAnsi="Wingdings" w:hint="default"/>
      </w:rPr>
    </w:lvl>
    <w:lvl w:ilvl="2" w:tplc="5D1213CC">
      <w:start w:val="1"/>
      <w:numFmt w:val="bullet"/>
      <w:lvlText w:val=""/>
      <w:lvlJc w:val="left"/>
      <w:pPr>
        <w:ind w:left="2160" w:hanging="360"/>
      </w:pPr>
      <w:rPr>
        <w:rFonts w:ascii="Wingdings" w:hAnsi="Wingdings" w:hint="default"/>
      </w:rPr>
    </w:lvl>
    <w:lvl w:ilvl="3" w:tplc="BAEC8172">
      <w:start w:val="1"/>
      <w:numFmt w:val="bullet"/>
      <w:lvlText w:val=""/>
      <w:lvlJc w:val="left"/>
      <w:pPr>
        <w:ind w:left="2880" w:hanging="360"/>
      </w:pPr>
      <w:rPr>
        <w:rFonts w:ascii="Wingdings" w:hAnsi="Wingdings" w:hint="default"/>
      </w:rPr>
    </w:lvl>
    <w:lvl w:ilvl="4" w:tplc="8182BB92">
      <w:start w:val="1"/>
      <w:numFmt w:val="bullet"/>
      <w:lvlText w:val=""/>
      <w:lvlJc w:val="left"/>
      <w:pPr>
        <w:ind w:left="3600" w:hanging="360"/>
      </w:pPr>
      <w:rPr>
        <w:rFonts w:ascii="Wingdings" w:hAnsi="Wingdings" w:hint="default"/>
      </w:rPr>
    </w:lvl>
    <w:lvl w:ilvl="5" w:tplc="721C079A">
      <w:start w:val="1"/>
      <w:numFmt w:val="bullet"/>
      <w:lvlText w:val=""/>
      <w:lvlJc w:val="left"/>
      <w:pPr>
        <w:ind w:left="4320" w:hanging="360"/>
      </w:pPr>
      <w:rPr>
        <w:rFonts w:ascii="Wingdings" w:hAnsi="Wingdings" w:hint="default"/>
      </w:rPr>
    </w:lvl>
    <w:lvl w:ilvl="6" w:tplc="FDECF3AE">
      <w:start w:val="1"/>
      <w:numFmt w:val="bullet"/>
      <w:lvlText w:val=""/>
      <w:lvlJc w:val="left"/>
      <w:pPr>
        <w:ind w:left="5040" w:hanging="360"/>
      </w:pPr>
      <w:rPr>
        <w:rFonts w:ascii="Wingdings" w:hAnsi="Wingdings" w:hint="default"/>
      </w:rPr>
    </w:lvl>
    <w:lvl w:ilvl="7" w:tplc="0F6CE4D6">
      <w:start w:val="1"/>
      <w:numFmt w:val="bullet"/>
      <w:lvlText w:val=""/>
      <w:lvlJc w:val="left"/>
      <w:pPr>
        <w:ind w:left="5760" w:hanging="360"/>
      </w:pPr>
      <w:rPr>
        <w:rFonts w:ascii="Wingdings" w:hAnsi="Wingdings" w:hint="default"/>
      </w:rPr>
    </w:lvl>
    <w:lvl w:ilvl="8" w:tplc="73261320">
      <w:start w:val="1"/>
      <w:numFmt w:val="bullet"/>
      <w:lvlText w:val=""/>
      <w:lvlJc w:val="left"/>
      <w:pPr>
        <w:ind w:left="6480" w:hanging="360"/>
      </w:pPr>
      <w:rPr>
        <w:rFonts w:ascii="Wingdings" w:hAnsi="Wingdings" w:hint="default"/>
      </w:rPr>
    </w:lvl>
  </w:abstractNum>
  <w:abstractNum w:abstractNumId="40" w15:restartNumberingAfterBreak="0">
    <w:nsid w:val="4BC2270D"/>
    <w:multiLevelType w:val="hybridMultilevel"/>
    <w:tmpl w:val="6E5C1B8A"/>
    <w:lvl w:ilvl="0" w:tplc="C30A0E50">
      <w:start w:val="1"/>
      <w:numFmt w:val="bullet"/>
      <w:lvlText w:val=""/>
      <w:lvlJc w:val="left"/>
      <w:pPr>
        <w:ind w:left="1080" w:hanging="360"/>
      </w:pPr>
      <w:rPr>
        <w:rFonts w:ascii="Symbol" w:hAnsi="Symbol" w:hint="default"/>
      </w:rPr>
    </w:lvl>
    <w:lvl w:ilvl="1" w:tplc="5D109938">
      <w:start w:val="1"/>
      <w:numFmt w:val="bullet"/>
      <w:lvlText w:val="o"/>
      <w:lvlJc w:val="left"/>
      <w:pPr>
        <w:ind w:left="1800" w:hanging="360"/>
      </w:pPr>
      <w:rPr>
        <w:rFonts w:ascii="Courier New" w:hAnsi="Courier New" w:hint="default"/>
      </w:rPr>
    </w:lvl>
    <w:lvl w:ilvl="2" w:tplc="952C5B50">
      <w:start w:val="1"/>
      <w:numFmt w:val="bullet"/>
      <w:lvlText w:val=""/>
      <w:lvlJc w:val="left"/>
      <w:pPr>
        <w:ind w:left="2520" w:hanging="360"/>
      </w:pPr>
      <w:rPr>
        <w:rFonts w:ascii="Wingdings" w:hAnsi="Wingdings" w:hint="default"/>
      </w:rPr>
    </w:lvl>
    <w:lvl w:ilvl="3" w:tplc="7B2EEF90">
      <w:start w:val="1"/>
      <w:numFmt w:val="bullet"/>
      <w:lvlText w:val=""/>
      <w:lvlJc w:val="left"/>
      <w:pPr>
        <w:ind w:left="3240" w:hanging="360"/>
      </w:pPr>
      <w:rPr>
        <w:rFonts w:ascii="Symbol" w:hAnsi="Symbol" w:hint="default"/>
      </w:rPr>
    </w:lvl>
    <w:lvl w:ilvl="4" w:tplc="E646951A">
      <w:start w:val="1"/>
      <w:numFmt w:val="bullet"/>
      <w:lvlText w:val="o"/>
      <w:lvlJc w:val="left"/>
      <w:pPr>
        <w:ind w:left="3960" w:hanging="360"/>
      </w:pPr>
      <w:rPr>
        <w:rFonts w:ascii="Courier New" w:hAnsi="Courier New" w:hint="default"/>
      </w:rPr>
    </w:lvl>
    <w:lvl w:ilvl="5" w:tplc="A42CB368">
      <w:start w:val="1"/>
      <w:numFmt w:val="bullet"/>
      <w:lvlText w:val=""/>
      <w:lvlJc w:val="left"/>
      <w:pPr>
        <w:ind w:left="4680" w:hanging="360"/>
      </w:pPr>
      <w:rPr>
        <w:rFonts w:ascii="Wingdings" w:hAnsi="Wingdings" w:hint="default"/>
      </w:rPr>
    </w:lvl>
    <w:lvl w:ilvl="6" w:tplc="40B4C656">
      <w:start w:val="1"/>
      <w:numFmt w:val="bullet"/>
      <w:lvlText w:val=""/>
      <w:lvlJc w:val="left"/>
      <w:pPr>
        <w:ind w:left="5400" w:hanging="360"/>
      </w:pPr>
      <w:rPr>
        <w:rFonts w:ascii="Symbol" w:hAnsi="Symbol" w:hint="default"/>
      </w:rPr>
    </w:lvl>
    <w:lvl w:ilvl="7" w:tplc="6E60C8FA">
      <w:start w:val="1"/>
      <w:numFmt w:val="bullet"/>
      <w:lvlText w:val="o"/>
      <w:lvlJc w:val="left"/>
      <w:pPr>
        <w:ind w:left="6120" w:hanging="360"/>
      </w:pPr>
      <w:rPr>
        <w:rFonts w:ascii="Courier New" w:hAnsi="Courier New" w:hint="default"/>
      </w:rPr>
    </w:lvl>
    <w:lvl w:ilvl="8" w:tplc="D21ACF9C">
      <w:start w:val="1"/>
      <w:numFmt w:val="bullet"/>
      <w:lvlText w:val=""/>
      <w:lvlJc w:val="left"/>
      <w:pPr>
        <w:ind w:left="6840" w:hanging="360"/>
      </w:pPr>
      <w:rPr>
        <w:rFonts w:ascii="Wingdings" w:hAnsi="Wingdings" w:hint="default"/>
      </w:rPr>
    </w:lvl>
  </w:abstractNum>
  <w:abstractNum w:abstractNumId="41" w15:restartNumberingAfterBreak="0">
    <w:nsid w:val="4D4493A0"/>
    <w:multiLevelType w:val="hybridMultilevel"/>
    <w:tmpl w:val="E598911A"/>
    <w:lvl w:ilvl="0" w:tplc="FCA278B2">
      <w:start w:val="1"/>
      <w:numFmt w:val="bullet"/>
      <w:lvlText w:val="-"/>
      <w:lvlJc w:val="left"/>
      <w:pPr>
        <w:ind w:left="1080" w:hanging="360"/>
      </w:pPr>
      <w:rPr>
        <w:rFonts w:ascii="Aptos" w:hAnsi="Aptos" w:hint="default"/>
      </w:rPr>
    </w:lvl>
    <w:lvl w:ilvl="1" w:tplc="BEEA8A0C">
      <w:start w:val="1"/>
      <w:numFmt w:val="bullet"/>
      <w:lvlText w:val="o"/>
      <w:lvlJc w:val="left"/>
      <w:pPr>
        <w:ind w:left="1800" w:hanging="360"/>
      </w:pPr>
      <w:rPr>
        <w:rFonts w:ascii="Courier New" w:hAnsi="Courier New" w:hint="default"/>
      </w:rPr>
    </w:lvl>
    <w:lvl w:ilvl="2" w:tplc="68585062">
      <w:start w:val="1"/>
      <w:numFmt w:val="bullet"/>
      <w:lvlText w:val=""/>
      <w:lvlJc w:val="left"/>
      <w:pPr>
        <w:ind w:left="2520" w:hanging="360"/>
      </w:pPr>
      <w:rPr>
        <w:rFonts w:ascii="Wingdings" w:hAnsi="Wingdings" w:hint="default"/>
      </w:rPr>
    </w:lvl>
    <w:lvl w:ilvl="3" w:tplc="3C1A0114">
      <w:start w:val="1"/>
      <w:numFmt w:val="bullet"/>
      <w:lvlText w:val=""/>
      <w:lvlJc w:val="left"/>
      <w:pPr>
        <w:ind w:left="3240" w:hanging="360"/>
      </w:pPr>
      <w:rPr>
        <w:rFonts w:ascii="Symbol" w:hAnsi="Symbol" w:hint="default"/>
      </w:rPr>
    </w:lvl>
    <w:lvl w:ilvl="4" w:tplc="99A039FA">
      <w:start w:val="1"/>
      <w:numFmt w:val="bullet"/>
      <w:lvlText w:val="o"/>
      <w:lvlJc w:val="left"/>
      <w:pPr>
        <w:ind w:left="3960" w:hanging="360"/>
      </w:pPr>
      <w:rPr>
        <w:rFonts w:ascii="Courier New" w:hAnsi="Courier New" w:hint="default"/>
      </w:rPr>
    </w:lvl>
    <w:lvl w:ilvl="5" w:tplc="77EC2FC8">
      <w:start w:val="1"/>
      <w:numFmt w:val="bullet"/>
      <w:lvlText w:val=""/>
      <w:lvlJc w:val="left"/>
      <w:pPr>
        <w:ind w:left="4680" w:hanging="360"/>
      </w:pPr>
      <w:rPr>
        <w:rFonts w:ascii="Wingdings" w:hAnsi="Wingdings" w:hint="default"/>
      </w:rPr>
    </w:lvl>
    <w:lvl w:ilvl="6" w:tplc="60C49EAE">
      <w:start w:val="1"/>
      <w:numFmt w:val="bullet"/>
      <w:lvlText w:val=""/>
      <w:lvlJc w:val="left"/>
      <w:pPr>
        <w:ind w:left="5400" w:hanging="360"/>
      </w:pPr>
      <w:rPr>
        <w:rFonts w:ascii="Symbol" w:hAnsi="Symbol" w:hint="default"/>
      </w:rPr>
    </w:lvl>
    <w:lvl w:ilvl="7" w:tplc="157807E8">
      <w:start w:val="1"/>
      <w:numFmt w:val="bullet"/>
      <w:lvlText w:val="o"/>
      <w:lvlJc w:val="left"/>
      <w:pPr>
        <w:ind w:left="6120" w:hanging="360"/>
      </w:pPr>
      <w:rPr>
        <w:rFonts w:ascii="Courier New" w:hAnsi="Courier New" w:hint="default"/>
      </w:rPr>
    </w:lvl>
    <w:lvl w:ilvl="8" w:tplc="92E2957E">
      <w:start w:val="1"/>
      <w:numFmt w:val="bullet"/>
      <w:lvlText w:val=""/>
      <w:lvlJc w:val="left"/>
      <w:pPr>
        <w:ind w:left="6840" w:hanging="360"/>
      </w:pPr>
      <w:rPr>
        <w:rFonts w:ascii="Wingdings" w:hAnsi="Wingdings" w:hint="default"/>
      </w:rPr>
    </w:lvl>
  </w:abstractNum>
  <w:abstractNum w:abstractNumId="42" w15:restartNumberingAfterBreak="0">
    <w:nsid w:val="4D5B62EA"/>
    <w:multiLevelType w:val="hybridMultilevel"/>
    <w:tmpl w:val="ED44D56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DD006E0"/>
    <w:multiLevelType w:val="hybridMultilevel"/>
    <w:tmpl w:val="181A1D0E"/>
    <w:lvl w:ilvl="0" w:tplc="182A58B6">
      <w:start w:val="1"/>
      <w:numFmt w:val="upperRoman"/>
      <w:lvlText w:val="%1."/>
      <w:lvlJc w:val="left"/>
      <w:pPr>
        <w:ind w:left="720" w:hanging="360"/>
      </w:pPr>
    </w:lvl>
    <w:lvl w:ilvl="1" w:tplc="BF8AB0A8">
      <w:start w:val="1"/>
      <w:numFmt w:val="lowerLetter"/>
      <w:lvlText w:val="%2."/>
      <w:lvlJc w:val="left"/>
      <w:pPr>
        <w:ind w:left="1440" w:hanging="360"/>
      </w:pPr>
    </w:lvl>
    <w:lvl w:ilvl="2" w:tplc="99BE961A">
      <w:start w:val="1"/>
      <w:numFmt w:val="lowerRoman"/>
      <w:lvlText w:val="%3."/>
      <w:lvlJc w:val="right"/>
      <w:pPr>
        <w:ind w:left="2160" w:hanging="180"/>
      </w:pPr>
    </w:lvl>
    <w:lvl w:ilvl="3" w:tplc="E430A9FE">
      <w:start w:val="1"/>
      <w:numFmt w:val="decimal"/>
      <w:lvlText w:val="%4."/>
      <w:lvlJc w:val="left"/>
      <w:pPr>
        <w:ind w:left="2880" w:hanging="360"/>
      </w:pPr>
    </w:lvl>
    <w:lvl w:ilvl="4" w:tplc="1C0ECE2C">
      <w:start w:val="1"/>
      <w:numFmt w:val="lowerLetter"/>
      <w:lvlText w:val="%5."/>
      <w:lvlJc w:val="left"/>
      <w:pPr>
        <w:ind w:left="3600" w:hanging="360"/>
      </w:pPr>
    </w:lvl>
    <w:lvl w:ilvl="5" w:tplc="27B247AE">
      <w:start w:val="1"/>
      <w:numFmt w:val="lowerRoman"/>
      <w:lvlText w:val="%6."/>
      <w:lvlJc w:val="right"/>
      <w:pPr>
        <w:ind w:left="4320" w:hanging="180"/>
      </w:pPr>
    </w:lvl>
    <w:lvl w:ilvl="6" w:tplc="5CA6AD28">
      <w:start w:val="1"/>
      <w:numFmt w:val="decimal"/>
      <w:lvlText w:val="%7."/>
      <w:lvlJc w:val="left"/>
      <w:pPr>
        <w:ind w:left="5040" w:hanging="360"/>
      </w:pPr>
    </w:lvl>
    <w:lvl w:ilvl="7" w:tplc="66A8C4A8">
      <w:start w:val="1"/>
      <w:numFmt w:val="lowerLetter"/>
      <w:lvlText w:val="%8."/>
      <w:lvlJc w:val="left"/>
      <w:pPr>
        <w:ind w:left="5760" w:hanging="360"/>
      </w:pPr>
    </w:lvl>
    <w:lvl w:ilvl="8" w:tplc="F858FF56">
      <w:start w:val="1"/>
      <w:numFmt w:val="lowerRoman"/>
      <w:lvlText w:val="%9."/>
      <w:lvlJc w:val="right"/>
      <w:pPr>
        <w:ind w:left="6480" w:hanging="180"/>
      </w:pPr>
    </w:lvl>
  </w:abstractNum>
  <w:abstractNum w:abstractNumId="44" w15:restartNumberingAfterBreak="0">
    <w:nsid w:val="52C224C3"/>
    <w:multiLevelType w:val="hybridMultilevel"/>
    <w:tmpl w:val="F87A03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30F33E5"/>
    <w:multiLevelType w:val="hybridMultilevel"/>
    <w:tmpl w:val="16925F36"/>
    <w:lvl w:ilvl="0" w:tplc="FC78416A">
      <w:start w:val="1"/>
      <w:numFmt w:val="decimal"/>
      <w:lvlText w:val="%1)"/>
      <w:lvlJc w:val="left"/>
      <w:pPr>
        <w:ind w:left="1020" w:hanging="360"/>
      </w:pPr>
    </w:lvl>
    <w:lvl w:ilvl="1" w:tplc="FE8E456C">
      <w:start w:val="1"/>
      <w:numFmt w:val="decimal"/>
      <w:lvlText w:val="%2)"/>
      <w:lvlJc w:val="left"/>
      <w:pPr>
        <w:ind w:left="1020" w:hanging="360"/>
      </w:pPr>
    </w:lvl>
    <w:lvl w:ilvl="2" w:tplc="A288B3F0">
      <w:start w:val="1"/>
      <w:numFmt w:val="decimal"/>
      <w:lvlText w:val="%3)"/>
      <w:lvlJc w:val="left"/>
      <w:pPr>
        <w:ind w:left="1020" w:hanging="360"/>
      </w:pPr>
    </w:lvl>
    <w:lvl w:ilvl="3" w:tplc="8D80F16E">
      <w:start w:val="1"/>
      <w:numFmt w:val="decimal"/>
      <w:lvlText w:val="%4)"/>
      <w:lvlJc w:val="left"/>
      <w:pPr>
        <w:ind w:left="1020" w:hanging="360"/>
      </w:pPr>
    </w:lvl>
    <w:lvl w:ilvl="4" w:tplc="A59827FA">
      <w:start w:val="1"/>
      <w:numFmt w:val="decimal"/>
      <w:lvlText w:val="%5)"/>
      <w:lvlJc w:val="left"/>
      <w:pPr>
        <w:ind w:left="1020" w:hanging="360"/>
      </w:pPr>
    </w:lvl>
    <w:lvl w:ilvl="5" w:tplc="1968F774">
      <w:start w:val="1"/>
      <w:numFmt w:val="decimal"/>
      <w:lvlText w:val="%6)"/>
      <w:lvlJc w:val="left"/>
      <w:pPr>
        <w:ind w:left="1020" w:hanging="360"/>
      </w:pPr>
    </w:lvl>
    <w:lvl w:ilvl="6" w:tplc="C180F34A">
      <w:start w:val="1"/>
      <w:numFmt w:val="decimal"/>
      <w:lvlText w:val="%7)"/>
      <w:lvlJc w:val="left"/>
      <w:pPr>
        <w:ind w:left="1020" w:hanging="360"/>
      </w:pPr>
    </w:lvl>
    <w:lvl w:ilvl="7" w:tplc="03DED7B8">
      <w:start w:val="1"/>
      <w:numFmt w:val="decimal"/>
      <w:lvlText w:val="%8)"/>
      <w:lvlJc w:val="left"/>
      <w:pPr>
        <w:ind w:left="1020" w:hanging="360"/>
      </w:pPr>
    </w:lvl>
    <w:lvl w:ilvl="8" w:tplc="3EE41158">
      <w:start w:val="1"/>
      <w:numFmt w:val="decimal"/>
      <w:lvlText w:val="%9)"/>
      <w:lvlJc w:val="left"/>
      <w:pPr>
        <w:ind w:left="1020" w:hanging="360"/>
      </w:pPr>
    </w:lvl>
  </w:abstractNum>
  <w:abstractNum w:abstractNumId="46" w15:restartNumberingAfterBreak="0">
    <w:nsid w:val="54EE95E6"/>
    <w:multiLevelType w:val="hybridMultilevel"/>
    <w:tmpl w:val="2CF4F978"/>
    <w:lvl w:ilvl="0" w:tplc="F458882E">
      <w:start w:val="1"/>
      <w:numFmt w:val="upperRoman"/>
      <w:lvlText w:val="%1."/>
      <w:lvlJc w:val="left"/>
      <w:pPr>
        <w:ind w:left="720" w:hanging="360"/>
      </w:pPr>
    </w:lvl>
    <w:lvl w:ilvl="1" w:tplc="B18274F2">
      <w:start w:val="1"/>
      <w:numFmt w:val="lowerLetter"/>
      <w:lvlText w:val="%2."/>
      <w:lvlJc w:val="left"/>
      <w:pPr>
        <w:ind w:left="1440" w:hanging="360"/>
      </w:pPr>
    </w:lvl>
    <w:lvl w:ilvl="2" w:tplc="F7CC175E">
      <w:start w:val="1"/>
      <w:numFmt w:val="lowerRoman"/>
      <w:lvlText w:val="%3."/>
      <w:lvlJc w:val="right"/>
      <w:pPr>
        <w:ind w:left="2160" w:hanging="180"/>
      </w:pPr>
    </w:lvl>
    <w:lvl w:ilvl="3" w:tplc="C54EC6F4">
      <w:start w:val="1"/>
      <w:numFmt w:val="decimal"/>
      <w:lvlText w:val="%4."/>
      <w:lvlJc w:val="left"/>
      <w:pPr>
        <w:ind w:left="2880" w:hanging="360"/>
      </w:pPr>
    </w:lvl>
    <w:lvl w:ilvl="4" w:tplc="FB521FA6">
      <w:start w:val="1"/>
      <w:numFmt w:val="lowerLetter"/>
      <w:lvlText w:val="%5."/>
      <w:lvlJc w:val="left"/>
      <w:pPr>
        <w:ind w:left="3600" w:hanging="360"/>
      </w:pPr>
    </w:lvl>
    <w:lvl w:ilvl="5" w:tplc="67909F32">
      <w:start w:val="1"/>
      <w:numFmt w:val="lowerRoman"/>
      <w:lvlText w:val="%6."/>
      <w:lvlJc w:val="right"/>
      <w:pPr>
        <w:ind w:left="4320" w:hanging="180"/>
      </w:pPr>
    </w:lvl>
    <w:lvl w:ilvl="6" w:tplc="D598DC12">
      <w:start w:val="1"/>
      <w:numFmt w:val="decimal"/>
      <w:lvlText w:val="%7."/>
      <w:lvlJc w:val="left"/>
      <w:pPr>
        <w:ind w:left="5040" w:hanging="360"/>
      </w:pPr>
    </w:lvl>
    <w:lvl w:ilvl="7" w:tplc="3D7ACE74">
      <w:start w:val="1"/>
      <w:numFmt w:val="lowerLetter"/>
      <w:lvlText w:val="%8."/>
      <w:lvlJc w:val="left"/>
      <w:pPr>
        <w:ind w:left="5760" w:hanging="360"/>
      </w:pPr>
    </w:lvl>
    <w:lvl w:ilvl="8" w:tplc="E94806DE">
      <w:start w:val="1"/>
      <w:numFmt w:val="lowerRoman"/>
      <w:lvlText w:val="%9."/>
      <w:lvlJc w:val="right"/>
      <w:pPr>
        <w:ind w:left="6480" w:hanging="180"/>
      </w:pPr>
    </w:lvl>
  </w:abstractNum>
  <w:abstractNum w:abstractNumId="47" w15:restartNumberingAfterBreak="0">
    <w:nsid w:val="5882AB11"/>
    <w:multiLevelType w:val="hybridMultilevel"/>
    <w:tmpl w:val="4990A642"/>
    <w:lvl w:ilvl="0" w:tplc="AE520906">
      <w:start w:val="1"/>
      <w:numFmt w:val="bullet"/>
      <w:lvlText w:val=""/>
      <w:lvlJc w:val="left"/>
      <w:pPr>
        <w:ind w:left="720" w:hanging="360"/>
      </w:pPr>
      <w:rPr>
        <w:rFonts w:ascii="Symbol" w:hAnsi="Symbol" w:hint="default"/>
      </w:rPr>
    </w:lvl>
    <w:lvl w:ilvl="1" w:tplc="7026E1B8">
      <w:start w:val="1"/>
      <w:numFmt w:val="bullet"/>
      <w:lvlText w:val="o"/>
      <w:lvlJc w:val="left"/>
      <w:pPr>
        <w:ind w:left="1440" w:hanging="360"/>
      </w:pPr>
      <w:rPr>
        <w:rFonts w:ascii="Courier New" w:hAnsi="Courier New" w:hint="default"/>
      </w:rPr>
    </w:lvl>
    <w:lvl w:ilvl="2" w:tplc="D34A60DA">
      <w:start w:val="1"/>
      <w:numFmt w:val="bullet"/>
      <w:lvlText w:val=""/>
      <w:lvlJc w:val="left"/>
      <w:pPr>
        <w:ind w:left="2160" w:hanging="360"/>
      </w:pPr>
      <w:rPr>
        <w:rFonts w:ascii="Wingdings" w:hAnsi="Wingdings" w:hint="default"/>
      </w:rPr>
    </w:lvl>
    <w:lvl w:ilvl="3" w:tplc="1C38DF34">
      <w:start w:val="1"/>
      <w:numFmt w:val="bullet"/>
      <w:lvlText w:val=""/>
      <w:lvlJc w:val="left"/>
      <w:pPr>
        <w:ind w:left="2880" w:hanging="360"/>
      </w:pPr>
      <w:rPr>
        <w:rFonts w:ascii="Symbol" w:hAnsi="Symbol" w:hint="default"/>
      </w:rPr>
    </w:lvl>
    <w:lvl w:ilvl="4" w:tplc="545806EC">
      <w:start w:val="1"/>
      <w:numFmt w:val="bullet"/>
      <w:lvlText w:val="o"/>
      <w:lvlJc w:val="left"/>
      <w:pPr>
        <w:ind w:left="3600" w:hanging="360"/>
      </w:pPr>
      <w:rPr>
        <w:rFonts w:ascii="Courier New" w:hAnsi="Courier New" w:hint="default"/>
      </w:rPr>
    </w:lvl>
    <w:lvl w:ilvl="5" w:tplc="0CC8CA22">
      <w:start w:val="1"/>
      <w:numFmt w:val="bullet"/>
      <w:lvlText w:val=""/>
      <w:lvlJc w:val="left"/>
      <w:pPr>
        <w:ind w:left="4320" w:hanging="360"/>
      </w:pPr>
      <w:rPr>
        <w:rFonts w:ascii="Wingdings" w:hAnsi="Wingdings" w:hint="default"/>
      </w:rPr>
    </w:lvl>
    <w:lvl w:ilvl="6" w:tplc="172EB17C">
      <w:start w:val="1"/>
      <w:numFmt w:val="bullet"/>
      <w:lvlText w:val=""/>
      <w:lvlJc w:val="left"/>
      <w:pPr>
        <w:ind w:left="5040" w:hanging="360"/>
      </w:pPr>
      <w:rPr>
        <w:rFonts w:ascii="Symbol" w:hAnsi="Symbol" w:hint="default"/>
      </w:rPr>
    </w:lvl>
    <w:lvl w:ilvl="7" w:tplc="8DC099BC">
      <w:start w:val="1"/>
      <w:numFmt w:val="bullet"/>
      <w:lvlText w:val="o"/>
      <w:lvlJc w:val="left"/>
      <w:pPr>
        <w:ind w:left="5760" w:hanging="360"/>
      </w:pPr>
      <w:rPr>
        <w:rFonts w:ascii="Courier New" w:hAnsi="Courier New" w:hint="default"/>
      </w:rPr>
    </w:lvl>
    <w:lvl w:ilvl="8" w:tplc="48C8B6FE">
      <w:start w:val="1"/>
      <w:numFmt w:val="bullet"/>
      <w:lvlText w:val=""/>
      <w:lvlJc w:val="left"/>
      <w:pPr>
        <w:ind w:left="6480" w:hanging="360"/>
      </w:pPr>
      <w:rPr>
        <w:rFonts w:ascii="Wingdings" w:hAnsi="Wingdings" w:hint="default"/>
      </w:rPr>
    </w:lvl>
  </w:abstractNum>
  <w:abstractNum w:abstractNumId="48" w15:restartNumberingAfterBreak="0">
    <w:nsid w:val="5B6C0653"/>
    <w:multiLevelType w:val="hybridMultilevel"/>
    <w:tmpl w:val="9ACAE514"/>
    <w:lvl w:ilvl="0" w:tplc="FFFFFFFF">
      <w:start w:val="1"/>
      <w:numFmt w:val="decimal"/>
      <w:lvlText w:val="%1."/>
      <w:lvlJc w:val="left"/>
      <w:pPr>
        <w:ind w:left="720" w:hanging="360"/>
      </w:pPr>
      <w:rPr>
        <w:rFonts w:hint="default"/>
      </w:rPr>
    </w:lvl>
    <w:lvl w:ilvl="1" w:tplc="18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5C0022CA"/>
    <w:multiLevelType w:val="hybridMultilevel"/>
    <w:tmpl w:val="C112474C"/>
    <w:lvl w:ilvl="0" w:tplc="96C47110">
      <w:start w:val="1"/>
      <w:numFmt w:val="bullet"/>
      <w:lvlText w:val=""/>
      <w:lvlJc w:val="left"/>
      <w:pPr>
        <w:ind w:left="720" w:hanging="360"/>
      </w:pPr>
      <w:rPr>
        <w:rFonts w:ascii="Symbol" w:hAnsi="Symbol"/>
      </w:rPr>
    </w:lvl>
    <w:lvl w:ilvl="1" w:tplc="DCD20F68">
      <w:start w:val="1"/>
      <w:numFmt w:val="bullet"/>
      <w:lvlText w:val=""/>
      <w:lvlJc w:val="left"/>
      <w:pPr>
        <w:ind w:left="720" w:hanging="360"/>
      </w:pPr>
      <w:rPr>
        <w:rFonts w:ascii="Symbol" w:hAnsi="Symbol"/>
      </w:rPr>
    </w:lvl>
    <w:lvl w:ilvl="2" w:tplc="7F86A390">
      <w:start w:val="1"/>
      <w:numFmt w:val="bullet"/>
      <w:lvlText w:val=""/>
      <w:lvlJc w:val="left"/>
      <w:pPr>
        <w:ind w:left="720" w:hanging="360"/>
      </w:pPr>
      <w:rPr>
        <w:rFonts w:ascii="Symbol" w:hAnsi="Symbol"/>
      </w:rPr>
    </w:lvl>
    <w:lvl w:ilvl="3" w:tplc="75D85814">
      <w:start w:val="1"/>
      <w:numFmt w:val="bullet"/>
      <w:lvlText w:val=""/>
      <w:lvlJc w:val="left"/>
      <w:pPr>
        <w:ind w:left="720" w:hanging="360"/>
      </w:pPr>
      <w:rPr>
        <w:rFonts w:ascii="Symbol" w:hAnsi="Symbol"/>
      </w:rPr>
    </w:lvl>
    <w:lvl w:ilvl="4" w:tplc="48DEED3E">
      <w:start w:val="1"/>
      <w:numFmt w:val="bullet"/>
      <w:lvlText w:val=""/>
      <w:lvlJc w:val="left"/>
      <w:pPr>
        <w:ind w:left="720" w:hanging="360"/>
      </w:pPr>
      <w:rPr>
        <w:rFonts w:ascii="Symbol" w:hAnsi="Symbol"/>
      </w:rPr>
    </w:lvl>
    <w:lvl w:ilvl="5" w:tplc="E13C7808">
      <w:start w:val="1"/>
      <w:numFmt w:val="bullet"/>
      <w:lvlText w:val=""/>
      <w:lvlJc w:val="left"/>
      <w:pPr>
        <w:ind w:left="720" w:hanging="360"/>
      </w:pPr>
      <w:rPr>
        <w:rFonts w:ascii="Symbol" w:hAnsi="Symbol"/>
      </w:rPr>
    </w:lvl>
    <w:lvl w:ilvl="6" w:tplc="68969E58">
      <w:start w:val="1"/>
      <w:numFmt w:val="bullet"/>
      <w:lvlText w:val=""/>
      <w:lvlJc w:val="left"/>
      <w:pPr>
        <w:ind w:left="720" w:hanging="360"/>
      </w:pPr>
      <w:rPr>
        <w:rFonts w:ascii="Symbol" w:hAnsi="Symbol"/>
      </w:rPr>
    </w:lvl>
    <w:lvl w:ilvl="7" w:tplc="06F899F8">
      <w:start w:val="1"/>
      <w:numFmt w:val="bullet"/>
      <w:lvlText w:val=""/>
      <w:lvlJc w:val="left"/>
      <w:pPr>
        <w:ind w:left="720" w:hanging="360"/>
      </w:pPr>
      <w:rPr>
        <w:rFonts w:ascii="Symbol" w:hAnsi="Symbol"/>
      </w:rPr>
    </w:lvl>
    <w:lvl w:ilvl="8" w:tplc="473ACA88">
      <w:start w:val="1"/>
      <w:numFmt w:val="bullet"/>
      <w:lvlText w:val=""/>
      <w:lvlJc w:val="left"/>
      <w:pPr>
        <w:ind w:left="720" w:hanging="360"/>
      </w:pPr>
      <w:rPr>
        <w:rFonts w:ascii="Symbol" w:hAnsi="Symbol"/>
      </w:rPr>
    </w:lvl>
  </w:abstractNum>
  <w:abstractNum w:abstractNumId="50" w15:restartNumberingAfterBreak="0">
    <w:nsid w:val="5E004121"/>
    <w:multiLevelType w:val="hybridMultilevel"/>
    <w:tmpl w:val="B8A656CA"/>
    <w:lvl w:ilvl="0" w:tplc="1A1AA3DE">
      <w:start w:val="1"/>
      <w:numFmt w:val="bullet"/>
      <w:lvlText w:val=""/>
      <w:lvlJc w:val="left"/>
      <w:pPr>
        <w:ind w:left="720" w:hanging="360"/>
      </w:pPr>
      <w:rPr>
        <w:rFonts w:ascii="Symbol" w:hAnsi="Symbol" w:hint="default"/>
      </w:rPr>
    </w:lvl>
    <w:lvl w:ilvl="1" w:tplc="E97CFB68">
      <w:start w:val="1"/>
      <w:numFmt w:val="bullet"/>
      <w:lvlText w:val=""/>
      <w:lvlJc w:val="left"/>
      <w:pPr>
        <w:ind w:left="1440" w:hanging="360"/>
      </w:pPr>
      <w:rPr>
        <w:rFonts w:ascii="Wingdings" w:hAnsi="Wingdings" w:hint="default"/>
      </w:rPr>
    </w:lvl>
    <w:lvl w:ilvl="2" w:tplc="92BEEF38">
      <w:start w:val="1"/>
      <w:numFmt w:val="bullet"/>
      <w:lvlText w:val=""/>
      <w:lvlJc w:val="left"/>
      <w:pPr>
        <w:ind w:left="2160" w:hanging="360"/>
      </w:pPr>
      <w:rPr>
        <w:rFonts w:ascii="Wingdings" w:hAnsi="Wingdings" w:hint="default"/>
      </w:rPr>
    </w:lvl>
    <w:lvl w:ilvl="3" w:tplc="BA1A01B0">
      <w:start w:val="1"/>
      <w:numFmt w:val="bullet"/>
      <w:lvlText w:val=""/>
      <w:lvlJc w:val="left"/>
      <w:pPr>
        <w:ind w:left="2880" w:hanging="360"/>
      </w:pPr>
      <w:rPr>
        <w:rFonts w:ascii="Wingdings" w:hAnsi="Wingdings" w:hint="default"/>
      </w:rPr>
    </w:lvl>
    <w:lvl w:ilvl="4" w:tplc="3684CC06">
      <w:start w:val="1"/>
      <w:numFmt w:val="bullet"/>
      <w:lvlText w:val=""/>
      <w:lvlJc w:val="left"/>
      <w:pPr>
        <w:ind w:left="3600" w:hanging="360"/>
      </w:pPr>
      <w:rPr>
        <w:rFonts w:ascii="Wingdings" w:hAnsi="Wingdings" w:hint="default"/>
      </w:rPr>
    </w:lvl>
    <w:lvl w:ilvl="5" w:tplc="97309BA4">
      <w:start w:val="1"/>
      <w:numFmt w:val="bullet"/>
      <w:lvlText w:val=""/>
      <w:lvlJc w:val="left"/>
      <w:pPr>
        <w:ind w:left="4320" w:hanging="360"/>
      </w:pPr>
      <w:rPr>
        <w:rFonts w:ascii="Wingdings" w:hAnsi="Wingdings" w:hint="default"/>
      </w:rPr>
    </w:lvl>
    <w:lvl w:ilvl="6" w:tplc="84703304">
      <w:start w:val="1"/>
      <w:numFmt w:val="bullet"/>
      <w:lvlText w:val=""/>
      <w:lvlJc w:val="left"/>
      <w:pPr>
        <w:ind w:left="5040" w:hanging="360"/>
      </w:pPr>
      <w:rPr>
        <w:rFonts w:ascii="Wingdings" w:hAnsi="Wingdings" w:hint="default"/>
      </w:rPr>
    </w:lvl>
    <w:lvl w:ilvl="7" w:tplc="6ADAB980">
      <w:start w:val="1"/>
      <w:numFmt w:val="bullet"/>
      <w:lvlText w:val=""/>
      <w:lvlJc w:val="left"/>
      <w:pPr>
        <w:ind w:left="5760" w:hanging="360"/>
      </w:pPr>
      <w:rPr>
        <w:rFonts w:ascii="Wingdings" w:hAnsi="Wingdings" w:hint="default"/>
      </w:rPr>
    </w:lvl>
    <w:lvl w:ilvl="8" w:tplc="E9365792">
      <w:start w:val="1"/>
      <w:numFmt w:val="bullet"/>
      <w:lvlText w:val=""/>
      <w:lvlJc w:val="left"/>
      <w:pPr>
        <w:ind w:left="6480" w:hanging="360"/>
      </w:pPr>
      <w:rPr>
        <w:rFonts w:ascii="Wingdings" w:hAnsi="Wingdings" w:hint="default"/>
      </w:rPr>
    </w:lvl>
  </w:abstractNum>
  <w:abstractNum w:abstractNumId="51" w15:restartNumberingAfterBreak="0">
    <w:nsid w:val="66EC41E8"/>
    <w:multiLevelType w:val="hybridMultilevel"/>
    <w:tmpl w:val="42A4FDF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A84200D"/>
    <w:multiLevelType w:val="hybridMultilevel"/>
    <w:tmpl w:val="9910AA6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6B381E56"/>
    <w:multiLevelType w:val="hybridMultilevel"/>
    <w:tmpl w:val="EFD8CA52"/>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6BB5A1BF"/>
    <w:multiLevelType w:val="hybridMultilevel"/>
    <w:tmpl w:val="EF30C872"/>
    <w:lvl w:ilvl="0" w:tplc="71F09D44">
      <w:start w:val="1"/>
      <w:numFmt w:val="bullet"/>
      <w:lvlText w:val=""/>
      <w:lvlJc w:val="left"/>
      <w:pPr>
        <w:ind w:left="720" w:hanging="360"/>
      </w:pPr>
      <w:rPr>
        <w:rFonts w:ascii="Symbol" w:hAnsi="Symbol" w:hint="default"/>
      </w:rPr>
    </w:lvl>
    <w:lvl w:ilvl="1" w:tplc="D5D60D2E">
      <w:start w:val="1"/>
      <w:numFmt w:val="bullet"/>
      <w:lvlText w:val="o"/>
      <w:lvlJc w:val="left"/>
      <w:pPr>
        <w:ind w:left="1440" w:hanging="360"/>
      </w:pPr>
      <w:rPr>
        <w:rFonts w:ascii="Courier New" w:hAnsi="Courier New" w:hint="default"/>
      </w:rPr>
    </w:lvl>
    <w:lvl w:ilvl="2" w:tplc="025E51A2">
      <w:start w:val="1"/>
      <w:numFmt w:val="bullet"/>
      <w:lvlText w:val=""/>
      <w:lvlJc w:val="left"/>
      <w:pPr>
        <w:ind w:left="2160" w:hanging="360"/>
      </w:pPr>
      <w:rPr>
        <w:rFonts w:ascii="Wingdings" w:hAnsi="Wingdings" w:hint="default"/>
      </w:rPr>
    </w:lvl>
    <w:lvl w:ilvl="3" w:tplc="46DA7720">
      <w:start w:val="1"/>
      <w:numFmt w:val="bullet"/>
      <w:lvlText w:val=""/>
      <w:lvlJc w:val="left"/>
      <w:pPr>
        <w:ind w:left="2880" w:hanging="360"/>
      </w:pPr>
      <w:rPr>
        <w:rFonts w:ascii="Symbol" w:hAnsi="Symbol" w:hint="default"/>
      </w:rPr>
    </w:lvl>
    <w:lvl w:ilvl="4" w:tplc="98E613E6">
      <w:start w:val="1"/>
      <w:numFmt w:val="bullet"/>
      <w:lvlText w:val="o"/>
      <w:lvlJc w:val="left"/>
      <w:pPr>
        <w:ind w:left="3600" w:hanging="360"/>
      </w:pPr>
      <w:rPr>
        <w:rFonts w:ascii="Courier New" w:hAnsi="Courier New" w:hint="default"/>
      </w:rPr>
    </w:lvl>
    <w:lvl w:ilvl="5" w:tplc="AEEE4E9A">
      <w:start w:val="1"/>
      <w:numFmt w:val="bullet"/>
      <w:lvlText w:val=""/>
      <w:lvlJc w:val="left"/>
      <w:pPr>
        <w:ind w:left="4320" w:hanging="360"/>
      </w:pPr>
      <w:rPr>
        <w:rFonts w:ascii="Wingdings" w:hAnsi="Wingdings" w:hint="default"/>
      </w:rPr>
    </w:lvl>
    <w:lvl w:ilvl="6" w:tplc="DFB6DE70">
      <w:start w:val="1"/>
      <w:numFmt w:val="bullet"/>
      <w:lvlText w:val=""/>
      <w:lvlJc w:val="left"/>
      <w:pPr>
        <w:ind w:left="5040" w:hanging="360"/>
      </w:pPr>
      <w:rPr>
        <w:rFonts w:ascii="Symbol" w:hAnsi="Symbol" w:hint="default"/>
      </w:rPr>
    </w:lvl>
    <w:lvl w:ilvl="7" w:tplc="F80468CA">
      <w:start w:val="1"/>
      <w:numFmt w:val="bullet"/>
      <w:lvlText w:val="o"/>
      <w:lvlJc w:val="left"/>
      <w:pPr>
        <w:ind w:left="5760" w:hanging="360"/>
      </w:pPr>
      <w:rPr>
        <w:rFonts w:ascii="Courier New" w:hAnsi="Courier New" w:hint="default"/>
      </w:rPr>
    </w:lvl>
    <w:lvl w:ilvl="8" w:tplc="9DD6AA4C">
      <w:start w:val="1"/>
      <w:numFmt w:val="bullet"/>
      <w:lvlText w:val=""/>
      <w:lvlJc w:val="left"/>
      <w:pPr>
        <w:ind w:left="6480" w:hanging="360"/>
      </w:pPr>
      <w:rPr>
        <w:rFonts w:ascii="Wingdings" w:hAnsi="Wingdings" w:hint="default"/>
      </w:rPr>
    </w:lvl>
  </w:abstractNum>
  <w:abstractNum w:abstractNumId="55" w15:restartNumberingAfterBreak="0">
    <w:nsid w:val="6C15408D"/>
    <w:multiLevelType w:val="hybridMultilevel"/>
    <w:tmpl w:val="4156077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6C448ED9"/>
    <w:multiLevelType w:val="hybridMultilevel"/>
    <w:tmpl w:val="FFFFFFFF"/>
    <w:lvl w:ilvl="0" w:tplc="C75A623E">
      <w:start w:val="1"/>
      <w:numFmt w:val="lowerLetter"/>
      <w:lvlText w:val="%1."/>
      <w:lvlJc w:val="left"/>
      <w:pPr>
        <w:ind w:left="720" w:hanging="360"/>
      </w:pPr>
      <w:rPr>
        <w:rFonts w:ascii="Times New Roman" w:hAnsi="Times New Roman" w:hint="default"/>
      </w:rPr>
    </w:lvl>
    <w:lvl w:ilvl="1" w:tplc="70B2DA18">
      <w:start w:val="1"/>
      <w:numFmt w:val="lowerLetter"/>
      <w:lvlText w:val="%2."/>
      <w:lvlJc w:val="left"/>
      <w:pPr>
        <w:ind w:left="1440" w:hanging="360"/>
      </w:pPr>
    </w:lvl>
    <w:lvl w:ilvl="2" w:tplc="5E3E0A48">
      <w:start w:val="1"/>
      <w:numFmt w:val="lowerRoman"/>
      <w:lvlText w:val="%3."/>
      <w:lvlJc w:val="right"/>
      <w:pPr>
        <w:ind w:left="2160" w:hanging="180"/>
      </w:pPr>
    </w:lvl>
    <w:lvl w:ilvl="3" w:tplc="AF3E7564">
      <w:start w:val="1"/>
      <w:numFmt w:val="decimal"/>
      <w:lvlText w:val="%4."/>
      <w:lvlJc w:val="left"/>
      <w:pPr>
        <w:ind w:left="2880" w:hanging="360"/>
      </w:pPr>
    </w:lvl>
    <w:lvl w:ilvl="4" w:tplc="0E486030">
      <w:start w:val="1"/>
      <w:numFmt w:val="lowerLetter"/>
      <w:lvlText w:val="%5."/>
      <w:lvlJc w:val="left"/>
      <w:pPr>
        <w:ind w:left="3600" w:hanging="360"/>
      </w:pPr>
    </w:lvl>
    <w:lvl w:ilvl="5" w:tplc="6BFE6E2E">
      <w:start w:val="1"/>
      <w:numFmt w:val="lowerRoman"/>
      <w:lvlText w:val="%6."/>
      <w:lvlJc w:val="right"/>
      <w:pPr>
        <w:ind w:left="4320" w:hanging="180"/>
      </w:pPr>
    </w:lvl>
    <w:lvl w:ilvl="6" w:tplc="78D4CA8C">
      <w:start w:val="1"/>
      <w:numFmt w:val="decimal"/>
      <w:lvlText w:val="%7."/>
      <w:lvlJc w:val="left"/>
      <w:pPr>
        <w:ind w:left="5040" w:hanging="360"/>
      </w:pPr>
    </w:lvl>
    <w:lvl w:ilvl="7" w:tplc="E68402B0">
      <w:start w:val="1"/>
      <w:numFmt w:val="lowerLetter"/>
      <w:lvlText w:val="%8."/>
      <w:lvlJc w:val="left"/>
      <w:pPr>
        <w:ind w:left="5760" w:hanging="360"/>
      </w:pPr>
    </w:lvl>
    <w:lvl w:ilvl="8" w:tplc="8D5811C6">
      <w:start w:val="1"/>
      <w:numFmt w:val="lowerRoman"/>
      <w:lvlText w:val="%9."/>
      <w:lvlJc w:val="right"/>
      <w:pPr>
        <w:ind w:left="6480" w:hanging="180"/>
      </w:pPr>
    </w:lvl>
  </w:abstractNum>
  <w:abstractNum w:abstractNumId="57" w15:restartNumberingAfterBreak="0">
    <w:nsid w:val="6D2B5511"/>
    <w:multiLevelType w:val="hybridMultilevel"/>
    <w:tmpl w:val="738A02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8" w15:restartNumberingAfterBreak="0">
    <w:nsid w:val="6D5F2010"/>
    <w:multiLevelType w:val="hybridMultilevel"/>
    <w:tmpl w:val="FFFFFFFF"/>
    <w:lvl w:ilvl="0" w:tplc="B2781E92">
      <w:start w:val="1"/>
      <w:numFmt w:val="lowerRoman"/>
      <w:lvlText w:val="%1."/>
      <w:lvlJc w:val="left"/>
      <w:pPr>
        <w:ind w:left="1440" w:hanging="720"/>
      </w:pPr>
      <w:rPr>
        <w:rFonts w:ascii="Times New Roman" w:hAnsi="Times New Roman" w:hint="default"/>
      </w:rPr>
    </w:lvl>
    <w:lvl w:ilvl="1" w:tplc="1FB6FDC0">
      <w:start w:val="1"/>
      <w:numFmt w:val="lowerLetter"/>
      <w:lvlText w:val="%2."/>
      <w:lvlJc w:val="left"/>
      <w:pPr>
        <w:ind w:left="1440" w:hanging="360"/>
      </w:pPr>
    </w:lvl>
    <w:lvl w:ilvl="2" w:tplc="6F14CC66">
      <w:start w:val="1"/>
      <w:numFmt w:val="lowerRoman"/>
      <w:lvlText w:val="%3."/>
      <w:lvlJc w:val="right"/>
      <w:pPr>
        <w:ind w:left="2160" w:hanging="180"/>
      </w:pPr>
    </w:lvl>
    <w:lvl w:ilvl="3" w:tplc="E1E8083E">
      <w:start w:val="1"/>
      <w:numFmt w:val="decimal"/>
      <w:lvlText w:val="%4."/>
      <w:lvlJc w:val="left"/>
      <w:pPr>
        <w:ind w:left="2880" w:hanging="360"/>
      </w:pPr>
    </w:lvl>
    <w:lvl w:ilvl="4" w:tplc="A66613E2">
      <w:start w:val="1"/>
      <w:numFmt w:val="lowerLetter"/>
      <w:lvlText w:val="%5."/>
      <w:lvlJc w:val="left"/>
      <w:pPr>
        <w:ind w:left="3600" w:hanging="360"/>
      </w:pPr>
    </w:lvl>
    <w:lvl w:ilvl="5" w:tplc="3AA2BEEC">
      <w:start w:val="1"/>
      <w:numFmt w:val="lowerRoman"/>
      <w:lvlText w:val="%6."/>
      <w:lvlJc w:val="right"/>
      <w:pPr>
        <w:ind w:left="4320" w:hanging="180"/>
      </w:pPr>
    </w:lvl>
    <w:lvl w:ilvl="6" w:tplc="F42E391C">
      <w:start w:val="1"/>
      <w:numFmt w:val="decimal"/>
      <w:lvlText w:val="%7."/>
      <w:lvlJc w:val="left"/>
      <w:pPr>
        <w:ind w:left="5040" w:hanging="360"/>
      </w:pPr>
    </w:lvl>
    <w:lvl w:ilvl="7" w:tplc="79788176">
      <w:start w:val="1"/>
      <w:numFmt w:val="lowerLetter"/>
      <w:lvlText w:val="%8."/>
      <w:lvlJc w:val="left"/>
      <w:pPr>
        <w:ind w:left="5760" w:hanging="360"/>
      </w:pPr>
    </w:lvl>
    <w:lvl w:ilvl="8" w:tplc="F004530C">
      <w:start w:val="1"/>
      <w:numFmt w:val="lowerRoman"/>
      <w:lvlText w:val="%9."/>
      <w:lvlJc w:val="right"/>
      <w:pPr>
        <w:ind w:left="6480" w:hanging="180"/>
      </w:pPr>
    </w:lvl>
  </w:abstractNum>
  <w:abstractNum w:abstractNumId="59" w15:restartNumberingAfterBreak="0">
    <w:nsid w:val="70D52554"/>
    <w:multiLevelType w:val="hybridMultilevel"/>
    <w:tmpl w:val="71E2625C"/>
    <w:lvl w:ilvl="0" w:tplc="E42E3C1A">
      <w:start w:val="1"/>
      <w:numFmt w:val="upperRoman"/>
      <w:lvlText w:val="%1."/>
      <w:lvlJc w:val="left"/>
      <w:pPr>
        <w:ind w:left="720" w:hanging="360"/>
      </w:pPr>
    </w:lvl>
    <w:lvl w:ilvl="1" w:tplc="FBB61F4C">
      <w:start w:val="1"/>
      <w:numFmt w:val="lowerLetter"/>
      <w:lvlText w:val="%2."/>
      <w:lvlJc w:val="left"/>
      <w:pPr>
        <w:ind w:left="1440" w:hanging="360"/>
      </w:pPr>
    </w:lvl>
    <w:lvl w:ilvl="2" w:tplc="1300512C">
      <w:start w:val="1"/>
      <w:numFmt w:val="lowerRoman"/>
      <w:lvlText w:val="%3."/>
      <w:lvlJc w:val="right"/>
      <w:pPr>
        <w:ind w:left="2160" w:hanging="180"/>
      </w:pPr>
    </w:lvl>
    <w:lvl w:ilvl="3" w:tplc="6172B7C6">
      <w:start w:val="1"/>
      <w:numFmt w:val="decimal"/>
      <w:lvlText w:val="%4."/>
      <w:lvlJc w:val="left"/>
      <w:pPr>
        <w:ind w:left="2880" w:hanging="360"/>
      </w:pPr>
    </w:lvl>
    <w:lvl w:ilvl="4" w:tplc="DC94C888">
      <w:start w:val="1"/>
      <w:numFmt w:val="lowerLetter"/>
      <w:lvlText w:val="%5."/>
      <w:lvlJc w:val="left"/>
      <w:pPr>
        <w:ind w:left="3600" w:hanging="360"/>
      </w:pPr>
    </w:lvl>
    <w:lvl w:ilvl="5" w:tplc="7CCAEFFA">
      <w:start w:val="1"/>
      <w:numFmt w:val="lowerRoman"/>
      <w:lvlText w:val="%6."/>
      <w:lvlJc w:val="right"/>
      <w:pPr>
        <w:ind w:left="4320" w:hanging="180"/>
      </w:pPr>
    </w:lvl>
    <w:lvl w:ilvl="6" w:tplc="F73424E0">
      <w:start w:val="1"/>
      <w:numFmt w:val="decimal"/>
      <w:lvlText w:val="%7."/>
      <w:lvlJc w:val="left"/>
      <w:pPr>
        <w:ind w:left="5040" w:hanging="360"/>
      </w:pPr>
    </w:lvl>
    <w:lvl w:ilvl="7" w:tplc="026412D6">
      <w:start w:val="1"/>
      <w:numFmt w:val="lowerLetter"/>
      <w:lvlText w:val="%8."/>
      <w:lvlJc w:val="left"/>
      <w:pPr>
        <w:ind w:left="5760" w:hanging="360"/>
      </w:pPr>
    </w:lvl>
    <w:lvl w:ilvl="8" w:tplc="EA184000">
      <w:start w:val="1"/>
      <w:numFmt w:val="lowerRoman"/>
      <w:lvlText w:val="%9."/>
      <w:lvlJc w:val="right"/>
      <w:pPr>
        <w:ind w:left="6480" w:hanging="180"/>
      </w:pPr>
    </w:lvl>
  </w:abstractNum>
  <w:abstractNum w:abstractNumId="60" w15:restartNumberingAfterBreak="0">
    <w:nsid w:val="71871165"/>
    <w:multiLevelType w:val="hybridMultilevel"/>
    <w:tmpl w:val="1EAAA89C"/>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749C2496"/>
    <w:multiLevelType w:val="hybridMultilevel"/>
    <w:tmpl w:val="903A87D6"/>
    <w:lvl w:ilvl="0" w:tplc="02B06D70">
      <w:start w:val="1"/>
      <w:numFmt w:val="bullet"/>
      <w:lvlText w:val=""/>
      <w:lvlJc w:val="left"/>
      <w:pPr>
        <w:ind w:left="1080" w:hanging="360"/>
      </w:pPr>
      <w:rPr>
        <w:rFonts w:ascii="Symbol" w:hAnsi="Symbol" w:hint="default"/>
      </w:rPr>
    </w:lvl>
    <w:lvl w:ilvl="1" w:tplc="BBC4F7FE">
      <w:start w:val="1"/>
      <w:numFmt w:val="bullet"/>
      <w:lvlText w:val="o"/>
      <w:lvlJc w:val="left"/>
      <w:pPr>
        <w:ind w:left="1800" w:hanging="360"/>
      </w:pPr>
      <w:rPr>
        <w:rFonts w:ascii="Courier New" w:hAnsi="Courier New" w:hint="default"/>
      </w:rPr>
    </w:lvl>
    <w:lvl w:ilvl="2" w:tplc="7BDE5560">
      <w:start w:val="1"/>
      <w:numFmt w:val="bullet"/>
      <w:lvlText w:val=""/>
      <w:lvlJc w:val="left"/>
      <w:pPr>
        <w:ind w:left="2520" w:hanging="360"/>
      </w:pPr>
      <w:rPr>
        <w:rFonts w:ascii="Wingdings" w:hAnsi="Wingdings" w:hint="default"/>
      </w:rPr>
    </w:lvl>
    <w:lvl w:ilvl="3" w:tplc="A9FCD778">
      <w:start w:val="1"/>
      <w:numFmt w:val="bullet"/>
      <w:lvlText w:val=""/>
      <w:lvlJc w:val="left"/>
      <w:pPr>
        <w:ind w:left="3240" w:hanging="360"/>
      </w:pPr>
      <w:rPr>
        <w:rFonts w:ascii="Symbol" w:hAnsi="Symbol" w:hint="default"/>
      </w:rPr>
    </w:lvl>
    <w:lvl w:ilvl="4" w:tplc="AEC8E278">
      <w:start w:val="1"/>
      <w:numFmt w:val="bullet"/>
      <w:lvlText w:val="o"/>
      <w:lvlJc w:val="left"/>
      <w:pPr>
        <w:ind w:left="3960" w:hanging="360"/>
      </w:pPr>
      <w:rPr>
        <w:rFonts w:ascii="Courier New" w:hAnsi="Courier New" w:hint="default"/>
      </w:rPr>
    </w:lvl>
    <w:lvl w:ilvl="5" w:tplc="AE8EF898">
      <w:start w:val="1"/>
      <w:numFmt w:val="bullet"/>
      <w:lvlText w:val=""/>
      <w:lvlJc w:val="left"/>
      <w:pPr>
        <w:ind w:left="4680" w:hanging="360"/>
      </w:pPr>
      <w:rPr>
        <w:rFonts w:ascii="Wingdings" w:hAnsi="Wingdings" w:hint="default"/>
      </w:rPr>
    </w:lvl>
    <w:lvl w:ilvl="6" w:tplc="8410D092">
      <w:start w:val="1"/>
      <w:numFmt w:val="bullet"/>
      <w:lvlText w:val=""/>
      <w:lvlJc w:val="left"/>
      <w:pPr>
        <w:ind w:left="5400" w:hanging="360"/>
      </w:pPr>
      <w:rPr>
        <w:rFonts w:ascii="Symbol" w:hAnsi="Symbol" w:hint="default"/>
      </w:rPr>
    </w:lvl>
    <w:lvl w:ilvl="7" w:tplc="3140CDA6">
      <w:start w:val="1"/>
      <w:numFmt w:val="bullet"/>
      <w:lvlText w:val="o"/>
      <w:lvlJc w:val="left"/>
      <w:pPr>
        <w:ind w:left="6120" w:hanging="360"/>
      </w:pPr>
      <w:rPr>
        <w:rFonts w:ascii="Courier New" w:hAnsi="Courier New" w:hint="default"/>
      </w:rPr>
    </w:lvl>
    <w:lvl w:ilvl="8" w:tplc="FDC4F0FC">
      <w:start w:val="1"/>
      <w:numFmt w:val="bullet"/>
      <w:lvlText w:val=""/>
      <w:lvlJc w:val="left"/>
      <w:pPr>
        <w:ind w:left="6840" w:hanging="360"/>
      </w:pPr>
      <w:rPr>
        <w:rFonts w:ascii="Wingdings" w:hAnsi="Wingdings" w:hint="default"/>
      </w:rPr>
    </w:lvl>
  </w:abstractNum>
  <w:abstractNum w:abstractNumId="62" w15:restartNumberingAfterBreak="0">
    <w:nsid w:val="74B588BA"/>
    <w:multiLevelType w:val="hybridMultilevel"/>
    <w:tmpl w:val="1AE64D3A"/>
    <w:lvl w:ilvl="0" w:tplc="00867CFA">
      <w:numFmt w:val="none"/>
      <w:lvlText w:val=""/>
      <w:lvlJc w:val="left"/>
      <w:pPr>
        <w:tabs>
          <w:tab w:val="num" w:pos="360"/>
        </w:tabs>
      </w:pPr>
    </w:lvl>
    <w:lvl w:ilvl="1" w:tplc="19BED0C6">
      <w:start w:val="1"/>
      <w:numFmt w:val="lowerLetter"/>
      <w:lvlText w:val="%2."/>
      <w:lvlJc w:val="left"/>
      <w:pPr>
        <w:ind w:left="2160" w:hanging="360"/>
      </w:pPr>
    </w:lvl>
    <w:lvl w:ilvl="2" w:tplc="BEB4A8B0">
      <w:start w:val="1"/>
      <w:numFmt w:val="lowerRoman"/>
      <w:lvlText w:val="%3."/>
      <w:lvlJc w:val="right"/>
      <w:pPr>
        <w:ind w:left="2880" w:hanging="180"/>
      </w:pPr>
    </w:lvl>
    <w:lvl w:ilvl="3" w:tplc="D5EA0C38">
      <w:start w:val="1"/>
      <w:numFmt w:val="decimal"/>
      <w:lvlText w:val="%4."/>
      <w:lvlJc w:val="left"/>
      <w:pPr>
        <w:ind w:left="3600" w:hanging="360"/>
      </w:pPr>
    </w:lvl>
    <w:lvl w:ilvl="4" w:tplc="1676087A">
      <w:start w:val="1"/>
      <w:numFmt w:val="lowerLetter"/>
      <w:lvlText w:val="%5."/>
      <w:lvlJc w:val="left"/>
      <w:pPr>
        <w:ind w:left="4320" w:hanging="360"/>
      </w:pPr>
    </w:lvl>
    <w:lvl w:ilvl="5" w:tplc="978AEF84">
      <w:start w:val="1"/>
      <w:numFmt w:val="lowerRoman"/>
      <w:lvlText w:val="%6."/>
      <w:lvlJc w:val="right"/>
      <w:pPr>
        <w:ind w:left="5040" w:hanging="180"/>
      </w:pPr>
    </w:lvl>
    <w:lvl w:ilvl="6" w:tplc="197C166C">
      <w:start w:val="1"/>
      <w:numFmt w:val="decimal"/>
      <w:lvlText w:val="%7."/>
      <w:lvlJc w:val="left"/>
      <w:pPr>
        <w:ind w:left="5760" w:hanging="360"/>
      </w:pPr>
    </w:lvl>
    <w:lvl w:ilvl="7" w:tplc="71E25E46">
      <w:start w:val="1"/>
      <w:numFmt w:val="lowerLetter"/>
      <w:lvlText w:val="%8."/>
      <w:lvlJc w:val="left"/>
      <w:pPr>
        <w:ind w:left="6480" w:hanging="360"/>
      </w:pPr>
    </w:lvl>
    <w:lvl w:ilvl="8" w:tplc="2AE85D20">
      <w:start w:val="1"/>
      <w:numFmt w:val="lowerRoman"/>
      <w:lvlText w:val="%9."/>
      <w:lvlJc w:val="right"/>
      <w:pPr>
        <w:ind w:left="7200" w:hanging="180"/>
      </w:pPr>
    </w:lvl>
  </w:abstractNum>
  <w:abstractNum w:abstractNumId="63" w15:restartNumberingAfterBreak="0">
    <w:nsid w:val="78BF0344"/>
    <w:multiLevelType w:val="hybridMultilevel"/>
    <w:tmpl w:val="CEF63CA6"/>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791F67F8"/>
    <w:multiLevelType w:val="hybridMultilevel"/>
    <w:tmpl w:val="CBB42E18"/>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7A9ED85E"/>
    <w:multiLevelType w:val="hybridMultilevel"/>
    <w:tmpl w:val="4B100918"/>
    <w:lvl w:ilvl="0" w:tplc="2BF4B918">
      <w:start w:val="1"/>
      <w:numFmt w:val="upperRoman"/>
      <w:lvlText w:val="%1."/>
      <w:lvlJc w:val="left"/>
      <w:pPr>
        <w:ind w:left="720" w:hanging="360"/>
      </w:pPr>
    </w:lvl>
    <w:lvl w:ilvl="1" w:tplc="817E560C">
      <w:start w:val="1"/>
      <w:numFmt w:val="lowerLetter"/>
      <w:lvlText w:val="%2."/>
      <w:lvlJc w:val="left"/>
      <w:pPr>
        <w:ind w:left="1440" w:hanging="360"/>
      </w:pPr>
    </w:lvl>
    <w:lvl w:ilvl="2" w:tplc="A56E05C6">
      <w:start w:val="1"/>
      <w:numFmt w:val="lowerRoman"/>
      <w:lvlText w:val="%3."/>
      <w:lvlJc w:val="right"/>
      <w:pPr>
        <w:ind w:left="2160" w:hanging="180"/>
      </w:pPr>
    </w:lvl>
    <w:lvl w:ilvl="3" w:tplc="E3443A02">
      <w:start w:val="1"/>
      <w:numFmt w:val="decimal"/>
      <w:lvlText w:val="%4."/>
      <w:lvlJc w:val="left"/>
      <w:pPr>
        <w:ind w:left="2880" w:hanging="360"/>
      </w:pPr>
    </w:lvl>
    <w:lvl w:ilvl="4" w:tplc="E10C18F6">
      <w:start w:val="1"/>
      <w:numFmt w:val="lowerLetter"/>
      <w:lvlText w:val="%5."/>
      <w:lvlJc w:val="left"/>
      <w:pPr>
        <w:ind w:left="3600" w:hanging="360"/>
      </w:pPr>
    </w:lvl>
    <w:lvl w:ilvl="5" w:tplc="0802ADE4">
      <w:start w:val="1"/>
      <w:numFmt w:val="lowerRoman"/>
      <w:lvlText w:val="%6."/>
      <w:lvlJc w:val="right"/>
      <w:pPr>
        <w:ind w:left="4320" w:hanging="180"/>
      </w:pPr>
    </w:lvl>
    <w:lvl w:ilvl="6" w:tplc="7C66EEC8">
      <w:start w:val="1"/>
      <w:numFmt w:val="decimal"/>
      <w:lvlText w:val="%7."/>
      <w:lvlJc w:val="left"/>
      <w:pPr>
        <w:ind w:left="5040" w:hanging="360"/>
      </w:pPr>
    </w:lvl>
    <w:lvl w:ilvl="7" w:tplc="32F40F30">
      <w:start w:val="1"/>
      <w:numFmt w:val="lowerLetter"/>
      <w:lvlText w:val="%8."/>
      <w:lvlJc w:val="left"/>
      <w:pPr>
        <w:ind w:left="5760" w:hanging="360"/>
      </w:pPr>
    </w:lvl>
    <w:lvl w:ilvl="8" w:tplc="E13EC482">
      <w:start w:val="1"/>
      <w:numFmt w:val="lowerRoman"/>
      <w:lvlText w:val="%9."/>
      <w:lvlJc w:val="right"/>
      <w:pPr>
        <w:ind w:left="6480" w:hanging="180"/>
      </w:pPr>
    </w:lvl>
  </w:abstractNum>
  <w:abstractNum w:abstractNumId="66" w15:restartNumberingAfterBreak="0">
    <w:nsid w:val="7C5401AA"/>
    <w:multiLevelType w:val="hybridMultilevel"/>
    <w:tmpl w:val="022000CE"/>
    <w:lvl w:ilvl="0" w:tplc="6C56B0F4">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7E967A4A"/>
    <w:multiLevelType w:val="hybridMultilevel"/>
    <w:tmpl w:val="F0A2FDD4"/>
    <w:lvl w:ilvl="0" w:tplc="79AC2AC2">
      <w:start w:val="1"/>
      <w:numFmt w:val="bullet"/>
      <w:lvlText w:val="-"/>
      <w:lvlJc w:val="left"/>
      <w:pPr>
        <w:ind w:left="1080" w:hanging="360"/>
      </w:pPr>
      <w:rPr>
        <w:rFonts w:ascii="Aptos" w:hAnsi="Aptos" w:hint="default"/>
      </w:rPr>
    </w:lvl>
    <w:lvl w:ilvl="1" w:tplc="DEDC17C6">
      <w:start w:val="1"/>
      <w:numFmt w:val="bullet"/>
      <w:lvlText w:val="o"/>
      <w:lvlJc w:val="left"/>
      <w:pPr>
        <w:ind w:left="1800" w:hanging="360"/>
      </w:pPr>
      <w:rPr>
        <w:rFonts w:ascii="Courier New" w:hAnsi="Courier New" w:hint="default"/>
      </w:rPr>
    </w:lvl>
    <w:lvl w:ilvl="2" w:tplc="70E81314">
      <w:start w:val="1"/>
      <w:numFmt w:val="bullet"/>
      <w:lvlText w:val=""/>
      <w:lvlJc w:val="left"/>
      <w:pPr>
        <w:ind w:left="2520" w:hanging="360"/>
      </w:pPr>
      <w:rPr>
        <w:rFonts w:ascii="Wingdings" w:hAnsi="Wingdings" w:hint="default"/>
      </w:rPr>
    </w:lvl>
    <w:lvl w:ilvl="3" w:tplc="6150B32E">
      <w:start w:val="1"/>
      <w:numFmt w:val="bullet"/>
      <w:lvlText w:val=""/>
      <w:lvlJc w:val="left"/>
      <w:pPr>
        <w:ind w:left="3240" w:hanging="360"/>
      </w:pPr>
      <w:rPr>
        <w:rFonts w:ascii="Symbol" w:hAnsi="Symbol" w:hint="default"/>
      </w:rPr>
    </w:lvl>
    <w:lvl w:ilvl="4" w:tplc="7D9C2CA6">
      <w:start w:val="1"/>
      <w:numFmt w:val="bullet"/>
      <w:lvlText w:val="o"/>
      <w:lvlJc w:val="left"/>
      <w:pPr>
        <w:ind w:left="3960" w:hanging="360"/>
      </w:pPr>
      <w:rPr>
        <w:rFonts w:ascii="Courier New" w:hAnsi="Courier New" w:hint="default"/>
      </w:rPr>
    </w:lvl>
    <w:lvl w:ilvl="5" w:tplc="5816DE10">
      <w:start w:val="1"/>
      <w:numFmt w:val="bullet"/>
      <w:lvlText w:val=""/>
      <w:lvlJc w:val="left"/>
      <w:pPr>
        <w:ind w:left="4680" w:hanging="360"/>
      </w:pPr>
      <w:rPr>
        <w:rFonts w:ascii="Wingdings" w:hAnsi="Wingdings" w:hint="default"/>
      </w:rPr>
    </w:lvl>
    <w:lvl w:ilvl="6" w:tplc="C53AC0E0">
      <w:start w:val="1"/>
      <w:numFmt w:val="bullet"/>
      <w:lvlText w:val=""/>
      <w:lvlJc w:val="left"/>
      <w:pPr>
        <w:ind w:left="5400" w:hanging="360"/>
      </w:pPr>
      <w:rPr>
        <w:rFonts w:ascii="Symbol" w:hAnsi="Symbol" w:hint="default"/>
      </w:rPr>
    </w:lvl>
    <w:lvl w:ilvl="7" w:tplc="09C4F2D0">
      <w:start w:val="1"/>
      <w:numFmt w:val="bullet"/>
      <w:lvlText w:val="o"/>
      <w:lvlJc w:val="left"/>
      <w:pPr>
        <w:ind w:left="6120" w:hanging="360"/>
      </w:pPr>
      <w:rPr>
        <w:rFonts w:ascii="Courier New" w:hAnsi="Courier New" w:hint="default"/>
      </w:rPr>
    </w:lvl>
    <w:lvl w:ilvl="8" w:tplc="99584180">
      <w:start w:val="1"/>
      <w:numFmt w:val="bullet"/>
      <w:lvlText w:val=""/>
      <w:lvlJc w:val="left"/>
      <w:pPr>
        <w:ind w:left="6840" w:hanging="360"/>
      </w:pPr>
      <w:rPr>
        <w:rFonts w:ascii="Wingdings" w:hAnsi="Wingdings" w:hint="default"/>
      </w:rPr>
    </w:lvl>
  </w:abstractNum>
  <w:abstractNum w:abstractNumId="68" w15:restartNumberingAfterBreak="0">
    <w:nsid w:val="7EB0A219"/>
    <w:multiLevelType w:val="hybridMultilevel"/>
    <w:tmpl w:val="85C41140"/>
    <w:lvl w:ilvl="0" w:tplc="13ACECF0">
      <w:start w:val="1"/>
      <w:numFmt w:val="bullet"/>
      <w:lvlText w:val=""/>
      <w:lvlJc w:val="left"/>
      <w:pPr>
        <w:ind w:left="720" w:hanging="360"/>
      </w:pPr>
      <w:rPr>
        <w:rFonts w:ascii="Symbol" w:hAnsi="Symbol" w:hint="default"/>
      </w:rPr>
    </w:lvl>
    <w:lvl w:ilvl="1" w:tplc="58A6455C">
      <w:start w:val="1"/>
      <w:numFmt w:val="bullet"/>
      <w:lvlText w:val="o"/>
      <w:lvlJc w:val="left"/>
      <w:pPr>
        <w:ind w:left="1440" w:hanging="360"/>
      </w:pPr>
      <w:rPr>
        <w:rFonts w:ascii="Courier New" w:hAnsi="Courier New" w:hint="default"/>
      </w:rPr>
    </w:lvl>
    <w:lvl w:ilvl="2" w:tplc="4D1A55AE">
      <w:start w:val="1"/>
      <w:numFmt w:val="bullet"/>
      <w:lvlText w:val=""/>
      <w:lvlJc w:val="left"/>
      <w:pPr>
        <w:ind w:left="2160" w:hanging="360"/>
      </w:pPr>
      <w:rPr>
        <w:rFonts w:ascii="Wingdings" w:hAnsi="Wingdings" w:hint="default"/>
      </w:rPr>
    </w:lvl>
    <w:lvl w:ilvl="3" w:tplc="5C8E2BA2">
      <w:start w:val="1"/>
      <w:numFmt w:val="bullet"/>
      <w:lvlText w:val=""/>
      <w:lvlJc w:val="left"/>
      <w:pPr>
        <w:ind w:left="2880" w:hanging="360"/>
      </w:pPr>
      <w:rPr>
        <w:rFonts w:ascii="Symbol" w:hAnsi="Symbol" w:hint="default"/>
      </w:rPr>
    </w:lvl>
    <w:lvl w:ilvl="4" w:tplc="5F582056">
      <w:start w:val="1"/>
      <w:numFmt w:val="bullet"/>
      <w:lvlText w:val="o"/>
      <w:lvlJc w:val="left"/>
      <w:pPr>
        <w:ind w:left="3600" w:hanging="360"/>
      </w:pPr>
      <w:rPr>
        <w:rFonts w:ascii="Courier New" w:hAnsi="Courier New" w:hint="default"/>
      </w:rPr>
    </w:lvl>
    <w:lvl w:ilvl="5" w:tplc="D10C33A4">
      <w:start w:val="1"/>
      <w:numFmt w:val="bullet"/>
      <w:lvlText w:val=""/>
      <w:lvlJc w:val="left"/>
      <w:pPr>
        <w:ind w:left="4320" w:hanging="360"/>
      </w:pPr>
      <w:rPr>
        <w:rFonts w:ascii="Wingdings" w:hAnsi="Wingdings" w:hint="default"/>
      </w:rPr>
    </w:lvl>
    <w:lvl w:ilvl="6" w:tplc="79AAFF5A">
      <w:start w:val="1"/>
      <w:numFmt w:val="bullet"/>
      <w:lvlText w:val=""/>
      <w:lvlJc w:val="left"/>
      <w:pPr>
        <w:ind w:left="5040" w:hanging="360"/>
      </w:pPr>
      <w:rPr>
        <w:rFonts w:ascii="Symbol" w:hAnsi="Symbol" w:hint="default"/>
      </w:rPr>
    </w:lvl>
    <w:lvl w:ilvl="7" w:tplc="E612CFE6">
      <w:start w:val="1"/>
      <w:numFmt w:val="bullet"/>
      <w:lvlText w:val="o"/>
      <w:lvlJc w:val="left"/>
      <w:pPr>
        <w:ind w:left="5760" w:hanging="360"/>
      </w:pPr>
      <w:rPr>
        <w:rFonts w:ascii="Courier New" w:hAnsi="Courier New" w:hint="default"/>
      </w:rPr>
    </w:lvl>
    <w:lvl w:ilvl="8" w:tplc="42784BA2">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2"/>
  </w:num>
  <w:num w:numId="4">
    <w:abstractNumId w:val="68"/>
  </w:num>
  <w:num w:numId="5">
    <w:abstractNumId w:val="39"/>
  </w:num>
  <w:num w:numId="6">
    <w:abstractNumId w:val="50"/>
  </w:num>
  <w:num w:numId="7">
    <w:abstractNumId w:val="47"/>
  </w:num>
  <w:num w:numId="8">
    <w:abstractNumId w:val="28"/>
  </w:num>
  <w:num w:numId="9">
    <w:abstractNumId w:val="40"/>
  </w:num>
  <w:num w:numId="10">
    <w:abstractNumId w:val="11"/>
  </w:num>
  <w:num w:numId="11">
    <w:abstractNumId w:val="20"/>
  </w:num>
  <w:num w:numId="12">
    <w:abstractNumId w:val="9"/>
  </w:num>
  <w:num w:numId="13">
    <w:abstractNumId w:val="30"/>
  </w:num>
  <w:num w:numId="14">
    <w:abstractNumId w:val="61"/>
  </w:num>
  <w:num w:numId="15">
    <w:abstractNumId w:val="29"/>
  </w:num>
  <w:num w:numId="16">
    <w:abstractNumId w:val="3"/>
  </w:num>
  <w:num w:numId="17">
    <w:abstractNumId w:val="46"/>
  </w:num>
  <w:num w:numId="18">
    <w:abstractNumId w:val="32"/>
  </w:num>
  <w:num w:numId="19">
    <w:abstractNumId w:val="65"/>
  </w:num>
  <w:num w:numId="20">
    <w:abstractNumId w:val="7"/>
  </w:num>
  <w:num w:numId="21">
    <w:abstractNumId w:val="4"/>
  </w:num>
  <w:num w:numId="22">
    <w:abstractNumId w:val="59"/>
  </w:num>
  <w:num w:numId="23">
    <w:abstractNumId w:val="43"/>
  </w:num>
  <w:num w:numId="24">
    <w:abstractNumId w:val="0"/>
  </w:num>
  <w:num w:numId="25">
    <w:abstractNumId w:val="25"/>
  </w:num>
  <w:num w:numId="26">
    <w:abstractNumId w:val="54"/>
  </w:num>
  <w:num w:numId="27">
    <w:abstractNumId w:val="10"/>
  </w:num>
  <w:num w:numId="28">
    <w:abstractNumId w:val="37"/>
  </w:num>
  <w:num w:numId="29">
    <w:abstractNumId w:val="62"/>
  </w:num>
  <w:num w:numId="30">
    <w:abstractNumId w:val="35"/>
  </w:num>
  <w:num w:numId="31">
    <w:abstractNumId w:val="18"/>
  </w:num>
  <w:num w:numId="32">
    <w:abstractNumId w:val="6"/>
  </w:num>
  <w:num w:numId="33">
    <w:abstractNumId w:val="67"/>
  </w:num>
  <w:num w:numId="34">
    <w:abstractNumId w:val="41"/>
  </w:num>
  <w:num w:numId="35">
    <w:abstractNumId w:val="17"/>
  </w:num>
  <w:num w:numId="36">
    <w:abstractNumId w:val="24"/>
  </w:num>
  <w:num w:numId="37">
    <w:abstractNumId w:val="12"/>
  </w:num>
  <w:num w:numId="38">
    <w:abstractNumId w:val="48"/>
  </w:num>
  <w:num w:numId="39">
    <w:abstractNumId w:val="58"/>
  </w:num>
  <w:num w:numId="40">
    <w:abstractNumId w:val="56"/>
  </w:num>
  <w:num w:numId="41">
    <w:abstractNumId w:val="45"/>
  </w:num>
  <w:num w:numId="42">
    <w:abstractNumId w:val="14"/>
  </w:num>
  <w:num w:numId="43">
    <w:abstractNumId w:val="42"/>
  </w:num>
  <w:num w:numId="44">
    <w:abstractNumId w:val="8"/>
  </w:num>
  <w:num w:numId="45">
    <w:abstractNumId w:val="49"/>
  </w:num>
  <w:num w:numId="46">
    <w:abstractNumId w:val="16"/>
  </w:num>
  <w:num w:numId="47">
    <w:abstractNumId w:val="15"/>
  </w:num>
  <w:num w:numId="48">
    <w:abstractNumId w:val="21"/>
  </w:num>
  <w:num w:numId="49">
    <w:abstractNumId w:val="66"/>
  </w:num>
  <w:num w:numId="50">
    <w:abstractNumId w:val="26"/>
  </w:num>
  <w:num w:numId="51">
    <w:abstractNumId w:val="31"/>
  </w:num>
  <w:num w:numId="52">
    <w:abstractNumId w:val="51"/>
  </w:num>
  <w:num w:numId="53">
    <w:abstractNumId w:val="57"/>
  </w:num>
  <w:num w:numId="54">
    <w:abstractNumId w:val="44"/>
  </w:num>
  <w:num w:numId="55">
    <w:abstractNumId w:val="55"/>
  </w:num>
  <w:num w:numId="56">
    <w:abstractNumId w:val="1"/>
  </w:num>
  <w:num w:numId="57">
    <w:abstractNumId w:val="63"/>
  </w:num>
  <w:num w:numId="58">
    <w:abstractNumId w:val="5"/>
  </w:num>
  <w:num w:numId="59">
    <w:abstractNumId w:val="13"/>
  </w:num>
  <w:num w:numId="60">
    <w:abstractNumId w:val="22"/>
  </w:num>
  <w:num w:numId="61">
    <w:abstractNumId w:val="27"/>
  </w:num>
  <w:num w:numId="62">
    <w:abstractNumId w:val="33"/>
  </w:num>
  <w:num w:numId="63">
    <w:abstractNumId w:val="52"/>
  </w:num>
  <w:num w:numId="64">
    <w:abstractNumId w:val="53"/>
  </w:num>
  <w:num w:numId="65">
    <w:abstractNumId w:val="38"/>
  </w:num>
  <w:num w:numId="66">
    <w:abstractNumId w:val="19"/>
  </w:num>
  <w:num w:numId="67">
    <w:abstractNumId w:val="60"/>
  </w:num>
  <w:num w:numId="68">
    <w:abstractNumId w:val="23"/>
  </w:num>
  <w:num w:numId="69">
    <w:abstractNumId w:val="64"/>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ocStatus" w:val="Green"/>
    <w:docVar w:name="LW_CORRIGENDUM" w:val="&lt;UNUSED&gt;"/>
    <w:docVar w:name="LW_COVERPAGE_EXISTS" w:val="True"/>
    <w:docVar w:name="LW_COVERPAGE_GUID" w:val="F0B3A8E5-39B1-435C-A92E-48F9191BAFE3"/>
    <w:docVar w:name="LW_COVERPAGE_TYPE" w:val="1"/>
    <w:docVar w:name="LW_CROSSREFERENCE" w:val="&lt;UNUSED&gt;"/>
    <w:docVar w:name="LW_DocType" w:val="NORMAL"/>
    <w:docVar w:name="LW_EMISSION" w:val="20.5.2026"/>
    <w:docVar w:name="LW_EMISSION_ISODATE" w:val="2026-05-20"/>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PORT ADOPTÉ EN APPLICATION DE L\u8217?ARTICLE 112, PARAGRAPHE 1, DU RÈGLEMENT (UE) 2024/1689, CONCERNANT LA NÉCESSITÉ DE RÉEXAMINER LA LISTE DES PRATIQUES D\u8217?IA INTERDITES ET DES SYSTÈMES D\u8217?IA À HAUT RISQUE FIGURANT À L\u8217?ANNEXE III&lt;/FMT&gt;_x000b_"/>
    <w:docVar w:name="LW_TYPE.DOC.CP" w:val="RAPPORT DE LA COMMISSION AU PARLEMENT EUROPÉEN ET AU CONSEIL"/>
    <w:docVar w:name="LwApiVersions" w:val="LW4CoDe 1.24.5.0; LW 9.2, Build 20251112"/>
  </w:docVars>
  <w:rsids>
    <w:rsidRoot w:val="00EC272A"/>
    <w:rsid w:val="000003BF"/>
    <w:rsid w:val="000005A5"/>
    <w:rsid w:val="0000098B"/>
    <w:rsid w:val="00000F33"/>
    <w:rsid w:val="000020A1"/>
    <w:rsid w:val="00002BE4"/>
    <w:rsid w:val="00002DA6"/>
    <w:rsid w:val="000036B2"/>
    <w:rsid w:val="00003954"/>
    <w:rsid w:val="00003D74"/>
    <w:rsid w:val="0000414F"/>
    <w:rsid w:val="00004A0B"/>
    <w:rsid w:val="000056F3"/>
    <w:rsid w:val="00005A45"/>
    <w:rsid w:val="00005EF8"/>
    <w:rsid w:val="00006142"/>
    <w:rsid w:val="00006798"/>
    <w:rsid w:val="00010233"/>
    <w:rsid w:val="00010408"/>
    <w:rsid w:val="00010815"/>
    <w:rsid w:val="00011372"/>
    <w:rsid w:val="0001282E"/>
    <w:rsid w:val="000130A2"/>
    <w:rsid w:val="00013E75"/>
    <w:rsid w:val="000140C0"/>
    <w:rsid w:val="00014633"/>
    <w:rsid w:val="000156AF"/>
    <w:rsid w:val="00015BCB"/>
    <w:rsid w:val="00015F87"/>
    <w:rsid w:val="0001645B"/>
    <w:rsid w:val="00016EB1"/>
    <w:rsid w:val="00016EE7"/>
    <w:rsid w:val="00016FAC"/>
    <w:rsid w:val="00016FEA"/>
    <w:rsid w:val="00017037"/>
    <w:rsid w:val="00017166"/>
    <w:rsid w:val="00017421"/>
    <w:rsid w:val="00017493"/>
    <w:rsid w:val="00017581"/>
    <w:rsid w:val="00017603"/>
    <w:rsid w:val="00017A87"/>
    <w:rsid w:val="00017F01"/>
    <w:rsid w:val="00017FAB"/>
    <w:rsid w:val="000207B2"/>
    <w:rsid w:val="00021510"/>
    <w:rsid w:val="000225CE"/>
    <w:rsid w:val="00022C21"/>
    <w:rsid w:val="00022C78"/>
    <w:rsid w:val="0002310F"/>
    <w:rsid w:val="00023F2F"/>
    <w:rsid w:val="00024397"/>
    <w:rsid w:val="00024500"/>
    <w:rsid w:val="00025450"/>
    <w:rsid w:val="000267B9"/>
    <w:rsid w:val="00026922"/>
    <w:rsid w:val="000270A2"/>
    <w:rsid w:val="0002713E"/>
    <w:rsid w:val="00027DC1"/>
    <w:rsid w:val="000301F3"/>
    <w:rsid w:val="00030787"/>
    <w:rsid w:val="00030BA1"/>
    <w:rsid w:val="000311E5"/>
    <w:rsid w:val="000312B4"/>
    <w:rsid w:val="00031587"/>
    <w:rsid w:val="0003166F"/>
    <w:rsid w:val="00031A41"/>
    <w:rsid w:val="00032C81"/>
    <w:rsid w:val="00032EB3"/>
    <w:rsid w:val="00033C36"/>
    <w:rsid w:val="000341AF"/>
    <w:rsid w:val="00034C4C"/>
    <w:rsid w:val="00034D69"/>
    <w:rsid w:val="0003530A"/>
    <w:rsid w:val="00035318"/>
    <w:rsid w:val="0003532E"/>
    <w:rsid w:val="000357DE"/>
    <w:rsid w:val="0003587A"/>
    <w:rsid w:val="00035C4E"/>
    <w:rsid w:val="00035FBE"/>
    <w:rsid w:val="00036A25"/>
    <w:rsid w:val="00036F72"/>
    <w:rsid w:val="0003746F"/>
    <w:rsid w:val="00037749"/>
    <w:rsid w:val="00037AFF"/>
    <w:rsid w:val="00037BA4"/>
    <w:rsid w:val="00040177"/>
    <w:rsid w:val="00040D9D"/>
    <w:rsid w:val="000417FA"/>
    <w:rsid w:val="00041D7E"/>
    <w:rsid w:val="00041DCB"/>
    <w:rsid w:val="0004223C"/>
    <w:rsid w:val="00042443"/>
    <w:rsid w:val="00042611"/>
    <w:rsid w:val="0004276A"/>
    <w:rsid w:val="000428C7"/>
    <w:rsid w:val="00042E20"/>
    <w:rsid w:val="00043350"/>
    <w:rsid w:val="000437D0"/>
    <w:rsid w:val="00043A69"/>
    <w:rsid w:val="00043E4A"/>
    <w:rsid w:val="0004411C"/>
    <w:rsid w:val="0004470C"/>
    <w:rsid w:val="0004479A"/>
    <w:rsid w:val="000461C1"/>
    <w:rsid w:val="00046BA4"/>
    <w:rsid w:val="00046BB6"/>
    <w:rsid w:val="00047126"/>
    <w:rsid w:val="0004722E"/>
    <w:rsid w:val="000478C9"/>
    <w:rsid w:val="00047DBA"/>
    <w:rsid w:val="00049CAB"/>
    <w:rsid w:val="00050404"/>
    <w:rsid w:val="0005050C"/>
    <w:rsid w:val="00051004"/>
    <w:rsid w:val="00051088"/>
    <w:rsid w:val="0005126E"/>
    <w:rsid w:val="0005130F"/>
    <w:rsid w:val="0005139C"/>
    <w:rsid w:val="0005157B"/>
    <w:rsid w:val="0005185E"/>
    <w:rsid w:val="000519DD"/>
    <w:rsid w:val="00051ED8"/>
    <w:rsid w:val="00051F52"/>
    <w:rsid w:val="000527C4"/>
    <w:rsid w:val="0005288E"/>
    <w:rsid w:val="00052D46"/>
    <w:rsid w:val="00053B31"/>
    <w:rsid w:val="0005400A"/>
    <w:rsid w:val="00054ABC"/>
    <w:rsid w:val="00054C30"/>
    <w:rsid w:val="0005540C"/>
    <w:rsid w:val="000554FB"/>
    <w:rsid w:val="00055CDB"/>
    <w:rsid w:val="0005690C"/>
    <w:rsid w:val="000569A8"/>
    <w:rsid w:val="00057CBE"/>
    <w:rsid w:val="00060813"/>
    <w:rsid w:val="0006126D"/>
    <w:rsid w:val="00061562"/>
    <w:rsid w:val="00061AFC"/>
    <w:rsid w:val="00061B33"/>
    <w:rsid w:val="00061B38"/>
    <w:rsid w:val="00061D27"/>
    <w:rsid w:val="00061E60"/>
    <w:rsid w:val="00062387"/>
    <w:rsid w:val="00063689"/>
    <w:rsid w:val="00063A04"/>
    <w:rsid w:val="000644CA"/>
    <w:rsid w:val="00066ABB"/>
    <w:rsid w:val="000670EC"/>
    <w:rsid w:val="00067A83"/>
    <w:rsid w:val="00067D61"/>
    <w:rsid w:val="000705F9"/>
    <w:rsid w:val="00070C83"/>
    <w:rsid w:val="00071505"/>
    <w:rsid w:val="000718A8"/>
    <w:rsid w:val="0007204F"/>
    <w:rsid w:val="000730C6"/>
    <w:rsid w:val="00073A43"/>
    <w:rsid w:val="00073BFF"/>
    <w:rsid w:val="000743CD"/>
    <w:rsid w:val="00074E47"/>
    <w:rsid w:val="00075005"/>
    <w:rsid w:val="00075DDE"/>
    <w:rsid w:val="000760A3"/>
    <w:rsid w:val="000762B9"/>
    <w:rsid w:val="00076477"/>
    <w:rsid w:val="00076780"/>
    <w:rsid w:val="000767CC"/>
    <w:rsid w:val="00076F01"/>
    <w:rsid w:val="00077A28"/>
    <w:rsid w:val="000807F4"/>
    <w:rsid w:val="00080C14"/>
    <w:rsid w:val="00080F36"/>
    <w:rsid w:val="000810E8"/>
    <w:rsid w:val="00081FF1"/>
    <w:rsid w:val="00082260"/>
    <w:rsid w:val="0008285A"/>
    <w:rsid w:val="00082BE3"/>
    <w:rsid w:val="00082C4E"/>
    <w:rsid w:val="0008310F"/>
    <w:rsid w:val="000832F1"/>
    <w:rsid w:val="0008332E"/>
    <w:rsid w:val="000836B4"/>
    <w:rsid w:val="00084259"/>
    <w:rsid w:val="000850DD"/>
    <w:rsid w:val="00085106"/>
    <w:rsid w:val="0008528A"/>
    <w:rsid w:val="000858E0"/>
    <w:rsid w:val="00085F6D"/>
    <w:rsid w:val="00085FE3"/>
    <w:rsid w:val="0008616C"/>
    <w:rsid w:val="00086306"/>
    <w:rsid w:val="00087233"/>
    <w:rsid w:val="00087525"/>
    <w:rsid w:val="00087A13"/>
    <w:rsid w:val="00087C63"/>
    <w:rsid w:val="00087FCE"/>
    <w:rsid w:val="000894FE"/>
    <w:rsid w:val="000900EB"/>
    <w:rsid w:val="0009036E"/>
    <w:rsid w:val="00090375"/>
    <w:rsid w:val="0009082C"/>
    <w:rsid w:val="0009090E"/>
    <w:rsid w:val="00090A93"/>
    <w:rsid w:val="00091CE5"/>
    <w:rsid w:val="00091ED8"/>
    <w:rsid w:val="000923E0"/>
    <w:rsid w:val="0009241D"/>
    <w:rsid w:val="00092C04"/>
    <w:rsid w:val="0009359F"/>
    <w:rsid w:val="000939F3"/>
    <w:rsid w:val="00093E73"/>
    <w:rsid w:val="000957C9"/>
    <w:rsid w:val="0009599F"/>
    <w:rsid w:val="00095A13"/>
    <w:rsid w:val="00095FD4"/>
    <w:rsid w:val="00096285"/>
    <w:rsid w:val="00096AEF"/>
    <w:rsid w:val="00096C95"/>
    <w:rsid w:val="00097008"/>
    <w:rsid w:val="000970C4"/>
    <w:rsid w:val="000971CD"/>
    <w:rsid w:val="00097FA2"/>
    <w:rsid w:val="000A0487"/>
    <w:rsid w:val="000A06CD"/>
    <w:rsid w:val="000A0A21"/>
    <w:rsid w:val="000A0B5C"/>
    <w:rsid w:val="000A0C31"/>
    <w:rsid w:val="000A0FE1"/>
    <w:rsid w:val="000A10F9"/>
    <w:rsid w:val="000A1849"/>
    <w:rsid w:val="000A1D61"/>
    <w:rsid w:val="000A20BC"/>
    <w:rsid w:val="000A23BA"/>
    <w:rsid w:val="000A2768"/>
    <w:rsid w:val="000A34BD"/>
    <w:rsid w:val="000A36F6"/>
    <w:rsid w:val="000A3B65"/>
    <w:rsid w:val="000A3C89"/>
    <w:rsid w:val="000A3D77"/>
    <w:rsid w:val="000A3E0B"/>
    <w:rsid w:val="000A3F3C"/>
    <w:rsid w:val="000A40E1"/>
    <w:rsid w:val="000A41E0"/>
    <w:rsid w:val="000A4344"/>
    <w:rsid w:val="000A440F"/>
    <w:rsid w:val="000A4B93"/>
    <w:rsid w:val="000A59D1"/>
    <w:rsid w:val="000A5A44"/>
    <w:rsid w:val="000A62A5"/>
    <w:rsid w:val="000A635F"/>
    <w:rsid w:val="000A640F"/>
    <w:rsid w:val="000A6A5E"/>
    <w:rsid w:val="000A6F78"/>
    <w:rsid w:val="000A723D"/>
    <w:rsid w:val="000A72E5"/>
    <w:rsid w:val="000AEA1E"/>
    <w:rsid w:val="000B089B"/>
    <w:rsid w:val="000B130C"/>
    <w:rsid w:val="000B1FA4"/>
    <w:rsid w:val="000B227D"/>
    <w:rsid w:val="000B2DBB"/>
    <w:rsid w:val="000B31D5"/>
    <w:rsid w:val="000B393A"/>
    <w:rsid w:val="000B3AAA"/>
    <w:rsid w:val="000B3B90"/>
    <w:rsid w:val="000B3DE7"/>
    <w:rsid w:val="000B40CD"/>
    <w:rsid w:val="000B4A70"/>
    <w:rsid w:val="000B4D04"/>
    <w:rsid w:val="000B4D36"/>
    <w:rsid w:val="000B64F8"/>
    <w:rsid w:val="000B68F0"/>
    <w:rsid w:val="000B7534"/>
    <w:rsid w:val="000B778E"/>
    <w:rsid w:val="000B7BAB"/>
    <w:rsid w:val="000C07ED"/>
    <w:rsid w:val="000C091B"/>
    <w:rsid w:val="000C0C5D"/>
    <w:rsid w:val="000C0C6F"/>
    <w:rsid w:val="000C0CCE"/>
    <w:rsid w:val="000C0E43"/>
    <w:rsid w:val="000C0EBA"/>
    <w:rsid w:val="000C1B3B"/>
    <w:rsid w:val="000C223E"/>
    <w:rsid w:val="000C37FB"/>
    <w:rsid w:val="000C3C2A"/>
    <w:rsid w:val="000C44A0"/>
    <w:rsid w:val="000C4C9D"/>
    <w:rsid w:val="000C54C8"/>
    <w:rsid w:val="000C6239"/>
    <w:rsid w:val="000C6566"/>
    <w:rsid w:val="000C6AAD"/>
    <w:rsid w:val="000C6AF8"/>
    <w:rsid w:val="000C7733"/>
    <w:rsid w:val="000C7B73"/>
    <w:rsid w:val="000C7B8D"/>
    <w:rsid w:val="000C7B96"/>
    <w:rsid w:val="000D0A1E"/>
    <w:rsid w:val="000D11D6"/>
    <w:rsid w:val="000D17C8"/>
    <w:rsid w:val="000D286F"/>
    <w:rsid w:val="000D28F6"/>
    <w:rsid w:val="000D2DE0"/>
    <w:rsid w:val="000D2F90"/>
    <w:rsid w:val="000D3C46"/>
    <w:rsid w:val="000D42FB"/>
    <w:rsid w:val="000D45CB"/>
    <w:rsid w:val="000D46DD"/>
    <w:rsid w:val="000D4C02"/>
    <w:rsid w:val="000D52C3"/>
    <w:rsid w:val="000D52DD"/>
    <w:rsid w:val="000D556D"/>
    <w:rsid w:val="000D5612"/>
    <w:rsid w:val="000D5819"/>
    <w:rsid w:val="000D586A"/>
    <w:rsid w:val="000D63D2"/>
    <w:rsid w:val="000D63F1"/>
    <w:rsid w:val="000D67A4"/>
    <w:rsid w:val="000D683C"/>
    <w:rsid w:val="000D6A61"/>
    <w:rsid w:val="000D7A05"/>
    <w:rsid w:val="000DF6D0"/>
    <w:rsid w:val="000E010E"/>
    <w:rsid w:val="000E0273"/>
    <w:rsid w:val="000E04D1"/>
    <w:rsid w:val="000E0E36"/>
    <w:rsid w:val="000E1040"/>
    <w:rsid w:val="000E13D2"/>
    <w:rsid w:val="000E1587"/>
    <w:rsid w:val="000E17A3"/>
    <w:rsid w:val="000E17F3"/>
    <w:rsid w:val="000E1D7B"/>
    <w:rsid w:val="000E20A0"/>
    <w:rsid w:val="000E256A"/>
    <w:rsid w:val="000E2845"/>
    <w:rsid w:val="000E325B"/>
    <w:rsid w:val="000E3322"/>
    <w:rsid w:val="000E3CCA"/>
    <w:rsid w:val="000E3FEB"/>
    <w:rsid w:val="000E47ED"/>
    <w:rsid w:val="000E4C1F"/>
    <w:rsid w:val="000E4C3A"/>
    <w:rsid w:val="000E4C91"/>
    <w:rsid w:val="000E51D2"/>
    <w:rsid w:val="000E5A5F"/>
    <w:rsid w:val="000E5B78"/>
    <w:rsid w:val="000E5D31"/>
    <w:rsid w:val="000E6EE8"/>
    <w:rsid w:val="000E7F3F"/>
    <w:rsid w:val="000E7FC4"/>
    <w:rsid w:val="000F0184"/>
    <w:rsid w:val="000F0508"/>
    <w:rsid w:val="000F0C74"/>
    <w:rsid w:val="000F10E3"/>
    <w:rsid w:val="000F10F6"/>
    <w:rsid w:val="000F12A7"/>
    <w:rsid w:val="000F1C25"/>
    <w:rsid w:val="000F1F4E"/>
    <w:rsid w:val="000F2A2F"/>
    <w:rsid w:val="000F2A9B"/>
    <w:rsid w:val="000F2C70"/>
    <w:rsid w:val="000F3B75"/>
    <w:rsid w:val="000F3D13"/>
    <w:rsid w:val="000F4E57"/>
    <w:rsid w:val="000F5766"/>
    <w:rsid w:val="000F66D8"/>
    <w:rsid w:val="000F6864"/>
    <w:rsid w:val="000F68B4"/>
    <w:rsid w:val="000F6D59"/>
    <w:rsid w:val="000F6F3B"/>
    <w:rsid w:val="000FEA02"/>
    <w:rsid w:val="00100B0C"/>
    <w:rsid w:val="00100C92"/>
    <w:rsid w:val="00101C68"/>
    <w:rsid w:val="00102716"/>
    <w:rsid w:val="00104EEF"/>
    <w:rsid w:val="001051D9"/>
    <w:rsid w:val="001062A1"/>
    <w:rsid w:val="00106AB4"/>
    <w:rsid w:val="00106CE5"/>
    <w:rsid w:val="0010724A"/>
    <w:rsid w:val="00107694"/>
    <w:rsid w:val="00107BB6"/>
    <w:rsid w:val="00107E5F"/>
    <w:rsid w:val="001105D0"/>
    <w:rsid w:val="00110836"/>
    <w:rsid w:val="00110EB8"/>
    <w:rsid w:val="00111224"/>
    <w:rsid w:val="00111450"/>
    <w:rsid w:val="00111456"/>
    <w:rsid w:val="001124EF"/>
    <w:rsid w:val="001127CA"/>
    <w:rsid w:val="00113B7A"/>
    <w:rsid w:val="00113BC7"/>
    <w:rsid w:val="00113D0B"/>
    <w:rsid w:val="00113F7B"/>
    <w:rsid w:val="00114383"/>
    <w:rsid w:val="0011445B"/>
    <w:rsid w:val="00114487"/>
    <w:rsid w:val="001148C1"/>
    <w:rsid w:val="00115A36"/>
    <w:rsid w:val="001163CC"/>
    <w:rsid w:val="00116937"/>
    <w:rsid w:val="00116D6D"/>
    <w:rsid w:val="00117971"/>
    <w:rsid w:val="00117EB8"/>
    <w:rsid w:val="00117F64"/>
    <w:rsid w:val="0012052C"/>
    <w:rsid w:val="00120D0E"/>
    <w:rsid w:val="0012129E"/>
    <w:rsid w:val="00122008"/>
    <w:rsid w:val="00122048"/>
    <w:rsid w:val="00122631"/>
    <w:rsid w:val="00123022"/>
    <w:rsid w:val="001235EE"/>
    <w:rsid w:val="0012381D"/>
    <w:rsid w:val="0012399F"/>
    <w:rsid w:val="00123CFE"/>
    <w:rsid w:val="0012469B"/>
    <w:rsid w:val="001246F3"/>
    <w:rsid w:val="0012486C"/>
    <w:rsid w:val="0012490E"/>
    <w:rsid w:val="00124A30"/>
    <w:rsid w:val="001251EE"/>
    <w:rsid w:val="00125C26"/>
    <w:rsid w:val="00125CF9"/>
    <w:rsid w:val="001260A4"/>
    <w:rsid w:val="00126662"/>
    <w:rsid w:val="0012668E"/>
    <w:rsid w:val="00127271"/>
    <w:rsid w:val="0012788E"/>
    <w:rsid w:val="00127B6E"/>
    <w:rsid w:val="00127B7C"/>
    <w:rsid w:val="00127CA4"/>
    <w:rsid w:val="001305A5"/>
    <w:rsid w:val="00130754"/>
    <w:rsid w:val="00131894"/>
    <w:rsid w:val="00132000"/>
    <w:rsid w:val="001320DA"/>
    <w:rsid w:val="0013215B"/>
    <w:rsid w:val="001321F5"/>
    <w:rsid w:val="001323D4"/>
    <w:rsid w:val="001327B3"/>
    <w:rsid w:val="00132B57"/>
    <w:rsid w:val="00132EA1"/>
    <w:rsid w:val="0013430C"/>
    <w:rsid w:val="0013462B"/>
    <w:rsid w:val="00134715"/>
    <w:rsid w:val="00134FA0"/>
    <w:rsid w:val="001354BD"/>
    <w:rsid w:val="00135E93"/>
    <w:rsid w:val="00135F57"/>
    <w:rsid w:val="0013632C"/>
    <w:rsid w:val="00136650"/>
    <w:rsid w:val="00137437"/>
    <w:rsid w:val="001375CC"/>
    <w:rsid w:val="00137763"/>
    <w:rsid w:val="001377A3"/>
    <w:rsid w:val="001378D3"/>
    <w:rsid w:val="00137A0D"/>
    <w:rsid w:val="00137B2D"/>
    <w:rsid w:val="00137CD2"/>
    <w:rsid w:val="00137EAB"/>
    <w:rsid w:val="00137EC2"/>
    <w:rsid w:val="0014093E"/>
    <w:rsid w:val="001409BA"/>
    <w:rsid w:val="001410CC"/>
    <w:rsid w:val="001414E8"/>
    <w:rsid w:val="00141FCF"/>
    <w:rsid w:val="00141FF6"/>
    <w:rsid w:val="00142864"/>
    <w:rsid w:val="001429BE"/>
    <w:rsid w:val="001433A0"/>
    <w:rsid w:val="0014411F"/>
    <w:rsid w:val="00144A9D"/>
    <w:rsid w:val="00144F2B"/>
    <w:rsid w:val="001452C9"/>
    <w:rsid w:val="00145510"/>
    <w:rsid w:val="00145B1A"/>
    <w:rsid w:val="00145DEB"/>
    <w:rsid w:val="001464BE"/>
    <w:rsid w:val="00146F12"/>
    <w:rsid w:val="00147B37"/>
    <w:rsid w:val="001503CA"/>
    <w:rsid w:val="00150FB8"/>
    <w:rsid w:val="001515A5"/>
    <w:rsid w:val="001516EB"/>
    <w:rsid w:val="00151BE1"/>
    <w:rsid w:val="001523F6"/>
    <w:rsid w:val="00152829"/>
    <w:rsid w:val="0015296D"/>
    <w:rsid w:val="00153434"/>
    <w:rsid w:val="00153C10"/>
    <w:rsid w:val="00154650"/>
    <w:rsid w:val="00155012"/>
    <w:rsid w:val="0015542F"/>
    <w:rsid w:val="00155CF5"/>
    <w:rsid w:val="00156484"/>
    <w:rsid w:val="001565CF"/>
    <w:rsid w:val="00156EB9"/>
    <w:rsid w:val="0015700F"/>
    <w:rsid w:val="0015771E"/>
    <w:rsid w:val="00160B1F"/>
    <w:rsid w:val="001613CF"/>
    <w:rsid w:val="00161676"/>
    <w:rsid w:val="00161CDB"/>
    <w:rsid w:val="00161D32"/>
    <w:rsid w:val="00162007"/>
    <w:rsid w:val="00162445"/>
    <w:rsid w:val="001626A5"/>
    <w:rsid w:val="001626CB"/>
    <w:rsid w:val="00162CF5"/>
    <w:rsid w:val="00162EB4"/>
    <w:rsid w:val="0016325A"/>
    <w:rsid w:val="0016352C"/>
    <w:rsid w:val="00163B23"/>
    <w:rsid w:val="00164772"/>
    <w:rsid w:val="0016492A"/>
    <w:rsid w:val="00164B7B"/>
    <w:rsid w:val="00164BDA"/>
    <w:rsid w:val="0016514E"/>
    <w:rsid w:val="001657D3"/>
    <w:rsid w:val="001664CC"/>
    <w:rsid w:val="00166BF6"/>
    <w:rsid w:val="00166CF5"/>
    <w:rsid w:val="00166E38"/>
    <w:rsid w:val="00166FBB"/>
    <w:rsid w:val="00166FF8"/>
    <w:rsid w:val="00167612"/>
    <w:rsid w:val="001679B6"/>
    <w:rsid w:val="00167EF7"/>
    <w:rsid w:val="00170DAF"/>
    <w:rsid w:val="00171429"/>
    <w:rsid w:val="001714E6"/>
    <w:rsid w:val="0017167E"/>
    <w:rsid w:val="0017169C"/>
    <w:rsid w:val="0017213F"/>
    <w:rsid w:val="001723B0"/>
    <w:rsid w:val="001723B7"/>
    <w:rsid w:val="00172481"/>
    <w:rsid w:val="00172538"/>
    <w:rsid w:val="0017272C"/>
    <w:rsid w:val="00172B82"/>
    <w:rsid w:val="0017319A"/>
    <w:rsid w:val="0017369B"/>
    <w:rsid w:val="00173E6B"/>
    <w:rsid w:val="0017434D"/>
    <w:rsid w:val="001744B2"/>
    <w:rsid w:val="0017461B"/>
    <w:rsid w:val="00174CC7"/>
    <w:rsid w:val="00175095"/>
    <w:rsid w:val="001755D0"/>
    <w:rsid w:val="00175846"/>
    <w:rsid w:val="0017587F"/>
    <w:rsid w:val="00176706"/>
    <w:rsid w:val="00176817"/>
    <w:rsid w:val="00176D5C"/>
    <w:rsid w:val="00177A42"/>
    <w:rsid w:val="001801B1"/>
    <w:rsid w:val="00180205"/>
    <w:rsid w:val="00180306"/>
    <w:rsid w:val="001810F9"/>
    <w:rsid w:val="0018177E"/>
    <w:rsid w:val="0018189F"/>
    <w:rsid w:val="001821F8"/>
    <w:rsid w:val="001825E3"/>
    <w:rsid w:val="00182846"/>
    <w:rsid w:val="0018298B"/>
    <w:rsid w:val="001833FB"/>
    <w:rsid w:val="00183555"/>
    <w:rsid w:val="00183C34"/>
    <w:rsid w:val="00184E42"/>
    <w:rsid w:val="00184F0E"/>
    <w:rsid w:val="00185020"/>
    <w:rsid w:val="00185616"/>
    <w:rsid w:val="00185792"/>
    <w:rsid w:val="001859FD"/>
    <w:rsid w:val="00185F7A"/>
    <w:rsid w:val="00186202"/>
    <w:rsid w:val="00186383"/>
    <w:rsid w:val="001863FF"/>
    <w:rsid w:val="00186521"/>
    <w:rsid w:val="0018695F"/>
    <w:rsid w:val="001877F0"/>
    <w:rsid w:val="00187CDB"/>
    <w:rsid w:val="00187CF1"/>
    <w:rsid w:val="00190ED4"/>
    <w:rsid w:val="0019137E"/>
    <w:rsid w:val="00191784"/>
    <w:rsid w:val="00191D06"/>
    <w:rsid w:val="00191EA3"/>
    <w:rsid w:val="00191EFF"/>
    <w:rsid w:val="00192325"/>
    <w:rsid w:val="001930FB"/>
    <w:rsid w:val="0019365E"/>
    <w:rsid w:val="00193BBB"/>
    <w:rsid w:val="00193F9B"/>
    <w:rsid w:val="001944BD"/>
    <w:rsid w:val="00196383"/>
    <w:rsid w:val="00196411"/>
    <w:rsid w:val="001964E6"/>
    <w:rsid w:val="001967AC"/>
    <w:rsid w:val="00196BDC"/>
    <w:rsid w:val="0019702C"/>
    <w:rsid w:val="00197197"/>
    <w:rsid w:val="00197900"/>
    <w:rsid w:val="001A0AA7"/>
    <w:rsid w:val="001A2453"/>
    <w:rsid w:val="001A2CA7"/>
    <w:rsid w:val="001A3078"/>
    <w:rsid w:val="001A316D"/>
    <w:rsid w:val="001A35A2"/>
    <w:rsid w:val="001A375C"/>
    <w:rsid w:val="001A4317"/>
    <w:rsid w:val="001A44CE"/>
    <w:rsid w:val="001A4D96"/>
    <w:rsid w:val="001A5D09"/>
    <w:rsid w:val="001A5ED5"/>
    <w:rsid w:val="001A6146"/>
    <w:rsid w:val="001A6848"/>
    <w:rsid w:val="001A68BB"/>
    <w:rsid w:val="001A68CB"/>
    <w:rsid w:val="001A6A2B"/>
    <w:rsid w:val="001A6D3C"/>
    <w:rsid w:val="001A70E3"/>
    <w:rsid w:val="001A7F47"/>
    <w:rsid w:val="001B01EB"/>
    <w:rsid w:val="001B03DF"/>
    <w:rsid w:val="001B07D3"/>
    <w:rsid w:val="001B08C0"/>
    <w:rsid w:val="001B0994"/>
    <w:rsid w:val="001B127F"/>
    <w:rsid w:val="001B13C4"/>
    <w:rsid w:val="001B14C3"/>
    <w:rsid w:val="001B1B11"/>
    <w:rsid w:val="001B1CF0"/>
    <w:rsid w:val="001B235C"/>
    <w:rsid w:val="001B24B4"/>
    <w:rsid w:val="001B294C"/>
    <w:rsid w:val="001B2ED0"/>
    <w:rsid w:val="001B3388"/>
    <w:rsid w:val="001B3FE0"/>
    <w:rsid w:val="001B452A"/>
    <w:rsid w:val="001B4BAF"/>
    <w:rsid w:val="001B4FDB"/>
    <w:rsid w:val="001B582F"/>
    <w:rsid w:val="001B5874"/>
    <w:rsid w:val="001B5D11"/>
    <w:rsid w:val="001B7706"/>
    <w:rsid w:val="001C0412"/>
    <w:rsid w:val="001C07A9"/>
    <w:rsid w:val="001C0848"/>
    <w:rsid w:val="001C0D10"/>
    <w:rsid w:val="001C0D82"/>
    <w:rsid w:val="001C2220"/>
    <w:rsid w:val="001C2906"/>
    <w:rsid w:val="001C2B66"/>
    <w:rsid w:val="001C40FA"/>
    <w:rsid w:val="001C4181"/>
    <w:rsid w:val="001C465D"/>
    <w:rsid w:val="001C5064"/>
    <w:rsid w:val="001C5FFC"/>
    <w:rsid w:val="001C668E"/>
    <w:rsid w:val="001C66FF"/>
    <w:rsid w:val="001C6A41"/>
    <w:rsid w:val="001C7869"/>
    <w:rsid w:val="001C7D62"/>
    <w:rsid w:val="001D0259"/>
    <w:rsid w:val="001D0905"/>
    <w:rsid w:val="001D0E0A"/>
    <w:rsid w:val="001D161D"/>
    <w:rsid w:val="001D1E54"/>
    <w:rsid w:val="001D2DF6"/>
    <w:rsid w:val="001D30F0"/>
    <w:rsid w:val="001D31D3"/>
    <w:rsid w:val="001D3225"/>
    <w:rsid w:val="001D324F"/>
    <w:rsid w:val="001D3B23"/>
    <w:rsid w:val="001D3FE3"/>
    <w:rsid w:val="001D4270"/>
    <w:rsid w:val="001D4870"/>
    <w:rsid w:val="001D5B4C"/>
    <w:rsid w:val="001D603D"/>
    <w:rsid w:val="001D604D"/>
    <w:rsid w:val="001D662C"/>
    <w:rsid w:val="001D7554"/>
    <w:rsid w:val="001E0740"/>
    <w:rsid w:val="001E0A36"/>
    <w:rsid w:val="001E0F2F"/>
    <w:rsid w:val="001E1251"/>
    <w:rsid w:val="001E133A"/>
    <w:rsid w:val="001E15B1"/>
    <w:rsid w:val="001E18C1"/>
    <w:rsid w:val="001E1B2C"/>
    <w:rsid w:val="001E1B7C"/>
    <w:rsid w:val="001E222B"/>
    <w:rsid w:val="001E226E"/>
    <w:rsid w:val="001E3466"/>
    <w:rsid w:val="001E38D1"/>
    <w:rsid w:val="001E3970"/>
    <w:rsid w:val="001E3AD8"/>
    <w:rsid w:val="001E49BB"/>
    <w:rsid w:val="001E4C4C"/>
    <w:rsid w:val="001E4C8E"/>
    <w:rsid w:val="001E4E80"/>
    <w:rsid w:val="001E571D"/>
    <w:rsid w:val="001E5774"/>
    <w:rsid w:val="001E5847"/>
    <w:rsid w:val="001E58A4"/>
    <w:rsid w:val="001E6CDF"/>
    <w:rsid w:val="001E715E"/>
    <w:rsid w:val="001E77BC"/>
    <w:rsid w:val="001EA489"/>
    <w:rsid w:val="001F15FF"/>
    <w:rsid w:val="001F1AB0"/>
    <w:rsid w:val="001F2098"/>
    <w:rsid w:val="001F2645"/>
    <w:rsid w:val="001F2947"/>
    <w:rsid w:val="001F30F7"/>
    <w:rsid w:val="001F3334"/>
    <w:rsid w:val="001F3DBA"/>
    <w:rsid w:val="001F4264"/>
    <w:rsid w:val="001F4352"/>
    <w:rsid w:val="001F4436"/>
    <w:rsid w:val="001F47F0"/>
    <w:rsid w:val="001F5074"/>
    <w:rsid w:val="001F52AD"/>
    <w:rsid w:val="001F5467"/>
    <w:rsid w:val="001F5F03"/>
    <w:rsid w:val="001F6370"/>
    <w:rsid w:val="001F6BB1"/>
    <w:rsid w:val="001F6EAD"/>
    <w:rsid w:val="001F701B"/>
    <w:rsid w:val="002007D7"/>
    <w:rsid w:val="00200BBF"/>
    <w:rsid w:val="002017A0"/>
    <w:rsid w:val="00201C07"/>
    <w:rsid w:val="00201F25"/>
    <w:rsid w:val="00202C12"/>
    <w:rsid w:val="00203B61"/>
    <w:rsid w:val="002045F3"/>
    <w:rsid w:val="00204880"/>
    <w:rsid w:val="00204B03"/>
    <w:rsid w:val="00204BB5"/>
    <w:rsid w:val="00205116"/>
    <w:rsid w:val="00205508"/>
    <w:rsid w:val="00205555"/>
    <w:rsid w:val="00205CC8"/>
    <w:rsid w:val="002062A1"/>
    <w:rsid w:val="002068EB"/>
    <w:rsid w:val="002073DA"/>
    <w:rsid w:val="00207E29"/>
    <w:rsid w:val="00210364"/>
    <w:rsid w:val="002104DD"/>
    <w:rsid w:val="002104E3"/>
    <w:rsid w:val="00210513"/>
    <w:rsid w:val="00210630"/>
    <w:rsid w:val="00210734"/>
    <w:rsid w:val="002109AE"/>
    <w:rsid w:val="0021182B"/>
    <w:rsid w:val="00211BD9"/>
    <w:rsid w:val="00212230"/>
    <w:rsid w:val="0021229E"/>
    <w:rsid w:val="00212727"/>
    <w:rsid w:val="00212FA0"/>
    <w:rsid w:val="00212FFA"/>
    <w:rsid w:val="00213564"/>
    <w:rsid w:val="00214072"/>
    <w:rsid w:val="002142CF"/>
    <w:rsid w:val="00214ACC"/>
    <w:rsid w:val="00214E71"/>
    <w:rsid w:val="00215216"/>
    <w:rsid w:val="00215935"/>
    <w:rsid w:val="002159D5"/>
    <w:rsid w:val="00215C82"/>
    <w:rsid w:val="00215EDC"/>
    <w:rsid w:val="00215F3E"/>
    <w:rsid w:val="00216633"/>
    <w:rsid w:val="00216B6A"/>
    <w:rsid w:val="002171F9"/>
    <w:rsid w:val="00217570"/>
    <w:rsid w:val="00217FA2"/>
    <w:rsid w:val="0021A4BE"/>
    <w:rsid w:val="00220674"/>
    <w:rsid w:val="002210D8"/>
    <w:rsid w:val="00221652"/>
    <w:rsid w:val="00221B30"/>
    <w:rsid w:val="00221BAC"/>
    <w:rsid w:val="00221F20"/>
    <w:rsid w:val="00222784"/>
    <w:rsid w:val="00223288"/>
    <w:rsid w:val="00223870"/>
    <w:rsid w:val="00223F8F"/>
    <w:rsid w:val="00225A02"/>
    <w:rsid w:val="00226516"/>
    <w:rsid w:val="00226859"/>
    <w:rsid w:val="00226B7B"/>
    <w:rsid w:val="002270C1"/>
    <w:rsid w:val="00227341"/>
    <w:rsid w:val="00227AF3"/>
    <w:rsid w:val="00227BAC"/>
    <w:rsid w:val="00227DAB"/>
    <w:rsid w:val="00230415"/>
    <w:rsid w:val="002304B7"/>
    <w:rsid w:val="00230683"/>
    <w:rsid w:val="002308F7"/>
    <w:rsid w:val="002312E3"/>
    <w:rsid w:val="0023227F"/>
    <w:rsid w:val="002328AD"/>
    <w:rsid w:val="00233773"/>
    <w:rsid w:val="0023449C"/>
    <w:rsid w:val="002346B2"/>
    <w:rsid w:val="002347ED"/>
    <w:rsid w:val="00234859"/>
    <w:rsid w:val="00234869"/>
    <w:rsid w:val="00234B1F"/>
    <w:rsid w:val="00235C95"/>
    <w:rsid w:val="00235E5C"/>
    <w:rsid w:val="00235F2B"/>
    <w:rsid w:val="0023610C"/>
    <w:rsid w:val="0023629D"/>
    <w:rsid w:val="0023639F"/>
    <w:rsid w:val="00236AD5"/>
    <w:rsid w:val="00237CD6"/>
    <w:rsid w:val="00240691"/>
    <w:rsid w:val="00240BB1"/>
    <w:rsid w:val="00241476"/>
    <w:rsid w:val="002415D5"/>
    <w:rsid w:val="00241B2A"/>
    <w:rsid w:val="00241B9E"/>
    <w:rsid w:val="002428F6"/>
    <w:rsid w:val="00242AD0"/>
    <w:rsid w:val="0024362B"/>
    <w:rsid w:val="00244283"/>
    <w:rsid w:val="00244CA3"/>
    <w:rsid w:val="00244DE5"/>
    <w:rsid w:val="00245AB5"/>
    <w:rsid w:val="0024604F"/>
    <w:rsid w:val="00246065"/>
    <w:rsid w:val="0024689F"/>
    <w:rsid w:val="00247159"/>
    <w:rsid w:val="00250E78"/>
    <w:rsid w:val="00250E9E"/>
    <w:rsid w:val="00250F8A"/>
    <w:rsid w:val="0025186D"/>
    <w:rsid w:val="00251C5A"/>
    <w:rsid w:val="00252A4E"/>
    <w:rsid w:val="00252A72"/>
    <w:rsid w:val="00252B62"/>
    <w:rsid w:val="002531B4"/>
    <w:rsid w:val="0025325B"/>
    <w:rsid w:val="00253689"/>
    <w:rsid w:val="00253AC8"/>
    <w:rsid w:val="00254B98"/>
    <w:rsid w:val="00254D65"/>
    <w:rsid w:val="0025549E"/>
    <w:rsid w:val="002554CF"/>
    <w:rsid w:val="002557B3"/>
    <w:rsid w:val="00255877"/>
    <w:rsid w:val="002558E9"/>
    <w:rsid w:val="00255B7D"/>
    <w:rsid w:val="00255C8C"/>
    <w:rsid w:val="00256148"/>
    <w:rsid w:val="00256192"/>
    <w:rsid w:val="002561F8"/>
    <w:rsid w:val="00256453"/>
    <w:rsid w:val="002564E1"/>
    <w:rsid w:val="0025672A"/>
    <w:rsid w:val="0025701C"/>
    <w:rsid w:val="00257453"/>
    <w:rsid w:val="00257485"/>
    <w:rsid w:val="0025759A"/>
    <w:rsid w:val="002577E2"/>
    <w:rsid w:val="00257A52"/>
    <w:rsid w:val="00257AC4"/>
    <w:rsid w:val="00257DB8"/>
    <w:rsid w:val="002602C1"/>
    <w:rsid w:val="00260688"/>
    <w:rsid w:val="00261149"/>
    <w:rsid w:val="00261A6D"/>
    <w:rsid w:val="00262324"/>
    <w:rsid w:val="00262354"/>
    <w:rsid w:val="0026303F"/>
    <w:rsid w:val="00263172"/>
    <w:rsid w:val="00263835"/>
    <w:rsid w:val="00264414"/>
    <w:rsid w:val="00264D8A"/>
    <w:rsid w:val="00265639"/>
    <w:rsid w:val="00265653"/>
    <w:rsid w:val="0026576D"/>
    <w:rsid w:val="00266459"/>
    <w:rsid w:val="0026651E"/>
    <w:rsid w:val="0026702B"/>
    <w:rsid w:val="0026708C"/>
    <w:rsid w:val="0026738D"/>
    <w:rsid w:val="00267493"/>
    <w:rsid w:val="00267770"/>
    <w:rsid w:val="0026798F"/>
    <w:rsid w:val="00267D3B"/>
    <w:rsid w:val="00267DF2"/>
    <w:rsid w:val="002700E8"/>
    <w:rsid w:val="0027010E"/>
    <w:rsid w:val="002704A8"/>
    <w:rsid w:val="00270C79"/>
    <w:rsid w:val="00271EBA"/>
    <w:rsid w:val="002726E5"/>
    <w:rsid w:val="00272BFD"/>
    <w:rsid w:val="00272D30"/>
    <w:rsid w:val="00272F3C"/>
    <w:rsid w:val="00273E2B"/>
    <w:rsid w:val="00273E60"/>
    <w:rsid w:val="00274DBB"/>
    <w:rsid w:val="00275020"/>
    <w:rsid w:val="002760D8"/>
    <w:rsid w:val="00276D6F"/>
    <w:rsid w:val="00277435"/>
    <w:rsid w:val="002802A9"/>
    <w:rsid w:val="0028061F"/>
    <w:rsid w:val="002806DA"/>
    <w:rsid w:val="00280700"/>
    <w:rsid w:val="00281365"/>
    <w:rsid w:val="002816BC"/>
    <w:rsid w:val="00282698"/>
    <w:rsid w:val="00282B9B"/>
    <w:rsid w:val="00283702"/>
    <w:rsid w:val="00283C9A"/>
    <w:rsid w:val="00283F16"/>
    <w:rsid w:val="002845D3"/>
    <w:rsid w:val="00284B3F"/>
    <w:rsid w:val="00285393"/>
    <w:rsid w:val="002855F3"/>
    <w:rsid w:val="00285699"/>
    <w:rsid w:val="00286478"/>
    <w:rsid w:val="00286B81"/>
    <w:rsid w:val="00286E15"/>
    <w:rsid w:val="002876D3"/>
    <w:rsid w:val="00287C48"/>
    <w:rsid w:val="00287DBD"/>
    <w:rsid w:val="00291762"/>
    <w:rsid w:val="002917D2"/>
    <w:rsid w:val="00291998"/>
    <w:rsid w:val="00291EA1"/>
    <w:rsid w:val="0029233E"/>
    <w:rsid w:val="0029277D"/>
    <w:rsid w:val="00292871"/>
    <w:rsid w:val="002930F5"/>
    <w:rsid w:val="002940CA"/>
    <w:rsid w:val="00294178"/>
    <w:rsid w:val="002943F4"/>
    <w:rsid w:val="00294425"/>
    <w:rsid w:val="00294851"/>
    <w:rsid w:val="00294C53"/>
    <w:rsid w:val="0029547C"/>
    <w:rsid w:val="002958FC"/>
    <w:rsid w:val="00295DD3"/>
    <w:rsid w:val="00295E8A"/>
    <w:rsid w:val="00295EF3"/>
    <w:rsid w:val="00296CCA"/>
    <w:rsid w:val="0029759E"/>
    <w:rsid w:val="00297B44"/>
    <w:rsid w:val="002A016A"/>
    <w:rsid w:val="002A07D4"/>
    <w:rsid w:val="002A0ADC"/>
    <w:rsid w:val="002A0B2D"/>
    <w:rsid w:val="002A1125"/>
    <w:rsid w:val="002A1174"/>
    <w:rsid w:val="002A1366"/>
    <w:rsid w:val="002A139C"/>
    <w:rsid w:val="002A189F"/>
    <w:rsid w:val="002A1AE7"/>
    <w:rsid w:val="002A21D3"/>
    <w:rsid w:val="002A28B8"/>
    <w:rsid w:val="002A2CE2"/>
    <w:rsid w:val="002A3980"/>
    <w:rsid w:val="002A39B8"/>
    <w:rsid w:val="002A3AFC"/>
    <w:rsid w:val="002A3CA6"/>
    <w:rsid w:val="002A41D6"/>
    <w:rsid w:val="002A46A0"/>
    <w:rsid w:val="002A49B5"/>
    <w:rsid w:val="002A4DE4"/>
    <w:rsid w:val="002A5137"/>
    <w:rsid w:val="002A52E3"/>
    <w:rsid w:val="002A597B"/>
    <w:rsid w:val="002B0065"/>
    <w:rsid w:val="002B065F"/>
    <w:rsid w:val="002B074E"/>
    <w:rsid w:val="002B0A85"/>
    <w:rsid w:val="002B2D38"/>
    <w:rsid w:val="002B3539"/>
    <w:rsid w:val="002B3792"/>
    <w:rsid w:val="002B3EA8"/>
    <w:rsid w:val="002B4284"/>
    <w:rsid w:val="002B4975"/>
    <w:rsid w:val="002B4CE4"/>
    <w:rsid w:val="002B6B64"/>
    <w:rsid w:val="002B6F5D"/>
    <w:rsid w:val="002B7471"/>
    <w:rsid w:val="002B7999"/>
    <w:rsid w:val="002B7FE2"/>
    <w:rsid w:val="002C03F7"/>
    <w:rsid w:val="002C0BDD"/>
    <w:rsid w:val="002C0FD5"/>
    <w:rsid w:val="002C1355"/>
    <w:rsid w:val="002C15E7"/>
    <w:rsid w:val="002C1617"/>
    <w:rsid w:val="002C1D14"/>
    <w:rsid w:val="002C2208"/>
    <w:rsid w:val="002C231A"/>
    <w:rsid w:val="002C2586"/>
    <w:rsid w:val="002C2FB1"/>
    <w:rsid w:val="002C3382"/>
    <w:rsid w:val="002C3620"/>
    <w:rsid w:val="002C3693"/>
    <w:rsid w:val="002C3EF9"/>
    <w:rsid w:val="002C45EC"/>
    <w:rsid w:val="002C4AC4"/>
    <w:rsid w:val="002C4E1B"/>
    <w:rsid w:val="002C62D6"/>
    <w:rsid w:val="002C66EE"/>
    <w:rsid w:val="002C698C"/>
    <w:rsid w:val="002C6C8A"/>
    <w:rsid w:val="002C7114"/>
    <w:rsid w:val="002C75EE"/>
    <w:rsid w:val="002C791D"/>
    <w:rsid w:val="002C7947"/>
    <w:rsid w:val="002C7C10"/>
    <w:rsid w:val="002D0263"/>
    <w:rsid w:val="002D0808"/>
    <w:rsid w:val="002D1025"/>
    <w:rsid w:val="002D1CEF"/>
    <w:rsid w:val="002D2038"/>
    <w:rsid w:val="002D2193"/>
    <w:rsid w:val="002D219D"/>
    <w:rsid w:val="002D30E0"/>
    <w:rsid w:val="002D36C9"/>
    <w:rsid w:val="002D3910"/>
    <w:rsid w:val="002D436F"/>
    <w:rsid w:val="002D4643"/>
    <w:rsid w:val="002D47D8"/>
    <w:rsid w:val="002D48ED"/>
    <w:rsid w:val="002D4EA6"/>
    <w:rsid w:val="002D4F17"/>
    <w:rsid w:val="002D508F"/>
    <w:rsid w:val="002D518B"/>
    <w:rsid w:val="002D526C"/>
    <w:rsid w:val="002D52D8"/>
    <w:rsid w:val="002D5D3B"/>
    <w:rsid w:val="002D5FDA"/>
    <w:rsid w:val="002D67E4"/>
    <w:rsid w:val="002D7739"/>
    <w:rsid w:val="002E00C5"/>
    <w:rsid w:val="002E0E2D"/>
    <w:rsid w:val="002E1336"/>
    <w:rsid w:val="002E1448"/>
    <w:rsid w:val="002E176D"/>
    <w:rsid w:val="002E2521"/>
    <w:rsid w:val="002E269D"/>
    <w:rsid w:val="002E276C"/>
    <w:rsid w:val="002E2A32"/>
    <w:rsid w:val="002E309F"/>
    <w:rsid w:val="002E4160"/>
    <w:rsid w:val="002E4328"/>
    <w:rsid w:val="002E449B"/>
    <w:rsid w:val="002E502D"/>
    <w:rsid w:val="002E5211"/>
    <w:rsid w:val="002E5358"/>
    <w:rsid w:val="002E5882"/>
    <w:rsid w:val="002E59D1"/>
    <w:rsid w:val="002E5CF4"/>
    <w:rsid w:val="002E616C"/>
    <w:rsid w:val="002E6486"/>
    <w:rsid w:val="002E67CF"/>
    <w:rsid w:val="002E747C"/>
    <w:rsid w:val="002E750C"/>
    <w:rsid w:val="002E765F"/>
    <w:rsid w:val="002E775D"/>
    <w:rsid w:val="002EB9F1"/>
    <w:rsid w:val="002F0282"/>
    <w:rsid w:val="002F02DA"/>
    <w:rsid w:val="002F0ED2"/>
    <w:rsid w:val="002F1D32"/>
    <w:rsid w:val="002F24DD"/>
    <w:rsid w:val="002F26E4"/>
    <w:rsid w:val="002F2A63"/>
    <w:rsid w:val="002F39AA"/>
    <w:rsid w:val="002F44DA"/>
    <w:rsid w:val="002F4962"/>
    <w:rsid w:val="002F4DCE"/>
    <w:rsid w:val="002F54DD"/>
    <w:rsid w:val="002F67F8"/>
    <w:rsid w:val="002F6F4E"/>
    <w:rsid w:val="002F6FB7"/>
    <w:rsid w:val="002F788C"/>
    <w:rsid w:val="002F7E81"/>
    <w:rsid w:val="003002DF"/>
    <w:rsid w:val="00300CD3"/>
    <w:rsid w:val="003010CF"/>
    <w:rsid w:val="00301333"/>
    <w:rsid w:val="00301517"/>
    <w:rsid w:val="00302DB0"/>
    <w:rsid w:val="003035E3"/>
    <w:rsid w:val="0030438C"/>
    <w:rsid w:val="003047B3"/>
    <w:rsid w:val="00304914"/>
    <w:rsid w:val="00306A98"/>
    <w:rsid w:val="00306E01"/>
    <w:rsid w:val="00307A16"/>
    <w:rsid w:val="00307AEF"/>
    <w:rsid w:val="00307E73"/>
    <w:rsid w:val="00310386"/>
    <w:rsid w:val="0031096E"/>
    <w:rsid w:val="003110FD"/>
    <w:rsid w:val="00311816"/>
    <w:rsid w:val="00311AC1"/>
    <w:rsid w:val="00311EFA"/>
    <w:rsid w:val="0031252B"/>
    <w:rsid w:val="003130BA"/>
    <w:rsid w:val="003133A1"/>
    <w:rsid w:val="00313F30"/>
    <w:rsid w:val="00314A0B"/>
    <w:rsid w:val="003154FA"/>
    <w:rsid w:val="00315637"/>
    <w:rsid w:val="003158B2"/>
    <w:rsid w:val="00315CAD"/>
    <w:rsid w:val="00316194"/>
    <w:rsid w:val="00316223"/>
    <w:rsid w:val="003162BC"/>
    <w:rsid w:val="0031632C"/>
    <w:rsid w:val="00316846"/>
    <w:rsid w:val="00316862"/>
    <w:rsid w:val="00316D07"/>
    <w:rsid w:val="00317012"/>
    <w:rsid w:val="00317AE0"/>
    <w:rsid w:val="003200E5"/>
    <w:rsid w:val="00320125"/>
    <w:rsid w:val="00320DBB"/>
    <w:rsid w:val="00321F07"/>
    <w:rsid w:val="00322641"/>
    <w:rsid w:val="003235FB"/>
    <w:rsid w:val="00324574"/>
    <w:rsid w:val="003246B8"/>
    <w:rsid w:val="00324CB2"/>
    <w:rsid w:val="00324DD5"/>
    <w:rsid w:val="00325307"/>
    <w:rsid w:val="00325796"/>
    <w:rsid w:val="00325EB1"/>
    <w:rsid w:val="0032602B"/>
    <w:rsid w:val="0032659B"/>
    <w:rsid w:val="00326A66"/>
    <w:rsid w:val="00326DD4"/>
    <w:rsid w:val="00326E79"/>
    <w:rsid w:val="0032774C"/>
    <w:rsid w:val="00327860"/>
    <w:rsid w:val="0032798C"/>
    <w:rsid w:val="0032B3ED"/>
    <w:rsid w:val="00330610"/>
    <w:rsid w:val="00330618"/>
    <w:rsid w:val="00330C28"/>
    <w:rsid w:val="00331A8F"/>
    <w:rsid w:val="00331B09"/>
    <w:rsid w:val="00332519"/>
    <w:rsid w:val="003337F7"/>
    <w:rsid w:val="00333A11"/>
    <w:rsid w:val="00333A37"/>
    <w:rsid w:val="00333B29"/>
    <w:rsid w:val="0033424D"/>
    <w:rsid w:val="00334C08"/>
    <w:rsid w:val="00334F5B"/>
    <w:rsid w:val="00335377"/>
    <w:rsid w:val="0033540E"/>
    <w:rsid w:val="00335860"/>
    <w:rsid w:val="00335A53"/>
    <w:rsid w:val="00335D35"/>
    <w:rsid w:val="00336916"/>
    <w:rsid w:val="00336CA3"/>
    <w:rsid w:val="00337269"/>
    <w:rsid w:val="00337541"/>
    <w:rsid w:val="00337CEA"/>
    <w:rsid w:val="00337D53"/>
    <w:rsid w:val="00340410"/>
    <w:rsid w:val="00340885"/>
    <w:rsid w:val="00340D5C"/>
    <w:rsid w:val="00340FBB"/>
    <w:rsid w:val="0034136A"/>
    <w:rsid w:val="00341926"/>
    <w:rsid w:val="003419A0"/>
    <w:rsid w:val="00341CF3"/>
    <w:rsid w:val="0034246C"/>
    <w:rsid w:val="00342ACF"/>
    <w:rsid w:val="003435C2"/>
    <w:rsid w:val="0034370B"/>
    <w:rsid w:val="0034398C"/>
    <w:rsid w:val="00344012"/>
    <w:rsid w:val="0034413C"/>
    <w:rsid w:val="00344663"/>
    <w:rsid w:val="00344C24"/>
    <w:rsid w:val="00344CDA"/>
    <w:rsid w:val="00344D23"/>
    <w:rsid w:val="0034532A"/>
    <w:rsid w:val="003454BA"/>
    <w:rsid w:val="0034578C"/>
    <w:rsid w:val="00345C77"/>
    <w:rsid w:val="00346063"/>
    <w:rsid w:val="00346BEB"/>
    <w:rsid w:val="003470D2"/>
    <w:rsid w:val="0034725A"/>
    <w:rsid w:val="00347CEC"/>
    <w:rsid w:val="00347CFB"/>
    <w:rsid w:val="003506D8"/>
    <w:rsid w:val="003509AF"/>
    <w:rsid w:val="00351ADD"/>
    <w:rsid w:val="00351CA3"/>
    <w:rsid w:val="00351F64"/>
    <w:rsid w:val="003523A1"/>
    <w:rsid w:val="00352409"/>
    <w:rsid w:val="003529DD"/>
    <w:rsid w:val="00352CA5"/>
    <w:rsid w:val="003537AD"/>
    <w:rsid w:val="00353CD8"/>
    <w:rsid w:val="00353E58"/>
    <w:rsid w:val="00354AB7"/>
    <w:rsid w:val="00354ED5"/>
    <w:rsid w:val="0035530B"/>
    <w:rsid w:val="00355C3C"/>
    <w:rsid w:val="003560E3"/>
    <w:rsid w:val="00356AD3"/>
    <w:rsid w:val="00356B40"/>
    <w:rsid w:val="0035743A"/>
    <w:rsid w:val="003574B6"/>
    <w:rsid w:val="003578D9"/>
    <w:rsid w:val="00357C9E"/>
    <w:rsid w:val="003608F3"/>
    <w:rsid w:val="00360D44"/>
    <w:rsid w:val="0036107B"/>
    <w:rsid w:val="00361A30"/>
    <w:rsid w:val="00361C4A"/>
    <w:rsid w:val="003620D1"/>
    <w:rsid w:val="003623FB"/>
    <w:rsid w:val="00362A9F"/>
    <w:rsid w:val="003632AB"/>
    <w:rsid w:val="003635E8"/>
    <w:rsid w:val="003635FF"/>
    <w:rsid w:val="003636A1"/>
    <w:rsid w:val="00363A53"/>
    <w:rsid w:val="00363DEB"/>
    <w:rsid w:val="00363EEE"/>
    <w:rsid w:val="003646A7"/>
    <w:rsid w:val="00364A90"/>
    <w:rsid w:val="00364A94"/>
    <w:rsid w:val="00364D50"/>
    <w:rsid w:val="00364ED8"/>
    <w:rsid w:val="0036501E"/>
    <w:rsid w:val="00365414"/>
    <w:rsid w:val="00365415"/>
    <w:rsid w:val="003658C5"/>
    <w:rsid w:val="00365C1C"/>
    <w:rsid w:val="00366123"/>
    <w:rsid w:val="00366620"/>
    <w:rsid w:val="00366639"/>
    <w:rsid w:val="003668C3"/>
    <w:rsid w:val="00366B02"/>
    <w:rsid w:val="00366B79"/>
    <w:rsid w:val="00367503"/>
    <w:rsid w:val="00367B61"/>
    <w:rsid w:val="00370B8E"/>
    <w:rsid w:val="0037172F"/>
    <w:rsid w:val="0037179A"/>
    <w:rsid w:val="00371ADE"/>
    <w:rsid w:val="00371BFE"/>
    <w:rsid w:val="00371D46"/>
    <w:rsid w:val="00371DBB"/>
    <w:rsid w:val="003723F7"/>
    <w:rsid w:val="0037267F"/>
    <w:rsid w:val="00373284"/>
    <w:rsid w:val="00373D9F"/>
    <w:rsid w:val="003740DC"/>
    <w:rsid w:val="00374687"/>
    <w:rsid w:val="00374C7C"/>
    <w:rsid w:val="00374D96"/>
    <w:rsid w:val="0037558C"/>
    <w:rsid w:val="0037569B"/>
    <w:rsid w:val="00375C48"/>
    <w:rsid w:val="00375CEE"/>
    <w:rsid w:val="00376630"/>
    <w:rsid w:val="00376636"/>
    <w:rsid w:val="003769A5"/>
    <w:rsid w:val="00376C6B"/>
    <w:rsid w:val="003777D7"/>
    <w:rsid w:val="00377FCF"/>
    <w:rsid w:val="003803BD"/>
    <w:rsid w:val="00380CFF"/>
    <w:rsid w:val="00381006"/>
    <w:rsid w:val="00381017"/>
    <w:rsid w:val="00382737"/>
    <w:rsid w:val="00382AF2"/>
    <w:rsid w:val="003830F7"/>
    <w:rsid w:val="00385192"/>
    <w:rsid w:val="003858E2"/>
    <w:rsid w:val="003858F0"/>
    <w:rsid w:val="00385E9C"/>
    <w:rsid w:val="003863DA"/>
    <w:rsid w:val="00386871"/>
    <w:rsid w:val="00387196"/>
    <w:rsid w:val="00387976"/>
    <w:rsid w:val="00387EC8"/>
    <w:rsid w:val="003895C8"/>
    <w:rsid w:val="003900B4"/>
    <w:rsid w:val="00390590"/>
    <w:rsid w:val="0039083E"/>
    <w:rsid w:val="00390BFC"/>
    <w:rsid w:val="00390F90"/>
    <w:rsid w:val="003915E5"/>
    <w:rsid w:val="003917FD"/>
    <w:rsid w:val="00391B5D"/>
    <w:rsid w:val="00391C5F"/>
    <w:rsid w:val="0039209D"/>
    <w:rsid w:val="00392B35"/>
    <w:rsid w:val="00392E3B"/>
    <w:rsid w:val="00393429"/>
    <w:rsid w:val="00393519"/>
    <w:rsid w:val="003935F8"/>
    <w:rsid w:val="00394438"/>
    <w:rsid w:val="003945C3"/>
    <w:rsid w:val="00394ACE"/>
    <w:rsid w:val="00394F15"/>
    <w:rsid w:val="0039586B"/>
    <w:rsid w:val="00395E9B"/>
    <w:rsid w:val="003963D6"/>
    <w:rsid w:val="003966AC"/>
    <w:rsid w:val="003969DF"/>
    <w:rsid w:val="003972F5"/>
    <w:rsid w:val="003975F7"/>
    <w:rsid w:val="00397949"/>
    <w:rsid w:val="00397ABE"/>
    <w:rsid w:val="00397D8D"/>
    <w:rsid w:val="00397E13"/>
    <w:rsid w:val="003A00F5"/>
    <w:rsid w:val="003A0D52"/>
    <w:rsid w:val="003A114F"/>
    <w:rsid w:val="003A132C"/>
    <w:rsid w:val="003A26D3"/>
    <w:rsid w:val="003A2944"/>
    <w:rsid w:val="003A2AB9"/>
    <w:rsid w:val="003A33A3"/>
    <w:rsid w:val="003A3474"/>
    <w:rsid w:val="003A3500"/>
    <w:rsid w:val="003A39AB"/>
    <w:rsid w:val="003A3A13"/>
    <w:rsid w:val="003A3AE2"/>
    <w:rsid w:val="003A3CDC"/>
    <w:rsid w:val="003A4099"/>
    <w:rsid w:val="003A4281"/>
    <w:rsid w:val="003A42F7"/>
    <w:rsid w:val="003A44B1"/>
    <w:rsid w:val="003A4572"/>
    <w:rsid w:val="003A45F9"/>
    <w:rsid w:val="003A46C3"/>
    <w:rsid w:val="003A4702"/>
    <w:rsid w:val="003A4F2C"/>
    <w:rsid w:val="003A56BF"/>
    <w:rsid w:val="003A583C"/>
    <w:rsid w:val="003A5C5C"/>
    <w:rsid w:val="003A5CD6"/>
    <w:rsid w:val="003A5E7D"/>
    <w:rsid w:val="003A5F4F"/>
    <w:rsid w:val="003A65C0"/>
    <w:rsid w:val="003A69D9"/>
    <w:rsid w:val="003A6AD5"/>
    <w:rsid w:val="003A7162"/>
    <w:rsid w:val="003A754F"/>
    <w:rsid w:val="003A7A99"/>
    <w:rsid w:val="003B00DC"/>
    <w:rsid w:val="003B00EE"/>
    <w:rsid w:val="003B1187"/>
    <w:rsid w:val="003B1271"/>
    <w:rsid w:val="003B2443"/>
    <w:rsid w:val="003B26B3"/>
    <w:rsid w:val="003B282A"/>
    <w:rsid w:val="003B31CB"/>
    <w:rsid w:val="003B320C"/>
    <w:rsid w:val="003B32CE"/>
    <w:rsid w:val="003B338D"/>
    <w:rsid w:val="003B3D3C"/>
    <w:rsid w:val="003B3DC2"/>
    <w:rsid w:val="003B419D"/>
    <w:rsid w:val="003B4440"/>
    <w:rsid w:val="003B462F"/>
    <w:rsid w:val="003B480E"/>
    <w:rsid w:val="003B4910"/>
    <w:rsid w:val="003B4943"/>
    <w:rsid w:val="003B4FE2"/>
    <w:rsid w:val="003B56CD"/>
    <w:rsid w:val="003B59AF"/>
    <w:rsid w:val="003B61A6"/>
    <w:rsid w:val="003B6AFA"/>
    <w:rsid w:val="003B7504"/>
    <w:rsid w:val="003B7833"/>
    <w:rsid w:val="003C0600"/>
    <w:rsid w:val="003C06BF"/>
    <w:rsid w:val="003C0F58"/>
    <w:rsid w:val="003C1038"/>
    <w:rsid w:val="003C1433"/>
    <w:rsid w:val="003C1531"/>
    <w:rsid w:val="003C1557"/>
    <w:rsid w:val="003C171B"/>
    <w:rsid w:val="003C1786"/>
    <w:rsid w:val="003C1E66"/>
    <w:rsid w:val="003C1EB8"/>
    <w:rsid w:val="003C1EC0"/>
    <w:rsid w:val="003C24E1"/>
    <w:rsid w:val="003C24E9"/>
    <w:rsid w:val="003C25D8"/>
    <w:rsid w:val="003C2D25"/>
    <w:rsid w:val="003C330D"/>
    <w:rsid w:val="003C3337"/>
    <w:rsid w:val="003C3733"/>
    <w:rsid w:val="003C3F7E"/>
    <w:rsid w:val="003C4201"/>
    <w:rsid w:val="003C444C"/>
    <w:rsid w:val="003C44C2"/>
    <w:rsid w:val="003C4A29"/>
    <w:rsid w:val="003C4C9D"/>
    <w:rsid w:val="003C4F6D"/>
    <w:rsid w:val="003C50A5"/>
    <w:rsid w:val="003C50EF"/>
    <w:rsid w:val="003C57C3"/>
    <w:rsid w:val="003C5BE0"/>
    <w:rsid w:val="003C65CE"/>
    <w:rsid w:val="003C7903"/>
    <w:rsid w:val="003D0583"/>
    <w:rsid w:val="003D0AB5"/>
    <w:rsid w:val="003D108B"/>
    <w:rsid w:val="003D1515"/>
    <w:rsid w:val="003D1720"/>
    <w:rsid w:val="003D1C86"/>
    <w:rsid w:val="003D1EE5"/>
    <w:rsid w:val="003D2395"/>
    <w:rsid w:val="003D283D"/>
    <w:rsid w:val="003D32C2"/>
    <w:rsid w:val="003D33F6"/>
    <w:rsid w:val="003D3AD8"/>
    <w:rsid w:val="003D3D29"/>
    <w:rsid w:val="003D42C8"/>
    <w:rsid w:val="003D4404"/>
    <w:rsid w:val="003D4CB9"/>
    <w:rsid w:val="003D4E4B"/>
    <w:rsid w:val="003D514B"/>
    <w:rsid w:val="003D56C2"/>
    <w:rsid w:val="003D5825"/>
    <w:rsid w:val="003D5B16"/>
    <w:rsid w:val="003D6B2F"/>
    <w:rsid w:val="003D6FF3"/>
    <w:rsid w:val="003D73C8"/>
    <w:rsid w:val="003D7655"/>
    <w:rsid w:val="003D78FE"/>
    <w:rsid w:val="003E026C"/>
    <w:rsid w:val="003E0299"/>
    <w:rsid w:val="003E0876"/>
    <w:rsid w:val="003E1501"/>
    <w:rsid w:val="003E163C"/>
    <w:rsid w:val="003E1A20"/>
    <w:rsid w:val="003E2496"/>
    <w:rsid w:val="003E2AFD"/>
    <w:rsid w:val="003E3143"/>
    <w:rsid w:val="003E3292"/>
    <w:rsid w:val="003E36FA"/>
    <w:rsid w:val="003E4BE6"/>
    <w:rsid w:val="003E4E4C"/>
    <w:rsid w:val="003E4F82"/>
    <w:rsid w:val="003E4FE2"/>
    <w:rsid w:val="003E526A"/>
    <w:rsid w:val="003E540E"/>
    <w:rsid w:val="003E5493"/>
    <w:rsid w:val="003E564E"/>
    <w:rsid w:val="003E5736"/>
    <w:rsid w:val="003E7B70"/>
    <w:rsid w:val="003E7F39"/>
    <w:rsid w:val="003E7F70"/>
    <w:rsid w:val="003F08C2"/>
    <w:rsid w:val="003F2101"/>
    <w:rsid w:val="003F28AB"/>
    <w:rsid w:val="003F3565"/>
    <w:rsid w:val="003F3954"/>
    <w:rsid w:val="003F3BD3"/>
    <w:rsid w:val="003F3E6B"/>
    <w:rsid w:val="003F3FF0"/>
    <w:rsid w:val="003F4013"/>
    <w:rsid w:val="003F4375"/>
    <w:rsid w:val="003F495A"/>
    <w:rsid w:val="003F5195"/>
    <w:rsid w:val="003F546A"/>
    <w:rsid w:val="003F5A56"/>
    <w:rsid w:val="003F5E12"/>
    <w:rsid w:val="003F6240"/>
    <w:rsid w:val="003F694E"/>
    <w:rsid w:val="003F7F0D"/>
    <w:rsid w:val="004001D8"/>
    <w:rsid w:val="00400910"/>
    <w:rsid w:val="00400CE5"/>
    <w:rsid w:val="004014FC"/>
    <w:rsid w:val="0040152F"/>
    <w:rsid w:val="004018DD"/>
    <w:rsid w:val="00403B7F"/>
    <w:rsid w:val="00404D2F"/>
    <w:rsid w:val="004051F8"/>
    <w:rsid w:val="00405E35"/>
    <w:rsid w:val="00405FAB"/>
    <w:rsid w:val="0040672A"/>
    <w:rsid w:val="0040675A"/>
    <w:rsid w:val="004072E4"/>
    <w:rsid w:val="00407A01"/>
    <w:rsid w:val="00410150"/>
    <w:rsid w:val="0041025E"/>
    <w:rsid w:val="004104CD"/>
    <w:rsid w:val="00411608"/>
    <w:rsid w:val="00411720"/>
    <w:rsid w:val="0041185E"/>
    <w:rsid w:val="004124D9"/>
    <w:rsid w:val="004125B0"/>
    <w:rsid w:val="004136E4"/>
    <w:rsid w:val="004136F5"/>
    <w:rsid w:val="004139CB"/>
    <w:rsid w:val="00413AF3"/>
    <w:rsid w:val="00413BDF"/>
    <w:rsid w:val="00414FF7"/>
    <w:rsid w:val="00415070"/>
    <w:rsid w:val="004154AC"/>
    <w:rsid w:val="0041553E"/>
    <w:rsid w:val="00415F5C"/>
    <w:rsid w:val="00416433"/>
    <w:rsid w:val="00416CED"/>
    <w:rsid w:val="00416FA5"/>
    <w:rsid w:val="00417132"/>
    <w:rsid w:val="00417B5E"/>
    <w:rsid w:val="00420482"/>
    <w:rsid w:val="004208FA"/>
    <w:rsid w:val="0042107D"/>
    <w:rsid w:val="004216A4"/>
    <w:rsid w:val="00422313"/>
    <w:rsid w:val="00422C64"/>
    <w:rsid w:val="00422DBF"/>
    <w:rsid w:val="0042300F"/>
    <w:rsid w:val="00423112"/>
    <w:rsid w:val="0042358F"/>
    <w:rsid w:val="00423B8F"/>
    <w:rsid w:val="00423BA5"/>
    <w:rsid w:val="0042463C"/>
    <w:rsid w:val="00424D03"/>
    <w:rsid w:val="00426923"/>
    <w:rsid w:val="00426CA2"/>
    <w:rsid w:val="00426E28"/>
    <w:rsid w:val="00427D50"/>
    <w:rsid w:val="004301E7"/>
    <w:rsid w:val="00430202"/>
    <w:rsid w:val="004306F5"/>
    <w:rsid w:val="00430A5B"/>
    <w:rsid w:val="0043161E"/>
    <w:rsid w:val="004316BB"/>
    <w:rsid w:val="0043204D"/>
    <w:rsid w:val="0043311C"/>
    <w:rsid w:val="004347C1"/>
    <w:rsid w:val="004347D6"/>
    <w:rsid w:val="00434A70"/>
    <w:rsid w:val="004352ED"/>
    <w:rsid w:val="00435344"/>
    <w:rsid w:val="00435376"/>
    <w:rsid w:val="00435889"/>
    <w:rsid w:val="00436001"/>
    <w:rsid w:val="0043649A"/>
    <w:rsid w:val="0043649D"/>
    <w:rsid w:val="00436983"/>
    <w:rsid w:val="004370F0"/>
    <w:rsid w:val="004372D8"/>
    <w:rsid w:val="004379B6"/>
    <w:rsid w:val="00437E20"/>
    <w:rsid w:val="0044009A"/>
    <w:rsid w:val="004405C4"/>
    <w:rsid w:val="004417AD"/>
    <w:rsid w:val="00441DA9"/>
    <w:rsid w:val="00442A2A"/>
    <w:rsid w:val="00442C79"/>
    <w:rsid w:val="004431E2"/>
    <w:rsid w:val="0044366D"/>
    <w:rsid w:val="004438C8"/>
    <w:rsid w:val="00443E3E"/>
    <w:rsid w:val="00443FEE"/>
    <w:rsid w:val="0044487B"/>
    <w:rsid w:val="00444914"/>
    <w:rsid w:val="00444DD5"/>
    <w:rsid w:val="0044596E"/>
    <w:rsid w:val="00445976"/>
    <w:rsid w:val="004459D5"/>
    <w:rsid w:val="00446093"/>
    <w:rsid w:val="0044640A"/>
    <w:rsid w:val="004464AF"/>
    <w:rsid w:val="0044653B"/>
    <w:rsid w:val="00446D23"/>
    <w:rsid w:val="00447072"/>
    <w:rsid w:val="004470F9"/>
    <w:rsid w:val="00447650"/>
    <w:rsid w:val="00447729"/>
    <w:rsid w:val="00447D34"/>
    <w:rsid w:val="004506CC"/>
    <w:rsid w:val="00451374"/>
    <w:rsid w:val="00451FA1"/>
    <w:rsid w:val="00453737"/>
    <w:rsid w:val="0045392A"/>
    <w:rsid w:val="00453B85"/>
    <w:rsid w:val="00453F84"/>
    <w:rsid w:val="00454000"/>
    <w:rsid w:val="004541D2"/>
    <w:rsid w:val="004544B3"/>
    <w:rsid w:val="004546D4"/>
    <w:rsid w:val="004555D1"/>
    <w:rsid w:val="0045578F"/>
    <w:rsid w:val="00455DB7"/>
    <w:rsid w:val="00456388"/>
    <w:rsid w:val="0045753D"/>
    <w:rsid w:val="0046072E"/>
    <w:rsid w:val="00460811"/>
    <w:rsid w:val="00461347"/>
    <w:rsid w:val="00461410"/>
    <w:rsid w:val="00461B22"/>
    <w:rsid w:val="00461C92"/>
    <w:rsid w:val="00461CA9"/>
    <w:rsid w:val="00462DA0"/>
    <w:rsid w:val="004630CF"/>
    <w:rsid w:val="00463150"/>
    <w:rsid w:val="004633A5"/>
    <w:rsid w:val="0046463D"/>
    <w:rsid w:val="004646CE"/>
    <w:rsid w:val="004647B3"/>
    <w:rsid w:val="0046492C"/>
    <w:rsid w:val="004654FC"/>
    <w:rsid w:val="00465834"/>
    <w:rsid w:val="00465891"/>
    <w:rsid w:val="00465F71"/>
    <w:rsid w:val="00466017"/>
    <w:rsid w:val="004662A6"/>
    <w:rsid w:val="00466B86"/>
    <w:rsid w:val="004673E9"/>
    <w:rsid w:val="004701F7"/>
    <w:rsid w:val="0047031A"/>
    <w:rsid w:val="00470449"/>
    <w:rsid w:val="004704E9"/>
    <w:rsid w:val="004708E0"/>
    <w:rsid w:val="00470DED"/>
    <w:rsid w:val="00470FDC"/>
    <w:rsid w:val="00471272"/>
    <w:rsid w:val="00471C22"/>
    <w:rsid w:val="00471E05"/>
    <w:rsid w:val="00471F75"/>
    <w:rsid w:val="0047213D"/>
    <w:rsid w:val="004728A3"/>
    <w:rsid w:val="00472A91"/>
    <w:rsid w:val="004735E7"/>
    <w:rsid w:val="00473D54"/>
    <w:rsid w:val="00473E4A"/>
    <w:rsid w:val="00473EDC"/>
    <w:rsid w:val="004747DA"/>
    <w:rsid w:val="00474B54"/>
    <w:rsid w:val="00474DD7"/>
    <w:rsid w:val="00474F7A"/>
    <w:rsid w:val="00475E8C"/>
    <w:rsid w:val="00475ED3"/>
    <w:rsid w:val="00476358"/>
    <w:rsid w:val="0047702A"/>
    <w:rsid w:val="0047702E"/>
    <w:rsid w:val="004805E7"/>
    <w:rsid w:val="00480686"/>
    <w:rsid w:val="00482D92"/>
    <w:rsid w:val="00483450"/>
    <w:rsid w:val="00483C99"/>
    <w:rsid w:val="00483D86"/>
    <w:rsid w:val="00484010"/>
    <w:rsid w:val="00484243"/>
    <w:rsid w:val="00484812"/>
    <w:rsid w:val="004849E3"/>
    <w:rsid w:val="0048538C"/>
    <w:rsid w:val="004866CB"/>
    <w:rsid w:val="00486859"/>
    <w:rsid w:val="004875C2"/>
    <w:rsid w:val="00490987"/>
    <w:rsid w:val="00491273"/>
    <w:rsid w:val="004916F9"/>
    <w:rsid w:val="00491D39"/>
    <w:rsid w:val="00491FBC"/>
    <w:rsid w:val="00492128"/>
    <w:rsid w:val="00492B6D"/>
    <w:rsid w:val="00492F04"/>
    <w:rsid w:val="00493625"/>
    <w:rsid w:val="00493891"/>
    <w:rsid w:val="004939F2"/>
    <w:rsid w:val="00495164"/>
    <w:rsid w:val="0049529B"/>
    <w:rsid w:val="00495819"/>
    <w:rsid w:val="004960BB"/>
    <w:rsid w:val="004964E5"/>
    <w:rsid w:val="004969A8"/>
    <w:rsid w:val="00496E43"/>
    <w:rsid w:val="004A03B5"/>
    <w:rsid w:val="004A0662"/>
    <w:rsid w:val="004A07CA"/>
    <w:rsid w:val="004A0B7C"/>
    <w:rsid w:val="004A0BDC"/>
    <w:rsid w:val="004A1A5D"/>
    <w:rsid w:val="004A1CE6"/>
    <w:rsid w:val="004A20C6"/>
    <w:rsid w:val="004A2DDB"/>
    <w:rsid w:val="004A302B"/>
    <w:rsid w:val="004A3C7D"/>
    <w:rsid w:val="004A3E76"/>
    <w:rsid w:val="004A52EF"/>
    <w:rsid w:val="004A5502"/>
    <w:rsid w:val="004A5BAE"/>
    <w:rsid w:val="004A5BB6"/>
    <w:rsid w:val="004A5F83"/>
    <w:rsid w:val="004A6206"/>
    <w:rsid w:val="004A6B0D"/>
    <w:rsid w:val="004A6FBE"/>
    <w:rsid w:val="004A718C"/>
    <w:rsid w:val="004A736A"/>
    <w:rsid w:val="004A746E"/>
    <w:rsid w:val="004A79AF"/>
    <w:rsid w:val="004A7D58"/>
    <w:rsid w:val="004A9074"/>
    <w:rsid w:val="004B03A2"/>
    <w:rsid w:val="004B13CA"/>
    <w:rsid w:val="004B1436"/>
    <w:rsid w:val="004B189F"/>
    <w:rsid w:val="004B1C54"/>
    <w:rsid w:val="004B1DB6"/>
    <w:rsid w:val="004B29FB"/>
    <w:rsid w:val="004B3A02"/>
    <w:rsid w:val="004B3CBD"/>
    <w:rsid w:val="004B5F48"/>
    <w:rsid w:val="004B602A"/>
    <w:rsid w:val="004B63F4"/>
    <w:rsid w:val="004B6D87"/>
    <w:rsid w:val="004B722C"/>
    <w:rsid w:val="004C0C76"/>
    <w:rsid w:val="004C0FE6"/>
    <w:rsid w:val="004C148A"/>
    <w:rsid w:val="004C177E"/>
    <w:rsid w:val="004C1C19"/>
    <w:rsid w:val="004C27D1"/>
    <w:rsid w:val="004C31C3"/>
    <w:rsid w:val="004C354A"/>
    <w:rsid w:val="004C4230"/>
    <w:rsid w:val="004C5050"/>
    <w:rsid w:val="004C52F1"/>
    <w:rsid w:val="004C59FA"/>
    <w:rsid w:val="004C5E08"/>
    <w:rsid w:val="004C666D"/>
    <w:rsid w:val="004C6859"/>
    <w:rsid w:val="004C6897"/>
    <w:rsid w:val="004C6B0A"/>
    <w:rsid w:val="004C6FB2"/>
    <w:rsid w:val="004C7746"/>
    <w:rsid w:val="004D07E3"/>
    <w:rsid w:val="004D1689"/>
    <w:rsid w:val="004D18A2"/>
    <w:rsid w:val="004D1B01"/>
    <w:rsid w:val="004D2306"/>
    <w:rsid w:val="004D2B3A"/>
    <w:rsid w:val="004D38AF"/>
    <w:rsid w:val="004D3A70"/>
    <w:rsid w:val="004D3E97"/>
    <w:rsid w:val="004D4CBD"/>
    <w:rsid w:val="004D505A"/>
    <w:rsid w:val="004D50F5"/>
    <w:rsid w:val="004D5EC8"/>
    <w:rsid w:val="004D679C"/>
    <w:rsid w:val="004E0240"/>
    <w:rsid w:val="004E06A2"/>
    <w:rsid w:val="004E07DF"/>
    <w:rsid w:val="004E08D6"/>
    <w:rsid w:val="004E09D6"/>
    <w:rsid w:val="004E1204"/>
    <w:rsid w:val="004E1DA7"/>
    <w:rsid w:val="004E265D"/>
    <w:rsid w:val="004E27E1"/>
    <w:rsid w:val="004E2CCB"/>
    <w:rsid w:val="004E37A5"/>
    <w:rsid w:val="004E38ED"/>
    <w:rsid w:val="004E3A59"/>
    <w:rsid w:val="004E3B79"/>
    <w:rsid w:val="004E3C81"/>
    <w:rsid w:val="004E4119"/>
    <w:rsid w:val="004E4409"/>
    <w:rsid w:val="004E48F2"/>
    <w:rsid w:val="004E4AC7"/>
    <w:rsid w:val="004E4B0F"/>
    <w:rsid w:val="004E4DB5"/>
    <w:rsid w:val="004E4F01"/>
    <w:rsid w:val="004E7CBC"/>
    <w:rsid w:val="004E7D31"/>
    <w:rsid w:val="004E7DBA"/>
    <w:rsid w:val="004F019B"/>
    <w:rsid w:val="004F072A"/>
    <w:rsid w:val="004F0B25"/>
    <w:rsid w:val="004F0EF4"/>
    <w:rsid w:val="004F1A56"/>
    <w:rsid w:val="004F1EB2"/>
    <w:rsid w:val="004F2E65"/>
    <w:rsid w:val="004F339E"/>
    <w:rsid w:val="004F3514"/>
    <w:rsid w:val="004F360F"/>
    <w:rsid w:val="004F3D67"/>
    <w:rsid w:val="004F3D8C"/>
    <w:rsid w:val="004F4800"/>
    <w:rsid w:val="004F4EC8"/>
    <w:rsid w:val="004F4FC3"/>
    <w:rsid w:val="004F56E6"/>
    <w:rsid w:val="004F5A1D"/>
    <w:rsid w:val="004F6355"/>
    <w:rsid w:val="004F7052"/>
    <w:rsid w:val="004F731C"/>
    <w:rsid w:val="004F7463"/>
    <w:rsid w:val="004F75C2"/>
    <w:rsid w:val="00500031"/>
    <w:rsid w:val="00500219"/>
    <w:rsid w:val="005009CE"/>
    <w:rsid w:val="005009E8"/>
    <w:rsid w:val="00501343"/>
    <w:rsid w:val="0050156B"/>
    <w:rsid w:val="00501A1C"/>
    <w:rsid w:val="00503112"/>
    <w:rsid w:val="005036AB"/>
    <w:rsid w:val="005038E2"/>
    <w:rsid w:val="005041F9"/>
    <w:rsid w:val="00504261"/>
    <w:rsid w:val="00504683"/>
    <w:rsid w:val="00504FE3"/>
    <w:rsid w:val="00505092"/>
    <w:rsid w:val="00505340"/>
    <w:rsid w:val="00505937"/>
    <w:rsid w:val="005059BD"/>
    <w:rsid w:val="00505EC8"/>
    <w:rsid w:val="00506760"/>
    <w:rsid w:val="00507536"/>
    <w:rsid w:val="00507667"/>
    <w:rsid w:val="005100A6"/>
    <w:rsid w:val="0051054D"/>
    <w:rsid w:val="00510976"/>
    <w:rsid w:val="005112B5"/>
    <w:rsid w:val="00511432"/>
    <w:rsid w:val="005119A6"/>
    <w:rsid w:val="00511AAC"/>
    <w:rsid w:val="00512837"/>
    <w:rsid w:val="00512C7F"/>
    <w:rsid w:val="00512DBB"/>
    <w:rsid w:val="00515A0C"/>
    <w:rsid w:val="005167AF"/>
    <w:rsid w:val="005174EC"/>
    <w:rsid w:val="005177CA"/>
    <w:rsid w:val="005178AA"/>
    <w:rsid w:val="005179B2"/>
    <w:rsid w:val="00517E76"/>
    <w:rsid w:val="0052113F"/>
    <w:rsid w:val="00522176"/>
    <w:rsid w:val="0052258B"/>
    <w:rsid w:val="00522FA3"/>
    <w:rsid w:val="00523DFE"/>
    <w:rsid w:val="00524207"/>
    <w:rsid w:val="005242E4"/>
    <w:rsid w:val="0052458A"/>
    <w:rsid w:val="00524AD4"/>
    <w:rsid w:val="00524BE0"/>
    <w:rsid w:val="00524C42"/>
    <w:rsid w:val="00524D4B"/>
    <w:rsid w:val="005252F2"/>
    <w:rsid w:val="00525384"/>
    <w:rsid w:val="00525837"/>
    <w:rsid w:val="0052662D"/>
    <w:rsid w:val="00526D3F"/>
    <w:rsid w:val="0052D3FD"/>
    <w:rsid w:val="00530511"/>
    <w:rsid w:val="005307E7"/>
    <w:rsid w:val="0053129B"/>
    <w:rsid w:val="005314AB"/>
    <w:rsid w:val="005317B2"/>
    <w:rsid w:val="00531ED0"/>
    <w:rsid w:val="005327E4"/>
    <w:rsid w:val="005328FA"/>
    <w:rsid w:val="00532C9E"/>
    <w:rsid w:val="00533223"/>
    <w:rsid w:val="00533C6E"/>
    <w:rsid w:val="005348CD"/>
    <w:rsid w:val="00534E6E"/>
    <w:rsid w:val="00535C1C"/>
    <w:rsid w:val="00536866"/>
    <w:rsid w:val="00536FC0"/>
    <w:rsid w:val="00537207"/>
    <w:rsid w:val="00537240"/>
    <w:rsid w:val="0054004C"/>
    <w:rsid w:val="00540213"/>
    <w:rsid w:val="005407DF"/>
    <w:rsid w:val="00541463"/>
    <w:rsid w:val="00541517"/>
    <w:rsid w:val="00541BBF"/>
    <w:rsid w:val="00541D2D"/>
    <w:rsid w:val="00541F97"/>
    <w:rsid w:val="0054200D"/>
    <w:rsid w:val="00542594"/>
    <w:rsid w:val="00542641"/>
    <w:rsid w:val="00542A23"/>
    <w:rsid w:val="00543272"/>
    <w:rsid w:val="005432CA"/>
    <w:rsid w:val="00543777"/>
    <w:rsid w:val="0054378C"/>
    <w:rsid w:val="00543863"/>
    <w:rsid w:val="00543A4A"/>
    <w:rsid w:val="00543C6B"/>
    <w:rsid w:val="00543CE0"/>
    <w:rsid w:val="00544096"/>
    <w:rsid w:val="005444B7"/>
    <w:rsid w:val="00544A68"/>
    <w:rsid w:val="00544F81"/>
    <w:rsid w:val="0054501B"/>
    <w:rsid w:val="005467C6"/>
    <w:rsid w:val="00546CE1"/>
    <w:rsid w:val="00546DD4"/>
    <w:rsid w:val="00546FE6"/>
    <w:rsid w:val="00547195"/>
    <w:rsid w:val="00547280"/>
    <w:rsid w:val="00547C9C"/>
    <w:rsid w:val="0054FE75"/>
    <w:rsid w:val="00550F26"/>
    <w:rsid w:val="00551214"/>
    <w:rsid w:val="0055149D"/>
    <w:rsid w:val="00551A92"/>
    <w:rsid w:val="00551B65"/>
    <w:rsid w:val="00551D31"/>
    <w:rsid w:val="00552532"/>
    <w:rsid w:val="00552939"/>
    <w:rsid w:val="00552A8D"/>
    <w:rsid w:val="00553AF4"/>
    <w:rsid w:val="00553C66"/>
    <w:rsid w:val="00554567"/>
    <w:rsid w:val="005545F5"/>
    <w:rsid w:val="00554FDF"/>
    <w:rsid w:val="0055522D"/>
    <w:rsid w:val="00555A3A"/>
    <w:rsid w:val="005565C3"/>
    <w:rsid w:val="00556C83"/>
    <w:rsid w:val="00557222"/>
    <w:rsid w:val="00557230"/>
    <w:rsid w:val="0055724A"/>
    <w:rsid w:val="00557953"/>
    <w:rsid w:val="00557D9A"/>
    <w:rsid w:val="005609D3"/>
    <w:rsid w:val="00560A63"/>
    <w:rsid w:val="005612A5"/>
    <w:rsid w:val="0056130A"/>
    <w:rsid w:val="0056156B"/>
    <w:rsid w:val="005622BC"/>
    <w:rsid w:val="0056286C"/>
    <w:rsid w:val="0056287F"/>
    <w:rsid w:val="00562C3D"/>
    <w:rsid w:val="00562DC5"/>
    <w:rsid w:val="00563548"/>
    <w:rsid w:val="00563666"/>
    <w:rsid w:val="00563A59"/>
    <w:rsid w:val="00563C19"/>
    <w:rsid w:val="00563D71"/>
    <w:rsid w:val="005644D9"/>
    <w:rsid w:val="00564AA6"/>
    <w:rsid w:val="00565777"/>
    <w:rsid w:val="00565AC1"/>
    <w:rsid w:val="005660B6"/>
    <w:rsid w:val="0056657B"/>
    <w:rsid w:val="005670BD"/>
    <w:rsid w:val="0056751E"/>
    <w:rsid w:val="00567BE1"/>
    <w:rsid w:val="00567E59"/>
    <w:rsid w:val="00567EB2"/>
    <w:rsid w:val="00567EF9"/>
    <w:rsid w:val="00570208"/>
    <w:rsid w:val="00570A77"/>
    <w:rsid w:val="00570B84"/>
    <w:rsid w:val="0057218C"/>
    <w:rsid w:val="005726B6"/>
    <w:rsid w:val="00572797"/>
    <w:rsid w:val="00572BE8"/>
    <w:rsid w:val="00572E4B"/>
    <w:rsid w:val="00573437"/>
    <w:rsid w:val="00573760"/>
    <w:rsid w:val="00573850"/>
    <w:rsid w:val="0057459C"/>
    <w:rsid w:val="005745AC"/>
    <w:rsid w:val="00574D0F"/>
    <w:rsid w:val="00575689"/>
    <w:rsid w:val="0057574C"/>
    <w:rsid w:val="0057589D"/>
    <w:rsid w:val="005760C0"/>
    <w:rsid w:val="0057614D"/>
    <w:rsid w:val="0057741E"/>
    <w:rsid w:val="005779AB"/>
    <w:rsid w:val="00577A37"/>
    <w:rsid w:val="00577D43"/>
    <w:rsid w:val="0058030A"/>
    <w:rsid w:val="0058070B"/>
    <w:rsid w:val="005807A2"/>
    <w:rsid w:val="00580968"/>
    <w:rsid w:val="00580F6B"/>
    <w:rsid w:val="0058152F"/>
    <w:rsid w:val="00581687"/>
    <w:rsid w:val="00581A2A"/>
    <w:rsid w:val="00581F29"/>
    <w:rsid w:val="005826C7"/>
    <w:rsid w:val="005828E7"/>
    <w:rsid w:val="00582B65"/>
    <w:rsid w:val="00582F63"/>
    <w:rsid w:val="005833D4"/>
    <w:rsid w:val="005837DA"/>
    <w:rsid w:val="0058382C"/>
    <w:rsid w:val="005838A3"/>
    <w:rsid w:val="0058399B"/>
    <w:rsid w:val="00583E07"/>
    <w:rsid w:val="00584BB5"/>
    <w:rsid w:val="00584EE7"/>
    <w:rsid w:val="00585AD8"/>
    <w:rsid w:val="0058653C"/>
    <w:rsid w:val="00587A4B"/>
    <w:rsid w:val="005910FB"/>
    <w:rsid w:val="00591E4E"/>
    <w:rsid w:val="0059225C"/>
    <w:rsid w:val="0059232F"/>
    <w:rsid w:val="0059376F"/>
    <w:rsid w:val="00593BBD"/>
    <w:rsid w:val="00593F0D"/>
    <w:rsid w:val="00593FCA"/>
    <w:rsid w:val="0059467C"/>
    <w:rsid w:val="00594765"/>
    <w:rsid w:val="00594C15"/>
    <w:rsid w:val="00595611"/>
    <w:rsid w:val="00596F95"/>
    <w:rsid w:val="005978A3"/>
    <w:rsid w:val="00597CA4"/>
    <w:rsid w:val="005A024F"/>
    <w:rsid w:val="005A03F6"/>
    <w:rsid w:val="005A07BE"/>
    <w:rsid w:val="005A1224"/>
    <w:rsid w:val="005A1813"/>
    <w:rsid w:val="005A2AA1"/>
    <w:rsid w:val="005A401A"/>
    <w:rsid w:val="005A41CE"/>
    <w:rsid w:val="005A43F5"/>
    <w:rsid w:val="005A4970"/>
    <w:rsid w:val="005A5A2C"/>
    <w:rsid w:val="005A5F47"/>
    <w:rsid w:val="005A6999"/>
    <w:rsid w:val="005A6CAE"/>
    <w:rsid w:val="005A6E2E"/>
    <w:rsid w:val="005A75D6"/>
    <w:rsid w:val="005A7659"/>
    <w:rsid w:val="005B01D9"/>
    <w:rsid w:val="005B06C1"/>
    <w:rsid w:val="005B0865"/>
    <w:rsid w:val="005B0F27"/>
    <w:rsid w:val="005B0F76"/>
    <w:rsid w:val="005B1986"/>
    <w:rsid w:val="005B1E33"/>
    <w:rsid w:val="005B2689"/>
    <w:rsid w:val="005B3195"/>
    <w:rsid w:val="005B3C05"/>
    <w:rsid w:val="005B4E85"/>
    <w:rsid w:val="005B4FD7"/>
    <w:rsid w:val="005B4FFE"/>
    <w:rsid w:val="005B51D6"/>
    <w:rsid w:val="005B52F6"/>
    <w:rsid w:val="005B5E7C"/>
    <w:rsid w:val="005B7070"/>
    <w:rsid w:val="005C0891"/>
    <w:rsid w:val="005C0B14"/>
    <w:rsid w:val="005C0B5F"/>
    <w:rsid w:val="005C2208"/>
    <w:rsid w:val="005C2303"/>
    <w:rsid w:val="005C2417"/>
    <w:rsid w:val="005C2515"/>
    <w:rsid w:val="005C2A55"/>
    <w:rsid w:val="005C35A0"/>
    <w:rsid w:val="005C36C1"/>
    <w:rsid w:val="005C36E4"/>
    <w:rsid w:val="005C39CB"/>
    <w:rsid w:val="005C3F5F"/>
    <w:rsid w:val="005C4815"/>
    <w:rsid w:val="005C5697"/>
    <w:rsid w:val="005C65B2"/>
    <w:rsid w:val="005C66E9"/>
    <w:rsid w:val="005C6857"/>
    <w:rsid w:val="005C6B7B"/>
    <w:rsid w:val="005C70ED"/>
    <w:rsid w:val="005C7646"/>
    <w:rsid w:val="005C7691"/>
    <w:rsid w:val="005C7815"/>
    <w:rsid w:val="005C7D4F"/>
    <w:rsid w:val="005D055A"/>
    <w:rsid w:val="005D0682"/>
    <w:rsid w:val="005D0722"/>
    <w:rsid w:val="005D0D44"/>
    <w:rsid w:val="005D10FD"/>
    <w:rsid w:val="005D1380"/>
    <w:rsid w:val="005D19B5"/>
    <w:rsid w:val="005D249B"/>
    <w:rsid w:val="005D299E"/>
    <w:rsid w:val="005D2B6A"/>
    <w:rsid w:val="005D2C47"/>
    <w:rsid w:val="005D31A1"/>
    <w:rsid w:val="005D38E6"/>
    <w:rsid w:val="005D4591"/>
    <w:rsid w:val="005D4858"/>
    <w:rsid w:val="005D4CF9"/>
    <w:rsid w:val="005D4F73"/>
    <w:rsid w:val="005D52BF"/>
    <w:rsid w:val="005D54D5"/>
    <w:rsid w:val="005D5516"/>
    <w:rsid w:val="005D5A06"/>
    <w:rsid w:val="005D6BB6"/>
    <w:rsid w:val="005D6CC9"/>
    <w:rsid w:val="005D6FD3"/>
    <w:rsid w:val="005D74CC"/>
    <w:rsid w:val="005D7F9B"/>
    <w:rsid w:val="005E1086"/>
    <w:rsid w:val="005E10C4"/>
    <w:rsid w:val="005E1629"/>
    <w:rsid w:val="005E1CEA"/>
    <w:rsid w:val="005E1D24"/>
    <w:rsid w:val="005E3BEF"/>
    <w:rsid w:val="005E3F05"/>
    <w:rsid w:val="005E4125"/>
    <w:rsid w:val="005E4536"/>
    <w:rsid w:val="005E4D2B"/>
    <w:rsid w:val="005E59FA"/>
    <w:rsid w:val="005E5B04"/>
    <w:rsid w:val="005E65CA"/>
    <w:rsid w:val="005E6631"/>
    <w:rsid w:val="005E77CE"/>
    <w:rsid w:val="005E7BB2"/>
    <w:rsid w:val="005E7F70"/>
    <w:rsid w:val="005E7F75"/>
    <w:rsid w:val="005F0135"/>
    <w:rsid w:val="005F046F"/>
    <w:rsid w:val="005F0B96"/>
    <w:rsid w:val="005F11FD"/>
    <w:rsid w:val="005F1D53"/>
    <w:rsid w:val="005F208C"/>
    <w:rsid w:val="005F2332"/>
    <w:rsid w:val="005F2A51"/>
    <w:rsid w:val="005F2B0E"/>
    <w:rsid w:val="005F2D6D"/>
    <w:rsid w:val="005F2E8D"/>
    <w:rsid w:val="005F2F9C"/>
    <w:rsid w:val="005F4443"/>
    <w:rsid w:val="005F4785"/>
    <w:rsid w:val="005F47DB"/>
    <w:rsid w:val="005F4891"/>
    <w:rsid w:val="005F4BCD"/>
    <w:rsid w:val="005F5A57"/>
    <w:rsid w:val="005F625A"/>
    <w:rsid w:val="005F7305"/>
    <w:rsid w:val="005F7693"/>
    <w:rsid w:val="006000C1"/>
    <w:rsid w:val="00600575"/>
    <w:rsid w:val="006015E7"/>
    <w:rsid w:val="00601642"/>
    <w:rsid w:val="00601C6A"/>
    <w:rsid w:val="00602D99"/>
    <w:rsid w:val="0060302A"/>
    <w:rsid w:val="006031F1"/>
    <w:rsid w:val="00605619"/>
    <w:rsid w:val="0060573D"/>
    <w:rsid w:val="00605EC3"/>
    <w:rsid w:val="006060F7"/>
    <w:rsid w:val="006061F3"/>
    <w:rsid w:val="00606760"/>
    <w:rsid w:val="00606787"/>
    <w:rsid w:val="00606D6D"/>
    <w:rsid w:val="00606FE7"/>
    <w:rsid w:val="00607469"/>
    <w:rsid w:val="00607F9D"/>
    <w:rsid w:val="0061021F"/>
    <w:rsid w:val="0061072F"/>
    <w:rsid w:val="00611308"/>
    <w:rsid w:val="0061153A"/>
    <w:rsid w:val="00611B7F"/>
    <w:rsid w:val="00611D43"/>
    <w:rsid w:val="006123CC"/>
    <w:rsid w:val="0061248B"/>
    <w:rsid w:val="006129EC"/>
    <w:rsid w:val="00612BD5"/>
    <w:rsid w:val="00613AB8"/>
    <w:rsid w:val="00613BE3"/>
    <w:rsid w:val="00613EB2"/>
    <w:rsid w:val="006144FC"/>
    <w:rsid w:val="006149C7"/>
    <w:rsid w:val="00614C4F"/>
    <w:rsid w:val="006156F5"/>
    <w:rsid w:val="00615DBB"/>
    <w:rsid w:val="00616456"/>
    <w:rsid w:val="006168E4"/>
    <w:rsid w:val="00616AEE"/>
    <w:rsid w:val="0061722B"/>
    <w:rsid w:val="00617252"/>
    <w:rsid w:val="006175B4"/>
    <w:rsid w:val="00617A04"/>
    <w:rsid w:val="0061C5F0"/>
    <w:rsid w:val="0062081B"/>
    <w:rsid w:val="006214CB"/>
    <w:rsid w:val="00621802"/>
    <w:rsid w:val="0062181D"/>
    <w:rsid w:val="0062186F"/>
    <w:rsid w:val="00621E9F"/>
    <w:rsid w:val="00622044"/>
    <w:rsid w:val="00622B03"/>
    <w:rsid w:val="00623722"/>
    <w:rsid w:val="00623E89"/>
    <w:rsid w:val="00624317"/>
    <w:rsid w:val="0062462D"/>
    <w:rsid w:val="006246B5"/>
    <w:rsid w:val="00624BE1"/>
    <w:rsid w:val="00624CCA"/>
    <w:rsid w:val="006252AF"/>
    <w:rsid w:val="00625A0F"/>
    <w:rsid w:val="00625BBD"/>
    <w:rsid w:val="00625C17"/>
    <w:rsid w:val="00626136"/>
    <w:rsid w:val="006262C2"/>
    <w:rsid w:val="006263B9"/>
    <w:rsid w:val="006264C8"/>
    <w:rsid w:val="00626A7D"/>
    <w:rsid w:val="006270DD"/>
    <w:rsid w:val="006271BF"/>
    <w:rsid w:val="0062736A"/>
    <w:rsid w:val="00627D8B"/>
    <w:rsid w:val="00630478"/>
    <w:rsid w:val="00630ACA"/>
    <w:rsid w:val="00630C31"/>
    <w:rsid w:val="0063164F"/>
    <w:rsid w:val="006317B8"/>
    <w:rsid w:val="0063241F"/>
    <w:rsid w:val="00632531"/>
    <w:rsid w:val="006325E3"/>
    <w:rsid w:val="0063273D"/>
    <w:rsid w:val="006328AB"/>
    <w:rsid w:val="006328C7"/>
    <w:rsid w:val="00632AF3"/>
    <w:rsid w:val="0063365B"/>
    <w:rsid w:val="00633983"/>
    <w:rsid w:val="00633F08"/>
    <w:rsid w:val="00633F18"/>
    <w:rsid w:val="006340C9"/>
    <w:rsid w:val="00634338"/>
    <w:rsid w:val="006346D0"/>
    <w:rsid w:val="00634A1D"/>
    <w:rsid w:val="006350F3"/>
    <w:rsid w:val="0063611F"/>
    <w:rsid w:val="0064007F"/>
    <w:rsid w:val="00641342"/>
    <w:rsid w:val="00641B06"/>
    <w:rsid w:val="00641E44"/>
    <w:rsid w:val="00642B2E"/>
    <w:rsid w:val="00642B44"/>
    <w:rsid w:val="00642D06"/>
    <w:rsid w:val="00642ED3"/>
    <w:rsid w:val="00642FD4"/>
    <w:rsid w:val="006435F0"/>
    <w:rsid w:val="006437C3"/>
    <w:rsid w:val="006440EE"/>
    <w:rsid w:val="0064414A"/>
    <w:rsid w:val="00645DB4"/>
    <w:rsid w:val="0064627F"/>
    <w:rsid w:val="006463F4"/>
    <w:rsid w:val="00646D80"/>
    <w:rsid w:val="00647095"/>
    <w:rsid w:val="00650D79"/>
    <w:rsid w:val="00650F73"/>
    <w:rsid w:val="0065160B"/>
    <w:rsid w:val="00651866"/>
    <w:rsid w:val="006521CB"/>
    <w:rsid w:val="00652231"/>
    <w:rsid w:val="0065236A"/>
    <w:rsid w:val="006523A8"/>
    <w:rsid w:val="0065267E"/>
    <w:rsid w:val="00652C04"/>
    <w:rsid w:val="0065312F"/>
    <w:rsid w:val="006532DB"/>
    <w:rsid w:val="006541F9"/>
    <w:rsid w:val="00654506"/>
    <w:rsid w:val="00654AC3"/>
    <w:rsid w:val="0065569E"/>
    <w:rsid w:val="00656485"/>
    <w:rsid w:val="00656CDF"/>
    <w:rsid w:val="00656F15"/>
    <w:rsid w:val="006573EB"/>
    <w:rsid w:val="006575C6"/>
    <w:rsid w:val="00657A7C"/>
    <w:rsid w:val="00660072"/>
    <w:rsid w:val="006607CE"/>
    <w:rsid w:val="00661133"/>
    <w:rsid w:val="00662C7C"/>
    <w:rsid w:val="00663462"/>
    <w:rsid w:val="006639DE"/>
    <w:rsid w:val="00663F37"/>
    <w:rsid w:val="00664B1A"/>
    <w:rsid w:val="00664EFD"/>
    <w:rsid w:val="00664FEB"/>
    <w:rsid w:val="0066555A"/>
    <w:rsid w:val="00665B25"/>
    <w:rsid w:val="00666176"/>
    <w:rsid w:val="006661CF"/>
    <w:rsid w:val="006662A3"/>
    <w:rsid w:val="006663A4"/>
    <w:rsid w:val="006671E5"/>
    <w:rsid w:val="0066723C"/>
    <w:rsid w:val="00667525"/>
    <w:rsid w:val="006679C4"/>
    <w:rsid w:val="00670D89"/>
    <w:rsid w:val="00670E52"/>
    <w:rsid w:val="0067179A"/>
    <w:rsid w:val="00671CC3"/>
    <w:rsid w:val="00671E52"/>
    <w:rsid w:val="006737D2"/>
    <w:rsid w:val="0067439E"/>
    <w:rsid w:val="006746D2"/>
    <w:rsid w:val="00674B66"/>
    <w:rsid w:val="00675365"/>
    <w:rsid w:val="0067564D"/>
    <w:rsid w:val="006757F5"/>
    <w:rsid w:val="0067641C"/>
    <w:rsid w:val="00676AB4"/>
    <w:rsid w:val="006774ED"/>
    <w:rsid w:val="00677569"/>
    <w:rsid w:val="0067782E"/>
    <w:rsid w:val="00677870"/>
    <w:rsid w:val="00677E2B"/>
    <w:rsid w:val="00677F6B"/>
    <w:rsid w:val="00680989"/>
    <w:rsid w:val="006809CD"/>
    <w:rsid w:val="00681262"/>
    <w:rsid w:val="0068189F"/>
    <w:rsid w:val="00681980"/>
    <w:rsid w:val="00681D08"/>
    <w:rsid w:val="00682051"/>
    <w:rsid w:val="00682F72"/>
    <w:rsid w:val="00683A3F"/>
    <w:rsid w:val="00683E5B"/>
    <w:rsid w:val="00684225"/>
    <w:rsid w:val="00684517"/>
    <w:rsid w:val="0068463C"/>
    <w:rsid w:val="00684890"/>
    <w:rsid w:val="00684B2A"/>
    <w:rsid w:val="006852B9"/>
    <w:rsid w:val="00685626"/>
    <w:rsid w:val="00685DCD"/>
    <w:rsid w:val="0068624E"/>
    <w:rsid w:val="006865C1"/>
    <w:rsid w:val="00686981"/>
    <w:rsid w:val="00686C0F"/>
    <w:rsid w:val="00687067"/>
    <w:rsid w:val="006877E5"/>
    <w:rsid w:val="006879E0"/>
    <w:rsid w:val="00687A62"/>
    <w:rsid w:val="00687B0C"/>
    <w:rsid w:val="00687D5A"/>
    <w:rsid w:val="006907F4"/>
    <w:rsid w:val="00690D01"/>
    <w:rsid w:val="0069114D"/>
    <w:rsid w:val="006911E9"/>
    <w:rsid w:val="00691B97"/>
    <w:rsid w:val="00691D5A"/>
    <w:rsid w:val="006922A6"/>
    <w:rsid w:val="006928CC"/>
    <w:rsid w:val="00692E4E"/>
    <w:rsid w:val="00693765"/>
    <w:rsid w:val="00693995"/>
    <w:rsid w:val="00693C79"/>
    <w:rsid w:val="00694490"/>
    <w:rsid w:val="00695143"/>
    <w:rsid w:val="0069542C"/>
    <w:rsid w:val="006959C1"/>
    <w:rsid w:val="00696014"/>
    <w:rsid w:val="0069613E"/>
    <w:rsid w:val="00696A28"/>
    <w:rsid w:val="00697262"/>
    <w:rsid w:val="006972C6"/>
    <w:rsid w:val="00697648"/>
    <w:rsid w:val="006976BD"/>
    <w:rsid w:val="00697D8B"/>
    <w:rsid w:val="006A0E2B"/>
    <w:rsid w:val="006A162E"/>
    <w:rsid w:val="006A1905"/>
    <w:rsid w:val="006A1931"/>
    <w:rsid w:val="006A2B00"/>
    <w:rsid w:val="006A2D8E"/>
    <w:rsid w:val="006A3A05"/>
    <w:rsid w:val="006A42BF"/>
    <w:rsid w:val="006A4B45"/>
    <w:rsid w:val="006A4C0B"/>
    <w:rsid w:val="006A5852"/>
    <w:rsid w:val="006A6114"/>
    <w:rsid w:val="006A6A7E"/>
    <w:rsid w:val="006A71EC"/>
    <w:rsid w:val="006A7470"/>
    <w:rsid w:val="006A7E86"/>
    <w:rsid w:val="006B0433"/>
    <w:rsid w:val="006B06B9"/>
    <w:rsid w:val="006B0994"/>
    <w:rsid w:val="006B09DE"/>
    <w:rsid w:val="006B0AF2"/>
    <w:rsid w:val="006B1260"/>
    <w:rsid w:val="006B1B1D"/>
    <w:rsid w:val="006B1D1B"/>
    <w:rsid w:val="006B22B2"/>
    <w:rsid w:val="006B2315"/>
    <w:rsid w:val="006B360B"/>
    <w:rsid w:val="006B3928"/>
    <w:rsid w:val="006B3AC8"/>
    <w:rsid w:val="006B3C6F"/>
    <w:rsid w:val="006B42C9"/>
    <w:rsid w:val="006B449F"/>
    <w:rsid w:val="006B4C17"/>
    <w:rsid w:val="006B4D95"/>
    <w:rsid w:val="006B510E"/>
    <w:rsid w:val="006B52E4"/>
    <w:rsid w:val="006B53CA"/>
    <w:rsid w:val="006B5507"/>
    <w:rsid w:val="006B56DA"/>
    <w:rsid w:val="006B5E95"/>
    <w:rsid w:val="006B64CD"/>
    <w:rsid w:val="006B66D1"/>
    <w:rsid w:val="006B6800"/>
    <w:rsid w:val="006B6B59"/>
    <w:rsid w:val="006B7535"/>
    <w:rsid w:val="006B7744"/>
    <w:rsid w:val="006B77A0"/>
    <w:rsid w:val="006B77AA"/>
    <w:rsid w:val="006B7A80"/>
    <w:rsid w:val="006C0450"/>
    <w:rsid w:val="006C0759"/>
    <w:rsid w:val="006C0CD1"/>
    <w:rsid w:val="006C0D4C"/>
    <w:rsid w:val="006C0DAA"/>
    <w:rsid w:val="006C10E2"/>
    <w:rsid w:val="006C18E2"/>
    <w:rsid w:val="006C1FF6"/>
    <w:rsid w:val="006C2120"/>
    <w:rsid w:val="006C223B"/>
    <w:rsid w:val="006C22FC"/>
    <w:rsid w:val="006C25DE"/>
    <w:rsid w:val="006C2DE5"/>
    <w:rsid w:val="006C34B2"/>
    <w:rsid w:val="006C3C1B"/>
    <w:rsid w:val="006C3E7F"/>
    <w:rsid w:val="006C40DC"/>
    <w:rsid w:val="006C4207"/>
    <w:rsid w:val="006C46D5"/>
    <w:rsid w:val="006C5A09"/>
    <w:rsid w:val="006C5B4F"/>
    <w:rsid w:val="006C5B5F"/>
    <w:rsid w:val="006C62D2"/>
    <w:rsid w:val="006C65CB"/>
    <w:rsid w:val="006C6807"/>
    <w:rsid w:val="006C7F5E"/>
    <w:rsid w:val="006D08E9"/>
    <w:rsid w:val="006D0EE0"/>
    <w:rsid w:val="006D140F"/>
    <w:rsid w:val="006D190A"/>
    <w:rsid w:val="006D1F7A"/>
    <w:rsid w:val="006D280E"/>
    <w:rsid w:val="006D2981"/>
    <w:rsid w:val="006D2B23"/>
    <w:rsid w:val="006D2C21"/>
    <w:rsid w:val="006D2FD1"/>
    <w:rsid w:val="006D3FE4"/>
    <w:rsid w:val="006D407D"/>
    <w:rsid w:val="006D4326"/>
    <w:rsid w:val="006D43A6"/>
    <w:rsid w:val="006D49C1"/>
    <w:rsid w:val="006D53B1"/>
    <w:rsid w:val="006D549C"/>
    <w:rsid w:val="006D55ED"/>
    <w:rsid w:val="006D59B3"/>
    <w:rsid w:val="006D5A6B"/>
    <w:rsid w:val="006D5F66"/>
    <w:rsid w:val="006D637A"/>
    <w:rsid w:val="006D7131"/>
    <w:rsid w:val="006D75E4"/>
    <w:rsid w:val="006D7A03"/>
    <w:rsid w:val="006D7ECE"/>
    <w:rsid w:val="006E05D8"/>
    <w:rsid w:val="006E0BB6"/>
    <w:rsid w:val="006E0DC9"/>
    <w:rsid w:val="006E1580"/>
    <w:rsid w:val="006E1754"/>
    <w:rsid w:val="006E1841"/>
    <w:rsid w:val="006E18F5"/>
    <w:rsid w:val="006E19A3"/>
    <w:rsid w:val="006E1C8D"/>
    <w:rsid w:val="006E1EDF"/>
    <w:rsid w:val="006E24E2"/>
    <w:rsid w:val="006E2694"/>
    <w:rsid w:val="006E2C97"/>
    <w:rsid w:val="006E32B0"/>
    <w:rsid w:val="006E34A5"/>
    <w:rsid w:val="006E3E69"/>
    <w:rsid w:val="006E4464"/>
    <w:rsid w:val="006E4CDA"/>
    <w:rsid w:val="006E4CE2"/>
    <w:rsid w:val="006E5193"/>
    <w:rsid w:val="006E54BE"/>
    <w:rsid w:val="006E5ECF"/>
    <w:rsid w:val="006E5FC5"/>
    <w:rsid w:val="006E6BA2"/>
    <w:rsid w:val="006E6BAC"/>
    <w:rsid w:val="006E6C2E"/>
    <w:rsid w:val="006E6D03"/>
    <w:rsid w:val="006E6DCE"/>
    <w:rsid w:val="006E73C9"/>
    <w:rsid w:val="006F01A2"/>
    <w:rsid w:val="006F0783"/>
    <w:rsid w:val="006F0790"/>
    <w:rsid w:val="006F1356"/>
    <w:rsid w:val="006F18BB"/>
    <w:rsid w:val="006F26C9"/>
    <w:rsid w:val="006F2766"/>
    <w:rsid w:val="006F38F9"/>
    <w:rsid w:val="006F50D4"/>
    <w:rsid w:val="006F51C4"/>
    <w:rsid w:val="006F55D5"/>
    <w:rsid w:val="006F59D0"/>
    <w:rsid w:val="006F5A86"/>
    <w:rsid w:val="006F619A"/>
    <w:rsid w:val="006F6749"/>
    <w:rsid w:val="006F692E"/>
    <w:rsid w:val="006F7AD0"/>
    <w:rsid w:val="007010F8"/>
    <w:rsid w:val="007014D1"/>
    <w:rsid w:val="00702315"/>
    <w:rsid w:val="00703EF3"/>
    <w:rsid w:val="00705610"/>
    <w:rsid w:val="00705864"/>
    <w:rsid w:val="00705BA5"/>
    <w:rsid w:val="00705BB6"/>
    <w:rsid w:val="00705E4A"/>
    <w:rsid w:val="00706143"/>
    <w:rsid w:val="00706F66"/>
    <w:rsid w:val="007076E1"/>
    <w:rsid w:val="00707EFC"/>
    <w:rsid w:val="00710346"/>
    <w:rsid w:val="0071045C"/>
    <w:rsid w:val="00710564"/>
    <w:rsid w:val="00710C5B"/>
    <w:rsid w:val="007114AA"/>
    <w:rsid w:val="00711FD1"/>
    <w:rsid w:val="00712248"/>
    <w:rsid w:val="00713236"/>
    <w:rsid w:val="00713296"/>
    <w:rsid w:val="00713376"/>
    <w:rsid w:val="00713468"/>
    <w:rsid w:val="007142A3"/>
    <w:rsid w:val="00714ABF"/>
    <w:rsid w:val="00714DB8"/>
    <w:rsid w:val="00715A50"/>
    <w:rsid w:val="00715B85"/>
    <w:rsid w:val="007163F6"/>
    <w:rsid w:val="007165B7"/>
    <w:rsid w:val="00717097"/>
    <w:rsid w:val="007174A2"/>
    <w:rsid w:val="007174CE"/>
    <w:rsid w:val="00717779"/>
    <w:rsid w:val="007178F0"/>
    <w:rsid w:val="00717C9D"/>
    <w:rsid w:val="00717E08"/>
    <w:rsid w:val="0072007A"/>
    <w:rsid w:val="007206D8"/>
    <w:rsid w:val="007207B6"/>
    <w:rsid w:val="00720B0A"/>
    <w:rsid w:val="007211D1"/>
    <w:rsid w:val="00721204"/>
    <w:rsid w:val="00721C70"/>
    <w:rsid w:val="00721ECE"/>
    <w:rsid w:val="00722F9D"/>
    <w:rsid w:val="007235BA"/>
    <w:rsid w:val="00723AB7"/>
    <w:rsid w:val="00723D4C"/>
    <w:rsid w:val="00723F15"/>
    <w:rsid w:val="00724147"/>
    <w:rsid w:val="007243DB"/>
    <w:rsid w:val="007247BC"/>
    <w:rsid w:val="0072514D"/>
    <w:rsid w:val="00725BC9"/>
    <w:rsid w:val="00726082"/>
    <w:rsid w:val="00726B32"/>
    <w:rsid w:val="00726CF5"/>
    <w:rsid w:val="00727A23"/>
    <w:rsid w:val="00727B48"/>
    <w:rsid w:val="00727DE0"/>
    <w:rsid w:val="00727EB0"/>
    <w:rsid w:val="007309CF"/>
    <w:rsid w:val="00730D46"/>
    <w:rsid w:val="00730DF8"/>
    <w:rsid w:val="00732069"/>
    <w:rsid w:val="00732254"/>
    <w:rsid w:val="0073232A"/>
    <w:rsid w:val="00732A23"/>
    <w:rsid w:val="00732D27"/>
    <w:rsid w:val="00733103"/>
    <w:rsid w:val="007332E1"/>
    <w:rsid w:val="00733E5A"/>
    <w:rsid w:val="00733EC5"/>
    <w:rsid w:val="0073409D"/>
    <w:rsid w:val="00734443"/>
    <w:rsid w:val="00735224"/>
    <w:rsid w:val="007352E1"/>
    <w:rsid w:val="00735523"/>
    <w:rsid w:val="00735F5C"/>
    <w:rsid w:val="00736154"/>
    <w:rsid w:val="007363A5"/>
    <w:rsid w:val="0073640C"/>
    <w:rsid w:val="00736B48"/>
    <w:rsid w:val="00737DB1"/>
    <w:rsid w:val="007411A3"/>
    <w:rsid w:val="007433DA"/>
    <w:rsid w:val="00743653"/>
    <w:rsid w:val="007436C6"/>
    <w:rsid w:val="00743E95"/>
    <w:rsid w:val="00743F24"/>
    <w:rsid w:val="00744458"/>
    <w:rsid w:val="00745B80"/>
    <w:rsid w:val="0074672C"/>
    <w:rsid w:val="00747171"/>
    <w:rsid w:val="00747764"/>
    <w:rsid w:val="0075000D"/>
    <w:rsid w:val="00750A4E"/>
    <w:rsid w:val="0075154B"/>
    <w:rsid w:val="00751BE1"/>
    <w:rsid w:val="00751C9F"/>
    <w:rsid w:val="00751D37"/>
    <w:rsid w:val="00751DBA"/>
    <w:rsid w:val="00751FC9"/>
    <w:rsid w:val="00752095"/>
    <w:rsid w:val="007524FF"/>
    <w:rsid w:val="00752D77"/>
    <w:rsid w:val="00753156"/>
    <w:rsid w:val="0075357D"/>
    <w:rsid w:val="00753A9C"/>
    <w:rsid w:val="00753C3D"/>
    <w:rsid w:val="00753E58"/>
    <w:rsid w:val="00753EA8"/>
    <w:rsid w:val="00754A42"/>
    <w:rsid w:val="007559EE"/>
    <w:rsid w:val="00755D6F"/>
    <w:rsid w:val="0075665A"/>
    <w:rsid w:val="00756CEC"/>
    <w:rsid w:val="007570E5"/>
    <w:rsid w:val="0075768F"/>
    <w:rsid w:val="00757A18"/>
    <w:rsid w:val="0076023B"/>
    <w:rsid w:val="007603A2"/>
    <w:rsid w:val="0076082C"/>
    <w:rsid w:val="00760EFE"/>
    <w:rsid w:val="007610D6"/>
    <w:rsid w:val="0076131E"/>
    <w:rsid w:val="00761634"/>
    <w:rsid w:val="00761ACF"/>
    <w:rsid w:val="00762024"/>
    <w:rsid w:val="00762AB4"/>
    <w:rsid w:val="00763075"/>
    <w:rsid w:val="007637A1"/>
    <w:rsid w:val="00763804"/>
    <w:rsid w:val="00764A5A"/>
    <w:rsid w:val="00764AC4"/>
    <w:rsid w:val="00764B52"/>
    <w:rsid w:val="007650CF"/>
    <w:rsid w:val="00765792"/>
    <w:rsid w:val="007658FE"/>
    <w:rsid w:val="0076590B"/>
    <w:rsid w:val="0076591C"/>
    <w:rsid w:val="00766AB8"/>
    <w:rsid w:val="00766BE8"/>
    <w:rsid w:val="00767072"/>
    <w:rsid w:val="007670D8"/>
    <w:rsid w:val="0076751D"/>
    <w:rsid w:val="00767530"/>
    <w:rsid w:val="007675B1"/>
    <w:rsid w:val="00767AC1"/>
    <w:rsid w:val="00767ACC"/>
    <w:rsid w:val="0077007B"/>
    <w:rsid w:val="00771025"/>
    <w:rsid w:val="007719C0"/>
    <w:rsid w:val="007736EA"/>
    <w:rsid w:val="0077434F"/>
    <w:rsid w:val="0077468B"/>
    <w:rsid w:val="00774694"/>
    <w:rsid w:val="00774F10"/>
    <w:rsid w:val="0077550B"/>
    <w:rsid w:val="00775F6F"/>
    <w:rsid w:val="00776040"/>
    <w:rsid w:val="007761CA"/>
    <w:rsid w:val="00776223"/>
    <w:rsid w:val="007766FE"/>
    <w:rsid w:val="00776858"/>
    <w:rsid w:val="007768AB"/>
    <w:rsid w:val="00776C69"/>
    <w:rsid w:val="00776C76"/>
    <w:rsid w:val="00776E35"/>
    <w:rsid w:val="00776E53"/>
    <w:rsid w:val="00777422"/>
    <w:rsid w:val="00777481"/>
    <w:rsid w:val="00777876"/>
    <w:rsid w:val="00777C2C"/>
    <w:rsid w:val="0077E50A"/>
    <w:rsid w:val="00780078"/>
    <w:rsid w:val="0078159F"/>
    <w:rsid w:val="007817F2"/>
    <w:rsid w:val="00781C09"/>
    <w:rsid w:val="00781D4A"/>
    <w:rsid w:val="00781DF6"/>
    <w:rsid w:val="00782F8E"/>
    <w:rsid w:val="0078322B"/>
    <w:rsid w:val="007836E7"/>
    <w:rsid w:val="00783795"/>
    <w:rsid w:val="00783BAA"/>
    <w:rsid w:val="007844C8"/>
    <w:rsid w:val="00784520"/>
    <w:rsid w:val="00784BC0"/>
    <w:rsid w:val="00786249"/>
    <w:rsid w:val="00786653"/>
    <w:rsid w:val="00786E89"/>
    <w:rsid w:val="007870F8"/>
    <w:rsid w:val="0079005E"/>
    <w:rsid w:val="00790822"/>
    <w:rsid w:val="00790B1D"/>
    <w:rsid w:val="00790D44"/>
    <w:rsid w:val="00790EF9"/>
    <w:rsid w:val="007915B4"/>
    <w:rsid w:val="00791DCE"/>
    <w:rsid w:val="00791FB7"/>
    <w:rsid w:val="00792198"/>
    <w:rsid w:val="00792887"/>
    <w:rsid w:val="00793AB7"/>
    <w:rsid w:val="00793ED4"/>
    <w:rsid w:val="007940CA"/>
    <w:rsid w:val="007944E8"/>
    <w:rsid w:val="00794596"/>
    <w:rsid w:val="0079496C"/>
    <w:rsid w:val="00794AFF"/>
    <w:rsid w:val="00794CB0"/>
    <w:rsid w:val="00795D0D"/>
    <w:rsid w:val="00796A35"/>
    <w:rsid w:val="00797112"/>
    <w:rsid w:val="007977F1"/>
    <w:rsid w:val="00797CEB"/>
    <w:rsid w:val="00797DCD"/>
    <w:rsid w:val="007A0430"/>
    <w:rsid w:val="007A0F2E"/>
    <w:rsid w:val="007A1448"/>
    <w:rsid w:val="007A1A11"/>
    <w:rsid w:val="007A1A19"/>
    <w:rsid w:val="007A2028"/>
    <w:rsid w:val="007A20C6"/>
    <w:rsid w:val="007A22CF"/>
    <w:rsid w:val="007A22EB"/>
    <w:rsid w:val="007A236F"/>
    <w:rsid w:val="007A249D"/>
    <w:rsid w:val="007A28A5"/>
    <w:rsid w:val="007A3502"/>
    <w:rsid w:val="007A37B0"/>
    <w:rsid w:val="007A498A"/>
    <w:rsid w:val="007A4B18"/>
    <w:rsid w:val="007A4BD1"/>
    <w:rsid w:val="007A4D2C"/>
    <w:rsid w:val="007A5098"/>
    <w:rsid w:val="007A51B1"/>
    <w:rsid w:val="007A588D"/>
    <w:rsid w:val="007A5A04"/>
    <w:rsid w:val="007A5B13"/>
    <w:rsid w:val="007A6098"/>
    <w:rsid w:val="007A624F"/>
    <w:rsid w:val="007A6284"/>
    <w:rsid w:val="007A6820"/>
    <w:rsid w:val="007A7210"/>
    <w:rsid w:val="007A73BE"/>
    <w:rsid w:val="007A7A1E"/>
    <w:rsid w:val="007AE0DC"/>
    <w:rsid w:val="007B0059"/>
    <w:rsid w:val="007B00CF"/>
    <w:rsid w:val="007B010E"/>
    <w:rsid w:val="007B03C4"/>
    <w:rsid w:val="007B054C"/>
    <w:rsid w:val="007B079D"/>
    <w:rsid w:val="007B097E"/>
    <w:rsid w:val="007B0B49"/>
    <w:rsid w:val="007B102A"/>
    <w:rsid w:val="007B11D4"/>
    <w:rsid w:val="007B17AD"/>
    <w:rsid w:val="007B19B0"/>
    <w:rsid w:val="007B1B14"/>
    <w:rsid w:val="007B21CE"/>
    <w:rsid w:val="007B366A"/>
    <w:rsid w:val="007B3F39"/>
    <w:rsid w:val="007B4C9B"/>
    <w:rsid w:val="007B4D7A"/>
    <w:rsid w:val="007B4EA7"/>
    <w:rsid w:val="007B5E9A"/>
    <w:rsid w:val="007B6685"/>
    <w:rsid w:val="007B68D2"/>
    <w:rsid w:val="007B6C34"/>
    <w:rsid w:val="007B76B1"/>
    <w:rsid w:val="007B7971"/>
    <w:rsid w:val="007B7B51"/>
    <w:rsid w:val="007B7BBF"/>
    <w:rsid w:val="007B7EB3"/>
    <w:rsid w:val="007C0051"/>
    <w:rsid w:val="007C00A4"/>
    <w:rsid w:val="007C0AA8"/>
    <w:rsid w:val="007C0D9D"/>
    <w:rsid w:val="007C0FE5"/>
    <w:rsid w:val="007C16C8"/>
    <w:rsid w:val="007C1C88"/>
    <w:rsid w:val="007C1E96"/>
    <w:rsid w:val="007C22ED"/>
    <w:rsid w:val="007C25D9"/>
    <w:rsid w:val="007C26A2"/>
    <w:rsid w:val="007C291B"/>
    <w:rsid w:val="007C2966"/>
    <w:rsid w:val="007C31F0"/>
    <w:rsid w:val="007C3271"/>
    <w:rsid w:val="007C347C"/>
    <w:rsid w:val="007C34EB"/>
    <w:rsid w:val="007C5832"/>
    <w:rsid w:val="007C5871"/>
    <w:rsid w:val="007C5CD1"/>
    <w:rsid w:val="007C61CF"/>
    <w:rsid w:val="007C61F1"/>
    <w:rsid w:val="007C63C1"/>
    <w:rsid w:val="007C6FC3"/>
    <w:rsid w:val="007C7511"/>
    <w:rsid w:val="007C777F"/>
    <w:rsid w:val="007C7ADF"/>
    <w:rsid w:val="007C7EE4"/>
    <w:rsid w:val="007D0B63"/>
    <w:rsid w:val="007D1095"/>
    <w:rsid w:val="007D167B"/>
    <w:rsid w:val="007D1DD8"/>
    <w:rsid w:val="007D265E"/>
    <w:rsid w:val="007D3BFF"/>
    <w:rsid w:val="007D3D64"/>
    <w:rsid w:val="007D3F40"/>
    <w:rsid w:val="007D41D8"/>
    <w:rsid w:val="007D4894"/>
    <w:rsid w:val="007D4D57"/>
    <w:rsid w:val="007D6036"/>
    <w:rsid w:val="007D74C1"/>
    <w:rsid w:val="007D77B9"/>
    <w:rsid w:val="007E0395"/>
    <w:rsid w:val="007E1560"/>
    <w:rsid w:val="007E2712"/>
    <w:rsid w:val="007E3BC7"/>
    <w:rsid w:val="007E4305"/>
    <w:rsid w:val="007E4B78"/>
    <w:rsid w:val="007E5036"/>
    <w:rsid w:val="007E53A8"/>
    <w:rsid w:val="007E58F8"/>
    <w:rsid w:val="007E5950"/>
    <w:rsid w:val="007E5973"/>
    <w:rsid w:val="007E5EDF"/>
    <w:rsid w:val="007E609C"/>
    <w:rsid w:val="007E630A"/>
    <w:rsid w:val="007E66A7"/>
    <w:rsid w:val="007E6F0B"/>
    <w:rsid w:val="007E7C7C"/>
    <w:rsid w:val="007E7D29"/>
    <w:rsid w:val="007E7EA2"/>
    <w:rsid w:val="007F0408"/>
    <w:rsid w:val="007F04C1"/>
    <w:rsid w:val="007F0ED6"/>
    <w:rsid w:val="007F154D"/>
    <w:rsid w:val="007F1B7A"/>
    <w:rsid w:val="007F1E78"/>
    <w:rsid w:val="007F2607"/>
    <w:rsid w:val="007F277E"/>
    <w:rsid w:val="007F27F3"/>
    <w:rsid w:val="007F2AE4"/>
    <w:rsid w:val="007F2BCC"/>
    <w:rsid w:val="007F3681"/>
    <w:rsid w:val="007F372A"/>
    <w:rsid w:val="007F3F8E"/>
    <w:rsid w:val="007F50DD"/>
    <w:rsid w:val="007F55F7"/>
    <w:rsid w:val="007F58BA"/>
    <w:rsid w:val="007F7524"/>
    <w:rsid w:val="007F7AAA"/>
    <w:rsid w:val="008005BA"/>
    <w:rsid w:val="0080103C"/>
    <w:rsid w:val="00801B10"/>
    <w:rsid w:val="00801BCA"/>
    <w:rsid w:val="00801CEC"/>
    <w:rsid w:val="00802C21"/>
    <w:rsid w:val="00803028"/>
    <w:rsid w:val="0080308D"/>
    <w:rsid w:val="00803C75"/>
    <w:rsid w:val="00804E60"/>
    <w:rsid w:val="00804EF7"/>
    <w:rsid w:val="008050F2"/>
    <w:rsid w:val="00805575"/>
    <w:rsid w:val="00805FB5"/>
    <w:rsid w:val="0080641D"/>
    <w:rsid w:val="008067B2"/>
    <w:rsid w:val="00806D99"/>
    <w:rsid w:val="00806F47"/>
    <w:rsid w:val="00807151"/>
    <w:rsid w:val="00807B25"/>
    <w:rsid w:val="0080AD54"/>
    <w:rsid w:val="00810654"/>
    <w:rsid w:val="0081088E"/>
    <w:rsid w:val="008110D9"/>
    <w:rsid w:val="00811185"/>
    <w:rsid w:val="008114C3"/>
    <w:rsid w:val="00811DCB"/>
    <w:rsid w:val="0081214A"/>
    <w:rsid w:val="008125B6"/>
    <w:rsid w:val="00812C94"/>
    <w:rsid w:val="00813B26"/>
    <w:rsid w:val="00813E57"/>
    <w:rsid w:val="008141B4"/>
    <w:rsid w:val="008146C1"/>
    <w:rsid w:val="00814E7F"/>
    <w:rsid w:val="0081544B"/>
    <w:rsid w:val="00815F1A"/>
    <w:rsid w:val="008165D0"/>
    <w:rsid w:val="00816CC2"/>
    <w:rsid w:val="00817229"/>
    <w:rsid w:val="008172A5"/>
    <w:rsid w:val="00817692"/>
    <w:rsid w:val="008209B2"/>
    <w:rsid w:val="00821021"/>
    <w:rsid w:val="00821110"/>
    <w:rsid w:val="00822530"/>
    <w:rsid w:val="0082276C"/>
    <w:rsid w:val="0082297C"/>
    <w:rsid w:val="00822FF8"/>
    <w:rsid w:val="008231CD"/>
    <w:rsid w:val="0082329F"/>
    <w:rsid w:val="0082340C"/>
    <w:rsid w:val="00823E56"/>
    <w:rsid w:val="0082459C"/>
    <w:rsid w:val="008247B9"/>
    <w:rsid w:val="00824853"/>
    <w:rsid w:val="008249D8"/>
    <w:rsid w:val="00824F3B"/>
    <w:rsid w:val="00825E7E"/>
    <w:rsid w:val="00826278"/>
    <w:rsid w:val="008262D4"/>
    <w:rsid w:val="00826F2A"/>
    <w:rsid w:val="00827053"/>
    <w:rsid w:val="00827783"/>
    <w:rsid w:val="00827B03"/>
    <w:rsid w:val="008313D1"/>
    <w:rsid w:val="008317D9"/>
    <w:rsid w:val="008318C5"/>
    <w:rsid w:val="00831981"/>
    <w:rsid w:val="008327BF"/>
    <w:rsid w:val="00832AD0"/>
    <w:rsid w:val="00832B1D"/>
    <w:rsid w:val="0083384F"/>
    <w:rsid w:val="00833A83"/>
    <w:rsid w:val="00833F94"/>
    <w:rsid w:val="00834166"/>
    <w:rsid w:val="00834303"/>
    <w:rsid w:val="0083465E"/>
    <w:rsid w:val="008349B6"/>
    <w:rsid w:val="00834D0F"/>
    <w:rsid w:val="0083522A"/>
    <w:rsid w:val="0083556D"/>
    <w:rsid w:val="00835CCB"/>
    <w:rsid w:val="00836548"/>
    <w:rsid w:val="00836BA6"/>
    <w:rsid w:val="008371D9"/>
    <w:rsid w:val="00837940"/>
    <w:rsid w:val="00837ACD"/>
    <w:rsid w:val="00837CD7"/>
    <w:rsid w:val="00837EE6"/>
    <w:rsid w:val="00840A0A"/>
    <w:rsid w:val="00840A1C"/>
    <w:rsid w:val="00840B95"/>
    <w:rsid w:val="00841539"/>
    <w:rsid w:val="00841634"/>
    <w:rsid w:val="00841BEF"/>
    <w:rsid w:val="00842683"/>
    <w:rsid w:val="00842A1C"/>
    <w:rsid w:val="00842DD6"/>
    <w:rsid w:val="008431FE"/>
    <w:rsid w:val="00843A3F"/>
    <w:rsid w:val="00843E75"/>
    <w:rsid w:val="00844215"/>
    <w:rsid w:val="00844A2F"/>
    <w:rsid w:val="00844F26"/>
    <w:rsid w:val="008461A7"/>
    <w:rsid w:val="0084687F"/>
    <w:rsid w:val="00846F99"/>
    <w:rsid w:val="00847187"/>
    <w:rsid w:val="00847383"/>
    <w:rsid w:val="00850131"/>
    <w:rsid w:val="0085039A"/>
    <w:rsid w:val="008504F3"/>
    <w:rsid w:val="008505DF"/>
    <w:rsid w:val="00850A40"/>
    <w:rsid w:val="0085146A"/>
    <w:rsid w:val="008514B9"/>
    <w:rsid w:val="008517C8"/>
    <w:rsid w:val="00853033"/>
    <w:rsid w:val="00853406"/>
    <w:rsid w:val="00853B8B"/>
    <w:rsid w:val="00853BC0"/>
    <w:rsid w:val="008540F3"/>
    <w:rsid w:val="00854285"/>
    <w:rsid w:val="00854716"/>
    <w:rsid w:val="00854CFA"/>
    <w:rsid w:val="008554C5"/>
    <w:rsid w:val="008555E5"/>
    <w:rsid w:val="008559F1"/>
    <w:rsid w:val="00855C3A"/>
    <w:rsid w:val="00855EFA"/>
    <w:rsid w:val="0085610A"/>
    <w:rsid w:val="00856709"/>
    <w:rsid w:val="0086012A"/>
    <w:rsid w:val="008603A0"/>
    <w:rsid w:val="00860797"/>
    <w:rsid w:val="00860C23"/>
    <w:rsid w:val="00860D6B"/>
    <w:rsid w:val="00861960"/>
    <w:rsid w:val="00861AE2"/>
    <w:rsid w:val="00861C92"/>
    <w:rsid w:val="008628C2"/>
    <w:rsid w:val="00862D77"/>
    <w:rsid w:val="008630B4"/>
    <w:rsid w:val="00863409"/>
    <w:rsid w:val="0086383B"/>
    <w:rsid w:val="00863993"/>
    <w:rsid w:val="00863B76"/>
    <w:rsid w:val="00864263"/>
    <w:rsid w:val="00864635"/>
    <w:rsid w:val="008649FD"/>
    <w:rsid w:val="00864A8D"/>
    <w:rsid w:val="00865078"/>
    <w:rsid w:val="00865121"/>
    <w:rsid w:val="00865299"/>
    <w:rsid w:val="00865873"/>
    <w:rsid w:val="00865AD2"/>
    <w:rsid w:val="008661A7"/>
    <w:rsid w:val="008662D6"/>
    <w:rsid w:val="00866D8B"/>
    <w:rsid w:val="00866E08"/>
    <w:rsid w:val="00867EFF"/>
    <w:rsid w:val="0086953D"/>
    <w:rsid w:val="0087006E"/>
    <w:rsid w:val="0087029A"/>
    <w:rsid w:val="008708B0"/>
    <w:rsid w:val="008709F0"/>
    <w:rsid w:val="00870F30"/>
    <w:rsid w:val="00870FBE"/>
    <w:rsid w:val="0087132B"/>
    <w:rsid w:val="00871B6F"/>
    <w:rsid w:val="00871F66"/>
    <w:rsid w:val="00872D24"/>
    <w:rsid w:val="00872D93"/>
    <w:rsid w:val="0087367F"/>
    <w:rsid w:val="008740AE"/>
    <w:rsid w:val="00874456"/>
    <w:rsid w:val="00874F34"/>
    <w:rsid w:val="00875B10"/>
    <w:rsid w:val="00875D36"/>
    <w:rsid w:val="00876100"/>
    <w:rsid w:val="0087620F"/>
    <w:rsid w:val="008773A7"/>
    <w:rsid w:val="008777E1"/>
    <w:rsid w:val="00877D0F"/>
    <w:rsid w:val="00877E46"/>
    <w:rsid w:val="00880BF3"/>
    <w:rsid w:val="00880E40"/>
    <w:rsid w:val="00881D13"/>
    <w:rsid w:val="00882353"/>
    <w:rsid w:val="00882E5B"/>
    <w:rsid w:val="00883106"/>
    <w:rsid w:val="00883413"/>
    <w:rsid w:val="00883A21"/>
    <w:rsid w:val="00884046"/>
    <w:rsid w:val="008840BB"/>
    <w:rsid w:val="00884231"/>
    <w:rsid w:val="00884716"/>
    <w:rsid w:val="00884B83"/>
    <w:rsid w:val="0088564B"/>
    <w:rsid w:val="00885FE5"/>
    <w:rsid w:val="0088665B"/>
    <w:rsid w:val="00886888"/>
    <w:rsid w:val="0088699F"/>
    <w:rsid w:val="008900E1"/>
    <w:rsid w:val="00890207"/>
    <w:rsid w:val="008915A5"/>
    <w:rsid w:val="00891DC3"/>
    <w:rsid w:val="00892C11"/>
    <w:rsid w:val="008938B8"/>
    <w:rsid w:val="00893C67"/>
    <w:rsid w:val="00894543"/>
    <w:rsid w:val="00894838"/>
    <w:rsid w:val="00895175"/>
    <w:rsid w:val="00896849"/>
    <w:rsid w:val="00896E82"/>
    <w:rsid w:val="00897247"/>
    <w:rsid w:val="008975AF"/>
    <w:rsid w:val="00897F45"/>
    <w:rsid w:val="008998FA"/>
    <w:rsid w:val="008A028A"/>
    <w:rsid w:val="008A04AE"/>
    <w:rsid w:val="008A0F1A"/>
    <w:rsid w:val="008A11AE"/>
    <w:rsid w:val="008A147E"/>
    <w:rsid w:val="008A1A81"/>
    <w:rsid w:val="008A1BBC"/>
    <w:rsid w:val="008A1C83"/>
    <w:rsid w:val="008A1F5E"/>
    <w:rsid w:val="008A24C5"/>
    <w:rsid w:val="008A3505"/>
    <w:rsid w:val="008A360E"/>
    <w:rsid w:val="008A3D41"/>
    <w:rsid w:val="008A3FDA"/>
    <w:rsid w:val="008A42C2"/>
    <w:rsid w:val="008A4862"/>
    <w:rsid w:val="008A4B39"/>
    <w:rsid w:val="008A52DF"/>
    <w:rsid w:val="008A5842"/>
    <w:rsid w:val="008A5D57"/>
    <w:rsid w:val="008A5DC8"/>
    <w:rsid w:val="008A5FD7"/>
    <w:rsid w:val="008A68B2"/>
    <w:rsid w:val="008A7537"/>
    <w:rsid w:val="008A7D51"/>
    <w:rsid w:val="008A7FD2"/>
    <w:rsid w:val="008B043A"/>
    <w:rsid w:val="008B0C7C"/>
    <w:rsid w:val="008B11C0"/>
    <w:rsid w:val="008B1A23"/>
    <w:rsid w:val="008B1EBC"/>
    <w:rsid w:val="008B22C8"/>
    <w:rsid w:val="008B2742"/>
    <w:rsid w:val="008B28AB"/>
    <w:rsid w:val="008B2A58"/>
    <w:rsid w:val="008B2DBC"/>
    <w:rsid w:val="008B36A7"/>
    <w:rsid w:val="008B3708"/>
    <w:rsid w:val="008B425F"/>
    <w:rsid w:val="008B4647"/>
    <w:rsid w:val="008B49B0"/>
    <w:rsid w:val="008B4C81"/>
    <w:rsid w:val="008B4ED6"/>
    <w:rsid w:val="008B55EA"/>
    <w:rsid w:val="008B5975"/>
    <w:rsid w:val="008B639A"/>
    <w:rsid w:val="008B6C15"/>
    <w:rsid w:val="008B6DD3"/>
    <w:rsid w:val="008B6DE8"/>
    <w:rsid w:val="008B7045"/>
    <w:rsid w:val="008B7076"/>
    <w:rsid w:val="008B77CB"/>
    <w:rsid w:val="008B7932"/>
    <w:rsid w:val="008C0520"/>
    <w:rsid w:val="008C0A4B"/>
    <w:rsid w:val="008C1357"/>
    <w:rsid w:val="008C16B6"/>
    <w:rsid w:val="008C18DC"/>
    <w:rsid w:val="008C1955"/>
    <w:rsid w:val="008C227F"/>
    <w:rsid w:val="008C29E2"/>
    <w:rsid w:val="008C30F2"/>
    <w:rsid w:val="008C3D72"/>
    <w:rsid w:val="008C4284"/>
    <w:rsid w:val="008C43B6"/>
    <w:rsid w:val="008C46FA"/>
    <w:rsid w:val="008C4B29"/>
    <w:rsid w:val="008C530D"/>
    <w:rsid w:val="008C5671"/>
    <w:rsid w:val="008C600E"/>
    <w:rsid w:val="008C6805"/>
    <w:rsid w:val="008C6BDB"/>
    <w:rsid w:val="008C6CB9"/>
    <w:rsid w:val="008C6D32"/>
    <w:rsid w:val="008C7909"/>
    <w:rsid w:val="008C7B08"/>
    <w:rsid w:val="008D043F"/>
    <w:rsid w:val="008D0443"/>
    <w:rsid w:val="008D05A2"/>
    <w:rsid w:val="008D0796"/>
    <w:rsid w:val="008D1D0F"/>
    <w:rsid w:val="008D257D"/>
    <w:rsid w:val="008D3306"/>
    <w:rsid w:val="008D3AEC"/>
    <w:rsid w:val="008D3E0D"/>
    <w:rsid w:val="008D4129"/>
    <w:rsid w:val="008D44EE"/>
    <w:rsid w:val="008D474E"/>
    <w:rsid w:val="008D4936"/>
    <w:rsid w:val="008D536C"/>
    <w:rsid w:val="008D56A0"/>
    <w:rsid w:val="008D60A3"/>
    <w:rsid w:val="008D6BDD"/>
    <w:rsid w:val="008D6F41"/>
    <w:rsid w:val="008D71EB"/>
    <w:rsid w:val="008D7887"/>
    <w:rsid w:val="008D7E34"/>
    <w:rsid w:val="008D7F20"/>
    <w:rsid w:val="008E0429"/>
    <w:rsid w:val="008E06C0"/>
    <w:rsid w:val="008E08B5"/>
    <w:rsid w:val="008E1D43"/>
    <w:rsid w:val="008E22DF"/>
    <w:rsid w:val="008E289B"/>
    <w:rsid w:val="008E2D83"/>
    <w:rsid w:val="008E3243"/>
    <w:rsid w:val="008E32D2"/>
    <w:rsid w:val="008E378F"/>
    <w:rsid w:val="008E3A2E"/>
    <w:rsid w:val="008E43AE"/>
    <w:rsid w:val="008E4522"/>
    <w:rsid w:val="008E475F"/>
    <w:rsid w:val="008E560C"/>
    <w:rsid w:val="008E56B1"/>
    <w:rsid w:val="008E579B"/>
    <w:rsid w:val="008E58C6"/>
    <w:rsid w:val="008E62C1"/>
    <w:rsid w:val="008E73F5"/>
    <w:rsid w:val="008E7961"/>
    <w:rsid w:val="008F0425"/>
    <w:rsid w:val="008F049E"/>
    <w:rsid w:val="008F065D"/>
    <w:rsid w:val="008F0BD6"/>
    <w:rsid w:val="008F0E54"/>
    <w:rsid w:val="008F11E0"/>
    <w:rsid w:val="008F1B2B"/>
    <w:rsid w:val="008F20B7"/>
    <w:rsid w:val="008F277C"/>
    <w:rsid w:val="008F3240"/>
    <w:rsid w:val="008F34BB"/>
    <w:rsid w:val="008F3727"/>
    <w:rsid w:val="008F3B98"/>
    <w:rsid w:val="008F3C0F"/>
    <w:rsid w:val="008F3ED0"/>
    <w:rsid w:val="008F4196"/>
    <w:rsid w:val="008F44B2"/>
    <w:rsid w:val="008F44B6"/>
    <w:rsid w:val="008F4621"/>
    <w:rsid w:val="008F471A"/>
    <w:rsid w:val="008F47F0"/>
    <w:rsid w:val="008F4C14"/>
    <w:rsid w:val="008F4C7C"/>
    <w:rsid w:val="008F5492"/>
    <w:rsid w:val="008F5A66"/>
    <w:rsid w:val="008F5F66"/>
    <w:rsid w:val="008F70DA"/>
    <w:rsid w:val="008F7BF0"/>
    <w:rsid w:val="008F7C16"/>
    <w:rsid w:val="008F7E8C"/>
    <w:rsid w:val="009001E0"/>
    <w:rsid w:val="00900498"/>
    <w:rsid w:val="0090086C"/>
    <w:rsid w:val="009022B1"/>
    <w:rsid w:val="00902848"/>
    <w:rsid w:val="009036A1"/>
    <w:rsid w:val="009037EB"/>
    <w:rsid w:val="00903813"/>
    <w:rsid w:val="00903A14"/>
    <w:rsid w:val="00903CCE"/>
    <w:rsid w:val="00904106"/>
    <w:rsid w:val="00904B05"/>
    <w:rsid w:val="00904BDE"/>
    <w:rsid w:val="00905E38"/>
    <w:rsid w:val="00905FED"/>
    <w:rsid w:val="009065D5"/>
    <w:rsid w:val="009065E1"/>
    <w:rsid w:val="00906B0D"/>
    <w:rsid w:val="00906B1F"/>
    <w:rsid w:val="00907A75"/>
    <w:rsid w:val="009104ED"/>
    <w:rsid w:val="00910793"/>
    <w:rsid w:val="009107BA"/>
    <w:rsid w:val="00910CA5"/>
    <w:rsid w:val="0091183B"/>
    <w:rsid w:val="00911F2C"/>
    <w:rsid w:val="00912345"/>
    <w:rsid w:val="009125B4"/>
    <w:rsid w:val="00912CB4"/>
    <w:rsid w:val="009133AF"/>
    <w:rsid w:val="0091367C"/>
    <w:rsid w:val="00913CD1"/>
    <w:rsid w:val="0091424D"/>
    <w:rsid w:val="009152BC"/>
    <w:rsid w:val="009152D5"/>
    <w:rsid w:val="00915345"/>
    <w:rsid w:val="00916545"/>
    <w:rsid w:val="00916601"/>
    <w:rsid w:val="009171C8"/>
    <w:rsid w:val="009207DB"/>
    <w:rsid w:val="00920BC4"/>
    <w:rsid w:val="00920C55"/>
    <w:rsid w:val="00920F1A"/>
    <w:rsid w:val="00920FA2"/>
    <w:rsid w:val="00921208"/>
    <w:rsid w:val="0092120D"/>
    <w:rsid w:val="00921754"/>
    <w:rsid w:val="009218CB"/>
    <w:rsid w:val="00921CB1"/>
    <w:rsid w:val="00921DC2"/>
    <w:rsid w:val="00922936"/>
    <w:rsid w:val="00922B04"/>
    <w:rsid w:val="009232BD"/>
    <w:rsid w:val="0092336B"/>
    <w:rsid w:val="00923B88"/>
    <w:rsid w:val="0092447B"/>
    <w:rsid w:val="0092502E"/>
    <w:rsid w:val="009251A5"/>
    <w:rsid w:val="00925857"/>
    <w:rsid w:val="00925C9A"/>
    <w:rsid w:val="0092628F"/>
    <w:rsid w:val="009265C0"/>
    <w:rsid w:val="009266BE"/>
    <w:rsid w:val="00926C77"/>
    <w:rsid w:val="00926FC1"/>
    <w:rsid w:val="00927422"/>
    <w:rsid w:val="00927AE0"/>
    <w:rsid w:val="00927EF7"/>
    <w:rsid w:val="00927F1D"/>
    <w:rsid w:val="0093074D"/>
    <w:rsid w:val="0093133A"/>
    <w:rsid w:val="00931736"/>
    <w:rsid w:val="0093232E"/>
    <w:rsid w:val="00932CC9"/>
    <w:rsid w:val="00932D91"/>
    <w:rsid w:val="00932EE3"/>
    <w:rsid w:val="009338FD"/>
    <w:rsid w:val="00933AE6"/>
    <w:rsid w:val="00933B3E"/>
    <w:rsid w:val="009340D6"/>
    <w:rsid w:val="009354EB"/>
    <w:rsid w:val="00935F4D"/>
    <w:rsid w:val="00936841"/>
    <w:rsid w:val="00936AE1"/>
    <w:rsid w:val="00937F5D"/>
    <w:rsid w:val="009401C0"/>
    <w:rsid w:val="009401F7"/>
    <w:rsid w:val="00940900"/>
    <w:rsid w:val="00940C23"/>
    <w:rsid w:val="00941887"/>
    <w:rsid w:val="00941CA7"/>
    <w:rsid w:val="00942230"/>
    <w:rsid w:val="009429E8"/>
    <w:rsid w:val="00943B05"/>
    <w:rsid w:val="00943D51"/>
    <w:rsid w:val="00943DD7"/>
    <w:rsid w:val="00943E6D"/>
    <w:rsid w:val="00944003"/>
    <w:rsid w:val="00944599"/>
    <w:rsid w:val="00944889"/>
    <w:rsid w:val="00944AED"/>
    <w:rsid w:val="00944DB5"/>
    <w:rsid w:val="00944E55"/>
    <w:rsid w:val="00944EF0"/>
    <w:rsid w:val="0094525B"/>
    <w:rsid w:val="0094554A"/>
    <w:rsid w:val="00945EDB"/>
    <w:rsid w:val="00945F70"/>
    <w:rsid w:val="00947346"/>
    <w:rsid w:val="00947393"/>
    <w:rsid w:val="0094758F"/>
    <w:rsid w:val="00947F00"/>
    <w:rsid w:val="009518B4"/>
    <w:rsid w:val="00951A0C"/>
    <w:rsid w:val="009520B8"/>
    <w:rsid w:val="00952CFE"/>
    <w:rsid w:val="00952F46"/>
    <w:rsid w:val="00953D1F"/>
    <w:rsid w:val="009547D3"/>
    <w:rsid w:val="00956C9C"/>
    <w:rsid w:val="0095761A"/>
    <w:rsid w:val="00957BC6"/>
    <w:rsid w:val="00957D2C"/>
    <w:rsid w:val="00957D59"/>
    <w:rsid w:val="00957E8E"/>
    <w:rsid w:val="00957F34"/>
    <w:rsid w:val="009605C4"/>
    <w:rsid w:val="00960631"/>
    <w:rsid w:val="00960996"/>
    <w:rsid w:val="00960D9E"/>
    <w:rsid w:val="00960DE5"/>
    <w:rsid w:val="00960E85"/>
    <w:rsid w:val="00961194"/>
    <w:rsid w:val="00961AA3"/>
    <w:rsid w:val="00962720"/>
    <w:rsid w:val="00962CD7"/>
    <w:rsid w:val="00962E80"/>
    <w:rsid w:val="0096338E"/>
    <w:rsid w:val="0096358E"/>
    <w:rsid w:val="009642D4"/>
    <w:rsid w:val="00964B53"/>
    <w:rsid w:val="009658DE"/>
    <w:rsid w:val="0096683A"/>
    <w:rsid w:val="009673E5"/>
    <w:rsid w:val="00967610"/>
    <w:rsid w:val="00970356"/>
    <w:rsid w:val="00970EC1"/>
    <w:rsid w:val="00970FF5"/>
    <w:rsid w:val="009716CA"/>
    <w:rsid w:val="009719A1"/>
    <w:rsid w:val="00971F09"/>
    <w:rsid w:val="00972002"/>
    <w:rsid w:val="00972377"/>
    <w:rsid w:val="00972671"/>
    <w:rsid w:val="00972F77"/>
    <w:rsid w:val="0097300D"/>
    <w:rsid w:val="00973445"/>
    <w:rsid w:val="00973452"/>
    <w:rsid w:val="00974720"/>
    <w:rsid w:val="009749F8"/>
    <w:rsid w:val="00974A7F"/>
    <w:rsid w:val="00974B26"/>
    <w:rsid w:val="00974BCD"/>
    <w:rsid w:val="00975007"/>
    <w:rsid w:val="009758D9"/>
    <w:rsid w:val="00975DDE"/>
    <w:rsid w:val="0097617D"/>
    <w:rsid w:val="009772E2"/>
    <w:rsid w:val="00977A60"/>
    <w:rsid w:val="00977BEC"/>
    <w:rsid w:val="0098005B"/>
    <w:rsid w:val="00980876"/>
    <w:rsid w:val="00980C49"/>
    <w:rsid w:val="00980D3F"/>
    <w:rsid w:val="00981AF0"/>
    <w:rsid w:val="009823C9"/>
    <w:rsid w:val="00982538"/>
    <w:rsid w:val="00982693"/>
    <w:rsid w:val="00982A79"/>
    <w:rsid w:val="009830B9"/>
    <w:rsid w:val="0098356C"/>
    <w:rsid w:val="0098391A"/>
    <w:rsid w:val="00983A91"/>
    <w:rsid w:val="00983DF3"/>
    <w:rsid w:val="0098403E"/>
    <w:rsid w:val="00984090"/>
    <w:rsid w:val="009842C5"/>
    <w:rsid w:val="0098437C"/>
    <w:rsid w:val="00984A0A"/>
    <w:rsid w:val="00985498"/>
    <w:rsid w:val="009861F1"/>
    <w:rsid w:val="0098663F"/>
    <w:rsid w:val="00986D4A"/>
    <w:rsid w:val="00986EDF"/>
    <w:rsid w:val="00986FDC"/>
    <w:rsid w:val="0098701B"/>
    <w:rsid w:val="009872FD"/>
    <w:rsid w:val="00987D0D"/>
    <w:rsid w:val="00987D8F"/>
    <w:rsid w:val="00990B52"/>
    <w:rsid w:val="00991C42"/>
    <w:rsid w:val="00991EA4"/>
    <w:rsid w:val="009922D2"/>
    <w:rsid w:val="0099245E"/>
    <w:rsid w:val="00992475"/>
    <w:rsid w:val="00992770"/>
    <w:rsid w:val="00992ED9"/>
    <w:rsid w:val="00993290"/>
    <w:rsid w:val="00993864"/>
    <w:rsid w:val="0099394A"/>
    <w:rsid w:val="00994C2A"/>
    <w:rsid w:val="00995794"/>
    <w:rsid w:val="0099586E"/>
    <w:rsid w:val="00995DA1"/>
    <w:rsid w:val="00996300"/>
    <w:rsid w:val="009967D2"/>
    <w:rsid w:val="00996822"/>
    <w:rsid w:val="00996B37"/>
    <w:rsid w:val="00996DD2"/>
    <w:rsid w:val="00997540"/>
    <w:rsid w:val="009975B0"/>
    <w:rsid w:val="0099769D"/>
    <w:rsid w:val="009976DF"/>
    <w:rsid w:val="009A0959"/>
    <w:rsid w:val="009A140A"/>
    <w:rsid w:val="009A18C6"/>
    <w:rsid w:val="009A21D2"/>
    <w:rsid w:val="009A2736"/>
    <w:rsid w:val="009A308C"/>
    <w:rsid w:val="009A3227"/>
    <w:rsid w:val="009A35E9"/>
    <w:rsid w:val="009A3A65"/>
    <w:rsid w:val="009A3C85"/>
    <w:rsid w:val="009A43C5"/>
    <w:rsid w:val="009A4606"/>
    <w:rsid w:val="009A49F5"/>
    <w:rsid w:val="009A5221"/>
    <w:rsid w:val="009A56D9"/>
    <w:rsid w:val="009A5EC9"/>
    <w:rsid w:val="009A6A48"/>
    <w:rsid w:val="009A73C8"/>
    <w:rsid w:val="009A7684"/>
    <w:rsid w:val="009A7D1E"/>
    <w:rsid w:val="009A7E21"/>
    <w:rsid w:val="009A7FAC"/>
    <w:rsid w:val="009B0867"/>
    <w:rsid w:val="009B16E5"/>
    <w:rsid w:val="009B1A72"/>
    <w:rsid w:val="009B2082"/>
    <w:rsid w:val="009B2419"/>
    <w:rsid w:val="009B24CA"/>
    <w:rsid w:val="009B2A04"/>
    <w:rsid w:val="009B2C25"/>
    <w:rsid w:val="009B2F5B"/>
    <w:rsid w:val="009B38E7"/>
    <w:rsid w:val="009B4BAF"/>
    <w:rsid w:val="009B4D0B"/>
    <w:rsid w:val="009B4E8B"/>
    <w:rsid w:val="009B64D9"/>
    <w:rsid w:val="009B6D3D"/>
    <w:rsid w:val="009B70C7"/>
    <w:rsid w:val="009B71EE"/>
    <w:rsid w:val="009B75DB"/>
    <w:rsid w:val="009B76BD"/>
    <w:rsid w:val="009B7DAC"/>
    <w:rsid w:val="009BBB7B"/>
    <w:rsid w:val="009C0268"/>
    <w:rsid w:val="009C1A57"/>
    <w:rsid w:val="009C21C1"/>
    <w:rsid w:val="009C2971"/>
    <w:rsid w:val="009C2984"/>
    <w:rsid w:val="009C2A46"/>
    <w:rsid w:val="009C2EB3"/>
    <w:rsid w:val="009C2F03"/>
    <w:rsid w:val="009C33D3"/>
    <w:rsid w:val="009C351C"/>
    <w:rsid w:val="009C3682"/>
    <w:rsid w:val="009C4041"/>
    <w:rsid w:val="009C44F4"/>
    <w:rsid w:val="009C701C"/>
    <w:rsid w:val="009C71D8"/>
    <w:rsid w:val="009C7757"/>
    <w:rsid w:val="009C77A3"/>
    <w:rsid w:val="009C77A4"/>
    <w:rsid w:val="009C7D7C"/>
    <w:rsid w:val="009D0147"/>
    <w:rsid w:val="009D15C6"/>
    <w:rsid w:val="009D173B"/>
    <w:rsid w:val="009D187D"/>
    <w:rsid w:val="009D2392"/>
    <w:rsid w:val="009D2E91"/>
    <w:rsid w:val="009D34A6"/>
    <w:rsid w:val="009D3987"/>
    <w:rsid w:val="009D3A88"/>
    <w:rsid w:val="009D4C0A"/>
    <w:rsid w:val="009D4EC5"/>
    <w:rsid w:val="009D5076"/>
    <w:rsid w:val="009D50FE"/>
    <w:rsid w:val="009D56EE"/>
    <w:rsid w:val="009D5B6A"/>
    <w:rsid w:val="009D6019"/>
    <w:rsid w:val="009D61C3"/>
    <w:rsid w:val="009D61E1"/>
    <w:rsid w:val="009D69F3"/>
    <w:rsid w:val="009D6BFC"/>
    <w:rsid w:val="009E0040"/>
    <w:rsid w:val="009E0684"/>
    <w:rsid w:val="009E06E1"/>
    <w:rsid w:val="009E0FD6"/>
    <w:rsid w:val="009E103A"/>
    <w:rsid w:val="009E21A7"/>
    <w:rsid w:val="009E25EB"/>
    <w:rsid w:val="009E2F52"/>
    <w:rsid w:val="009E35DC"/>
    <w:rsid w:val="009E36D0"/>
    <w:rsid w:val="009E3905"/>
    <w:rsid w:val="009E393E"/>
    <w:rsid w:val="009E3B36"/>
    <w:rsid w:val="009E3E5C"/>
    <w:rsid w:val="009E4E25"/>
    <w:rsid w:val="009E50C9"/>
    <w:rsid w:val="009E50E7"/>
    <w:rsid w:val="009E51A7"/>
    <w:rsid w:val="009E56F2"/>
    <w:rsid w:val="009E5C82"/>
    <w:rsid w:val="009E65AA"/>
    <w:rsid w:val="009E6DFA"/>
    <w:rsid w:val="009E7351"/>
    <w:rsid w:val="009E768D"/>
    <w:rsid w:val="009E7759"/>
    <w:rsid w:val="009E7B40"/>
    <w:rsid w:val="009E7E24"/>
    <w:rsid w:val="009F023A"/>
    <w:rsid w:val="009F07D3"/>
    <w:rsid w:val="009F0B4A"/>
    <w:rsid w:val="009F0E45"/>
    <w:rsid w:val="009F12FE"/>
    <w:rsid w:val="009F18D0"/>
    <w:rsid w:val="009F1F7F"/>
    <w:rsid w:val="009F231A"/>
    <w:rsid w:val="009F288B"/>
    <w:rsid w:val="009F3F2E"/>
    <w:rsid w:val="009F4C9B"/>
    <w:rsid w:val="009F4DA1"/>
    <w:rsid w:val="009F5613"/>
    <w:rsid w:val="009F5EAC"/>
    <w:rsid w:val="009F60BE"/>
    <w:rsid w:val="009F60C6"/>
    <w:rsid w:val="009F70CC"/>
    <w:rsid w:val="009F76A4"/>
    <w:rsid w:val="00A000CA"/>
    <w:rsid w:val="00A000FB"/>
    <w:rsid w:val="00A00819"/>
    <w:rsid w:val="00A00B88"/>
    <w:rsid w:val="00A012CD"/>
    <w:rsid w:val="00A01CB8"/>
    <w:rsid w:val="00A021CD"/>
    <w:rsid w:val="00A022A7"/>
    <w:rsid w:val="00A02539"/>
    <w:rsid w:val="00A02B80"/>
    <w:rsid w:val="00A02C24"/>
    <w:rsid w:val="00A02CFA"/>
    <w:rsid w:val="00A039F7"/>
    <w:rsid w:val="00A03A8C"/>
    <w:rsid w:val="00A03A96"/>
    <w:rsid w:val="00A03CCC"/>
    <w:rsid w:val="00A03E38"/>
    <w:rsid w:val="00A0429B"/>
    <w:rsid w:val="00A044AD"/>
    <w:rsid w:val="00A047CA"/>
    <w:rsid w:val="00A04A06"/>
    <w:rsid w:val="00A0517D"/>
    <w:rsid w:val="00A0526E"/>
    <w:rsid w:val="00A0533D"/>
    <w:rsid w:val="00A054E9"/>
    <w:rsid w:val="00A0599A"/>
    <w:rsid w:val="00A05F81"/>
    <w:rsid w:val="00A06457"/>
    <w:rsid w:val="00A06519"/>
    <w:rsid w:val="00A066D0"/>
    <w:rsid w:val="00A06801"/>
    <w:rsid w:val="00A06A0A"/>
    <w:rsid w:val="00A06E20"/>
    <w:rsid w:val="00A072CA"/>
    <w:rsid w:val="00A073C0"/>
    <w:rsid w:val="00A07412"/>
    <w:rsid w:val="00A07A45"/>
    <w:rsid w:val="00A1077F"/>
    <w:rsid w:val="00A10BC4"/>
    <w:rsid w:val="00A10C60"/>
    <w:rsid w:val="00A10D48"/>
    <w:rsid w:val="00A114DF"/>
    <w:rsid w:val="00A11560"/>
    <w:rsid w:val="00A117D3"/>
    <w:rsid w:val="00A11E82"/>
    <w:rsid w:val="00A1212C"/>
    <w:rsid w:val="00A13B63"/>
    <w:rsid w:val="00A14845"/>
    <w:rsid w:val="00A14A95"/>
    <w:rsid w:val="00A14C6E"/>
    <w:rsid w:val="00A15125"/>
    <w:rsid w:val="00A152E9"/>
    <w:rsid w:val="00A166AD"/>
    <w:rsid w:val="00A16AAC"/>
    <w:rsid w:val="00A1736D"/>
    <w:rsid w:val="00A178F6"/>
    <w:rsid w:val="00A17C3F"/>
    <w:rsid w:val="00A200A9"/>
    <w:rsid w:val="00A2024F"/>
    <w:rsid w:val="00A204EC"/>
    <w:rsid w:val="00A207C2"/>
    <w:rsid w:val="00A20DF8"/>
    <w:rsid w:val="00A20DFF"/>
    <w:rsid w:val="00A215F9"/>
    <w:rsid w:val="00A23052"/>
    <w:rsid w:val="00A23136"/>
    <w:rsid w:val="00A2364B"/>
    <w:rsid w:val="00A240C5"/>
    <w:rsid w:val="00A24114"/>
    <w:rsid w:val="00A2489A"/>
    <w:rsid w:val="00A24EAE"/>
    <w:rsid w:val="00A250D0"/>
    <w:rsid w:val="00A2516C"/>
    <w:rsid w:val="00A251CA"/>
    <w:rsid w:val="00A25F42"/>
    <w:rsid w:val="00A2650A"/>
    <w:rsid w:val="00A26993"/>
    <w:rsid w:val="00A26BDD"/>
    <w:rsid w:val="00A26D48"/>
    <w:rsid w:val="00A26EAD"/>
    <w:rsid w:val="00A30277"/>
    <w:rsid w:val="00A30DCA"/>
    <w:rsid w:val="00A30FD7"/>
    <w:rsid w:val="00A316F9"/>
    <w:rsid w:val="00A31A7F"/>
    <w:rsid w:val="00A31C01"/>
    <w:rsid w:val="00A31C2E"/>
    <w:rsid w:val="00A32602"/>
    <w:rsid w:val="00A33B3D"/>
    <w:rsid w:val="00A34161"/>
    <w:rsid w:val="00A343BA"/>
    <w:rsid w:val="00A34797"/>
    <w:rsid w:val="00A34B54"/>
    <w:rsid w:val="00A3578A"/>
    <w:rsid w:val="00A35F25"/>
    <w:rsid w:val="00A36101"/>
    <w:rsid w:val="00A3614D"/>
    <w:rsid w:val="00A36620"/>
    <w:rsid w:val="00A36E35"/>
    <w:rsid w:val="00A37286"/>
    <w:rsid w:val="00A374A4"/>
    <w:rsid w:val="00A37D50"/>
    <w:rsid w:val="00A37E05"/>
    <w:rsid w:val="00A4083A"/>
    <w:rsid w:val="00A40B11"/>
    <w:rsid w:val="00A412B6"/>
    <w:rsid w:val="00A417DF"/>
    <w:rsid w:val="00A4181F"/>
    <w:rsid w:val="00A41A8B"/>
    <w:rsid w:val="00A420B0"/>
    <w:rsid w:val="00A42FEF"/>
    <w:rsid w:val="00A43689"/>
    <w:rsid w:val="00A43834"/>
    <w:rsid w:val="00A44AA3"/>
    <w:rsid w:val="00A44FD6"/>
    <w:rsid w:val="00A45943"/>
    <w:rsid w:val="00A4597D"/>
    <w:rsid w:val="00A45DC8"/>
    <w:rsid w:val="00A46148"/>
    <w:rsid w:val="00A46AEE"/>
    <w:rsid w:val="00A46C0B"/>
    <w:rsid w:val="00A46D3D"/>
    <w:rsid w:val="00A474BA"/>
    <w:rsid w:val="00A47663"/>
    <w:rsid w:val="00A47671"/>
    <w:rsid w:val="00A47B2B"/>
    <w:rsid w:val="00A47D33"/>
    <w:rsid w:val="00A47E5D"/>
    <w:rsid w:val="00A4D943"/>
    <w:rsid w:val="00A50534"/>
    <w:rsid w:val="00A507FE"/>
    <w:rsid w:val="00A5126B"/>
    <w:rsid w:val="00A5126D"/>
    <w:rsid w:val="00A519AE"/>
    <w:rsid w:val="00A51F41"/>
    <w:rsid w:val="00A53165"/>
    <w:rsid w:val="00A5345C"/>
    <w:rsid w:val="00A54173"/>
    <w:rsid w:val="00A54DC5"/>
    <w:rsid w:val="00A550D5"/>
    <w:rsid w:val="00A5524C"/>
    <w:rsid w:val="00A55261"/>
    <w:rsid w:val="00A56072"/>
    <w:rsid w:val="00A562C6"/>
    <w:rsid w:val="00A564AB"/>
    <w:rsid w:val="00A56766"/>
    <w:rsid w:val="00A56C04"/>
    <w:rsid w:val="00A5739B"/>
    <w:rsid w:val="00A579B5"/>
    <w:rsid w:val="00A57A0F"/>
    <w:rsid w:val="00A603D6"/>
    <w:rsid w:val="00A60B4C"/>
    <w:rsid w:val="00A60D6B"/>
    <w:rsid w:val="00A614B1"/>
    <w:rsid w:val="00A62043"/>
    <w:rsid w:val="00A622C6"/>
    <w:rsid w:val="00A62F3B"/>
    <w:rsid w:val="00A633B9"/>
    <w:rsid w:val="00A6359E"/>
    <w:rsid w:val="00A63C24"/>
    <w:rsid w:val="00A6445C"/>
    <w:rsid w:val="00A64539"/>
    <w:rsid w:val="00A655BA"/>
    <w:rsid w:val="00A65660"/>
    <w:rsid w:val="00A658FA"/>
    <w:rsid w:val="00A66039"/>
    <w:rsid w:val="00A660F6"/>
    <w:rsid w:val="00A66279"/>
    <w:rsid w:val="00A6647F"/>
    <w:rsid w:val="00A66485"/>
    <w:rsid w:val="00A664CC"/>
    <w:rsid w:val="00A669CE"/>
    <w:rsid w:val="00A67131"/>
    <w:rsid w:val="00A67460"/>
    <w:rsid w:val="00A67670"/>
    <w:rsid w:val="00A676CB"/>
    <w:rsid w:val="00A67726"/>
    <w:rsid w:val="00A67757"/>
    <w:rsid w:val="00A6793A"/>
    <w:rsid w:val="00A69031"/>
    <w:rsid w:val="00A70799"/>
    <w:rsid w:val="00A70E6E"/>
    <w:rsid w:val="00A70F6C"/>
    <w:rsid w:val="00A72541"/>
    <w:rsid w:val="00A7267E"/>
    <w:rsid w:val="00A72874"/>
    <w:rsid w:val="00A72E59"/>
    <w:rsid w:val="00A73107"/>
    <w:rsid w:val="00A731AA"/>
    <w:rsid w:val="00A734F7"/>
    <w:rsid w:val="00A753E6"/>
    <w:rsid w:val="00A76111"/>
    <w:rsid w:val="00A7670F"/>
    <w:rsid w:val="00A76803"/>
    <w:rsid w:val="00A76D24"/>
    <w:rsid w:val="00A77456"/>
    <w:rsid w:val="00A77BF7"/>
    <w:rsid w:val="00A824DB"/>
    <w:rsid w:val="00A82841"/>
    <w:rsid w:val="00A82DAE"/>
    <w:rsid w:val="00A83801"/>
    <w:rsid w:val="00A84070"/>
    <w:rsid w:val="00A841DF"/>
    <w:rsid w:val="00A842B3"/>
    <w:rsid w:val="00A84454"/>
    <w:rsid w:val="00A845F5"/>
    <w:rsid w:val="00A8469F"/>
    <w:rsid w:val="00A84795"/>
    <w:rsid w:val="00A85D99"/>
    <w:rsid w:val="00A86262"/>
    <w:rsid w:val="00A86979"/>
    <w:rsid w:val="00A86B6C"/>
    <w:rsid w:val="00A86BE7"/>
    <w:rsid w:val="00A86F2F"/>
    <w:rsid w:val="00A876CF"/>
    <w:rsid w:val="00A878A1"/>
    <w:rsid w:val="00A87C08"/>
    <w:rsid w:val="00A87CAF"/>
    <w:rsid w:val="00A90603"/>
    <w:rsid w:val="00A90A4D"/>
    <w:rsid w:val="00A90EE1"/>
    <w:rsid w:val="00A92611"/>
    <w:rsid w:val="00A93344"/>
    <w:rsid w:val="00A933BF"/>
    <w:rsid w:val="00A93531"/>
    <w:rsid w:val="00A94D38"/>
    <w:rsid w:val="00A95B1C"/>
    <w:rsid w:val="00A96579"/>
    <w:rsid w:val="00A965D1"/>
    <w:rsid w:val="00A9754A"/>
    <w:rsid w:val="00A975C8"/>
    <w:rsid w:val="00AA02BC"/>
    <w:rsid w:val="00AA0D0B"/>
    <w:rsid w:val="00AA0F77"/>
    <w:rsid w:val="00AA13D5"/>
    <w:rsid w:val="00AA2056"/>
    <w:rsid w:val="00AA21EC"/>
    <w:rsid w:val="00AA24F3"/>
    <w:rsid w:val="00AA2E77"/>
    <w:rsid w:val="00AA331B"/>
    <w:rsid w:val="00AA4FAD"/>
    <w:rsid w:val="00AA5120"/>
    <w:rsid w:val="00AA524A"/>
    <w:rsid w:val="00AA5270"/>
    <w:rsid w:val="00AA5A08"/>
    <w:rsid w:val="00AA6062"/>
    <w:rsid w:val="00AA6357"/>
    <w:rsid w:val="00AA67BA"/>
    <w:rsid w:val="00AA6FAF"/>
    <w:rsid w:val="00AA70BB"/>
    <w:rsid w:val="00AB0521"/>
    <w:rsid w:val="00AB08A3"/>
    <w:rsid w:val="00AB08E5"/>
    <w:rsid w:val="00AB0A22"/>
    <w:rsid w:val="00AB12F1"/>
    <w:rsid w:val="00AB1929"/>
    <w:rsid w:val="00AB3606"/>
    <w:rsid w:val="00AB41F5"/>
    <w:rsid w:val="00AB43E0"/>
    <w:rsid w:val="00AB4D21"/>
    <w:rsid w:val="00AB546D"/>
    <w:rsid w:val="00AB5817"/>
    <w:rsid w:val="00AB60EB"/>
    <w:rsid w:val="00AB62B1"/>
    <w:rsid w:val="00AB64F8"/>
    <w:rsid w:val="00AB671B"/>
    <w:rsid w:val="00AB7136"/>
    <w:rsid w:val="00AB7186"/>
    <w:rsid w:val="00AB73BA"/>
    <w:rsid w:val="00AB7861"/>
    <w:rsid w:val="00AB7946"/>
    <w:rsid w:val="00AB7BE4"/>
    <w:rsid w:val="00AB7EAB"/>
    <w:rsid w:val="00AB9B9E"/>
    <w:rsid w:val="00AC0FE7"/>
    <w:rsid w:val="00AC100E"/>
    <w:rsid w:val="00AC10E2"/>
    <w:rsid w:val="00AC1286"/>
    <w:rsid w:val="00AC205A"/>
    <w:rsid w:val="00AC21EA"/>
    <w:rsid w:val="00AC2876"/>
    <w:rsid w:val="00AC314D"/>
    <w:rsid w:val="00AC3370"/>
    <w:rsid w:val="00AC3386"/>
    <w:rsid w:val="00AC381A"/>
    <w:rsid w:val="00AC4489"/>
    <w:rsid w:val="00AC54F6"/>
    <w:rsid w:val="00AC558A"/>
    <w:rsid w:val="00AC5799"/>
    <w:rsid w:val="00AC5AD6"/>
    <w:rsid w:val="00AC5BE4"/>
    <w:rsid w:val="00AC61CB"/>
    <w:rsid w:val="00AC674D"/>
    <w:rsid w:val="00AC6D38"/>
    <w:rsid w:val="00AC7BB5"/>
    <w:rsid w:val="00AC7BBD"/>
    <w:rsid w:val="00AD01AC"/>
    <w:rsid w:val="00AD106C"/>
    <w:rsid w:val="00AD1337"/>
    <w:rsid w:val="00AD1720"/>
    <w:rsid w:val="00AD17FA"/>
    <w:rsid w:val="00AD2665"/>
    <w:rsid w:val="00AD2900"/>
    <w:rsid w:val="00AD36FE"/>
    <w:rsid w:val="00AD3C41"/>
    <w:rsid w:val="00AD4FAF"/>
    <w:rsid w:val="00AD53BC"/>
    <w:rsid w:val="00AD53BE"/>
    <w:rsid w:val="00AD5BB0"/>
    <w:rsid w:val="00AD6176"/>
    <w:rsid w:val="00AD6225"/>
    <w:rsid w:val="00AD62CD"/>
    <w:rsid w:val="00AD63FF"/>
    <w:rsid w:val="00AD683F"/>
    <w:rsid w:val="00AD709A"/>
    <w:rsid w:val="00AD74F9"/>
    <w:rsid w:val="00AD7546"/>
    <w:rsid w:val="00AE0487"/>
    <w:rsid w:val="00AE0578"/>
    <w:rsid w:val="00AE0B36"/>
    <w:rsid w:val="00AE0DC9"/>
    <w:rsid w:val="00AE1C99"/>
    <w:rsid w:val="00AE1D5B"/>
    <w:rsid w:val="00AE1F56"/>
    <w:rsid w:val="00AE2128"/>
    <w:rsid w:val="00AE29B5"/>
    <w:rsid w:val="00AE2B90"/>
    <w:rsid w:val="00AE306E"/>
    <w:rsid w:val="00AE3AA1"/>
    <w:rsid w:val="00AE3C95"/>
    <w:rsid w:val="00AE4D61"/>
    <w:rsid w:val="00AE4DD9"/>
    <w:rsid w:val="00AE5320"/>
    <w:rsid w:val="00AE5508"/>
    <w:rsid w:val="00AE5BA9"/>
    <w:rsid w:val="00AE6011"/>
    <w:rsid w:val="00AE601B"/>
    <w:rsid w:val="00AE61DA"/>
    <w:rsid w:val="00AE6BAE"/>
    <w:rsid w:val="00AE6DEF"/>
    <w:rsid w:val="00AE76F9"/>
    <w:rsid w:val="00AF013E"/>
    <w:rsid w:val="00AF0342"/>
    <w:rsid w:val="00AF06C0"/>
    <w:rsid w:val="00AF07DE"/>
    <w:rsid w:val="00AF107E"/>
    <w:rsid w:val="00AF142E"/>
    <w:rsid w:val="00AF17C3"/>
    <w:rsid w:val="00AF233F"/>
    <w:rsid w:val="00AF2356"/>
    <w:rsid w:val="00AF27F4"/>
    <w:rsid w:val="00AF2AD1"/>
    <w:rsid w:val="00AF3143"/>
    <w:rsid w:val="00AF3744"/>
    <w:rsid w:val="00AF385E"/>
    <w:rsid w:val="00AF3875"/>
    <w:rsid w:val="00AF39FB"/>
    <w:rsid w:val="00AF3C7A"/>
    <w:rsid w:val="00AF3D4C"/>
    <w:rsid w:val="00AF3F9C"/>
    <w:rsid w:val="00AF58C0"/>
    <w:rsid w:val="00AF5982"/>
    <w:rsid w:val="00AF5AFC"/>
    <w:rsid w:val="00AF5B94"/>
    <w:rsid w:val="00AF6436"/>
    <w:rsid w:val="00AF715A"/>
    <w:rsid w:val="00AF7206"/>
    <w:rsid w:val="00AF74B8"/>
    <w:rsid w:val="00AF75CD"/>
    <w:rsid w:val="00B00A49"/>
    <w:rsid w:val="00B018E2"/>
    <w:rsid w:val="00B01C2F"/>
    <w:rsid w:val="00B01FDC"/>
    <w:rsid w:val="00B02149"/>
    <w:rsid w:val="00B02224"/>
    <w:rsid w:val="00B02814"/>
    <w:rsid w:val="00B02F2F"/>
    <w:rsid w:val="00B0311D"/>
    <w:rsid w:val="00B03601"/>
    <w:rsid w:val="00B03D22"/>
    <w:rsid w:val="00B043E6"/>
    <w:rsid w:val="00B0451E"/>
    <w:rsid w:val="00B0483D"/>
    <w:rsid w:val="00B05A15"/>
    <w:rsid w:val="00B06006"/>
    <w:rsid w:val="00B060E5"/>
    <w:rsid w:val="00B06ADA"/>
    <w:rsid w:val="00B06C93"/>
    <w:rsid w:val="00B07710"/>
    <w:rsid w:val="00B078B0"/>
    <w:rsid w:val="00B07CD5"/>
    <w:rsid w:val="00B0C16C"/>
    <w:rsid w:val="00B105FD"/>
    <w:rsid w:val="00B11F35"/>
    <w:rsid w:val="00B1218B"/>
    <w:rsid w:val="00B1233C"/>
    <w:rsid w:val="00B1256E"/>
    <w:rsid w:val="00B132EC"/>
    <w:rsid w:val="00B13353"/>
    <w:rsid w:val="00B140F1"/>
    <w:rsid w:val="00B1488A"/>
    <w:rsid w:val="00B1490E"/>
    <w:rsid w:val="00B149E4"/>
    <w:rsid w:val="00B14EBB"/>
    <w:rsid w:val="00B15AC7"/>
    <w:rsid w:val="00B15C4C"/>
    <w:rsid w:val="00B164B2"/>
    <w:rsid w:val="00B166A0"/>
    <w:rsid w:val="00B16A4C"/>
    <w:rsid w:val="00B16FF0"/>
    <w:rsid w:val="00B1704C"/>
    <w:rsid w:val="00B20024"/>
    <w:rsid w:val="00B207F8"/>
    <w:rsid w:val="00B21CFB"/>
    <w:rsid w:val="00B21D25"/>
    <w:rsid w:val="00B2224C"/>
    <w:rsid w:val="00B22999"/>
    <w:rsid w:val="00B22E1C"/>
    <w:rsid w:val="00B23336"/>
    <w:rsid w:val="00B237E7"/>
    <w:rsid w:val="00B23AE4"/>
    <w:rsid w:val="00B23CCF"/>
    <w:rsid w:val="00B23D47"/>
    <w:rsid w:val="00B23FBA"/>
    <w:rsid w:val="00B241BE"/>
    <w:rsid w:val="00B243AB"/>
    <w:rsid w:val="00B244E6"/>
    <w:rsid w:val="00B24B2D"/>
    <w:rsid w:val="00B24D05"/>
    <w:rsid w:val="00B2585A"/>
    <w:rsid w:val="00B258FB"/>
    <w:rsid w:val="00B25910"/>
    <w:rsid w:val="00B25942"/>
    <w:rsid w:val="00B26A4E"/>
    <w:rsid w:val="00B26D2B"/>
    <w:rsid w:val="00B27041"/>
    <w:rsid w:val="00B29A67"/>
    <w:rsid w:val="00B305A3"/>
    <w:rsid w:val="00B30A75"/>
    <w:rsid w:val="00B30E29"/>
    <w:rsid w:val="00B315CA"/>
    <w:rsid w:val="00B31EE5"/>
    <w:rsid w:val="00B321AD"/>
    <w:rsid w:val="00B32336"/>
    <w:rsid w:val="00B326F2"/>
    <w:rsid w:val="00B32D3C"/>
    <w:rsid w:val="00B32E68"/>
    <w:rsid w:val="00B334C0"/>
    <w:rsid w:val="00B33A8D"/>
    <w:rsid w:val="00B34074"/>
    <w:rsid w:val="00B35054"/>
    <w:rsid w:val="00B35F49"/>
    <w:rsid w:val="00B35F94"/>
    <w:rsid w:val="00B36480"/>
    <w:rsid w:val="00B36E76"/>
    <w:rsid w:val="00B37286"/>
    <w:rsid w:val="00B37511"/>
    <w:rsid w:val="00B37522"/>
    <w:rsid w:val="00B40717"/>
    <w:rsid w:val="00B40AB7"/>
    <w:rsid w:val="00B40E6A"/>
    <w:rsid w:val="00B410FF"/>
    <w:rsid w:val="00B41822"/>
    <w:rsid w:val="00B41B99"/>
    <w:rsid w:val="00B42666"/>
    <w:rsid w:val="00B426F5"/>
    <w:rsid w:val="00B42BD3"/>
    <w:rsid w:val="00B43129"/>
    <w:rsid w:val="00B438E6"/>
    <w:rsid w:val="00B44330"/>
    <w:rsid w:val="00B443B4"/>
    <w:rsid w:val="00B4448E"/>
    <w:rsid w:val="00B44741"/>
    <w:rsid w:val="00B44A1A"/>
    <w:rsid w:val="00B451B3"/>
    <w:rsid w:val="00B45D08"/>
    <w:rsid w:val="00B45E04"/>
    <w:rsid w:val="00B46717"/>
    <w:rsid w:val="00B4687B"/>
    <w:rsid w:val="00B46DCB"/>
    <w:rsid w:val="00B47142"/>
    <w:rsid w:val="00B475AB"/>
    <w:rsid w:val="00B5008F"/>
    <w:rsid w:val="00B5059C"/>
    <w:rsid w:val="00B5077A"/>
    <w:rsid w:val="00B50F37"/>
    <w:rsid w:val="00B514BB"/>
    <w:rsid w:val="00B51505"/>
    <w:rsid w:val="00B51711"/>
    <w:rsid w:val="00B51A0B"/>
    <w:rsid w:val="00B51C71"/>
    <w:rsid w:val="00B5229D"/>
    <w:rsid w:val="00B52918"/>
    <w:rsid w:val="00B52A09"/>
    <w:rsid w:val="00B533B9"/>
    <w:rsid w:val="00B534FC"/>
    <w:rsid w:val="00B53AED"/>
    <w:rsid w:val="00B54459"/>
    <w:rsid w:val="00B54F3B"/>
    <w:rsid w:val="00B5507B"/>
    <w:rsid w:val="00B565D5"/>
    <w:rsid w:val="00B569C7"/>
    <w:rsid w:val="00B56C1F"/>
    <w:rsid w:val="00B56DE7"/>
    <w:rsid w:val="00B56E48"/>
    <w:rsid w:val="00B57350"/>
    <w:rsid w:val="00B59965"/>
    <w:rsid w:val="00B60247"/>
    <w:rsid w:val="00B60B51"/>
    <w:rsid w:val="00B60CF9"/>
    <w:rsid w:val="00B60FE7"/>
    <w:rsid w:val="00B61005"/>
    <w:rsid w:val="00B611A6"/>
    <w:rsid w:val="00B612BC"/>
    <w:rsid w:val="00B61642"/>
    <w:rsid w:val="00B61A3D"/>
    <w:rsid w:val="00B61C12"/>
    <w:rsid w:val="00B62146"/>
    <w:rsid w:val="00B624EC"/>
    <w:rsid w:val="00B63106"/>
    <w:rsid w:val="00B6316B"/>
    <w:rsid w:val="00B6364D"/>
    <w:rsid w:val="00B63B37"/>
    <w:rsid w:val="00B63D67"/>
    <w:rsid w:val="00B63E67"/>
    <w:rsid w:val="00B64941"/>
    <w:rsid w:val="00B64E41"/>
    <w:rsid w:val="00B65C84"/>
    <w:rsid w:val="00B663C0"/>
    <w:rsid w:val="00B6659E"/>
    <w:rsid w:val="00B6688B"/>
    <w:rsid w:val="00B66AAE"/>
    <w:rsid w:val="00B671D4"/>
    <w:rsid w:val="00B67837"/>
    <w:rsid w:val="00B67844"/>
    <w:rsid w:val="00B678A0"/>
    <w:rsid w:val="00B67A0A"/>
    <w:rsid w:val="00B67F01"/>
    <w:rsid w:val="00B7030A"/>
    <w:rsid w:val="00B703CC"/>
    <w:rsid w:val="00B705C5"/>
    <w:rsid w:val="00B709AE"/>
    <w:rsid w:val="00B70B1D"/>
    <w:rsid w:val="00B71B28"/>
    <w:rsid w:val="00B71C8F"/>
    <w:rsid w:val="00B71E82"/>
    <w:rsid w:val="00B71FB3"/>
    <w:rsid w:val="00B72125"/>
    <w:rsid w:val="00B7238F"/>
    <w:rsid w:val="00B7259C"/>
    <w:rsid w:val="00B72B4D"/>
    <w:rsid w:val="00B72BD4"/>
    <w:rsid w:val="00B7300B"/>
    <w:rsid w:val="00B73381"/>
    <w:rsid w:val="00B73753"/>
    <w:rsid w:val="00B73932"/>
    <w:rsid w:val="00B73BF1"/>
    <w:rsid w:val="00B73E9C"/>
    <w:rsid w:val="00B73EE7"/>
    <w:rsid w:val="00B7417F"/>
    <w:rsid w:val="00B74500"/>
    <w:rsid w:val="00B747C1"/>
    <w:rsid w:val="00B750CF"/>
    <w:rsid w:val="00B75173"/>
    <w:rsid w:val="00B75A8D"/>
    <w:rsid w:val="00B75E0A"/>
    <w:rsid w:val="00B76073"/>
    <w:rsid w:val="00B7623E"/>
    <w:rsid w:val="00B765D7"/>
    <w:rsid w:val="00B76CED"/>
    <w:rsid w:val="00B7724C"/>
    <w:rsid w:val="00B77922"/>
    <w:rsid w:val="00B77F72"/>
    <w:rsid w:val="00B77F79"/>
    <w:rsid w:val="00B805F1"/>
    <w:rsid w:val="00B809B2"/>
    <w:rsid w:val="00B80E15"/>
    <w:rsid w:val="00B8182F"/>
    <w:rsid w:val="00B82362"/>
    <w:rsid w:val="00B824B7"/>
    <w:rsid w:val="00B82E76"/>
    <w:rsid w:val="00B8306B"/>
    <w:rsid w:val="00B83603"/>
    <w:rsid w:val="00B83815"/>
    <w:rsid w:val="00B83914"/>
    <w:rsid w:val="00B83933"/>
    <w:rsid w:val="00B83BFA"/>
    <w:rsid w:val="00B83C8A"/>
    <w:rsid w:val="00B840D1"/>
    <w:rsid w:val="00B84977"/>
    <w:rsid w:val="00B84B60"/>
    <w:rsid w:val="00B84F42"/>
    <w:rsid w:val="00B851B9"/>
    <w:rsid w:val="00B852E0"/>
    <w:rsid w:val="00B85419"/>
    <w:rsid w:val="00B858AC"/>
    <w:rsid w:val="00B86229"/>
    <w:rsid w:val="00B868D5"/>
    <w:rsid w:val="00B86BC1"/>
    <w:rsid w:val="00B86EBA"/>
    <w:rsid w:val="00B86F4A"/>
    <w:rsid w:val="00B87B98"/>
    <w:rsid w:val="00B87C47"/>
    <w:rsid w:val="00B90736"/>
    <w:rsid w:val="00B912A9"/>
    <w:rsid w:val="00B917A0"/>
    <w:rsid w:val="00B92904"/>
    <w:rsid w:val="00B92D8E"/>
    <w:rsid w:val="00B93632"/>
    <w:rsid w:val="00B939CD"/>
    <w:rsid w:val="00B93E1B"/>
    <w:rsid w:val="00B94EDD"/>
    <w:rsid w:val="00B9529A"/>
    <w:rsid w:val="00B954E9"/>
    <w:rsid w:val="00B966D5"/>
    <w:rsid w:val="00B96CE5"/>
    <w:rsid w:val="00B97955"/>
    <w:rsid w:val="00B97AD6"/>
    <w:rsid w:val="00BA09A4"/>
    <w:rsid w:val="00BA0AA1"/>
    <w:rsid w:val="00BA0D7B"/>
    <w:rsid w:val="00BA145F"/>
    <w:rsid w:val="00BA16E0"/>
    <w:rsid w:val="00BA195F"/>
    <w:rsid w:val="00BA1E7D"/>
    <w:rsid w:val="00BA1F42"/>
    <w:rsid w:val="00BA1F80"/>
    <w:rsid w:val="00BA2368"/>
    <w:rsid w:val="00BA2777"/>
    <w:rsid w:val="00BA33B4"/>
    <w:rsid w:val="00BA35CA"/>
    <w:rsid w:val="00BA3629"/>
    <w:rsid w:val="00BA396E"/>
    <w:rsid w:val="00BA4294"/>
    <w:rsid w:val="00BA4456"/>
    <w:rsid w:val="00BA47B1"/>
    <w:rsid w:val="00BA4D0A"/>
    <w:rsid w:val="00BA4F26"/>
    <w:rsid w:val="00BA5791"/>
    <w:rsid w:val="00BA5B18"/>
    <w:rsid w:val="00BA5F2D"/>
    <w:rsid w:val="00BA6255"/>
    <w:rsid w:val="00BA65B7"/>
    <w:rsid w:val="00BA6B87"/>
    <w:rsid w:val="00BA75B7"/>
    <w:rsid w:val="00BA78C1"/>
    <w:rsid w:val="00BB00EF"/>
    <w:rsid w:val="00BB01B1"/>
    <w:rsid w:val="00BB0A62"/>
    <w:rsid w:val="00BB11A8"/>
    <w:rsid w:val="00BB18E5"/>
    <w:rsid w:val="00BB1932"/>
    <w:rsid w:val="00BB1BBD"/>
    <w:rsid w:val="00BB1FCD"/>
    <w:rsid w:val="00BB2A0B"/>
    <w:rsid w:val="00BB2BFC"/>
    <w:rsid w:val="00BB2F48"/>
    <w:rsid w:val="00BB3204"/>
    <w:rsid w:val="00BB3593"/>
    <w:rsid w:val="00BB361F"/>
    <w:rsid w:val="00BB3F43"/>
    <w:rsid w:val="00BB3FA0"/>
    <w:rsid w:val="00BB4264"/>
    <w:rsid w:val="00BB46C7"/>
    <w:rsid w:val="00BB496D"/>
    <w:rsid w:val="00BB54B5"/>
    <w:rsid w:val="00BB553F"/>
    <w:rsid w:val="00BB55FB"/>
    <w:rsid w:val="00BB5659"/>
    <w:rsid w:val="00BB6030"/>
    <w:rsid w:val="00BB64BF"/>
    <w:rsid w:val="00BB6CA9"/>
    <w:rsid w:val="00BB6E7F"/>
    <w:rsid w:val="00BB72AC"/>
    <w:rsid w:val="00BB78D6"/>
    <w:rsid w:val="00BC095A"/>
    <w:rsid w:val="00BC0E03"/>
    <w:rsid w:val="00BC0F9D"/>
    <w:rsid w:val="00BC0FCC"/>
    <w:rsid w:val="00BC16BD"/>
    <w:rsid w:val="00BC1785"/>
    <w:rsid w:val="00BC2E6D"/>
    <w:rsid w:val="00BC344C"/>
    <w:rsid w:val="00BC367F"/>
    <w:rsid w:val="00BC39F3"/>
    <w:rsid w:val="00BC3C9D"/>
    <w:rsid w:val="00BC3D7B"/>
    <w:rsid w:val="00BC4561"/>
    <w:rsid w:val="00BC45F4"/>
    <w:rsid w:val="00BC5714"/>
    <w:rsid w:val="00BC5762"/>
    <w:rsid w:val="00BC5A73"/>
    <w:rsid w:val="00BC5DAC"/>
    <w:rsid w:val="00BC6243"/>
    <w:rsid w:val="00BC636C"/>
    <w:rsid w:val="00BC661F"/>
    <w:rsid w:val="00BC679C"/>
    <w:rsid w:val="00BC7028"/>
    <w:rsid w:val="00BC70D8"/>
    <w:rsid w:val="00BC7CED"/>
    <w:rsid w:val="00BD007F"/>
    <w:rsid w:val="00BD159D"/>
    <w:rsid w:val="00BD15B2"/>
    <w:rsid w:val="00BD1B63"/>
    <w:rsid w:val="00BD1B84"/>
    <w:rsid w:val="00BD1C61"/>
    <w:rsid w:val="00BD1FB9"/>
    <w:rsid w:val="00BD280D"/>
    <w:rsid w:val="00BD2F3C"/>
    <w:rsid w:val="00BD2FC3"/>
    <w:rsid w:val="00BD3296"/>
    <w:rsid w:val="00BD3330"/>
    <w:rsid w:val="00BD34B5"/>
    <w:rsid w:val="00BD3CAD"/>
    <w:rsid w:val="00BD3CE2"/>
    <w:rsid w:val="00BD4416"/>
    <w:rsid w:val="00BD4AF1"/>
    <w:rsid w:val="00BD4F20"/>
    <w:rsid w:val="00BD50E9"/>
    <w:rsid w:val="00BD55CC"/>
    <w:rsid w:val="00BD5671"/>
    <w:rsid w:val="00BD5D61"/>
    <w:rsid w:val="00BD5E66"/>
    <w:rsid w:val="00BD639E"/>
    <w:rsid w:val="00BD6D73"/>
    <w:rsid w:val="00BD6EB4"/>
    <w:rsid w:val="00BD7401"/>
    <w:rsid w:val="00BD7479"/>
    <w:rsid w:val="00BD78BC"/>
    <w:rsid w:val="00BD79DF"/>
    <w:rsid w:val="00BE0581"/>
    <w:rsid w:val="00BE12F0"/>
    <w:rsid w:val="00BE19A8"/>
    <w:rsid w:val="00BE1AE7"/>
    <w:rsid w:val="00BE1E20"/>
    <w:rsid w:val="00BE225C"/>
    <w:rsid w:val="00BE241E"/>
    <w:rsid w:val="00BE27D9"/>
    <w:rsid w:val="00BE29F3"/>
    <w:rsid w:val="00BE2C03"/>
    <w:rsid w:val="00BE3A04"/>
    <w:rsid w:val="00BE3BC8"/>
    <w:rsid w:val="00BE48AA"/>
    <w:rsid w:val="00BE536C"/>
    <w:rsid w:val="00BE5D6E"/>
    <w:rsid w:val="00BE5F53"/>
    <w:rsid w:val="00BE62AB"/>
    <w:rsid w:val="00BE63E0"/>
    <w:rsid w:val="00BE64EF"/>
    <w:rsid w:val="00BE69C7"/>
    <w:rsid w:val="00BE6E42"/>
    <w:rsid w:val="00BE6E4C"/>
    <w:rsid w:val="00BE7039"/>
    <w:rsid w:val="00BE73BF"/>
    <w:rsid w:val="00BE75E7"/>
    <w:rsid w:val="00BE79BE"/>
    <w:rsid w:val="00BE7A4A"/>
    <w:rsid w:val="00BE7EB0"/>
    <w:rsid w:val="00BF005E"/>
    <w:rsid w:val="00BF0182"/>
    <w:rsid w:val="00BF048B"/>
    <w:rsid w:val="00BF08D4"/>
    <w:rsid w:val="00BF0ACD"/>
    <w:rsid w:val="00BF1391"/>
    <w:rsid w:val="00BF1529"/>
    <w:rsid w:val="00BF1948"/>
    <w:rsid w:val="00BF221F"/>
    <w:rsid w:val="00BF226F"/>
    <w:rsid w:val="00BF2A28"/>
    <w:rsid w:val="00BF2A79"/>
    <w:rsid w:val="00BF30D4"/>
    <w:rsid w:val="00BF3D35"/>
    <w:rsid w:val="00BF4D37"/>
    <w:rsid w:val="00BF50BB"/>
    <w:rsid w:val="00BF536A"/>
    <w:rsid w:val="00BF5842"/>
    <w:rsid w:val="00BF595C"/>
    <w:rsid w:val="00BF5F8F"/>
    <w:rsid w:val="00BF6542"/>
    <w:rsid w:val="00BF6E24"/>
    <w:rsid w:val="00BF6F7A"/>
    <w:rsid w:val="00BF75CC"/>
    <w:rsid w:val="00C00537"/>
    <w:rsid w:val="00C00578"/>
    <w:rsid w:val="00C005C6"/>
    <w:rsid w:val="00C01A20"/>
    <w:rsid w:val="00C0200C"/>
    <w:rsid w:val="00C0273C"/>
    <w:rsid w:val="00C02AFB"/>
    <w:rsid w:val="00C03748"/>
    <w:rsid w:val="00C03C2F"/>
    <w:rsid w:val="00C03DD8"/>
    <w:rsid w:val="00C04692"/>
    <w:rsid w:val="00C051F7"/>
    <w:rsid w:val="00C05543"/>
    <w:rsid w:val="00C0560A"/>
    <w:rsid w:val="00C05C12"/>
    <w:rsid w:val="00C06212"/>
    <w:rsid w:val="00C08A08"/>
    <w:rsid w:val="00C10D9C"/>
    <w:rsid w:val="00C116A7"/>
    <w:rsid w:val="00C11A3F"/>
    <w:rsid w:val="00C11B5C"/>
    <w:rsid w:val="00C11CD9"/>
    <w:rsid w:val="00C122FD"/>
    <w:rsid w:val="00C127EE"/>
    <w:rsid w:val="00C12DC7"/>
    <w:rsid w:val="00C131FD"/>
    <w:rsid w:val="00C1325F"/>
    <w:rsid w:val="00C136AD"/>
    <w:rsid w:val="00C13CC3"/>
    <w:rsid w:val="00C13E5C"/>
    <w:rsid w:val="00C13E7E"/>
    <w:rsid w:val="00C143D0"/>
    <w:rsid w:val="00C14534"/>
    <w:rsid w:val="00C14C31"/>
    <w:rsid w:val="00C151B2"/>
    <w:rsid w:val="00C1544D"/>
    <w:rsid w:val="00C157FB"/>
    <w:rsid w:val="00C15A30"/>
    <w:rsid w:val="00C15BBB"/>
    <w:rsid w:val="00C15F14"/>
    <w:rsid w:val="00C16119"/>
    <w:rsid w:val="00C168A7"/>
    <w:rsid w:val="00C16A02"/>
    <w:rsid w:val="00C1756F"/>
    <w:rsid w:val="00C17D42"/>
    <w:rsid w:val="00C17E29"/>
    <w:rsid w:val="00C20397"/>
    <w:rsid w:val="00C20AE6"/>
    <w:rsid w:val="00C20F15"/>
    <w:rsid w:val="00C217C9"/>
    <w:rsid w:val="00C21864"/>
    <w:rsid w:val="00C21AAA"/>
    <w:rsid w:val="00C21C21"/>
    <w:rsid w:val="00C22903"/>
    <w:rsid w:val="00C22E0F"/>
    <w:rsid w:val="00C22EF8"/>
    <w:rsid w:val="00C23276"/>
    <w:rsid w:val="00C24026"/>
    <w:rsid w:val="00C24263"/>
    <w:rsid w:val="00C2473C"/>
    <w:rsid w:val="00C24744"/>
    <w:rsid w:val="00C247EC"/>
    <w:rsid w:val="00C24F78"/>
    <w:rsid w:val="00C2578F"/>
    <w:rsid w:val="00C2579F"/>
    <w:rsid w:val="00C25E1F"/>
    <w:rsid w:val="00C26DC3"/>
    <w:rsid w:val="00C2739B"/>
    <w:rsid w:val="00C27886"/>
    <w:rsid w:val="00C27A42"/>
    <w:rsid w:val="00C27B89"/>
    <w:rsid w:val="00C27C05"/>
    <w:rsid w:val="00C30086"/>
    <w:rsid w:val="00C3109C"/>
    <w:rsid w:val="00C311F7"/>
    <w:rsid w:val="00C315FA"/>
    <w:rsid w:val="00C318F2"/>
    <w:rsid w:val="00C31EAE"/>
    <w:rsid w:val="00C32A27"/>
    <w:rsid w:val="00C32AE2"/>
    <w:rsid w:val="00C32C1B"/>
    <w:rsid w:val="00C339AC"/>
    <w:rsid w:val="00C33EF6"/>
    <w:rsid w:val="00C340E5"/>
    <w:rsid w:val="00C34C4B"/>
    <w:rsid w:val="00C34D3A"/>
    <w:rsid w:val="00C35758"/>
    <w:rsid w:val="00C35763"/>
    <w:rsid w:val="00C35C5F"/>
    <w:rsid w:val="00C35D90"/>
    <w:rsid w:val="00C365B7"/>
    <w:rsid w:val="00C36759"/>
    <w:rsid w:val="00C374DF"/>
    <w:rsid w:val="00C404E7"/>
    <w:rsid w:val="00C40581"/>
    <w:rsid w:val="00C406B7"/>
    <w:rsid w:val="00C40BF9"/>
    <w:rsid w:val="00C41149"/>
    <w:rsid w:val="00C42851"/>
    <w:rsid w:val="00C435D1"/>
    <w:rsid w:val="00C43843"/>
    <w:rsid w:val="00C443F6"/>
    <w:rsid w:val="00C444B6"/>
    <w:rsid w:val="00C446E7"/>
    <w:rsid w:val="00C44CC8"/>
    <w:rsid w:val="00C45740"/>
    <w:rsid w:val="00C458FF"/>
    <w:rsid w:val="00C4595F"/>
    <w:rsid w:val="00C4664D"/>
    <w:rsid w:val="00C46719"/>
    <w:rsid w:val="00C467E9"/>
    <w:rsid w:val="00C46C11"/>
    <w:rsid w:val="00C47A8C"/>
    <w:rsid w:val="00C50044"/>
    <w:rsid w:val="00C50A0C"/>
    <w:rsid w:val="00C51A74"/>
    <w:rsid w:val="00C51D4D"/>
    <w:rsid w:val="00C5236B"/>
    <w:rsid w:val="00C52668"/>
    <w:rsid w:val="00C52F8C"/>
    <w:rsid w:val="00C536E2"/>
    <w:rsid w:val="00C544FD"/>
    <w:rsid w:val="00C552E3"/>
    <w:rsid w:val="00C5567D"/>
    <w:rsid w:val="00C55795"/>
    <w:rsid w:val="00C55A45"/>
    <w:rsid w:val="00C55E8E"/>
    <w:rsid w:val="00C56284"/>
    <w:rsid w:val="00C5636B"/>
    <w:rsid w:val="00C5646C"/>
    <w:rsid w:val="00C565EC"/>
    <w:rsid w:val="00C56672"/>
    <w:rsid w:val="00C569CC"/>
    <w:rsid w:val="00C56AB1"/>
    <w:rsid w:val="00C57C04"/>
    <w:rsid w:val="00C57C0C"/>
    <w:rsid w:val="00C57F2D"/>
    <w:rsid w:val="00C57FB9"/>
    <w:rsid w:val="00C602B3"/>
    <w:rsid w:val="00C6096E"/>
    <w:rsid w:val="00C6147B"/>
    <w:rsid w:val="00C621D8"/>
    <w:rsid w:val="00C62BE8"/>
    <w:rsid w:val="00C63386"/>
    <w:rsid w:val="00C638C0"/>
    <w:rsid w:val="00C63FB7"/>
    <w:rsid w:val="00C64778"/>
    <w:rsid w:val="00C6510A"/>
    <w:rsid w:val="00C659D6"/>
    <w:rsid w:val="00C65B27"/>
    <w:rsid w:val="00C65BC5"/>
    <w:rsid w:val="00C66076"/>
    <w:rsid w:val="00C661B9"/>
    <w:rsid w:val="00C66806"/>
    <w:rsid w:val="00C66A9A"/>
    <w:rsid w:val="00C66FEA"/>
    <w:rsid w:val="00C67335"/>
    <w:rsid w:val="00C6754D"/>
    <w:rsid w:val="00C67AFB"/>
    <w:rsid w:val="00C701AE"/>
    <w:rsid w:val="00C70337"/>
    <w:rsid w:val="00C7063B"/>
    <w:rsid w:val="00C7148F"/>
    <w:rsid w:val="00C715C8"/>
    <w:rsid w:val="00C71A6F"/>
    <w:rsid w:val="00C7236B"/>
    <w:rsid w:val="00C7265C"/>
    <w:rsid w:val="00C7287F"/>
    <w:rsid w:val="00C73BEA"/>
    <w:rsid w:val="00C74557"/>
    <w:rsid w:val="00C74D00"/>
    <w:rsid w:val="00C7501E"/>
    <w:rsid w:val="00C7569A"/>
    <w:rsid w:val="00C75F17"/>
    <w:rsid w:val="00C76AB6"/>
    <w:rsid w:val="00C76ADC"/>
    <w:rsid w:val="00C76F94"/>
    <w:rsid w:val="00C770E2"/>
    <w:rsid w:val="00C77A71"/>
    <w:rsid w:val="00C77DC1"/>
    <w:rsid w:val="00C8113D"/>
    <w:rsid w:val="00C82338"/>
    <w:rsid w:val="00C825A8"/>
    <w:rsid w:val="00C82A7D"/>
    <w:rsid w:val="00C82D71"/>
    <w:rsid w:val="00C8393E"/>
    <w:rsid w:val="00C8463C"/>
    <w:rsid w:val="00C85644"/>
    <w:rsid w:val="00C85951"/>
    <w:rsid w:val="00C85A44"/>
    <w:rsid w:val="00C85FBC"/>
    <w:rsid w:val="00C86522"/>
    <w:rsid w:val="00C86676"/>
    <w:rsid w:val="00C8691D"/>
    <w:rsid w:val="00C869E2"/>
    <w:rsid w:val="00C86C18"/>
    <w:rsid w:val="00C870A7"/>
    <w:rsid w:val="00C87301"/>
    <w:rsid w:val="00C873FD"/>
    <w:rsid w:val="00C87E0F"/>
    <w:rsid w:val="00C87EB3"/>
    <w:rsid w:val="00C90014"/>
    <w:rsid w:val="00C902FD"/>
    <w:rsid w:val="00C90EAC"/>
    <w:rsid w:val="00C916AF"/>
    <w:rsid w:val="00C91843"/>
    <w:rsid w:val="00C91874"/>
    <w:rsid w:val="00C91A11"/>
    <w:rsid w:val="00C91C35"/>
    <w:rsid w:val="00C91F62"/>
    <w:rsid w:val="00C92E10"/>
    <w:rsid w:val="00C92EF1"/>
    <w:rsid w:val="00C936EA"/>
    <w:rsid w:val="00C93C90"/>
    <w:rsid w:val="00C93DB6"/>
    <w:rsid w:val="00C94757"/>
    <w:rsid w:val="00C94ACC"/>
    <w:rsid w:val="00C94BCF"/>
    <w:rsid w:val="00C94F6F"/>
    <w:rsid w:val="00C95074"/>
    <w:rsid w:val="00C95733"/>
    <w:rsid w:val="00C95986"/>
    <w:rsid w:val="00C96790"/>
    <w:rsid w:val="00C96A59"/>
    <w:rsid w:val="00C974F9"/>
    <w:rsid w:val="00CA061E"/>
    <w:rsid w:val="00CA1879"/>
    <w:rsid w:val="00CA2296"/>
    <w:rsid w:val="00CA267C"/>
    <w:rsid w:val="00CA26BD"/>
    <w:rsid w:val="00CA2905"/>
    <w:rsid w:val="00CA2994"/>
    <w:rsid w:val="00CA2CD4"/>
    <w:rsid w:val="00CA379F"/>
    <w:rsid w:val="00CA45D0"/>
    <w:rsid w:val="00CA4AF8"/>
    <w:rsid w:val="00CA59AA"/>
    <w:rsid w:val="00CA5ECF"/>
    <w:rsid w:val="00CA6215"/>
    <w:rsid w:val="00CA6573"/>
    <w:rsid w:val="00CA6777"/>
    <w:rsid w:val="00CA67F5"/>
    <w:rsid w:val="00CA70DC"/>
    <w:rsid w:val="00CA7315"/>
    <w:rsid w:val="00CA77DB"/>
    <w:rsid w:val="00CB073F"/>
    <w:rsid w:val="00CB0A70"/>
    <w:rsid w:val="00CB1427"/>
    <w:rsid w:val="00CB1481"/>
    <w:rsid w:val="00CB16BA"/>
    <w:rsid w:val="00CB1963"/>
    <w:rsid w:val="00CB2018"/>
    <w:rsid w:val="00CB20C1"/>
    <w:rsid w:val="00CB27A4"/>
    <w:rsid w:val="00CB2888"/>
    <w:rsid w:val="00CB3B98"/>
    <w:rsid w:val="00CB3D18"/>
    <w:rsid w:val="00CB47A5"/>
    <w:rsid w:val="00CB4D62"/>
    <w:rsid w:val="00CB54FB"/>
    <w:rsid w:val="00CB5AD7"/>
    <w:rsid w:val="00CB5C26"/>
    <w:rsid w:val="00CB6AF2"/>
    <w:rsid w:val="00CB7B89"/>
    <w:rsid w:val="00CB94F5"/>
    <w:rsid w:val="00CBDD44"/>
    <w:rsid w:val="00CC00DA"/>
    <w:rsid w:val="00CC00E8"/>
    <w:rsid w:val="00CC165B"/>
    <w:rsid w:val="00CC20CF"/>
    <w:rsid w:val="00CC2FB9"/>
    <w:rsid w:val="00CC35EF"/>
    <w:rsid w:val="00CC363A"/>
    <w:rsid w:val="00CC379A"/>
    <w:rsid w:val="00CC4676"/>
    <w:rsid w:val="00CC4D04"/>
    <w:rsid w:val="00CC5473"/>
    <w:rsid w:val="00CC5F2C"/>
    <w:rsid w:val="00CC622B"/>
    <w:rsid w:val="00CC6B71"/>
    <w:rsid w:val="00CC6CFE"/>
    <w:rsid w:val="00CC6D66"/>
    <w:rsid w:val="00CC7432"/>
    <w:rsid w:val="00CC7A82"/>
    <w:rsid w:val="00CC7CF6"/>
    <w:rsid w:val="00CC7FCD"/>
    <w:rsid w:val="00CD0794"/>
    <w:rsid w:val="00CD1B60"/>
    <w:rsid w:val="00CD1D18"/>
    <w:rsid w:val="00CD375C"/>
    <w:rsid w:val="00CD3BB0"/>
    <w:rsid w:val="00CD4074"/>
    <w:rsid w:val="00CD489C"/>
    <w:rsid w:val="00CD4A2B"/>
    <w:rsid w:val="00CD4A52"/>
    <w:rsid w:val="00CD4AC1"/>
    <w:rsid w:val="00CD5022"/>
    <w:rsid w:val="00CD51C2"/>
    <w:rsid w:val="00CD5257"/>
    <w:rsid w:val="00CD53D3"/>
    <w:rsid w:val="00CD58FC"/>
    <w:rsid w:val="00CD65FD"/>
    <w:rsid w:val="00CD77AC"/>
    <w:rsid w:val="00CD7898"/>
    <w:rsid w:val="00CD7C0A"/>
    <w:rsid w:val="00CD7CA7"/>
    <w:rsid w:val="00CE0396"/>
    <w:rsid w:val="00CE0B8C"/>
    <w:rsid w:val="00CE1DC1"/>
    <w:rsid w:val="00CE1F54"/>
    <w:rsid w:val="00CE213A"/>
    <w:rsid w:val="00CE2B44"/>
    <w:rsid w:val="00CE2EE2"/>
    <w:rsid w:val="00CE30DD"/>
    <w:rsid w:val="00CE3596"/>
    <w:rsid w:val="00CE38AD"/>
    <w:rsid w:val="00CE3CB2"/>
    <w:rsid w:val="00CE3D54"/>
    <w:rsid w:val="00CE3E38"/>
    <w:rsid w:val="00CE4113"/>
    <w:rsid w:val="00CE41A6"/>
    <w:rsid w:val="00CE42B6"/>
    <w:rsid w:val="00CE48A9"/>
    <w:rsid w:val="00CE5385"/>
    <w:rsid w:val="00CE5A70"/>
    <w:rsid w:val="00CE5F1F"/>
    <w:rsid w:val="00CE616B"/>
    <w:rsid w:val="00CE64A7"/>
    <w:rsid w:val="00CE656A"/>
    <w:rsid w:val="00CE6624"/>
    <w:rsid w:val="00CE6AEC"/>
    <w:rsid w:val="00CE6D3E"/>
    <w:rsid w:val="00CE6FE8"/>
    <w:rsid w:val="00CE7989"/>
    <w:rsid w:val="00CE7BA3"/>
    <w:rsid w:val="00CE7DBF"/>
    <w:rsid w:val="00CE7FF7"/>
    <w:rsid w:val="00CF097D"/>
    <w:rsid w:val="00CF0E01"/>
    <w:rsid w:val="00CF17AD"/>
    <w:rsid w:val="00CF1951"/>
    <w:rsid w:val="00CF1B6D"/>
    <w:rsid w:val="00CF1BBE"/>
    <w:rsid w:val="00CF1C82"/>
    <w:rsid w:val="00CF26A8"/>
    <w:rsid w:val="00CF279F"/>
    <w:rsid w:val="00CF2950"/>
    <w:rsid w:val="00CF3086"/>
    <w:rsid w:val="00CF4E0C"/>
    <w:rsid w:val="00CF518C"/>
    <w:rsid w:val="00CF5262"/>
    <w:rsid w:val="00CF58D3"/>
    <w:rsid w:val="00CF5BE4"/>
    <w:rsid w:val="00CF648E"/>
    <w:rsid w:val="00CF66B2"/>
    <w:rsid w:val="00CF68B7"/>
    <w:rsid w:val="00CF6D4B"/>
    <w:rsid w:val="00CF6D98"/>
    <w:rsid w:val="00CF75DC"/>
    <w:rsid w:val="00CF7931"/>
    <w:rsid w:val="00CF7E22"/>
    <w:rsid w:val="00D001E7"/>
    <w:rsid w:val="00D0129F"/>
    <w:rsid w:val="00D01793"/>
    <w:rsid w:val="00D018CA"/>
    <w:rsid w:val="00D01B8C"/>
    <w:rsid w:val="00D02007"/>
    <w:rsid w:val="00D0202F"/>
    <w:rsid w:val="00D02270"/>
    <w:rsid w:val="00D028B7"/>
    <w:rsid w:val="00D02A1F"/>
    <w:rsid w:val="00D03EA3"/>
    <w:rsid w:val="00D03EF9"/>
    <w:rsid w:val="00D04117"/>
    <w:rsid w:val="00D04354"/>
    <w:rsid w:val="00D04799"/>
    <w:rsid w:val="00D04B72"/>
    <w:rsid w:val="00D04CB3"/>
    <w:rsid w:val="00D04CDB"/>
    <w:rsid w:val="00D05039"/>
    <w:rsid w:val="00D057DA"/>
    <w:rsid w:val="00D06195"/>
    <w:rsid w:val="00D07018"/>
    <w:rsid w:val="00D07151"/>
    <w:rsid w:val="00D0798E"/>
    <w:rsid w:val="00D07C2C"/>
    <w:rsid w:val="00D07D8E"/>
    <w:rsid w:val="00D07DB8"/>
    <w:rsid w:val="00D10641"/>
    <w:rsid w:val="00D11730"/>
    <w:rsid w:val="00D121E2"/>
    <w:rsid w:val="00D12338"/>
    <w:rsid w:val="00D12BBE"/>
    <w:rsid w:val="00D13412"/>
    <w:rsid w:val="00D13722"/>
    <w:rsid w:val="00D15B7B"/>
    <w:rsid w:val="00D15CAE"/>
    <w:rsid w:val="00D16011"/>
    <w:rsid w:val="00D163B4"/>
    <w:rsid w:val="00D19FF7"/>
    <w:rsid w:val="00D20D21"/>
    <w:rsid w:val="00D2117D"/>
    <w:rsid w:val="00D216F5"/>
    <w:rsid w:val="00D2183C"/>
    <w:rsid w:val="00D227F0"/>
    <w:rsid w:val="00D23E8D"/>
    <w:rsid w:val="00D24111"/>
    <w:rsid w:val="00D24848"/>
    <w:rsid w:val="00D24CA4"/>
    <w:rsid w:val="00D24DB3"/>
    <w:rsid w:val="00D2536F"/>
    <w:rsid w:val="00D2545C"/>
    <w:rsid w:val="00D25C14"/>
    <w:rsid w:val="00D26B35"/>
    <w:rsid w:val="00D26B40"/>
    <w:rsid w:val="00D271BE"/>
    <w:rsid w:val="00D275B0"/>
    <w:rsid w:val="00D27FA2"/>
    <w:rsid w:val="00D30A49"/>
    <w:rsid w:val="00D30CCF"/>
    <w:rsid w:val="00D30D00"/>
    <w:rsid w:val="00D30EFA"/>
    <w:rsid w:val="00D31270"/>
    <w:rsid w:val="00D31D06"/>
    <w:rsid w:val="00D3203B"/>
    <w:rsid w:val="00D32124"/>
    <w:rsid w:val="00D3293B"/>
    <w:rsid w:val="00D334DD"/>
    <w:rsid w:val="00D33A2F"/>
    <w:rsid w:val="00D341BA"/>
    <w:rsid w:val="00D34B10"/>
    <w:rsid w:val="00D34F1B"/>
    <w:rsid w:val="00D35158"/>
    <w:rsid w:val="00D353F1"/>
    <w:rsid w:val="00D3587D"/>
    <w:rsid w:val="00D35B18"/>
    <w:rsid w:val="00D35C2B"/>
    <w:rsid w:val="00D35E9E"/>
    <w:rsid w:val="00D36150"/>
    <w:rsid w:val="00D36576"/>
    <w:rsid w:val="00D374C9"/>
    <w:rsid w:val="00D37589"/>
    <w:rsid w:val="00D37873"/>
    <w:rsid w:val="00D37B17"/>
    <w:rsid w:val="00D416C8"/>
    <w:rsid w:val="00D419D4"/>
    <w:rsid w:val="00D41D4A"/>
    <w:rsid w:val="00D4200A"/>
    <w:rsid w:val="00D42088"/>
    <w:rsid w:val="00D424CF"/>
    <w:rsid w:val="00D4267C"/>
    <w:rsid w:val="00D4271D"/>
    <w:rsid w:val="00D427CC"/>
    <w:rsid w:val="00D4288D"/>
    <w:rsid w:val="00D428D2"/>
    <w:rsid w:val="00D43014"/>
    <w:rsid w:val="00D43CD0"/>
    <w:rsid w:val="00D44EB9"/>
    <w:rsid w:val="00D45463"/>
    <w:rsid w:val="00D4584C"/>
    <w:rsid w:val="00D45A14"/>
    <w:rsid w:val="00D45AB1"/>
    <w:rsid w:val="00D4611A"/>
    <w:rsid w:val="00D464D5"/>
    <w:rsid w:val="00D47076"/>
    <w:rsid w:val="00D47103"/>
    <w:rsid w:val="00D477F9"/>
    <w:rsid w:val="00D47868"/>
    <w:rsid w:val="00D47B61"/>
    <w:rsid w:val="00D47CF5"/>
    <w:rsid w:val="00D47DE1"/>
    <w:rsid w:val="00D505D9"/>
    <w:rsid w:val="00D50AB3"/>
    <w:rsid w:val="00D50CC3"/>
    <w:rsid w:val="00D5139E"/>
    <w:rsid w:val="00D51C67"/>
    <w:rsid w:val="00D52921"/>
    <w:rsid w:val="00D546A3"/>
    <w:rsid w:val="00D548C1"/>
    <w:rsid w:val="00D550DE"/>
    <w:rsid w:val="00D55A9C"/>
    <w:rsid w:val="00D56338"/>
    <w:rsid w:val="00D56521"/>
    <w:rsid w:val="00D56673"/>
    <w:rsid w:val="00D5681C"/>
    <w:rsid w:val="00D603E7"/>
    <w:rsid w:val="00D60B59"/>
    <w:rsid w:val="00D60E06"/>
    <w:rsid w:val="00D6205D"/>
    <w:rsid w:val="00D62DF5"/>
    <w:rsid w:val="00D63AC3"/>
    <w:rsid w:val="00D63D40"/>
    <w:rsid w:val="00D64076"/>
    <w:rsid w:val="00D64330"/>
    <w:rsid w:val="00D64531"/>
    <w:rsid w:val="00D64C7C"/>
    <w:rsid w:val="00D654D3"/>
    <w:rsid w:val="00D6665A"/>
    <w:rsid w:val="00D67454"/>
    <w:rsid w:val="00D70BF1"/>
    <w:rsid w:val="00D70FE3"/>
    <w:rsid w:val="00D71CB8"/>
    <w:rsid w:val="00D71D53"/>
    <w:rsid w:val="00D72C34"/>
    <w:rsid w:val="00D72F64"/>
    <w:rsid w:val="00D7368C"/>
    <w:rsid w:val="00D73D90"/>
    <w:rsid w:val="00D73E7C"/>
    <w:rsid w:val="00D75A7C"/>
    <w:rsid w:val="00D75E9D"/>
    <w:rsid w:val="00D7681A"/>
    <w:rsid w:val="00D77614"/>
    <w:rsid w:val="00D77A8D"/>
    <w:rsid w:val="00D77BB3"/>
    <w:rsid w:val="00D77E70"/>
    <w:rsid w:val="00D77EDF"/>
    <w:rsid w:val="00D7B3A7"/>
    <w:rsid w:val="00D800D4"/>
    <w:rsid w:val="00D80A18"/>
    <w:rsid w:val="00D80C25"/>
    <w:rsid w:val="00D80ECA"/>
    <w:rsid w:val="00D81627"/>
    <w:rsid w:val="00D81C30"/>
    <w:rsid w:val="00D82AC9"/>
    <w:rsid w:val="00D82C9E"/>
    <w:rsid w:val="00D832AD"/>
    <w:rsid w:val="00D83C7B"/>
    <w:rsid w:val="00D848A8"/>
    <w:rsid w:val="00D84ED8"/>
    <w:rsid w:val="00D8504E"/>
    <w:rsid w:val="00D85525"/>
    <w:rsid w:val="00D85770"/>
    <w:rsid w:val="00D859EB"/>
    <w:rsid w:val="00D862BA"/>
    <w:rsid w:val="00D86745"/>
    <w:rsid w:val="00D86D59"/>
    <w:rsid w:val="00D87269"/>
    <w:rsid w:val="00D87791"/>
    <w:rsid w:val="00D87934"/>
    <w:rsid w:val="00D87971"/>
    <w:rsid w:val="00D879C1"/>
    <w:rsid w:val="00D87CBA"/>
    <w:rsid w:val="00D908F8"/>
    <w:rsid w:val="00D909A0"/>
    <w:rsid w:val="00D90B35"/>
    <w:rsid w:val="00D90C62"/>
    <w:rsid w:val="00D9135B"/>
    <w:rsid w:val="00D91A7F"/>
    <w:rsid w:val="00D91F1E"/>
    <w:rsid w:val="00D921CA"/>
    <w:rsid w:val="00D92ACA"/>
    <w:rsid w:val="00D92C9B"/>
    <w:rsid w:val="00D92EFD"/>
    <w:rsid w:val="00D92F59"/>
    <w:rsid w:val="00D9326A"/>
    <w:rsid w:val="00D93306"/>
    <w:rsid w:val="00D93CB6"/>
    <w:rsid w:val="00D93FA2"/>
    <w:rsid w:val="00D944FD"/>
    <w:rsid w:val="00D9472F"/>
    <w:rsid w:val="00D94D73"/>
    <w:rsid w:val="00D95AF6"/>
    <w:rsid w:val="00D95BC8"/>
    <w:rsid w:val="00D95BE5"/>
    <w:rsid w:val="00D95EF4"/>
    <w:rsid w:val="00D96599"/>
    <w:rsid w:val="00D968CE"/>
    <w:rsid w:val="00D96C11"/>
    <w:rsid w:val="00D972B6"/>
    <w:rsid w:val="00D97D65"/>
    <w:rsid w:val="00DA0217"/>
    <w:rsid w:val="00DA0BD0"/>
    <w:rsid w:val="00DA1110"/>
    <w:rsid w:val="00DA13D5"/>
    <w:rsid w:val="00DA181E"/>
    <w:rsid w:val="00DA2670"/>
    <w:rsid w:val="00DA3DC3"/>
    <w:rsid w:val="00DA3E30"/>
    <w:rsid w:val="00DA45D1"/>
    <w:rsid w:val="00DA4683"/>
    <w:rsid w:val="00DA50B1"/>
    <w:rsid w:val="00DA5D2E"/>
    <w:rsid w:val="00DA5EDF"/>
    <w:rsid w:val="00DA5F71"/>
    <w:rsid w:val="00DA6420"/>
    <w:rsid w:val="00DA7280"/>
    <w:rsid w:val="00DA7C39"/>
    <w:rsid w:val="00DB052D"/>
    <w:rsid w:val="00DB083D"/>
    <w:rsid w:val="00DB0962"/>
    <w:rsid w:val="00DB0A30"/>
    <w:rsid w:val="00DB0D0B"/>
    <w:rsid w:val="00DB130B"/>
    <w:rsid w:val="00DB27EC"/>
    <w:rsid w:val="00DB34CA"/>
    <w:rsid w:val="00DB39FF"/>
    <w:rsid w:val="00DB4263"/>
    <w:rsid w:val="00DB53F2"/>
    <w:rsid w:val="00DB54E4"/>
    <w:rsid w:val="00DB5661"/>
    <w:rsid w:val="00DB5DCE"/>
    <w:rsid w:val="00DB5F29"/>
    <w:rsid w:val="00DB679F"/>
    <w:rsid w:val="00DB67EF"/>
    <w:rsid w:val="00DB6ED1"/>
    <w:rsid w:val="00DB7260"/>
    <w:rsid w:val="00DB72B1"/>
    <w:rsid w:val="00DB7773"/>
    <w:rsid w:val="00DC05F0"/>
    <w:rsid w:val="00DC0936"/>
    <w:rsid w:val="00DC0BB6"/>
    <w:rsid w:val="00DC0D36"/>
    <w:rsid w:val="00DC12B5"/>
    <w:rsid w:val="00DC1629"/>
    <w:rsid w:val="00DC167A"/>
    <w:rsid w:val="00DC220F"/>
    <w:rsid w:val="00DC2977"/>
    <w:rsid w:val="00DC2D0B"/>
    <w:rsid w:val="00DC2D79"/>
    <w:rsid w:val="00DC2FC3"/>
    <w:rsid w:val="00DC3095"/>
    <w:rsid w:val="00DC31E3"/>
    <w:rsid w:val="00DC3B44"/>
    <w:rsid w:val="00DC4456"/>
    <w:rsid w:val="00DC45A3"/>
    <w:rsid w:val="00DC5F26"/>
    <w:rsid w:val="00DC6056"/>
    <w:rsid w:val="00DC6766"/>
    <w:rsid w:val="00DC7062"/>
    <w:rsid w:val="00DC7588"/>
    <w:rsid w:val="00DD0064"/>
    <w:rsid w:val="00DD013C"/>
    <w:rsid w:val="00DD0AAA"/>
    <w:rsid w:val="00DD0CCB"/>
    <w:rsid w:val="00DD128A"/>
    <w:rsid w:val="00DD1389"/>
    <w:rsid w:val="00DD1752"/>
    <w:rsid w:val="00DD1928"/>
    <w:rsid w:val="00DD19AD"/>
    <w:rsid w:val="00DD1B14"/>
    <w:rsid w:val="00DD2A4F"/>
    <w:rsid w:val="00DD2C29"/>
    <w:rsid w:val="00DD3116"/>
    <w:rsid w:val="00DD38F3"/>
    <w:rsid w:val="00DD410F"/>
    <w:rsid w:val="00DD4243"/>
    <w:rsid w:val="00DD460E"/>
    <w:rsid w:val="00DD4764"/>
    <w:rsid w:val="00DD4D67"/>
    <w:rsid w:val="00DD4F11"/>
    <w:rsid w:val="00DD531B"/>
    <w:rsid w:val="00DD56D0"/>
    <w:rsid w:val="00DD586B"/>
    <w:rsid w:val="00DD69DE"/>
    <w:rsid w:val="00DD6C69"/>
    <w:rsid w:val="00DD752D"/>
    <w:rsid w:val="00DD7CD2"/>
    <w:rsid w:val="00DE023A"/>
    <w:rsid w:val="00DE0292"/>
    <w:rsid w:val="00DE0AA7"/>
    <w:rsid w:val="00DE0F5F"/>
    <w:rsid w:val="00DE15ED"/>
    <w:rsid w:val="00DE1B81"/>
    <w:rsid w:val="00DE25A8"/>
    <w:rsid w:val="00DE2896"/>
    <w:rsid w:val="00DE2E15"/>
    <w:rsid w:val="00DE3190"/>
    <w:rsid w:val="00DE3982"/>
    <w:rsid w:val="00DE3D8F"/>
    <w:rsid w:val="00DE3F4F"/>
    <w:rsid w:val="00DE4073"/>
    <w:rsid w:val="00DE463F"/>
    <w:rsid w:val="00DE5228"/>
    <w:rsid w:val="00DE5354"/>
    <w:rsid w:val="00DE6539"/>
    <w:rsid w:val="00DE6781"/>
    <w:rsid w:val="00DE76EF"/>
    <w:rsid w:val="00DE7F4A"/>
    <w:rsid w:val="00DF0809"/>
    <w:rsid w:val="00DF0C02"/>
    <w:rsid w:val="00DF0C12"/>
    <w:rsid w:val="00DF11D9"/>
    <w:rsid w:val="00DF15AC"/>
    <w:rsid w:val="00DF194E"/>
    <w:rsid w:val="00DF22CC"/>
    <w:rsid w:val="00DF2712"/>
    <w:rsid w:val="00DF28DC"/>
    <w:rsid w:val="00DF2EAC"/>
    <w:rsid w:val="00DF2F25"/>
    <w:rsid w:val="00DF36DB"/>
    <w:rsid w:val="00DF36EC"/>
    <w:rsid w:val="00DF3BC6"/>
    <w:rsid w:val="00DF3FB4"/>
    <w:rsid w:val="00DF4BCC"/>
    <w:rsid w:val="00DF4F97"/>
    <w:rsid w:val="00DF656F"/>
    <w:rsid w:val="00DF70E6"/>
    <w:rsid w:val="00E000AE"/>
    <w:rsid w:val="00E003F3"/>
    <w:rsid w:val="00E009AA"/>
    <w:rsid w:val="00E01342"/>
    <w:rsid w:val="00E01C25"/>
    <w:rsid w:val="00E02945"/>
    <w:rsid w:val="00E02BD0"/>
    <w:rsid w:val="00E02CE9"/>
    <w:rsid w:val="00E02D6B"/>
    <w:rsid w:val="00E02F71"/>
    <w:rsid w:val="00E03226"/>
    <w:rsid w:val="00E0364C"/>
    <w:rsid w:val="00E036B5"/>
    <w:rsid w:val="00E04037"/>
    <w:rsid w:val="00E04412"/>
    <w:rsid w:val="00E04726"/>
    <w:rsid w:val="00E04C18"/>
    <w:rsid w:val="00E05B14"/>
    <w:rsid w:val="00E05EB5"/>
    <w:rsid w:val="00E066EC"/>
    <w:rsid w:val="00E06981"/>
    <w:rsid w:val="00E07836"/>
    <w:rsid w:val="00E07BBD"/>
    <w:rsid w:val="00E07D7A"/>
    <w:rsid w:val="00E07DF4"/>
    <w:rsid w:val="00E07FC2"/>
    <w:rsid w:val="00E10129"/>
    <w:rsid w:val="00E11090"/>
    <w:rsid w:val="00E1153A"/>
    <w:rsid w:val="00E11A1D"/>
    <w:rsid w:val="00E1295C"/>
    <w:rsid w:val="00E12C6D"/>
    <w:rsid w:val="00E132FD"/>
    <w:rsid w:val="00E135B3"/>
    <w:rsid w:val="00E13678"/>
    <w:rsid w:val="00E137A6"/>
    <w:rsid w:val="00E141E2"/>
    <w:rsid w:val="00E1429B"/>
    <w:rsid w:val="00E1439D"/>
    <w:rsid w:val="00E14536"/>
    <w:rsid w:val="00E14C18"/>
    <w:rsid w:val="00E14E52"/>
    <w:rsid w:val="00E156AD"/>
    <w:rsid w:val="00E16015"/>
    <w:rsid w:val="00E17023"/>
    <w:rsid w:val="00E178B2"/>
    <w:rsid w:val="00E17946"/>
    <w:rsid w:val="00E20319"/>
    <w:rsid w:val="00E2079D"/>
    <w:rsid w:val="00E20855"/>
    <w:rsid w:val="00E20C00"/>
    <w:rsid w:val="00E20ED6"/>
    <w:rsid w:val="00E212FE"/>
    <w:rsid w:val="00E21503"/>
    <w:rsid w:val="00E21534"/>
    <w:rsid w:val="00E21577"/>
    <w:rsid w:val="00E21C95"/>
    <w:rsid w:val="00E2232D"/>
    <w:rsid w:val="00E22436"/>
    <w:rsid w:val="00E22B27"/>
    <w:rsid w:val="00E231D2"/>
    <w:rsid w:val="00E23B74"/>
    <w:rsid w:val="00E23C9A"/>
    <w:rsid w:val="00E24002"/>
    <w:rsid w:val="00E24270"/>
    <w:rsid w:val="00E24531"/>
    <w:rsid w:val="00E2472D"/>
    <w:rsid w:val="00E24AAC"/>
    <w:rsid w:val="00E24C56"/>
    <w:rsid w:val="00E24F72"/>
    <w:rsid w:val="00E24FF7"/>
    <w:rsid w:val="00E25EF4"/>
    <w:rsid w:val="00E25FC7"/>
    <w:rsid w:val="00E26170"/>
    <w:rsid w:val="00E26F6F"/>
    <w:rsid w:val="00E273F0"/>
    <w:rsid w:val="00E2743E"/>
    <w:rsid w:val="00E30523"/>
    <w:rsid w:val="00E30FBC"/>
    <w:rsid w:val="00E310D9"/>
    <w:rsid w:val="00E31BCD"/>
    <w:rsid w:val="00E31CBD"/>
    <w:rsid w:val="00E3285F"/>
    <w:rsid w:val="00E32C64"/>
    <w:rsid w:val="00E33170"/>
    <w:rsid w:val="00E33D10"/>
    <w:rsid w:val="00E34791"/>
    <w:rsid w:val="00E348D1"/>
    <w:rsid w:val="00E34BD0"/>
    <w:rsid w:val="00E34C25"/>
    <w:rsid w:val="00E35CC0"/>
    <w:rsid w:val="00E36CCC"/>
    <w:rsid w:val="00E403AA"/>
    <w:rsid w:val="00E419F9"/>
    <w:rsid w:val="00E42059"/>
    <w:rsid w:val="00E42CA8"/>
    <w:rsid w:val="00E432C9"/>
    <w:rsid w:val="00E436EB"/>
    <w:rsid w:val="00E43D26"/>
    <w:rsid w:val="00E446D1"/>
    <w:rsid w:val="00E44BE3"/>
    <w:rsid w:val="00E46468"/>
    <w:rsid w:val="00E46DA7"/>
    <w:rsid w:val="00E47B89"/>
    <w:rsid w:val="00E50317"/>
    <w:rsid w:val="00E5100F"/>
    <w:rsid w:val="00E5194D"/>
    <w:rsid w:val="00E51FC0"/>
    <w:rsid w:val="00E52055"/>
    <w:rsid w:val="00E52572"/>
    <w:rsid w:val="00E52757"/>
    <w:rsid w:val="00E529FB"/>
    <w:rsid w:val="00E52A1B"/>
    <w:rsid w:val="00E53183"/>
    <w:rsid w:val="00E531D6"/>
    <w:rsid w:val="00E53648"/>
    <w:rsid w:val="00E536DB"/>
    <w:rsid w:val="00E53B31"/>
    <w:rsid w:val="00E540FC"/>
    <w:rsid w:val="00E544DF"/>
    <w:rsid w:val="00E54AE5"/>
    <w:rsid w:val="00E55170"/>
    <w:rsid w:val="00E55D6F"/>
    <w:rsid w:val="00E56B0C"/>
    <w:rsid w:val="00E56B73"/>
    <w:rsid w:val="00E56D6D"/>
    <w:rsid w:val="00E573FD"/>
    <w:rsid w:val="00E579F8"/>
    <w:rsid w:val="00E57F5D"/>
    <w:rsid w:val="00E604A2"/>
    <w:rsid w:val="00E606F5"/>
    <w:rsid w:val="00E610BF"/>
    <w:rsid w:val="00E62C32"/>
    <w:rsid w:val="00E62CB6"/>
    <w:rsid w:val="00E6332D"/>
    <w:rsid w:val="00E63BF2"/>
    <w:rsid w:val="00E63CEA"/>
    <w:rsid w:val="00E63D3B"/>
    <w:rsid w:val="00E64323"/>
    <w:rsid w:val="00E644A2"/>
    <w:rsid w:val="00E6487E"/>
    <w:rsid w:val="00E648E3"/>
    <w:rsid w:val="00E65035"/>
    <w:rsid w:val="00E6571E"/>
    <w:rsid w:val="00E65BD3"/>
    <w:rsid w:val="00E65BE9"/>
    <w:rsid w:val="00E65F21"/>
    <w:rsid w:val="00E66358"/>
    <w:rsid w:val="00E669DA"/>
    <w:rsid w:val="00E66A99"/>
    <w:rsid w:val="00E671D9"/>
    <w:rsid w:val="00E67B14"/>
    <w:rsid w:val="00E7086E"/>
    <w:rsid w:val="00E71038"/>
    <w:rsid w:val="00E71072"/>
    <w:rsid w:val="00E71577"/>
    <w:rsid w:val="00E717B7"/>
    <w:rsid w:val="00E72553"/>
    <w:rsid w:val="00E72A6B"/>
    <w:rsid w:val="00E72D39"/>
    <w:rsid w:val="00E73152"/>
    <w:rsid w:val="00E7321A"/>
    <w:rsid w:val="00E73F58"/>
    <w:rsid w:val="00E74A0E"/>
    <w:rsid w:val="00E75891"/>
    <w:rsid w:val="00E75B7E"/>
    <w:rsid w:val="00E769A8"/>
    <w:rsid w:val="00E770C7"/>
    <w:rsid w:val="00E77653"/>
    <w:rsid w:val="00E80866"/>
    <w:rsid w:val="00E80A91"/>
    <w:rsid w:val="00E81D06"/>
    <w:rsid w:val="00E81DD4"/>
    <w:rsid w:val="00E81EF0"/>
    <w:rsid w:val="00E8222C"/>
    <w:rsid w:val="00E82589"/>
    <w:rsid w:val="00E82AF3"/>
    <w:rsid w:val="00E83471"/>
    <w:rsid w:val="00E836D6"/>
    <w:rsid w:val="00E8397E"/>
    <w:rsid w:val="00E83A7E"/>
    <w:rsid w:val="00E83CB5"/>
    <w:rsid w:val="00E83F82"/>
    <w:rsid w:val="00E84000"/>
    <w:rsid w:val="00E84272"/>
    <w:rsid w:val="00E84404"/>
    <w:rsid w:val="00E846F5"/>
    <w:rsid w:val="00E858E5"/>
    <w:rsid w:val="00E86773"/>
    <w:rsid w:val="00E868A7"/>
    <w:rsid w:val="00E86A09"/>
    <w:rsid w:val="00E86A2B"/>
    <w:rsid w:val="00E86A5A"/>
    <w:rsid w:val="00E86DCD"/>
    <w:rsid w:val="00E90B61"/>
    <w:rsid w:val="00E9241A"/>
    <w:rsid w:val="00E92475"/>
    <w:rsid w:val="00E925C6"/>
    <w:rsid w:val="00E92D0B"/>
    <w:rsid w:val="00E92E60"/>
    <w:rsid w:val="00E92F4A"/>
    <w:rsid w:val="00E93324"/>
    <w:rsid w:val="00E936E4"/>
    <w:rsid w:val="00E93F96"/>
    <w:rsid w:val="00E947A9"/>
    <w:rsid w:val="00E94923"/>
    <w:rsid w:val="00E94D36"/>
    <w:rsid w:val="00E951F9"/>
    <w:rsid w:val="00E95296"/>
    <w:rsid w:val="00E954D9"/>
    <w:rsid w:val="00E95C2A"/>
    <w:rsid w:val="00E95FD5"/>
    <w:rsid w:val="00E97159"/>
    <w:rsid w:val="00E97A46"/>
    <w:rsid w:val="00EA08CA"/>
    <w:rsid w:val="00EA0B78"/>
    <w:rsid w:val="00EA1047"/>
    <w:rsid w:val="00EA12C3"/>
    <w:rsid w:val="00EA1A35"/>
    <w:rsid w:val="00EA1D3F"/>
    <w:rsid w:val="00EA2126"/>
    <w:rsid w:val="00EA28BE"/>
    <w:rsid w:val="00EA2DEC"/>
    <w:rsid w:val="00EA31A0"/>
    <w:rsid w:val="00EA3627"/>
    <w:rsid w:val="00EA4DE9"/>
    <w:rsid w:val="00EA4FE5"/>
    <w:rsid w:val="00EA5DAF"/>
    <w:rsid w:val="00EA6681"/>
    <w:rsid w:val="00EA6AA4"/>
    <w:rsid w:val="00EA7527"/>
    <w:rsid w:val="00EA7D83"/>
    <w:rsid w:val="00EB0348"/>
    <w:rsid w:val="00EB08BA"/>
    <w:rsid w:val="00EB0D0A"/>
    <w:rsid w:val="00EB0DB8"/>
    <w:rsid w:val="00EB172C"/>
    <w:rsid w:val="00EB180D"/>
    <w:rsid w:val="00EB1824"/>
    <w:rsid w:val="00EB1A67"/>
    <w:rsid w:val="00EB2034"/>
    <w:rsid w:val="00EB2402"/>
    <w:rsid w:val="00EB26E8"/>
    <w:rsid w:val="00EB327A"/>
    <w:rsid w:val="00EB3609"/>
    <w:rsid w:val="00EB3684"/>
    <w:rsid w:val="00EB3B26"/>
    <w:rsid w:val="00EB3BF6"/>
    <w:rsid w:val="00EB42C8"/>
    <w:rsid w:val="00EB45C9"/>
    <w:rsid w:val="00EB4AF5"/>
    <w:rsid w:val="00EB5F62"/>
    <w:rsid w:val="00EB60D2"/>
    <w:rsid w:val="00EB61D1"/>
    <w:rsid w:val="00EB67DF"/>
    <w:rsid w:val="00EC00A5"/>
    <w:rsid w:val="00EC111C"/>
    <w:rsid w:val="00EC164A"/>
    <w:rsid w:val="00EC1AB4"/>
    <w:rsid w:val="00EC1D41"/>
    <w:rsid w:val="00EC272A"/>
    <w:rsid w:val="00EC2897"/>
    <w:rsid w:val="00EC2C93"/>
    <w:rsid w:val="00EC2DB7"/>
    <w:rsid w:val="00EC2E6E"/>
    <w:rsid w:val="00EC2EB6"/>
    <w:rsid w:val="00EC30F7"/>
    <w:rsid w:val="00EC31EF"/>
    <w:rsid w:val="00EC3251"/>
    <w:rsid w:val="00EC345F"/>
    <w:rsid w:val="00EC3CF3"/>
    <w:rsid w:val="00EC4315"/>
    <w:rsid w:val="00EC55EB"/>
    <w:rsid w:val="00EC5AF1"/>
    <w:rsid w:val="00EC5F33"/>
    <w:rsid w:val="00EC6275"/>
    <w:rsid w:val="00EC636F"/>
    <w:rsid w:val="00EC6A15"/>
    <w:rsid w:val="00EC6CEC"/>
    <w:rsid w:val="00EC70EC"/>
    <w:rsid w:val="00EC7120"/>
    <w:rsid w:val="00ED0157"/>
    <w:rsid w:val="00ED025D"/>
    <w:rsid w:val="00ED0389"/>
    <w:rsid w:val="00ED0F8C"/>
    <w:rsid w:val="00ED1164"/>
    <w:rsid w:val="00ED1166"/>
    <w:rsid w:val="00ED1CB1"/>
    <w:rsid w:val="00ED1D24"/>
    <w:rsid w:val="00ED2538"/>
    <w:rsid w:val="00ED2545"/>
    <w:rsid w:val="00ED2632"/>
    <w:rsid w:val="00ED28B5"/>
    <w:rsid w:val="00ED2DC4"/>
    <w:rsid w:val="00ED37C0"/>
    <w:rsid w:val="00ED3A0D"/>
    <w:rsid w:val="00ED409E"/>
    <w:rsid w:val="00ED4230"/>
    <w:rsid w:val="00ED5B52"/>
    <w:rsid w:val="00ED5C30"/>
    <w:rsid w:val="00ED63D5"/>
    <w:rsid w:val="00ED6640"/>
    <w:rsid w:val="00ED7379"/>
    <w:rsid w:val="00ED7F76"/>
    <w:rsid w:val="00EDEF38"/>
    <w:rsid w:val="00EE0023"/>
    <w:rsid w:val="00EE01E1"/>
    <w:rsid w:val="00EE0AA8"/>
    <w:rsid w:val="00EE0F8E"/>
    <w:rsid w:val="00EE1518"/>
    <w:rsid w:val="00EE1E41"/>
    <w:rsid w:val="00EE24D9"/>
    <w:rsid w:val="00EE28BD"/>
    <w:rsid w:val="00EE2D93"/>
    <w:rsid w:val="00EE2E0B"/>
    <w:rsid w:val="00EE2E4B"/>
    <w:rsid w:val="00EE390C"/>
    <w:rsid w:val="00EE3E3E"/>
    <w:rsid w:val="00EE43D0"/>
    <w:rsid w:val="00EE457B"/>
    <w:rsid w:val="00EE46ED"/>
    <w:rsid w:val="00EE47E1"/>
    <w:rsid w:val="00EE499C"/>
    <w:rsid w:val="00EE4A62"/>
    <w:rsid w:val="00EE4D27"/>
    <w:rsid w:val="00EE5082"/>
    <w:rsid w:val="00EE5738"/>
    <w:rsid w:val="00EE5794"/>
    <w:rsid w:val="00EE5A44"/>
    <w:rsid w:val="00EE5BDE"/>
    <w:rsid w:val="00EE6686"/>
    <w:rsid w:val="00EE6952"/>
    <w:rsid w:val="00EE6CBE"/>
    <w:rsid w:val="00EE7102"/>
    <w:rsid w:val="00EE720A"/>
    <w:rsid w:val="00EE7A9E"/>
    <w:rsid w:val="00EF0057"/>
    <w:rsid w:val="00EF0E35"/>
    <w:rsid w:val="00EF0F4A"/>
    <w:rsid w:val="00EF145C"/>
    <w:rsid w:val="00EF1E86"/>
    <w:rsid w:val="00EF1F70"/>
    <w:rsid w:val="00EF2080"/>
    <w:rsid w:val="00EF267F"/>
    <w:rsid w:val="00EF28D0"/>
    <w:rsid w:val="00EF326E"/>
    <w:rsid w:val="00EF441F"/>
    <w:rsid w:val="00EF44FD"/>
    <w:rsid w:val="00EF471E"/>
    <w:rsid w:val="00EF48E4"/>
    <w:rsid w:val="00EF4D6D"/>
    <w:rsid w:val="00EF56C4"/>
    <w:rsid w:val="00EF5806"/>
    <w:rsid w:val="00EF5C5D"/>
    <w:rsid w:val="00EF6865"/>
    <w:rsid w:val="00EF6BF3"/>
    <w:rsid w:val="00EF6F17"/>
    <w:rsid w:val="00EF7488"/>
    <w:rsid w:val="00EFE975"/>
    <w:rsid w:val="00F004F3"/>
    <w:rsid w:val="00F0076D"/>
    <w:rsid w:val="00F00EEE"/>
    <w:rsid w:val="00F01200"/>
    <w:rsid w:val="00F014D8"/>
    <w:rsid w:val="00F02220"/>
    <w:rsid w:val="00F02B0C"/>
    <w:rsid w:val="00F030D6"/>
    <w:rsid w:val="00F03211"/>
    <w:rsid w:val="00F03CF3"/>
    <w:rsid w:val="00F0467B"/>
    <w:rsid w:val="00F04757"/>
    <w:rsid w:val="00F050FD"/>
    <w:rsid w:val="00F0587A"/>
    <w:rsid w:val="00F05BB5"/>
    <w:rsid w:val="00F05C7D"/>
    <w:rsid w:val="00F05CAA"/>
    <w:rsid w:val="00F06FFA"/>
    <w:rsid w:val="00F076CF"/>
    <w:rsid w:val="00F07B8B"/>
    <w:rsid w:val="00F07C4D"/>
    <w:rsid w:val="00F10229"/>
    <w:rsid w:val="00F106C2"/>
    <w:rsid w:val="00F106F2"/>
    <w:rsid w:val="00F10E9D"/>
    <w:rsid w:val="00F111E0"/>
    <w:rsid w:val="00F11869"/>
    <w:rsid w:val="00F118B7"/>
    <w:rsid w:val="00F11A1F"/>
    <w:rsid w:val="00F1284A"/>
    <w:rsid w:val="00F12B84"/>
    <w:rsid w:val="00F138C1"/>
    <w:rsid w:val="00F13966"/>
    <w:rsid w:val="00F13F7D"/>
    <w:rsid w:val="00F14428"/>
    <w:rsid w:val="00F14E7D"/>
    <w:rsid w:val="00F15C1D"/>
    <w:rsid w:val="00F16EC4"/>
    <w:rsid w:val="00F17B9A"/>
    <w:rsid w:val="00F17CCA"/>
    <w:rsid w:val="00F17F64"/>
    <w:rsid w:val="00F20A07"/>
    <w:rsid w:val="00F20C5C"/>
    <w:rsid w:val="00F210F5"/>
    <w:rsid w:val="00F212F5"/>
    <w:rsid w:val="00F2145D"/>
    <w:rsid w:val="00F21637"/>
    <w:rsid w:val="00F217C6"/>
    <w:rsid w:val="00F2255C"/>
    <w:rsid w:val="00F2329C"/>
    <w:rsid w:val="00F23822"/>
    <w:rsid w:val="00F23F28"/>
    <w:rsid w:val="00F24148"/>
    <w:rsid w:val="00F242FE"/>
    <w:rsid w:val="00F244C4"/>
    <w:rsid w:val="00F248F4"/>
    <w:rsid w:val="00F24E6A"/>
    <w:rsid w:val="00F24F9F"/>
    <w:rsid w:val="00F25413"/>
    <w:rsid w:val="00F254E2"/>
    <w:rsid w:val="00F25665"/>
    <w:rsid w:val="00F262B0"/>
    <w:rsid w:val="00F264D4"/>
    <w:rsid w:val="00F266D0"/>
    <w:rsid w:val="00F26DF8"/>
    <w:rsid w:val="00F26EB7"/>
    <w:rsid w:val="00F2711A"/>
    <w:rsid w:val="00F278CD"/>
    <w:rsid w:val="00F300FB"/>
    <w:rsid w:val="00F30A89"/>
    <w:rsid w:val="00F31890"/>
    <w:rsid w:val="00F31AB8"/>
    <w:rsid w:val="00F31BD3"/>
    <w:rsid w:val="00F31D03"/>
    <w:rsid w:val="00F32003"/>
    <w:rsid w:val="00F327DE"/>
    <w:rsid w:val="00F336F7"/>
    <w:rsid w:val="00F33EA3"/>
    <w:rsid w:val="00F3407A"/>
    <w:rsid w:val="00F34269"/>
    <w:rsid w:val="00F342E1"/>
    <w:rsid w:val="00F34D1C"/>
    <w:rsid w:val="00F34EFA"/>
    <w:rsid w:val="00F3517A"/>
    <w:rsid w:val="00F359CF"/>
    <w:rsid w:val="00F35C78"/>
    <w:rsid w:val="00F35EFB"/>
    <w:rsid w:val="00F36519"/>
    <w:rsid w:val="00F36AE2"/>
    <w:rsid w:val="00F36B50"/>
    <w:rsid w:val="00F36E6B"/>
    <w:rsid w:val="00F37402"/>
    <w:rsid w:val="00F3766D"/>
    <w:rsid w:val="00F4007C"/>
    <w:rsid w:val="00F40206"/>
    <w:rsid w:val="00F405E2"/>
    <w:rsid w:val="00F4191E"/>
    <w:rsid w:val="00F41C51"/>
    <w:rsid w:val="00F41D73"/>
    <w:rsid w:val="00F427BC"/>
    <w:rsid w:val="00F434BE"/>
    <w:rsid w:val="00F43CC1"/>
    <w:rsid w:val="00F44105"/>
    <w:rsid w:val="00F44556"/>
    <w:rsid w:val="00F447E7"/>
    <w:rsid w:val="00F448E1"/>
    <w:rsid w:val="00F45044"/>
    <w:rsid w:val="00F450F1"/>
    <w:rsid w:val="00F4513A"/>
    <w:rsid w:val="00F4533E"/>
    <w:rsid w:val="00F456E0"/>
    <w:rsid w:val="00F45E68"/>
    <w:rsid w:val="00F45E9D"/>
    <w:rsid w:val="00F461C8"/>
    <w:rsid w:val="00F46929"/>
    <w:rsid w:val="00F46991"/>
    <w:rsid w:val="00F469F8"/>
    <w:rsid w:val="00F46D7E"/>
    <w:rsid w:val="00F473CD"/>
    <w:rsid w:val="00F4741A"/>
    <w:rsid w:val="00F478EB"/>
    <w:rsid w:val="00F47AC0"/>
    <w:rsid w:val="00F50D75"/>
    <w:rsid w:val="00F52493"/>
    <w:rsid w:val="00F52789"/>
    <w:rsid w:val="00F52922"/>
    <w:rsid w:val="00F52AF5"/>
    <w:rsid w:val="00F52D41"/>
    <w:rsid w:val="00F52DE1"/>
    <w:rsid w:val="00F53027"/>
    <w:rsid w:val="00F533BC"/>
    <w:rsid w:val="00F536A7"/>
    <w:rsid w:val="00F53A15"/>
    <w:rsid w:val="00F53CE9"/>
    <w:rsid w:val="00F557B5"/>
    <w:rsid w:val="00F558AD"/>
    <w:rsid w:val="00F55F27"/>
    <w:rsid w:val="00F56161"/>
    <w:rsid w:val="00F56215"/>
    <w:rsid w:val="00F56470"/>
    <w:rsid w:val="00F56847"/>
    <w:rsid w:val="00F568B0"/>
    <w:rsid w:val="00F57333"/>
    <w:rsid w:val="00F574E9"/>
    <w:rsid w:val="00F57ED5"/>
    <w:rsid w:val="00F6076A"/>
    <w:rsid w:val="00F60B43"/>
    <w:rsid w:val="00F60D7C"/>
    <w:rsid w:val="00F60DE9"/>
    <w:rsid w:val="00F61285"/>
    <w:rsid w:val="00F61B13"/>
    <w:rsid w:val="00F61DAD"/>
    <w:rsid w:val="00F623A4"/>
    <w:rsid w:val="00F625F5"/>
    <w:rsid w:val="00F62E22"/>
    <w:rsid w:val="00F63944"/>
    <w:rsid w:val="00F6434C"/>
    <w:rsid w:val="00F649BB"/>
    <w:rsid w:val="00F64B91"/>
    <w:rsid w:val="00F64F3A"/>
    <w:rsid w:val="00F65C7C"/>
    <w:rsid w:val="00F65D28"/>
    <w:rsid w:val="00F66279"/>
    <w:rsid w:val="00F667C9"/>
    <w:rsid w:val="00F67B62"/>
    <w:rsid w:val="00F67B7D"/>
    <w:rsid w:val="00F67E98"/>
    <w:rsid w:val="00F67EC0"/>
    <w:rsid w:val="00F7078C"/>
    <w:rsid w:val="00F70EDA"/>
    <w:rsid w:val="00F70F4C"/>
    <w:rsid w:val="00F711FF"/>
    <w:rsid w:val="00F71B8E"/>
    <w:rsid w:val="00F71C01"/>
    <w:rsid w:val="00F71CDA"/>
    <w:rsid w:val="00F72690"/>
    <w:rsid w:val="00F72927"/>
    <w:rsid w:val="00F72EBF"/>
    <w:rsid w:val="00F72FA6"/>
    <w:rsid w:val="00F731B0"/>
    <w:rsid w:val="00F738F3"/>
    <w:rsid w:val="00F7449F"/>
    <w:rsid w:val="00F74546"/>
    <w:rsid w:val="00F747A2"/>
    <w:rsid w:val="00F74A3B"/>
    <w:rsid w:val="00F74B0C"/>
    <w:rsid w:val="00F74FED"/>
    <w:rsid w:val="00F75FED"/>
    <w:rsid w:val="00F761AF"/>
    <w:rsid w:val="00F76BEF"/>
    <w:rsid w:val="00F76F3F"/>
    <w:rsid w:val="00F77B91"/>
    <w:rsid w:val="00F80A3D"/>
    <w:rsid w:val="00F81047"/>
    <w:rsid w:val="00F819BF"/>
    <w:rsid w:val="00F81EB4"/>
    <w:rsid w:val="00F82022"/>
    <w:rsid w:val="00F82B7F"/>
    <w:rsid w:val="00F82C10"/>
    <w:rsid w:val="00F839F3"/>
    <w:rsid w:val="00F84723"/>
    <w:rsid w:val="00F847D6"/>
    <w:rsid w:val="00F8484B"/>
    <w:rsid w:val="00F84B1D"/>
    <w:rsid w:val="00F86000"/>
    <w:rsid w:val="00F86108"/>
    <w:rsid w:val="00F86110"/>
    <w:rsid w:val="00F8614A"/>
    <w:rsid w:val="00F86567"/>
    <w:rsid w:val="00F86EAE"/>
    <w:rsid w:val="00F86FDB"/>
    <w:rsid w:val="00F878D2"/>
    <w:rsid w:val="00F8795F"/>
    <w:rsid w:val="00F87971"/>
    <w:rsid w:val="00F87D1C"/>
    <w:rsid w:val="00F87F21"/>
    <w:rsid w:val="00F8836A"/>
    <w:rsid w:val="00F90E66"/>
    <w:rsid w:val="00F9143C"/>
    <w:rsid w:val="00F92209"/>
    <w:rsid w:val="00F92233"/>
    <w:rsid w:val="00F925DA"/>
    <w:rsid w:val="00F92A0F"/>
    <w:rsid w:val="00F93BAB"/>
    <w:rsid w:val="00F94426"/>
    <w:rsid w:val="00F94F0D"/>
    <w:rsid w:val="00F957AD"/>
    <w:rsid w:val="00F95AB3"/>
    <w:rsid w:val="00F95C39"/>
    <w:rsid w:val="00F9625A"/>
    <w:rsid w:val="00F962B7"/>
    <w:rsid w:val="00F965A2"/>
    <w:rsid w:val="00F96889"/>
    <w:rsid w:val="00F96976"/>
    <w:rsid w:val="00F96A88"/>
    <w:rsid w:val="00F96DF9"/>
    <w:rsid w:val="00F97503"/>
    <w:rsid w:val="00FA0020"/>
    <w:rsid w:val="00FA009D"/>
    <w:rsid w:val="00FA02C0"/>
    <w:rsid w:val="00FA09C7"/>
    <w:rsid w:val="00FA1421"/>
    <w:rsid w:val="00FA143E"/>
    <w:rsid w:val="00FA206A"/>
    <w:rsid w:val="00FA254C"/>
    <w:rsid w:val="00FA2AC8"/>
    <w:rsid w:val="00FA3181"/>
    <w:rsid w:val="00FA3C85"/>
    <w:rsid w:val="00FA4398"/>
    <w:rsid w:val="00FA53CD"/>
    <w:rsid w:val="00FA54FF"/>
    <w:rsid w:val="00FA5698"/>
    <w:rsid w:val="00FA59E6"/>
    <w:rsid w:val="00FA63DF"/>
    <w:rsid w:val="00FA7092"/>
    <w:rsid w:val="00FA7396"/>
    <w:rsid w:val="00FB0219"/>
    <w:rsid w:val="00FB1924"/>
    <w:rsid w:val="00FB1EA5"/>
    <w:rsid w:val="00FB1FCA"/>
    <w:rsid w:val="00FB28D3"/>
    <w:rsid w:val="00FB2E35"/>
    <w:rsid w:val="00FB2E45"/>
    <w:rsid w:val="00FB343E"/>
    <w:rsid w:val="00FB35BE"/>
    <w:rsid w:val="00FB3C34"/>
    <w:rsid w:val="00FB508A"/>
    <w:rsid w:val="00FB553B"/>
    <w:rsid w:val="00FB5BAE"/>
    <w:rsid w:val="00FB5D53"/>
    <w:rsid w:val="00FB6509"/>
    <w:rsid w:val="00FB6D8A"/>
    <w:rsid w:val="00FB6DEE"/>
    <w:rsid w:val="00FB6FE4"/>
    <w:rsid w:val="00FB7241"/>
    <w:rsid w:val="00FB73C0"/>
    <w:rsid w:val="00FB7511"/>
    <w:rsid w:val="00FB78BA"/>
    <w:rsid w:val="00FB7CCF"/>
    <w:rsid w:val="00FC00EF"/>
    <w:rsid w:val="00FC0661"/>
    <w:rsid w:val="00FC0E3C"/>
    <w:rsid w:val="00FC0F2F"/>
    <w:rsid w:val="00FC10F7"/>
    <w:rsid w:val="00FC123B"/>
    <w:rsid w:val="00FC24ED"/>
    <w:rsid w:val="00FC3FCA"/>
    <w:rsid w:val="00FC41A1"/>
    <w:rsid w:val="00FC4910"/>
    <w:rsid w:val="00FC5020"/>
    <w:rsid w:val="00FC521E"/>
    <w:rsid w:val="00FC52DE"/>
    <w:rsid w:val="00FC546F"/>
    <w:rsid w:val="00FC5BC8"/>
    <w:rsid w:val="00FC5D1B"/>
    <w:rsid w:val="00FC688F"/>
    <w:rsid w:val="00FC693F"/>
    <w:rsid w:val="00FC69EB"/>
    <w:rsid w:val="00FC6A6C"/>
    <w:rsid w:val="00FC7780"/>
    <w:rsid w:val="00FC7D50"/>
    <w:rsid w:val="00FD0AF2"/>
    <w:rsid w:val="00FD0AFA"/>
    <w:rsid w:val="00FD14AD"/>
    <w:rsid w:val="00FD1569"/>
    <w:rsid w:val="00FD19D8"/>
    <w:rsid w:val="00FD227E"/>
    <w:rsid w:val="00FD264A"/>
    <w:rsid w:val="00FD26F6"/>
    <w:rsid w:val="00FD285A"/>
    <w:rsid w:val="00FD2D41"/>
    <w:rsid w:val="00FD2E98"/>
    <w:rsid w:val="00FD3341"/>
    <w:rsid w:val="00FD346E"/>
    <w:rsid w:val="00FD375A"/>
    <w:rsid w:val="00FD3A2D"/>
    <w:rsid w:val="00FD4C1A"/>
    <w:rsid w:val="00FD4EC5"/>
    <w:rsid w:val="00FD4FAD"/>
    <w:rsid w:val="00FD5981"/>
    <w:rsid w:val="00FD651A"/>
    <w:rsid w:val="00FD6527"/>
    <w:rsid w:val="00FD6816"/>
    <w:rsid w:val="00FD6B42"/>
    <w:rsid w:val="00FD7AF0"/>
    <w:rsid w:val="00FD7B56"/>
    <w:rsid w:val="00FD7E91"/>
    <w:rsid w:val="00FE07F6"/>
    <w:rsid w:val="00FE0A4E"/>
    <w:rsid w:val="00FE0C9D"/>
    <w:rsid w:val="00FE0E99"/>
    <w:rsid w:val="00FE1059"/>
    <w:rsid w:val="00FE1846"/>
    <w:rsid w:val="00FE1D19"/>
    <w:rsid w:val="00FE219F"/>
    <w:rsid w:val="00FE2258"/>
    <w:rsid w:val="00FE255B"/>
    <w:rsid w:val="00FE2796"/>
    <w:rsid w:val="00FE2A18"/>
    <w:rsid w:val="00FE3601"/>
    <w:rsid w:val="00FE3ABD"/>
    <w:rsid w:val="00FE3B0D"/>
    <w:rsid w:val="00FE4010"/>
    <w:rsid w:val="00FE407B"/>
    <w:rsid w:val="00FE473F"/>
    <w:rsid w:val="00FE4C93"/>
    <w:rsid w:val="00FE4D9E"/>
    <w:rsid w:val="00FE53C2"/>
    <w:rsid w:val="00FE5993"/>
    <w:rsid w:val="00FE5C4D"/>
    <w:rsid w:val="00FE5EC7"/>
    <w:rsid w:val="00FE6427"/>
    <w:rsid w:val="00FE6626"/>
    <w:rsid w:val="00FE6634"/>
    <w:rsid w:val="00FE695A"/>
    <w:rsid w:val="00FE6A58"/>
    <w:rsid w:val="00FE6B04"/>
    <w:rsid w:val="00FE6F8B"/>
    <w:rsid w:val="00FE71A7"/>
    <w:rsid w:val="00FE7266"/>
    <w:rsid w:val="00FE732E"/>
    <w:rsid w:val="00FE7AB0"/>
    <w:rsid w:val="00FE7DB2"/>
    <w:rsid w:val="00FF0124"/>
    <w:rsid w:val="00FF03D6"/>
    <w:rsid w:val="00FF222F"/>
    <w:rsid w:val="00FF22E1"/>
    <w:rsid w:val="00FF241D"/>
    <w:rsid w:val="00FF2F8D"/>
    <w:rsid w:val="00FF43D8"/>
    <w:rsid w:val="00FF43F9"/>
    <w:rsid w:val="00FF454F"/>
    <w:rsid w:val="00FF458E"/>
    <w:rsid w:val="00FF46FE"/>
    <w:rsid w:val="00FF4C13"/>
    <w:rsid w:val="00FF4ED5"/>
    <w:rsid w:val="00FF62AF"/>
    <w:rsid w:val="00FF6699"/>
    <w:rsid w:val="00FF6709"/>
    <w:rsid w:val="00FF6CAC"/>
    <w:rsid w:val="00FF6CB7"/>
    <w:rsid w:val="00FF764F"/>
    <w:rsid w:val="00FF76BF"/>
    <w:rsid w:val="00FF7729"/>
    <w:rsid w:val="00FF7790"/>
    <w:rsid w:val="00FF7889"/>
    <w:rsid w:val="00FF79D3"/>
    <w:rsid w:val="0100D52C"/>
    <w:rsid w:val="01018259"/>
    <w:rsid w:val="01020A8E"/>
    <w:rsid w:val="0102CE11"/>
    <w:rsid w:val="010A5650"/>
    <w:rsid w:val="010CE0FA"/>
    <w:rsid w:val="010EC800"/>
    <w:rsid w:val="01125543"/>
    <w:rsid w:val="01131856"/>
    <w:rsid w:val="01144706"/>
    <w:rsid w:val="011702E2"/>
    <w:rsid w:val="011A5F47"/>
    <w:rsid w:val="011B5616"/>
    <w:rsid w:val="011DF1F6"/>
    <w:rsid w:val="011F9409"/>
    <w:rsid w:val="01241667"/>
    <w:rsid w:val="0126D77C"/>
    <w:rsid w:val="01281EFE"/>
    <w:rsid w:val="01298B0A"/>
    <w:rsid w:val="012B5593"/>
    <w:rsid w:val="012C5F1B"/>
    <w:rsid w:val="0131A696"/>
    <w:rsid w:val="013337AB"/>
    <w:rsid w:val="013AF257"/>
    <w:rsid w:val="014C4881"/>
    <w:rsid w:val="014CA9D9"/>
    <w:rsid w:val="014E57B3"/>
    <w:rsid w:val="01538384"/>
    <w:rsid w:val="0157FB8C"/>
    <w:rsid w:val="015E9C13"/>
    <w:rsid w:val="01608360"/>
    <w:rsid w:val="016879B5"/>
    <w:rsid w:val="016C1810"/>
    <w:rsid w:val="01739A2C"/>
    <w:rsid w:val="0176005E"/>
    <w:rsid w:val="0176B3A0"/>
    <w:rsid w:val="0178D038"/>
    <w:rsid w:val="017B085C"/>
    <w:rsid w:val="017C0CD4"/>
    <w:rsid w:val="017C99DF"/>
    <w:rsid w:val="017DBC68"/>
    <w:rsid w:val="0182CD6D"/>
    <w:rsid w:val="0184380E"/>
    <w:rsid w:val="018709A3"/>
    <w:rsid w:val="018DBF09"/>
    <w:rsid w:val="018F2C11"/>
    <w:rsid w:val="018FA89B"/>
    <w:rsid w:val="01907934"/>
    <w:rsid w:val="0190C280"/>
    <w:rsid w:val="019378F9"/>
    <w:rsid w:val="0196DF50"/>
    <w:rsid w:val="01A753E0"/>
    <w:rsid w:val="01A84B31"/>
    <w:rsid w:val="01B053D3"/>
    <w:rsid w:val="01B41630"/>
    <w:rsid w:val="01B911BA"/>
    <w:rsid w:val="01BBA83C"/>
    <w:rsid w:val="01C94944"/>
    <w:rsid w:val="01CD196C"/>
    <w:rsid w:val="01CF9126"/>
    <w:rsid w:val="01D4B384"/>
    <w:rsid w:val="01D853CF"/>
    <w:rsid w:val="01D9883F"/>
    <w:rsid w:val="01DBBFFD"/>
    <w:rsid w:val="01DCDDCA"/>
    <w:rsid w:val="01DD9A69"/>
    <w:rsid w:val="01E024AA"/>
    <w:rsid w:val="01E05A4D"/>
    <w:rsid w:val="01E76634"/>
    <w:rsid w:val="01E9E2EC"/>
    <w:rsid w:val="01ED7D0D"/>
    <w:rsid w:val="01EDF373"/>
    <w:rsid w:val="01EE98AC"/>
    <w:rsid w:val="01F65603"/>
    <w:rsid w:val="01F85A6C"/>
    <w:rsid w:val="01F9566E"/>
    <w:rsid w:val="01FAA682"/>
    <w:rsid w:val="01FE0B4B"/>
    <w:rsid w:val="0201AB4E"/>
    <w:rsid w:val="02099F98"/>
    <w:rsid w:val="020C7BE9"/>
    <w:rsid w:val="020EE134"/>
    <w:rsid w:val="0213E95F"/>
    <w:rsid w:val="021CE0D4"/>
    <w:rsid w:val="0225AED3"/>
    <w:rsid w:val="022B6FD3"/>
    <w:rsid w:val="0233077C"/>
    <w:rsid w:val="0233830A"/>
    <w:rsid w:val="0239EC1E"/>
    <w:rsid w:val="023AC0EF"/>
    <w:rsid w:val="023C5C8B"/>
    <w:rsid w:val="023FA4B7"/>
    <w:rsid w:val="023FE7A7"/>
    <w:rsid w:val="024578DD"/>
    <w:rsid w:val="025961D7"/>
    <w:rsid w:val="025D5312"/>
    <w:rsid w:val="025D5C0C"/>
    <w:rsid w:val="025EDD23"/>
    <w:rsid w:val="025FBC87"/>
    <w:rsid w:val="0263075A"/>
    <w:rsid w:val="02690D3D"/>
    <w:rsid w:val="0269891D"/>
    <w:rsid w:val="026B18A2"/>
    <w:rsid w:val="026BD4D0"/>
    <w:rsid w:val="026C9E1A"/>
    <w:rsid w:val="026D8AF8"/>
    <w:rsid w:val="026F708C"/>
    <w:rsid w:val="0272A64C"/>
    <w:rsid w:val="027405A9"/>
    <w:rsid w:val="027915C4"/>
    <w:rsid w:val="027B0E1E"/>
    <w:rsid w:val="027F08F5"/>
    <w:rsid w:val="027F8126"/>
    <w:rsid w:val="02885551"/>
    <w:rsid w:val="029400C9"/>
    <w:rsid w:val="02955C02"/>
    <w:rsid w:val="029621E6"/>
    <w:rsid w:val="0298C8AF"/>
    <w:rsid w:val="029F2157"/>
    <w:rsid w:val="02A02B56"/>
    <w:rsid w:val="02A3C596"/>
    <w:rsid w:val="02A53094"/>
    <w:rsid w:val="02AE2F2D"/>
    <w:rsid w:val="02AF0983"/>
    <w:rsid w:val="02B2F342"/>
    <w:rsid w:val="02C1332D"/>
    <w:rsid w:val="02C55615"/>
    <w:rsid w:val="02C740DE"/>
    <w:rsid w:val="02C7E696"/>
    <w:rsid w:val="02CB2723"/>
    <w:rsid w:val="02CE2C04"/>
    <w:rsid w:val="02CFD7BF"/>
    <w:rsid w:val="02D046AF"/>
    <w:rsid w:val="02D43EC9"/>
    <w:rsid w:val="02D612AD"/>
    <w:rsid w:val="02DCC324"/>
    <w:rsid w:val="02E1A04F"/>
    <w:rsid w:val="02E5A530"/>
    <w:rsid w:val="02E66617"/>
    <w:rsid w:val="02EB468C"/>
    <w:rsid w:val="02EBE9F8"/>
    <w:rsid w:val="02EF3B56"/>
    <w:rsid w:val="02F110FA"/>
    <w:rsid w:val="02F3B023"/>
    <w:rsid w:val="02F54A2B"/>
    <w:rsid w:val="02F5D1C5"/>
    <w:rsid w:val="02FA7130"/>
    <w:rsid w:val="02FE7791"/>
    <w:rsid w:val="02FEADC4"/>
    <w:rsid w:val="030C77C8"/>
    <w:rsid w:val="030D46F2"/>
    <w:rsid w:val="030DD886"/>
    <w:rsid w:val="030E4CE9"/>
    <w:rsid w:val="030EA306"/>
    <w:rsid w:val="03104CB9"/>
    <w:rsid w:val="0311D4CA"/>
    <w:rsid w:val="03137EA2"/>
    <w:rsid w:val="031C379A"/>
    <w:rsid w:val="031CB6F9"/>
    <w:rsid w:val="031F36B1"/>
    <w:rsid w:val="0320F23F"/>
    <w:rsid w:val="032601C4"/>
    <w:rsid w:val="032BA049"/>
    <w:rsid w:val="032DE412"/>
    <w:rsid w:val="032E2059"/>
    <w:rsid w:val="0331220D"/>
    <w:rsid w:val="0332C4BE"/>
    <w:rsid w:val="0334BB9E"/>
    <w:rsid w:val="033EAF39"/>
    <w:rsid w:val="034B47B0"/>
    <w:rsid w:val="034CE9E6"/>
    <w:rsid w:val="034D5E87"/>
    <w:rsid w:val="034E149F"/>
    <w:rsid w:val="034EC258"/>
    <w:rsid w:val="03511B6E"/>
    <w:rsid w:val="0355A2D4"/>
    <w:rsid w:val="035713DC"/>
    <w:rsid w:val="035A5F17"/>
    <w:rsid w:val="035D73FA"/>
    <w:rsid w:val="035EE55E"/>
    <w:rsid w:val="0362ACF3"/>
    <w:rsid w:val="03637D94"/>
    <w:rsid w:val="03654B77"/>
    <w:rsid w:val="03672610"/>
    <w:rsid w:val="03674D6B"/>
    <w:rsid w:val="036864A0"/>
    <w:rsid w:val="03709743"/>
    <w:rsid w:val="0373B813"/>
    <w:rsid w:val="0373EE47"/>
    <w:rsid w:val="0379660C"/>
    <w:rsid w:val="037AD175"/>
    <w:rsid w:val="037B2280"/>
    <w:rsid w:val="037D8FAA"/>
    <w:rsid w:val="037E12A7"/>
    <w:rsid w:val="03840E68"/>
    <w:rsid w:val="0389D17E"/>
    <w:rsid w:val="038EB55F"/>
    <w:rsid w:val="03938216"/>
    <w:rsid w:val="0393AABB"/>
    <w:rsid w:val="0393D080"/>
    <w:rsid w:val="0397F9B6"/>
    <w:rsid w:val="03A577E4"/>
    <w:rsid w:val="03A8E265"/>
    <w:rsid w:val="03A9B746"/>
    <w:rsid w:val="03AFE50A"/>
    <w:rsid w:val="03B0F0F5"/>
    <w:rsid w:val="03B263B6"/>
    <w:rsid w:val="03B4C8F5"/>
    <w:rsid w:val="03B6F0EF"/>
    <w:rsid w:val="03B8BE75"/>
    <w:rsid w:val="03BD2C9E"/>
    <w:rsid w:val="03BFCA04"/>
    <w:rsid w:val="03C04A1D"/>
    <w:rsid w:val="03C43618"/>
    <w:rsid w:val="03C6C2F5"/>
    <w:rsid w:val="03D7DFBA"/>
    <w:rsid w:val="03DE1BCA"/>
    <w:rsid w:val="03E2F99E"/>
    <w:rsid w:val="03E5D5A3"/>
    <w:rsid w:val="03ED71D4"/>
    <w:rsid w:val="03F266F4"/>
    <w:rsid w:val="03F41B35"/>
    <w:rsid w:val="03F44553"/>
    <w:rsid w:val="03F66E90"/>
    <w:rsid w:val="03F94530"/>
    <w:rsid w:val="03F960D4"/>
    <w:rsid w:val="03FB90C3"/>
    <w:rsid w:val="03FF6EFA"/>
    <w:rsid w:val="0400BBF9"/>
    <w:rsid w:val="04110087"/>
    <w:rsid w:val="0416C9B9"/>
    <w:rsid w:val="041C44EB"/>
    <w:rsid w:val="041C7665"/>
    <w:rsid w:val="041DB19A"/>
    <w:rsid w:val="042592EA"/>
    <w:rsid w:val="042CBC50"/>
    <w:rsid w:val="043792FA"/>
    <w:rsid w:val="0438AF37"/>
    <w:rsid w:val="043C9637"/>
    <w:rsid w:val="04405718"/>
    <w:rsid w:val="04417DCC"/>
    <w:rsid w:val="04447ABB"/>
    <w:rsid w:val="0445C362"/>
    <w:rsid w:val="04467B23"/>
    <w:rsid w:val="0446E714"/>
    <w:rsid w:val="0448C49C"/>
    <w:rsid w:val="044B00D4"/>
    <w:rsid w:val="044D8824"/>
    <w:rsid w:val="044E4F0A"/>
    <w:rsid w:val="0452CACA"/>
    <w:rsid w:val="045513DE"/>
    <w:rsid w:val="045942C4"/>
    <w:rsid w:val="045CC7E6"/>
    <w:rsid w:val="045DEF6D"/>
    <w:rsid w:val="04646DDB"/>
    <w:rsid w:val="04677ED8"/>
    <w:rsid w:val="046C8141"/>
    <w:rsid w:val="04723087"/>
    <w:rsid w:val="04736163"/>
    <w:rsid w:val="047557E2"/>
    <w:rsid w:val="047A803E"/>
    <w:rsid w:val="047C676E"/>
    <w:rsid w:val="04801DDA"/>
    <w:rsid w:val="0494A18D"/>
    <w:rsid w:val="04A2998C"/>
    <w:rsid w:val="04A85C60"/>
    <w:rsid w:val="04A93DAC"/>
    <w:rsid w:val="04AC71FB"/>
    <w:rsid w:val="04B0533C"/>
    <w:rsid w:val="04B3051D"/>
    <w:rsid w:val="04B4DDF4"/>
    <w:rsid w:val="04B985F4"/>
    <w:rsid w:val="04BA41EA"/>
    <w:rsid w:val="04BD160C"/>
    <w:rsid w:val="04C31CE4"/>
    <w:rsid w:val="04C6CA8C"/>
    <w:rsid w:val="04C6D9B7"/>
    <w:rsid w:val="04C7C931"/>
    <w:rsid w:val="04CB8A03"/>
    <w:rsid w:val="04CF6AD5"/>
    <w:rsid w:val="04D10BEB"/>
    <w:rsid w:val="04D460E2"/>
    <w:rsid w:val="04D77A2C"/>
    <w:rsid w:val="04DEDBA8"/>
    <w:rsid w:val="04E15623"/>
    <w:rsid w:val="04E420C3"/>
    <w:rsid w:val="04E713C0"/>
    <w:rsid w:val="04EAC5CA"/>
    <w:rsid w:val="04EF83AA"/>
    <w:rsid w:val="04F22EBB"/>
    <w:rsid w:val="04F6EBE1"/>
    <w:rsid w:val="04F7C8AF"/>
    <w:rsid w:val="04FC0531"/>
    <w:rsid w:val="04FC9515"/>
    <w:rsid w:val="04FEE108"/>
    <w:rsid w:val="05080A04"/>
    <w:rsid w:val="05089665"/>
    <w:rsid w:val="050A16EE"/>
    <w:rsid w:val="050C6873"/>
    <w:rsid w:val="0510ACED"/>
    <w:rsid w:val="0514B933"/>
    <w:rsid w:val="05188ADF"/>
    <w:rsid w:val="051F294D"/>
    <w:rsid w:val="0522377A"/>
    <w:rsid w:val="052C7E6A"/>
    <w:rsid w:val="052F274F"/>
    <w:rsid w:val="052FAACD"/>
    <w:rsid w:val="053864AC"/>
    <w:rsid w:val="053C4180"/>
    <w:rsid w:val="053D5A4E"/>
    <w:rsid w:val="053E4F65"/>
    <w:rsid w:val="05424A7E"/>
    <w:rsid w:val="05446331"/>
    <w:rsid w:val="05446D93"/>
    <w:rsid w:val="054888D4"/>
    <w:rsid w:val="054AB209"/>
    <w:rsid w:val="054F6195"/>
    <w:rsid w:val="055C9D83"/>
    <w:rsid w:val="05635301"/>
    <w:rsid w:val="056736EF"/>
    <w:rsid w:val="056D1563"/>
    <w:rsid w:val="056E1BE2"/>
    <w:rsid w:val="056FF6A0"/>
    <w:rsid w:val="05703AB1"/>
    <w:rsid w:val="0573F88F"/>
    <w:rsid w:val="0578B653"/>
    <w:rsid w:val="057D65CF"/>
    <w:rsid w:val="058201AA"/>
    <w:rsid w:val="05820DF0"/>
    <w:rsid w:val="0582D10E"/>
    <w:rsid w:val="05867D22"/>
    <w:rsid w:val="05870FD9"/>
    <w:rsid w:val="058B10B4"/>
    <w:rsid w:val="059201E6"/>
    <w:rsid w:val="0592DDFA"/>
    <w:rsid w:val="05961E68"/>
    <w:rsid w:val="05968826"/>
    <w:rsid w:val="0596A093"/>
    <w:rsid w:val="0596EF4F"/>
    <w:rsid w:val="059BC1BD"/>
    <w:rsid w:val="059CAB76"/>
    <w:rsid w:val="05AC0726"/>
    <w:rsid w:val="05B17660"/>
    <w:rsid w:val="05B223FD"/>
    <w:rsid w:val="05BB2751"/>
    <w:rsid w:val="05BFB29E"/>
    <w:rsid w:val="05C4C08A"/>
    <w:rsid w:val="05CC4C68"/>
    <w:rsid w:val="05D1F2B1"/>
    <w:rsid w:val="05D29354"/>
    <w:rsid w:val="05D36CA2"/>
    <w:rsid w:val="05D4EE72"/>
    <w:rsid w:val="05D504FD"/>
    <w:rsid w:val="05DBC2CA"/>
    <w:rsid w:val="05DEA7FC"/>
    <w:rsid w:val="05E28ADC"/>
    <w:rsid w:val="05E2C118"/>
    <w:rsid w:val="05E4C879"/>
    <w:rsid w:val="05EB42D7"/>
    <w:rsid w:val="05EC8FB3"/>
    <w:rsid w:val="05EED31F"/>
    <w:rsid w:val="05F4F18C"/>
    <w:rsid w:val="05F57FDE"/>
    <w:rsid w:val="05F5EFCD"/>
    <w:rsid w:val="05F7EC0C"/>
    <w:rsid w:val="05FB4084"/>
    <w:rsid w:val="05FD3F78"/>
    <w:rsid w:val="05FE3B21"/>
    <w:rsid w:val="05FF998E"/>
    <w:rsid w:val="06131E33"/>
    <w:rsid w:val="0616C92B"/>
    <w:rsid w:val="061CD13F"/>
    <w:rsid w:val="061D2241"/>
    <w:rsid w:val="061F5678"/>
    <w:rsid w:val="062398D0"/>
    <w:rsid w:val="0624F672"/>
    <w:rsid w:val="0625218E"/>
    <w:rsid w:val="06264A34"/>
    <w:rsid w:val="0627FCC4"/>
    <w:rsid w:val="06287A05"/>
    <w:rsid w:val="06290F9B"/>
    <w:rsid w:val="0629B1D9"/>
    <w:rsid w:val="062A8A3A"/>
    <w:rsid w:val="062AB8C0"/>
    <w:rsid w:val="06330D95"/>
    <w:rsid w:val="06376D80"/>
    <w:rsid w:val="0642F2F8"/>
    <w:rsid w:val="0650822C"/>
    <w:rsid w:val="06523A68"/>
    <w:rsid w:val="06537E03"/>
    <w:rsid w:val="06594EAE"/>
    <w:rsid w:val="065A2E0D"/>
    <w:rsid w:val="065B55C1"/>
    <w:rsid w:val="065C7287"/>
    <w:rsid w:val="0666F0F9"/>
    <w:rsid w:val="06691235"/>
    <w:rsid w:val="066B4CBB"/>
    <w:rsid w:val="066B6195"/>
    <w:rsid w:val="067519C3"/>
    <w:rsid w:val="06818C94"/>
    <w:rsid w:val="06870E54"/>
    <w:rsid w:val="068731C7"/>
    <w:rsid w:val="068DD44B"/>
    <w:rsid w:val="06907F80"/>
    <w:rsid w:val="0690C830"/>
    <w:rsid w:val="06921C14"/>
    <w:rsid w:val="0694E358"/>
    <w:rsid w:val="06981582"/>
    <w:rsid w:val="069877D7"/>
    <w:rsid w:val="069BC38A"/>
    <w:rsid w:val="069C38C2"/>
    <w:rsid w:val="069CA81E"/>
    <w:rsid w:val="069E0478"/>
    <w:rsid w:val="06A40B16"/>
    <w:rsid w:val="06A65505"/>
    <w:rsid w:val="06B1B546"/>
    <w:rsid w:val="06C361E8"/>
    <w:rsid w:val="06C48BAA"/>
    <w:rsid w:val="06C6BE89"/>
    <w:rsid w:val="06CC3FA8"/>
    <w:rsid w:val="06CC4444"/>
    <w:rsid w:val="06CE49BC"/>
    <w:rsid w:val="06D15ACC"/>
    <w:rsid w:val="06D7FD33"/>
    <w:rsid w:val="06DA55A7"/>
    <w:rsid w:val="06DA8E8C"/>
    <w:rsid w:val="06DBD978"/>
    <w:rsid w:val="06DE2FE5"/>
    <w:rsid w:val="06DFDC87"/>
    <w:rsid w:val="06E123AD"/>
    <w:rsid w:val="06EFFBCC"/>
    <w:rsid w:val="06F00041"/>
    <w:rsid w:val="06F95FE5"/>
    <w:rsid w:val="06FAA89E"/>
    <w:rsid w:val="06FF102E"/>
    <w:rsid w:val="0705EC28"/>
    <w:rsid w:val="07062CD3"/>
    <w:rsid w:val="0707D71D"/>
    <w:rsid w:val="070849EB"/>
    <w:rsid w:val="0708F114"/>
    <w:rsid w:val="070E1A13"/>
    <w:rsid w:val="07196038"/>
    <w:rsid w:val="0722F63F"/>
    <w:rsid w:val="07241F30"/>
    <w:rsid w:val="072649E8"/>
    <w:rsid w:val="072AC750"/>
    <w:rsid w:val="072B711C"/>
    <w:rsid w:val="072BB123"/>
    <w:rsid w:val="072F19CB"/>
    <w:rsid w:val="072F2733"/>
    <w:rsid w:val="073740F6"/>
    <w:rsid w:val="073ABE9B"/>
    <w:rsid w:val="073B8626"/>
    <w:rsid w:val="073CA391"/>
    <w:rsid w:val="07413489"/>
    <w:rsid w:val="0743A1A5"/>
    <w:rsid w:val="0748E10F"/>
    <w:rsid w:val="074A9703"/>
    <w:rsid w:val="074AEDA3"/>
    <w:rsid w:val="074BFDFD"/>
    <w:rsid w:val="074DA52F"/>
    <w:rsid w:val="074DB63F"/>
    <w:rsid w:val="0753E9FC"/>
    <w:rsid w:val="07548507"/>
    <w:rsid w:val="0755196E"/>
    <w:rsid w:val="075D2EC0"/>
    <w:rsid w:val="075FCB3F"/>
    <w:rsid w:val="0760AE5E"/>
    <w:rsid w:val="07654E9F"/>
    <w:rsid w:val="076668BD"/>
    <w:rsid w:val="076873E8"/>
    <w:rsid w:val="076B5F85"/>
    <w:rsid w:val="076B8895"/>
    <w:rsid w:val="076E49FB"/>
    <w:rsid w:val="0771AFD7"/>
    <w:rsid w:val="07728E26"/>
    <w:rsid w:val="077720B9"/>
    <w:rsid w:val="07830DFB"/>
    <w:rsid w:val="07847C97"/>
    <w:rsid w:val="078BAA88"/>
    <w:rsid w:val="078C1BCD"/>
    <w:rsid w:val="0793086D"/>
    <w:rsid w:val="07999DF2"/>
    <w:rsid w:val="079B01DC"/>
    <w:rsid w:val="079E057F"/>
    <w:rsid w:val="07ACC681"/>
    <w:rsid w:val="07AFA34F"/>
    <w:rsid w:val="07B21018"/>
    <w:rsid w:val="07B77975"/>
    <w:rsid w:val="07B81BC7"/>
    <w:rsid w:val="07BEA2AA"/>
    <w:rsid w:val="07C4027A"/>
    <w:rsid w:val="07C41648"/>
    <w:rsid w:val="07CDDDF9"/>
    <w:rsid w:val="07DE297E"/>
    <w:rsid w:val="07E2BA15"/>
    <w:rsid w:val="07E388AC"/>
    <w:rsid w:val="07E516BE"/>
    <w:rsid w:val="07ECAA1C"/>
    <w:rsid w:val="07F008A7"/>
    <w:rsid w:val="07F27917"/>
    <w:rsid w:val="07FF3F94"/>
    <w:rsid w:val="0802CA37"/>
    <w:rsid w:val="0802F521"/>
    <w:rsid w:val="08041E5B"/>
    <w:rsid w:val="08056345"/>
    <w:rsid w:val="080594E4"/>
    <w:rsid w:val="080633A8"/>
    <w:rsid w:val="080F06A7"/>
    <w:rsid w:val="0816A7F9"/>
    <w:rsid w:val="08180805"/>
    <w:rsid w:val="081BF9D1"/>
    <w:rsid w:val="081C6C1B"/>
    <w:rsid w:val="081D6902"/>
    <w:rsid w:val="081DB19A"/>
    <w:rsid w:val="08228B33"/>
    <w:rsid w:val="08244088"/>
    <w:rsid w:val="0828D04E"/>
    <w:rsid w:val="082BDE15"/>
    <w:rsid w:val="082C4232"/>
    <w:rsid w:val="082DFEC1"/>
    <w:rsid w:val="083EC616"/>
    <w:rsid w:val="084064BE"/>
    <w:rsid w:val="08425A98"/>
    <w:rsid w:val="0846411E"/>
    <w:rsid w:val="0848B57F"/>
    <w:rsid w:val="084BC9D6"/>
    <w:rsid w:val="08529B99"/>
    <w:rsid w:val="08548D68"/>
    <w:rsid w:val="0856E9B3"/>
    <w:rsid w:val="08583CEE"/>
    <w:rsid w:val="08588AD5"/>
    <w:rsid w:val="085CEAF7"/>
    <w:rsid w:val="085F2762"/>
    <w:rsid w:val="0860058B"/>
    <w:rsid w:val="0861A9EB"/>
    <w:rsid w:val="0861CA54"/>
    <w:rsid w:val="08624DF5"/>
    <w:rsid w:val="08693F8C"/>
    <w:rsid w:val="08725115"/>
    <w:rsid w:val="087308E4"/>
    <w:rsid w:val="0876647D"/>
    <w:rsid w:val="0876F361"/>
    <w:rsid w:val="0879F7E6"/>
    <w:rsid w:val="087ECCF8"/>
    <w:rsid w:val="08835C76"/>
    <w:rsid w:val="0883F288"/>
    <w:rsid w:val="08863232"/>
    <w:rsid w:val="08887522"/>
    <w:rsid w:val="0889EFBC"/>
    <w:rsid w:val="088A2C79"/>
    <w:rsid w:val="088A4B79"/>
    <w:rsid w:val="088EA53B"/>
    <w:rsid w:val="08935345"/>
    <w:rsid w:val="08943F9D"/>
    <w:rsid w:val="089C0B33"/>
    <w:rsid w:val="089F8C76"/>
    <w:rsid w:val="08A393FB"/>
    <w:rsid w:val="08AB4DA1"/>
    <w:rsid w:val="08AEB173"/>
    <w:rsid w:val="08BF7904"/>
    <w:rsid w:val="08BFC037"/>
    <w:rsid w:val="08CA188B"/>
    <w:rsid w:val="08CAA1BD"/>
    <w:rsid w:val="08D15790"/>
    <w:rsid w:val="08D86260"/>
    <w:rsid w:val="08E13C6E"/>
    <w:rsid w:val="08E355D5"/>
    <w:rsid w:val="08E57C34"/>
    <w:rsid w:val="08E68B97"/>
    <w:rsid w:val="08E78173"/>
    <w:rsid w:val="08ECC79C"/>
    <w:rsid w:val="08EFEB9C"/>
    <w:rsid w:val="08F09EAF"/>
    <w:rsid w:val="08F6ED12"/>
    <w:rsid w:val="0902A754"/>
    <w:rsid w:val="090A6364"/>
    <w:rsid w:val="090A72F6"/>
    <w:rsid w:val="090D9CAC"/>
    <w:rsid w:val="090F9DC4"/>
    <w:rsid w:val="09112B71"/>
    <w:rsid w:val="09119EFB"/>
    <w:rsid w:val="0913A1D8"/>
    <w:rsid w:val="0913C00C"/>
    <w:rsid w:val="091551B6"/>
    <w:rsid w:val="091D7DFA"/>
    <w:rsid w:val="092051F4"/>
    <w:rsid w:val="092861A1"/>
    <w:rsid w:val="09294693"/>
    <w:rsid w:val="0929A3EC"/>
    <w:rsid w:val="092AB498"/>
    <w:rsid w:val="092BA17C"/>
    <w:rsid w:val="092FCB6B"/>
    <w:rsid w:val="09301921"/>
    <w:rsid w:val="093183B1"/>
    <w:rsid w:val="09397257"/>
    <w:rsid w:val="093D9EA6"/>
    <w:rsid w:val="093E5703"/>
    <w:rsid w:val="0956256F"/>
    <w:rsid w:val="0958B76E"/>
    <w:rsid w:val="0959C133"/>
    <w:rsid w:val="095D0546"/>
    <w:rsid w:val="0963E61F"/>
    <w:rsid w:val="09649B15"/>
    <w:rsid w:val="096A979C"/>
    <w:rsid w:val="09714BBE"/>
    <w:rsid w:val="09764533"/>
    <w:rsid w:val="097906A9"/>
    <w:rsid w:val="0979A9AF"/>
    <w:rsid w:val="097EF053"/>
    <w:rsid w:val="097F6F61"/>
    <w:rsid w:val="097F96A8"/>
    <w:rsid w:val="09811886"/>
    <w:rsid w:val="0981685E"/>
    <w:rsid w:val="0984D8D4"/>
    <w:rsid w:val="098BF269"/>
    <w:rsid w:val="09901860"/>
    <w:rsid w:val="0990BEED"/>
    <w:rsid w:val="0991CAA2"/>
    <w:rsid w:val="0993469B"/>
    <w:rsid w:val="099619E0"/>
    <w:rsid w:val="09964F41"/>
    <w:rsid w:val="0997F152"/>
    <w:rsid w:val="0998B32D"/>
    <w:rsid w:val="099DDF99"/>
    <w:rsid w:val="099EE819"/>
    <w:rsid w:val="09A1334E"/>
    <w:rsid w:val="09A5366D"/>
    <w:rsid w:val="09ADAAE0"/>
    <w:rsid w:val="09B020FB"/>
    <w:rsid w:val="09B36117"/>
    <w:rsid w:val="09B5916F"/>
    <w:rsid w:val="09C582B4"/>
    <w:rsid w:val="09C739B7"/>
    <w:rsid w:val="09CF691E"/>
    <w:rsid w:val="09D1B72A"/>
    <w:rsid w:val="09D64501"/>
    <w:rsid w:val="09D66892"/>
    <w:rsid w:val="09D71E27"/>
    <w:rsid w:val="09D9A263"/>
    <w:rsid w:val="09DE0726"/>
    <w:rsid w:val="09DFDA79"/>
    <w:rsid w:val="09E0BFE2"/>
    <w:rsid w:val="09E0DF6C"/>
    <w:rsid w:val="09E19436"/>
    <w:rsid w:val="09E73EF1"/>
    <w:rsid w:val="09E884AE"/>
    <w:rsid w:val="09F4A50B"/>
    <w:rsid w:val="09F54F2F"/>
    <w:rsid w:val="09F80EBB"/>
    <w:rsid w:val="09FCDD41"/>
    <w:rsid w:val="0A0100C0"/>
    <w:rsid w:val="0A0713A4"/>
    <w:rsid w:val="0A11F687"/>
    <w:rsid w:val="0A131310"/>
    <w:rsid w:val="0A147C46"/>
    <w:rsid w:val="0A1A290D"/>
    <w:rsid w:val="0A1AEB19"/>
    <w:rsid w:val="0A1F4B86"/>
    <w:rsid w:val="0A1F4F9E"/>
    <w:rsid w:val="0A1FF468"/>
    <w:rsid w:val="0A206A9B"/>
    <w:rsid w:val="0A216FEE"/>
    <w:rsid w:val="0A24FE42"/>
    <w:rsid w:val="0A252C23"/>
    <w:rsid w:val="0A29F12F"/>
    <w:rsid w:val="0A2B5ED1"/>
    <w:rsid w:val="0A2D71CD"/>
    <w:rsid w:val="0A2EE845"/>
    <w:rsid w:val="0A30F1C4"/>
    <w:rsid w:val="0A349DB7"/>
    <w:rsid w:val="0A3975F4"/>
    <w:rsid w:val="0A3A6D38"/>
    <w:rsid w:val="0A3B70D4"/>
    <w:rsid w:val="0A41EBF5"/>
    <w:rsid w:val="0A44C97F"/>
    <w:rsid w:val="0A515898"/>
    <w:rsid w:val="0A520FB3"/>
    <w:rsid w:val="0A523418"/>
    <w:rsid w:val="0A52DA07"/>
    <w:rsid w:val="0A54CC26"/>
    <w:rsid w:val="0A5ACC44"/>
    <w:rsid w:val="0A5B3DA4"/>
    <w:rsid w:val="0A5B4143"/>
    <w:rsid w:val="0A5BD12F"/>
    <w:rsid w:val="0A5BD587"/>
    <w:rsid w:val="0A620180"/>
    <w:rsid w:val="0A6801D9"/>
    <w:rsid w:val="0A690413"/>
    <w:rsid w:val="0A6B8380"/>
    <w:rsid w:val="0A6DB477"/>
    <w:rsid w:val="0A70E605"/>
    <w:rsid w:val="0A780102"/>
    <w:rsid w:val="0A7AA48C"/>
    <w:rsid w:val="0A805B22"/>
    <w:rsid w:val="0A805D16"/>
    <w:rsid w:val="0A8133CB"/>
    <w:rsid w:val="0A85D3FE"/>
    <w:rsid w:val="0A874B6A"/>
    <w:rsid w:val="0A8881FB"/>
    <w:rsid w:val="0A8B5CBC"/>
    <w:rsid w:val="0A8C309A"/>
    <w:rsid w:val="0A90C65B"/>
    <w:rsid w:val="0A9100BD"/>
    <w:rsid w:val="0A9BF499"/>
    <w:rsid w:val="0A9DF6C7"/>
    <w:rsid w:val="0A9F6D2D"/>
    <w:rsid w:val="0AA6B0C1"/>
    <w:rsid w:val="0AA9AE99"/>
    <w:rsid w:val="0AB1689C"/>
    <w:rsid w:val="0AB30FC8"/>
    <w:rsid w:val="0AB77AAE"/>
    <w:rsid w:val="0AB80B2F"/>
    <w:rsid w:val="0AC5747A"/>
    <w:rsid w:val="0AC5CE0C"/>
    <w:rsid w:val="0ACAD955"/>
    <w:rsid w:val="0ACB6F73"/>
    <w:rsid w:val="0ACED5F1"/>
    <w:rsid w:val="0AD31501"/>
    <w:rsid w:val="0AD7637D"/>
    <w:rsid w:val="0AD90968"/>
    <w:rsid w:val="0AD925F6"/>
    <w:rsid w:val="0ADB892E"/>
    <w:rsid w:val="0ADD654B"/>
    <w:rsid w:val="0AEA3023"/>
    <w:rsid w:val="0AEDF88D"/>
    <w:rsid w:val="0AEF7A0C"/>
    <w:rsid w:val="0AFF4024"/>
    <w:rsid w:val="0B04C465"/>
    <w:rsid w:val="0B06E36A"/>
    <w:rsid w:val="0B0B7248"/>
    <w:rsid w:val="0B0E402A"/>
    <w:rsid w:val="0B188C86"/>
    <w:rsid w:val="0B1A3C10"/>
    <w:rsid w:val="0B1AA33F"/>
    <w:rsid w:val="0B1C3C65"/>
    <w:rsid w:val="0B1DA135"/>
    <w:rsid w:val="0B1DF605"/>
    <w:rsid w:val="0B1E63F6"/>
    <w:rsid w:val="0B1F135D"/>
    <w:rsid w:val="0B1FF6AB"/>
    <w:rsid w:val="0B257B9D"/>
    <w:rsid w:val="0B29DE3D"/>
    <w:rsid w:val="0B3188C2"/>
    <w:rsid w:val="0B33D1C3"/>
    <w:rsid w:val="0B37D637"/>
    <w:rsid w:val="0B39D492"/>
    <w:rsid w:val="0B3B6EA5"/>
    <w:rsid w:val="0B3CAA49"/>
    <w:rsid w:val="0B3F40AF"/>
    <w:rsid w:val="0B48DE88"/>
    <w:rsid w:val="0B4B61A4"/>
    <w:rsid w:val="0B4ED752"/>
    <w:rsid w:val="0B5710EA"/>
    <w:rsid w:val="0B58EC70"/>
    <w:rsid w:val="0B5D59A3"/>
    <w:rsid w:val="0B5D5BD7"/>
    <w:rsid w:val="0B6118CA"/>
    <w:rsid w:val="0B639874"/>
    <w:rsid w:val="0B679924"/>
    <w:rsid w:val="0B67F83F"/>
    <w:rsid w:val="0B697F8E"/>
    <w:rsid w:val="0B69F48F"/>
    <w:rsid w:val="0B6BE226"/>
    <w:rsid w:val="0B6FBB3E"/>
    <w:rsid w:val="0B74E085"/>
    <w:rsid w:val="0B7633A0"/>
    <w:rsid w:val="0B76FD0A"/>
    <w:rsid w:val="0B8150F4"/>
    <w:rsid w:val="0B82ACC9"/>
    <w:rsid w:val="0B841C41"/>
    <w:rsid w:val="0B846A4E"/>
    <w:rsid w:val="0B85162A"/>
    <w:rsid w:val="0B8B8415"/>
    <w:rsid w:val="0B935B95"/>
    <w:rsid w:val="0B94C6B2"/>
    <w:rsid w:val="0B962BC9"/>
    <w:rsid w:val="0B993947"/>
    <w:rsid w:val="0BA158EE"/>
    <w:rsid w:val="0BA80357"/>
    <w:rsid w:val="0BACD6AB"/>
    <w:rsid w:val="0BAD789D"/>
    <w:rsid w:val="0BB180AC"/>
    <w:rsid w:val="0BB27BCB"/>
    <w:rsid w:val="0BB89758"/>
    <w:rsid w:val="0BB8E011"/>
    <w:rsid w:val="0BBADB4D"/>
    <w:rsid w:val="0BC0817B"/>
    <w:rsid w:val="0BC2353C"/>
    <w:rsid w:val="0BC61D26"/>
    <w:rsid w:val="0BC97B4A"/>
    <w:rsid w:val="0BCCC841"/>
    <w:rsid w:val="0BD0F623"/>
    <w:rsid w:val="0BD1E64C"/>
    <w:rsid w:val="0BD2BDB2"/>
    <w:rsid w:val="0BD2BE57"/>
    <w:rsid w:val="0BD2DEFD"/>
    <w:rsid w:val="0BD35D26"/>
    <w:rsid w:val="0BD40279"/>
    <w:rsid w:val="0BD73427"/>
    <w:rsid w:val="0BD9218E"/>
    <w:rsid w:val="0BDA0A17"/>
    <w:rsid w:val="0BE13025"/>
    <w:rsid w:val="0BE93AA7"/>
    <w:rsid w:val="0BF2DC3D"/>
    <w:rsid w:val="0BFF3898"/>
    <w:rsid w:val="0BFF5FAF"/>
    <w:rsid w:val="0C02921A"/>
    <w:rsid w:val="0C07290C"/>
    <w:rsid w:val="0C0771BE"/>
    <w:rsid w:val="0C07B232"/>
    <w:rsid w:val="0C09CF35"/>
    <w:rsid w:val="0C0E2830"/>
    <w:rsid w:val="0C149C90"/>
    <w:rsid w:val="0C189CF5"/>
    <w:rsid w:val="0C190B4B"/>
    <w:rsid w:val="0C1FB555"/>
    <w:rsid w:val="0C221024"/>
    <w:rsid w:val="0C231A8F"/>
    <w:rsid w:val="0C244470"/>
    <w:rsid w:val="0C32CCC7"/>
    <w:rsid w:val="0C358518"/>
    <w:rsid w:val="0C3683E6"/>
    <w:rsid w:val="0C40F20F"/>
    <w:rsid w:val="0C41FDD7"/>
    <w:rsid w:val="0C463039"/>
    <w:rsid w:val="0C4E6F1F"/>
    <w:rsid w:val="0C507C9C"/>
    <w:rsid w:val="0C582682"/>
    <w:rsid w:val="0C5AD0A9"/>
    <w:rsid w:val="0C5C80A5"/>
    <w:rsid w:val="0C5F50A5"/>
    <w:rsid w:val="0C60AC0A"/>
    <w:rsid w:val="0C624550"/>
    <w:rsid w:val="0C64C336"/>
    <w:rsid w:val="0C737980"/>
    <w:rsid w:val="0C740774"/>
    <w:rsid w:val="0C779CE7"/>
    <w:rsid w:val="0C799364"/>
    <w:rsid w:val="0C7B1A2E"/>
    <w:rsid w:val="0C7F83ED"/>
    <w:rsid w:val="0C80D972"/>
    <w:rsid w:val="0C80FD09"/>
    <w:rsid w:val="0C8823AC"/>
    <w:rsid w:val="0C89626F"/>
    <w:rsid w:val="0C89BCF5"/>
    <w:rsid w:val="0C8F76B1"/>
    <w:rsid w:val="0C90ECCF"/>
    <w:rsid w:val="0C92EA7E"/>
    <w:rsid w:val="0C95C9F8"/>
    <w:rsid w:val="0C964BA5"/>
    <w:rsid w:val="0C96514F"/>
    <w:rsid w:val="0C9659A5"/>
    <w:rsid w:val="0C969BF6"/>
    <w:rsid w:val="0C99F6F3"/>
    <w:rsid w:val="0C9A0E5A"/>
    <w:rsid w:val="0CA16107"/>
    <w:rsid w:val="0CA21B80"/>
    <w:rsid w:val="0CA70E29"/>
    <w:rsid w:val="0CA755D6"/>
    <w:rsid w:val="0CB27833"/>
    <w:rsid w:val="0CB2BC75"/>
    <w:rsid w:val="0CB997A3"/>
    <w:rsid w:val="0CBB9AA7"/>
    <w:rsid w:val="0CBF82A2"/>
    <w:rsid w:val="0CC0F6E3"/>
    <w:rsid w:val="0CC9CE0D"/>
    <w:rsid w:val="0CCBD5FF"/>
    <w:rsid w:val="0CD2668C"/>
    <w:rsid w:val="0CD3E172"/>
    <w:rsid w:val="0CD514A5"/>
    <w:rsid w:val="0CD52AAA"/>
    <w:rsid w:val="0CD78560"/>
    <w:rsid w:val="0CDAD592"/>
    <w:rsid w:val="0CDCCC03"/>
    <w:rsid w:val="0CDF7738"/>
    <w:rsid w:val="0CE111A9"/>
    <w:rsid w:val="0CE1A66D"/>
    <w:rsid w:val="0CE42C13"/>
    <w:rsid w:val="0CE78073"/>
    <w:rsid w:val="0CEA21F1"/>
    <w:rsid w:val="0CEB1931"/>
    <w:rsid w:val="0CEE83EA"/>
    <w:rsid w:val="0CF0BC1B"/>
    <w:rsid w:val="0CF3E779"/>
    <w:rsid w:val="0CF4D7F3"/>
    <w:rsid w:val="0CF6F79E"/>
    <w:rsid w:val="0CF8BA13"/>
    <w:rsid w:val="0CF9BDCF"/>
    <w:rsid w:val="0CFB88DF"/>
    <w:rsid w:val="0D0EEE64"/>
    <w:rsid w:val="0D0F2E96"/>
    <w:rsid w:val="0D1085E5"/>
    <w:rsid w:val="0D1184D0"/>
    <w:rsid w:val="0D12ADCF"/>
    <w:rsid w:val="0D12C47A"/>
    <w:rsid w:val="0D152FE7"/>
    <w:rsid w:val="0D17B312"/>
    <w:rsid w:val="0D1A6935"/>
    <w:rsid w:val="0D1E5B93"/>
    <w:rsid w:val="0D1FD0FB"/>
    <w:rsid w:val="0D22D23C"/>
    <w:rsid w:val="0D242FC4"/>
    <w:rsid w:val="0D2AA227"/>
    <w:rsid w:val="0D2C5ECB"/>
    <w:rsid w:val="0D2DF0D4"/>
    <w:rsid w:val="0D3281F5"/>
    <w:rsid w:val="0D355BD1"/>
    <w:rsid w:val="0D3CF84C"/>
    <w:rsid w:val="0D3E6A02"/>
    <w:rsid w:val="0D3F96AB"/>
    <w:rsid w:val="0D40A939"/>
    <w:rsid w:val="0D412FE6"/>
    <w:rsid w:val="0D415B24"/>
    <w:rsid w:val="0D45A92E"/>
    <w:rsid w:val="0D4A159A"/>
    <w:rsid w:val="0D4D35D3"/>
    <w:rsid w:val="0D5019F1"/>
    <w:rsid w:val="0D50EB9A"/>
    <w:rsid w:val="0D5F8601"/>
    <w:rsid w:val="0D5F9630"/>
    <w:rsid w:val="0D6B16ED"/>
    <w:rsid w:val="0D7457E9"/>
    <w:rsid w:val="0D752E5D"/>
    <w:rsid w:val="0D788FD1"/>
    <w:rsid w:val="0D7FBD2A"/>
    <w:rsid w:val="0D8C77F6"/>
    <w:rsid w:val="0D8F430D"/>
    <w:rsid w:val="0D8F8F0D"/>
    <w:rsid w:val="0D90DC17"/>
    <w:rsid w:val="0D920C1F"/>
    <w:rsid w:val="0D9C2688"/>
    <w:rsid w:val="0D9FE64F"/>
    <w:rsid w:val="0DA42F33"/>
    <w:rsid w:val="0DA82578"/>
    <w:rsid w:val="0DAACD99"/>
    <w:rsid w:val="0DAC7A74"/>
    <w:rsid w:val="0DAE986D"/>
    <w:rsid w:val="0DAF5488"/>
    <w:rsid w:val="0DB0CA97"/>
    <w:rsid w:val="0DB4365B"/>
    <w:rsid w:val="0DBB0415"/>
    <w:rsid w:val="0DC233A4"/>
    <w:rsid w:val="0DC43422"/>
    <w:rsid w:val="0DC6011C"/>
    <w:rsid w:val="0DCB9518"/>
    <w:rsid w:val="0DD1611E"/>
    <w:rsid w:val="0DD45E33"/>
    <w:rsid w:val="0DD78D40"/>
    <w:rsid w:val="0DDB6109"/>
    <w:rsid w:val="0DDBF4F4"/>
    <w:rsid w:val="0DE7FC01"/>
    <w:rsid w:val="0DE840FF"/>
    <w:rsid w:val="0DEAE02B"/>
    <w:rsid w:val="0DF2F31C"/>
    <w:rsid w:val="0DF3C612"/>
    <w:rsid w:val="0DF3D0EE"/>
    <w:rsid w:val="0DF75411"/>
    <w:rsid w:val="0DF99D48"/>
    <w:rsid w:val="0E01F256"/>
    <w:rsid w:val="0E02B348"/>
    <w:rsid w:val="0E0623ED"/>
    <w:rsid w:val="0E07B157"/>
    <w:rsid w:val="0E07DD0A"/>
    <w:rsid w:val="0E0A41B5"/>
    <w:rsid w:val="0E0D3813"/>
    <w:rsid w:val="0E0FB26C"/>
    <w:rsid w:val="0E111D17"/>
    <w:rsid w:val="0E12CC46"/>
    <w:rsid w:val="0E154DD3"/>
    <w:rsid w:val="0E2040DF"/>
    <w:rsid w:val="0E259D10"/>
    <w:rsid w:val="0E2806C2"/>
    <w:rsid w:val="0E2B2257"/>
    <w:rsid w:val="0E2B5679"/>
    <w:rsid w:val="0E3192A9"/>
    <w:rsid w:val="0E332D87"/>
    <w:rsid w:val="0E33F942"/>
    <w:rsid w:val="0E34AD31"/>
    <w:rsid w:val="0E3FB66A"/>
    <w:rsid w:val="0E410A01"/>
    <w:rsid w:val="0E45BA58"/>
    <w:rsid w:val="0E50A93F"/>
    <w:rsid w:val="0E54C43C"/>
    <w:rsid w:val="0E60BA0D"/>
    <w:rsid w:val="0E612C6B"/>
    <w:rsid w:val="0E66260E"/>
    <w:rsid w:val="0E6A30B5"/>
    <w:rsid w:val="0E70AE6E"/>
    <w:rsid w:val="0E74A139"/>
    <w:rsid w:val="0E75977A"/>
    <w:rsid w:val="0E780183"/>
    <w:rsid w:val="0E827EBA"/>
    <w:rsid w:val="0E85B19C"/>
    <w:rsid w:val="0E8C327F"/>
    <w:rsid w:val="0E8DD356"/>
    <w:rsid w:val="0E9839F7"/>
    <w:rsid w:val="0E9CCEFB"/>
    <w:rsid w:val="0E9CE1A9"/>
    <w:rsid w:val="0E9E2AE8"/>
    <w:rsid w:val="0EA10A6F"/>
    <w:rsid w:val="0EA20A33"/>
    <w:rsid w:val="0EA21176"/>
    <w:rsid w:val="0EA563BD"/>
    <w:rsid w:val="0EA5C762"/>
    <w:rsid w:val="0EA7B12F"/>
    <w:rsid w:val="0EAB2AE3"/>
    <w:rsid w:val="0EB00043"/>
    <w:rsid w:val="0EB2154B"/>
    <w:rsid w:val="0EB564CC"/>
    <w:rsid w:val="0EB5ACD1"/>
    <w:rsid w:val="0EB74535"/>
    <w:rsid w:val="0EB7B6DC"/>
    <w:rsid w:val="0EB92A22"/>
    <w:rsid w:val="0EBD14EC"/>
    <w:rsid w:val="0EBDC09F"/>
    <w:rsid w:val="0EBDD72E"/>
    <w:rsid w:val="0EBFCBA0"/>
    <w:rsid w:val="0EC88514"/>
    <w:rsid w:val="0ECA1F42"/>
    <w:rsid w:val="0ECC5488"/>
    <w:rsid w:val="0ECC5737"/>
    <w:rsid w:val="0ED51A9D"/>
    <w:rsid w:val="0ED66984"/>
    <w:rsid w:val="0ED74856"/>
    <w:rsid w:val="0ED8911B"/>
    <w:rsid w:val="0EDA1D56"/>
    <w:rsid w:val="0EDA6059"/>
    <w:rsid w:val="0EDE7DBB"/>
    <w:rsid w:val="0EEEBE66"/>
    <w:rsid w:val="0EEF16F8"/>
    <w:rsid w:val="0EF1113A"/>
    <w:rsid w:val="0EF14323"/>
    <w:rsid w:val="0EF4F3B9"/>
    <w:rsid w:val="0EF5D90A"/>
    <w:rsid w:val="0EF6408D"/>
    <w:rsid w:val="0EF73606"/>
    <w:rsid w:val="0EF983C4"/>
    <w:rsid w:val="0EF988E2"/>
    <w:rsid w:val="0EFC0EEA"/>
    <w:rsid w:val="0EFF9D58"/>
    <w:rsid w:val="0F023178"/>
    <w:rsid w:val="0F04EC35"/>
    <w:rsid w:val="0F1B318F"/>
    <w:rsid w:val="0F1CB73F"/>
    <w:rsid w:val="0F1CF546"/>
    <w:rsid w:val="0F1DE3D5"/>
    <w:rsid w:val="0F1EB95F"/>
    <w:rsid w:val="0F21B31A"/>
    <w:rsid w:val="0F237013"/>
    <w:rsid w:val="0F28086A"/>
    <w:rsid w:val="0F29C9B8"/>
    <w:rsid w:val="0F302503"/>
    <w:rsid w:val="0F31D6D6"/>
    <w:rsid w:val="0F35BE41"/>
    <w:rsid w:val="0F3C9E89"/>
    <w:rsid w:val="0F3DD74E"/>
    <w:rsid w:val="0F419358"/>
    <w:rsid w:val="0F48A573"/>
    <w:rsid w:val="0F4AF440"/>
    <w:rsid w:val="0F4B1D08"/>
    <w:rsid w:val="0F4FD8E3"/>
    <w:rsid w:val="0F506C29"/>
    <w:rsid w:val="0F50E481"/>
    <w:rsid w:val="0F59F230"/>
    <w:rsid w:val="0F606597"/>
    <w:rsid w:val="0F618B26"/>
    <w:rsid w:val="0F62C3C9"/>
    <w:rsid w:val="0F642153"/>
    <w:rsid w:val="0F6536FD"/>
    <w:rsid w:val="0F657FBE"/>
    <w:rsid w:val="0F65B96E"/>
    <w:rsid w:val="0F6A3DAC"/>
    <w:rsid w:val="0F6B9487"/>
    <w:rsid w:val="0F6C031C"/>
    <w:rsid w:val="0F6DEB12"/>
    <w:rsid w:val="0F6F91E5"/>
    <w:rsid w:val="0F74EB0E"/>
    <w:rsid w:val="0F79A844"/>
    <w:rsid w:val="0F7C1546"/>
    <w:rsid w:val="0F7F14EB"/>
    <w:rsid w:val="0F820966"/>
    <w:rsid w:val="0F842755"/>
    <w:rsid w:val="0F86F131"/>
    <w:rsid w:val="0F86FA49"/>
    <w:rsid w:val="0F87CE6C"/>
    <w:rsid w:val="0F887163"/>
    <w:rsid w:val="0F8BCC0B"/>
    <w:rsid w:val="0F971275"/>
    <w:rsid w:val="0F9A2893"/>
    <w:rsid w:val="0F9B4861"/>
    <w:rsid w:val="0F9C0C17"/>
    <w:rsid w:val="0FAA6D69"/>
    <w:rsid w:val="0FABF281"/>
    <w:rsid w:val="0FAC4A97"/>
    <w:rsid w:val="0FADD3DB"/>
    <w:rsid w:val="0FB57855"/>
    <w:rsid w:val="0FBD1E3B"/>
    <w:rsid w:val="0FC5DC1F"/>
    <w:rsid w:val="0FCB29E3"/>
    <w:rsid w:val="0FCF312D"/>
    <w:rsid w:val="0FD2CF4A"/>
    <w:rsid w:val="0FD5DF0F"/>
    <w:rsid w:val="0FDB0B70"/>
    <w:rsid w:val="0FDD3540"/>
    <w:rsid w:val="0FE8CD0E"/>
    <w:rsid w:val="0FE9A821"/>
    <w:rsid w:val="0FEF2848"/>
    <w:rsid w:val="0FF2F709"/>
    <w:rsid w:val="0FF33520"/>
    <w:rsid w:val="0FF781DC"/>
    <w:rsid w:val="0FF9B947"/>
    <w:rsid w:val="0FFAAFD8"/>
    <w:rsid w:val="100395D9"/>
    <w:rsid w:val="1004BF29"/>
    <w:rsid w:val="1008835A"/>
    <w:rsid w:val="1008C0A5"/>
    <w:rsid w:val="100C5DD1"/>
    <w:rsid w:val="10105C6A"/>
    <w:rsid w:val="10140682"/>
    <w:rsid w:val="101872D2"/>
    <w:rsid w:val="101921E3"/>
    <w:rsid w:val="1019A7C0"/>
    <w:rsid w:val="101B464F"/>
    <w:rsid w:val="101E4BB7"/>
    <w:rsid w:val="101F73B8"/>
    <w:rsid w:val="1022DB85"/>
    <w:rsid w:val="102320A4"/>
    <w:rsid w:val="10291CE0"/>
    <w:rsid w:val="1029D6EF"/>
    <w:rsid w:val="102E4064"/>
    <w:rsid w:val="102F714F"/>
    <w:rsid w:val="102FEF58"/>
    <w:rsid w:val="1030D47B"/>
    <w:rsid w:val="1031DBDB"/>
    <w:rsid w:val="10353459"/>
    <w:rsid w:val="1036E869"/>
    <w:rsid w:val="10434B9E"/>
    <w:rsid w:val="104441DB"/>
    <w:rsid w:val="10448FB9"/>
    <w:rsid w:val="1045E837"/>
    <w:rsid w:val="10496ED0"/>
    <w:rsid w:val="104CB36D"/>
    <w:rsid w:val="104D3788"/>
    <w:rsid w:val="105495DF"/>
    <w:rsid w:val="105A0ADC"/>
    <w:rsid w:val="105CD023"/>
    <w:rsid w:val="105DE02B"/>
    <w:rsid w:val="10691D88"/>
    <w:rsid w:val="1079A6B9"/>
    <w:rsid w:val="107DDC57"/>
    <w:rsid w:val="108162A8"/>
    <w:rsid w:val="10818689"/>
    <w:rsid w:val="10856930"/>
    <w:rsid w:val="10877FA8"/>
    <w:rsid w:val="108CD2F3"/>
    <w:rsid w:val="108FE9CF"/>
    <w:rsid w:val="10935763"/>
    <w:rsid w:val="10993AA3"/>
    <w:rsid w:val="109D5ADB"/>
    <w:rsid w:val="10A6A39E"/>
    <w:rsid w:val="10A6C049"/>
    <w:rsid w:val="10B34AC5"/>
    <w:rsid w:val="10B42EAB"/>
    <w:rsid w:val="10B5AAD8"/>
    <w:rsid w:val="10C490BF"/>
    <w:rsid w:val="10C5577D"/>
    <w:rsid w:val="10C709BD"/>
    <w:rsid w:val="10D17AAD"/>
    <w:rsid w:val="10DA7CDB"/>
    <w:rsid w:val="10DE5D4D"/>
    <w:rsid w:val="10DF8ABA"/>
    <w:rsid w:val="10E02347"/>
    <w:rsid w:val="10E53419"/>
    <w:rsid w:val="10E79C41"/>
    <w:rsid w:val="10E81992"/>
    <w:rsid w:val="10E9CFB1"/>
    <w:rsid w:val="10EB2FD6"/>
    <w:rsid w:val="10F21ABD"/>
    <w:rsid w:val="10F305CA"/>
    <w:rsid w:val="10F39BD5"/>
    <w:rsid w:val="10F4A10A"/>
    <w:rsid w:val="10F53E9E"/>
    <w:rsid w:val="10FA6E09"/>
    <w:rsid w:val="1101A830"/>
    <w:rsid w:val="1107CA53"/>
    <w:rsid w:val="110910E9"/>
    <w:rsid w:val="11097502"/>
    <w:rsid w:val="110B6EBA"/>
    <w:rsid w:val="110D184F"/>
    <w:rsid w:val="1111426E"/>
    <w:rsid w:val="11122154"/>
    <w:rsid w:val="111A5849"/>
    <w:rsid w:val="111A7BD8"/>
    <w:rsid w:val="111BA51A"/>
    <w:rsid w:val="111CC20D"/>
    <w:rsid w:val="111EC5D2"/>
    <w:rsid w:val="1120130E"/>
    <w:rsid w:val="1122D588"/>
    <w:rsid w:val="11234FA3"/>
    <w:rsid w:val="1124C5E9"/>
    <w:rsid w:val="112AC2EC"/>
    <w:rsid w:val="112B1FFA"/>
    <w:rsid w:val="113280E9"/>
    <w:rsid w:val="11345459"/>
    <w:rsid w:val="113A7104"/>
    <w:rsid w:val="113DA539"/>
    <w:rsid w:val="114084C7"/>
    <w:rsid w:val="11465833"/>
    <w:rsid w:val="1148B26A"/>
    <w:rsid w:val="114B0CF2"/>
    <w:rsid w:val="114C22B5"/>
    <w:rsid w:val="114ED7A9"/>
    <w:rsid w:val="114F22F9"/>
    <w:rsid w:val="11540F9A"/>
    <w:rsid w:val="115540A6"/>
    <w:rsid w:val="115C0AD5"/>
    <w:rsid w:val="1162592D"/>
    <w:rsid w:val="1162922A"/>
    <w:rsid w:val="1169E662"/>
    <w:rsid w:val="116A7E26"/>
    <w:rsid w:val="116C6C9E"/>
    <w:rsid w:val="116E240B"/>
    <w:rsid w:val="116EBECF"/>
    <w:rsid w:val="11716067"/>
    <w:rsid w:val="1172C478"/>
    <w:rsid w:val="11775407"/>
    <w:rsid w:val="11775F6E"/>
    <w:rsid w:val="117DC8CA"/>
    <w:rsid w:val="117F47D6"/>
    <w:rsid w:val="1180A32D"/>
    <w:rsid w:val="1185736E"/>
    <w:rsid w:val="11888EF7"/>
    <w:rsid w:val="1189040C"/>
    <w:rsid w:val="118B41AD"/>
    <w:rsid w:val="11912FA5"/>
    <w:rsid w:val="11969B74"/>
    <w:rsid w:val="11970816"/>
    <w:rsid w:val="1198C6A5"/>
    <w:rsid w:val="1199A746"/>
    <w:rsid w:val="119CFC87"/>
    <w:rsid w:val="119E3DA2"/>
    <w:rsid w:val="11A35D5A"/>
    <w:rsid w:val="11A38366"/>
    <w:rsid w:val="11A9D80D"/>
    <w:rsid w:val="11AABB95"/>
    <w:rsid w:val="11B424FB"/>
    <w:rsid w:val="11B997D0"/>
    <w:rsid w:val="11BAB576"/>
    <w:rsid w:val="11BB3E74"/>
    <w:rsid w:val="11BDB348"/>
    <w:rsid w:val="11C337AF"/>
    <w:rsid w:val="11C4EAF7"/>
    <w:rsid w:val="11C6FD49"/>
    <w:rsid w:val="11C7EBE7"/>
    <w:rsid w:val="11C97522"/>
    <w:rsid w:val="11CADC3C"/>
    <w:rsid w:val="11CB458C"/>
    <w:rsid w:val="11CC3134"/>
    <w:rsid w:val="11D2454A"/>
    <w:rsid w:val="11D2FB2F"/>
    <w:rsid w:val="11D31633"/>
    <w:rsid w:val="11D3CBD0"/>
    <w:rsid w:val="11D83D86"/>
    <w:rsid w:val="11DBDAB3"/>
    <w:rsid w:val="11DD3B60"/>
    <w:rsid w:val="11E67D49"/>
    <w:rsid w:val="11E6D028"/>
    <w:rsid w:val="11E74901"/>
    <w:rsid w:val="11E9F913"/>
    <w:rsid w:val="11EF47B0"/>
    <w:rsid w:val="11F4CA17"/>
    <w:rsid w:val="11F51424"/>
    <w:rsid w:val="11FB7220"/>
    <w:rsid w:val="1201C1FB"/>
    <w:rsid w:val="12080471"/>
    <w:rsid w:val="120BCFB9"/>
    <w:rsid w:val="12151622"/>
    <w:rsid w:val="122151ED"/>
    <w:rsid w:val="122478FF"/>
    <w:rsid w:val="122AC290"/>
    <w:rsid w:val="12318FB1"/>
    <w:rsid w:val="12325C95"/>
    <w:rsid w:val="1234D34F"/>
    <w:rsid w:val="1239DCCA"/>
    <w:rsid w:val="123A704E"/>
    <w:rsid w:val="123F7FCB"/>
    <w:rsid w:val="1246AE75"/>
    <w:rsid w:val="124722D0"/>
    <w:rsid w:val="12477611"/>
    <w:rsid w:val="125032A4"/>
    <w:rsid w:val="1251DCD9"/>
    <w:rsid w:val="12524CB4"/>
    <w:rsid w:val="12532A44"/>
    <w:rsid w:val="125377B5"/>
    <w:rsid w:val="1253CA37"/>
    <w:rsid w:val="1257EB33"/>
    <w:rsid w:val="1258A633"/>
    <w:rsid w:val="125DB700"/>
    <w:rsid w:val="126317CC"/>
    <w:rsid w:val="12650534"/>
    <w:rsid w:val="126C30E9"/>
    <w:rsid w:val="126DE21A"/>
    <w:rsid w:val="126F2504"/>
    <w:rsid w:val="126FD5A8"/>
    <w:rsid w:val="12724FEB"/>
    <w:rsid w:val="1275C885"/>
    <w:rsid w:val="12772B4A"/>
    <w:rsid w:val="1278C762"/>
    <w:rsid w:val="12790150"/>
    <w:rsid w:val="127918E1"/>
    <w:rsid w:val="127C1ADF"/>
    <w:rsid w:val="127C441B"/>
    <w:rsid w:val="127EFF40"/>
    <w:rsid w:val="1282E076"/>
    <w:rsid w:val="12876998"/>
    <w:rsid w:val="128822E0"/>
    <w:rsid w:val="128D2F78"/>
    <w:rsid w:val="128DAFB2"/>
    <w:rsid w:val="129562FE"/>
    <w:rsid w:val="1299B2AD"/>
    <w:rsid w:val="129DABA1"/>
    <w:rsid w:val="12B39B87"/>
    <w:rsid w:val="12B6FDC2"/>
    <w:rsid w:val="12B70956"/>
    <w:rsid w:val="12C61517"/>
    <w:rsid w:val="12CBFB1A"/>
    <w:rsid w:val="12CCC03E"/>
    <w:rsid w:val="12CE7B35"/>
    <w:rsid w:val="12D0386E"/>
    <w:rsid w:val="12D3DA5E"/>
    <w:rsid w:val="12DC8D5D"/>
    <w:rsid w:val="12E71C9E"/>
    <w:rsid w:val="12EE1C8E"/>
    <w:rsid w:val="12EFAEF4"/>
    <w:rsid w:val="12F37214"/>
    <w:rsid w:val="12F6FF44"/>
    <w:rsid w:val="12F70385"/>
    <w:rsid w:val="12FE9F9C"/>
    <w:rsid w:val="1300B01C"/>
    <w:rsid w:val="13017A6B"/>
    <w:rsid w:val="13022BFE"/>
    <w:rsid w:val="13044C68"/>
    <w:rsid w:val="1305184E"/>
    <w:rsid w:val="1307176C"/>
    <w:rsid w:val="1307BFD7"/>
    <w:rsid w:val="1307C227"/>
    <w:rsid w:val="130803E1"/>
    <w:rsid w:val="1308F388"/>
    <w:rsid w:val="130AC9C0"/>
    <w:rsid w:val="130EEBDA"/>
    <w:rsid w:val="13116EB0"/>
    <w:rsid w:val="131CC034"/>
    <w:rsid w:val="131D65A0"/>
    <w:rsid w:val="131DAC9B"/>
    <w:rsid w:val="1328C660"/>
    <w:rsid w:val="132A44B0"/>
    <w:rsid w:val="132D61CD"/>
    <w:rsid w:val="133516A1"/>
    <w:rsid w:val="133F646E"/>
    <w:rsid w:val="1341705E"/>
    <w:rsid w:val="1341EB17"/>
    <w:rsid w:val="134A40CE"/>
    <w:rsid w:val="134B25F3"/>
    <w:rsid w:val="134DB038"/>
    <w:rsid w:val="1353AF9D"/>
    <w:rsid w:val="1357D6E3"/>
    <w:rsid w:val="13687BA9"/>
    <w:rsid w:val="13705E81"/>
    <w:rsid w:val="1371918E"/>
    <w:rsid w:val="1372A318"/>
    <w:rsid w:val="1373FD41"/>
    <w:rsid w:val="1374552B"/>
    <w:rsid w:val="137688ED"/>
    <w:rsid w:val="1380F11A"/>
    <w:rsid w:val="1383CB4A"/>
    <w:rsid w:val="13873246"/>
    <w:rsid w:val="138E9580"/>
    <w:rsid w:val="13998602"/>
    <w:rsid w:val="139D1C3D"/>
    <w:rsid w:val="13ABB40E"/>
    <w:rsid w:val="13AC0F86"/>
    <w:rsid w:val="13AD743F"/>
    <w:rsid w:val="13BB608A"/>
    <w:rsid w:val="13BBDF61"/>
    <w:rsid w:val="13C433D7"/>
    <w:rsid w:val="13CEA59F"/>
    <w:rsid w:val="13DCFC15"/>
    <w:rsid w:val="13E1566C"/>
    <w:rsid w:val="13E61BE8"/>
    <w:rsid w:val="13EA6638"/>
    <w:rsid w:val="13EB3775"/>
    <w:rsid w:val="13EB5D14"/>
    <w:rsid w:val="13EE6FFD"/>
    <w:rsid w:val="13F0A543"/>
    <w:rsid w:val="13F0E4C4"/>
    <w:rsid w:val="13F34FE4"/>
    <w:rsid w:val="14000AD8"/>
    <w:rsid w:val="14072FB1"/>
    <w:rsid w:val="140B2EA5"/>
    <w:rsid w:val="14128E3C"/>
    <w:rsid w:val="1414FBA4"/>
    <w:rsid w:val="1419B274"/>
    <w:rsid w:val="1419E48E"/>
    <w:rsid w:val="141B2A9E"/>
    <w:rsid w:val="141CAC0F"/>
    <w:rsid w:val="141FB92D"/>
    <w:rsid w:val="14203CD5"/>
    <w:rsid w:val="14207F30"/>
    <w:rsid w:val="1423BAA6"/>
    <w:rsid w:val="142B9DFA"/>
    <w:rsid w:val="142D6E53"/>
    <w:rsid w:val="143035B1"/>
    <w:rsid w:val="143171FF"/>
    <w:rsid w:val="143396D0"/>
    <w:rsid w:val="14372CB3"/>
    <w:rsid w:val="143E1CE0"/>
    <w:rsid w:val="143EC7BA"/>
    <w:rsid w:val="1441CAF4"/>
    <w:rsid w:val="14449372"/>
    <w:rsid w:val="14449CD7"/>
    <w:rsid w:val="14454754"/>
    <w:rsid w:val="1445C938"/>
    <w:rsid w:val="14479144"/>
    <w:rsid w:val="14486E69"/>
    <w:rsid w:val="144E389B"/>
    <w:rsid w:val="1458D3D2"/>
    <w:rsid w:val="14592337"/>
    <w:rsid w:val="1459951D"/>
    <w:rsid w:val="145B323A"/>
    <w:rsid w:val="1460FD6B"/>
    <w:rsid w:val="146A3D2A"/>
    <w:rsid w:val="146AFD90"/>
    <w:rsid w:val="146B62D0"/>
    <w:rsid w:val="147272B7"/>
    <w:rsid w:val="147C383B"/>
    <w:rsid w:val="147E580B"/>
    <w:rsid w:val="1480E8CB"/>
    <w:rsid w:val="1487EC57"/>
    <w:rsid w:val="148A56F8"/>
    <w:rsid w:val="148BEC9C"/>
    <w:rsid w:val="14952558"/>
    <w:rsid w:val="14991342"/>
    <w:rsid w:val="14A0E6BF"/>
    <w:rsid w:val="14A1CAE4"/>
    <w:rsid w:val="14A3A48D"/>
    <w:rsid w:val="14A4258F"/>
    <w:rsid w:val="14A9A022"/>
    <w:rsid w:val="14AC9A6C"/>
    <w:rsid w:val="14ADBB5A"/>
    <w:rsid w:val="14AF0FD3"/>
    <w:rsid w:val="14BBBD8F"/>
    <w:rsid w:val="14BD7D4E"/>
    <w:rsid w:val="14C1234B"/>
    <w:rsid w:val="14CD85B2"/>
    <w:rsid w:val="14CDD8AB"/>
    <w:rsid w:val="14CEDFB2"/>
    <w:rsid w:val="14D0CF35"/>
    <w:rsid w:val="14D7CAA4"/>
    <w:rsid w:val="14D8F7FF"/>
    <w:rsid w:val="14DC36BE"/>
    <w:rsid w:val="14E229C9"/>
    <w:rsid w:val="14E3A8B4"/>
    <w:rsid w:val="14E60273"/>
    <w:rsid w:val="14F0D3DD"/>
    <w:rsid w:val="14F32E0B"/>
    <w:rsid w:val="14FD5DE9"/>
    <w:rsid w:val="1500CB80"/>
    <w:rsid w:val="150209C0"/>
    <w:rsid w:val="150FB947"/>
    <w:rsid w:val="1510E65F"/>
    <w:rsid w:val="15162BFF"/>
    <w:rsid w:val="15172663"/>
    <w:rsid w:val="15177E90"/>
    <w:rsid w:val="151D18FD"/>
    <w:rsid w:val="15205491"/>
    <w:rsid w:val="1527ACB9"/>
    <w:rsid w:val="152A44FC"/>
    <w:rsid w:val="152EDA34"/>
    <w:rsid w:val="15358215"/>
    <w:rsid w:val="1535D382"/>
    <w:rsid w:val="153B6E0B"/>
    <w:rsid w:val="153CCE43"/>
    <w:rsid w:val="1540ACF9"/>
    <w:rsid w:val="1541CBDE"/>
    <w:rsid w:val="1545363C"/>
    <w:rsid w:val="15454F8D"/>
    <w:rsid w:val="155B06D6"/>
    <w:rsid w:val="15603C15"/>
    <w:rsid w:val="1564245B"/>
    <w:rsid w:val="1564F2D6"/>
    <w:rsid w:val="15753CA6"/>
    <w:rsid w:val="15754E91"/>
    <w:rsid w:val="15759222"/>
    <w:rsid w:val="1578DC33"/>
    <w:rsid w:val="157ABEC9"/>
    <w:rsid w:val="157B5C08"/>
    <w:rsid w:val="157C25A0"/>
    <w:rsid w:val="157F44C1"/>
    <w:rsid w:val="15849809"/>
    <w:rsid w:val="158EFCF3"/>
    <w:rsid w:val="15908294"/>
    <w:rsid w:val="159C77A5"/>
    <w:rsid w:val="159CF603"/>
    <w:rsid w:val="159E6D2A"/>
    <w:rsid w:val="15A1B86D"/>
    <w:rsid w:val="15A21326"/>
    <w:rsid w:val="15A88F33"/>
    <w:rsid w:val="15AE3140"/>
    <w:rsid w:val="15B83B1D"/>
    <w:rsid w:val="15BC4AB3"/>
    <w:rsid w:val="15BC7AC0"/>
    <w:rsid w:val="15BFE689"/>
    <w:rsid w:val="15C111D8"/>
    <w:rsid w:val="15C2F6C9"/>
    <w:rsid w:val="15C523B4"/>
    <w:rsid w:val="15C5F7A8"/>
    <w:rsid w:val="15D0428B"/>
    <w:rsid w:val="15E054CD"/>
    <w:rsid w:val="15E3FAD3"/>
    <w:rsid w:val="15F53DA9"/>
    <w:rsid w:val="15F69C9F"/>
    <w:rsid w:val="15F6E198"/>
    <w:rsid w:val="15FC400F"/>
    <w:rsid w:val="15FC5338"/>
    <w:rsid w:val="1605BDE0"/>
    <w:rsid w:val="16085511"/>
    <w:rsid w:val="16100AD9"/>
    <w:rsid w:val="16113464"/>
    <w:rsid w:val="16145993"/>
    <w:rsid w:val="161D16D6"/>
    <w:rsid w:val="161E4FAC"/>
    <w:rsid w:val="161FBAD4"/>
    <w:rsid w:val="16240537"/>
    <w:rsid w:val="16279BB5"/>
    <w:rsid w:val="162896E2"/>
    <w:rsid w:val="163259FE"/>
    <w:rsid w:val="1633180C"/>
    <w:rsid w:val="16334C77"/>
    <w:rsid w:val="16335FEC"/>
    <w:rsid w:val="16386491"/>
    <w:rsid w:val="1639D2A3"/>
    <w:rsid w:val="163D660A"/>
    <w:rsid w:val="163DB3BA"/>
    <w:rsid w:val="163E6F9B"/>
    <w:rsid w:val="16423892"/>
    <w:rsid w:val="1645A66D"/>
    <w:rsid w:val="16491B46"/>
    <w:rsid w:val="16497BFD"/>
    <w:rsid w:val="1654BD6C"/>
    <w:rsid w:val="1662268E"/>
    <w:rsid w:val="16681485"/>
    <w:rsid w:val="166C8430"/>
    <w:rsid w:val="1676B86D"/>
    <w:rsid w:val="1678CA63"/>
    <w:rsid w:val="167A60FE"/>
    <w:rsid w:val="1684A877"/>
    <w:rsid w:val="16870700"/>
    <w:rsid w:val="1689CF07"/>
    <w:rsid w:val="168ECDDA"/>
    <w:rsid w:val="169442F4"/>
    <w:rsid w:val="1696F2A2"/>
    <w:rsid w:val="1698D7F0"/>
    <w:rsid w:val="16A6A3EC"/>
    <w:rsid w:val="16A7ACC6"/>
    <w:rsid w:val="16A7E9EC"/>
    <w:rsid w:val="16A7F238"/>
    <w:rsid w:val="16B1ED5F"/>
    <w:rsid w:val="16B3558B"/>
    <w:rsid w:val="16B66A9E"/>
    <w:rsid w:val="16B7BFD5"/>
    <w:rsid w:val="16B85617"/>
    <w:rsid w:val="16B96A5E"/>
    <w:rsid w:val="16C318FE"/>
    <w:rsid w:val="16C44E30"/>
    <w:rsid w:val="16C6A0ED"/>
    <w:rsid w:val="16CB37AE"/>
    <w:rsid w:val="16CCC2C7"/>
    <w:rsid w:val="16CE1697"/>
    <w:rsid w:val="16D57C86"/>
    <w:rsid w:val="16D947DA"/>
    <w:rsid w:val="16E46E4E"/>
    <w:rsid w:val="16F2F805"/>
    <w:rsid w:val="16FFC35D"/>
    <w:rsid w:val="17085170"/>
    <w:rsid w:val="170D4D61"/>
    <w:rsid w:val="171B16CE"/>
    <w:rsid w:val="171CC7B1"/>
    <w:rsid w:val="171EC148"/>
    <w:rsid w:val="1722B363"/>
    <w:rsid w:val="17244986"/>
    <w:rsid w:val="1727C678"/>
    <w:rsid w:val="173E1CA1"/>
    <w:rsid w:val="173E232E"/>
    <w:rsid w:val="1740A0AE"/>
    <w:rsid w:val="17416437"/>
    <w:rsid w:val="17416767"/>
    <w:rsid w:val="174676B1"/>
    <w:rsid w:val="17539B1A"/>
    <w:rsid w:val="1754401E"/>
    <w:rsid w:val="175946EB"/>
    <w:rsid w:val="17655778"/>
    <w:rsid w:val="17697853"/>
    <w:rsid w:val="176D8778"/>
    <w:rsid w:val="176F57D0"/>
    <w:rsid w:val="1772D2AD"/>
    <w:rsid w:val="1773CE30"/>
    <w:rsid w:val="17741D0F"/>
    <w:rsid w:val="17756D0D"/>
    <w:rsid w:val="17786ECF"/>
    <w:rsid w:val="177AF0D2"/>
    <w:rsid w:val="178218DF"/>
    <w:rsid w:val="1783607B"/>
    <w:rsid w:val="1786CF22"/>
    <w:rsid w:val="178A5231"/>
    <w:rsid w:val="1791BEC7"/>
    <w:rsid w:val="17974508"/>
    <w:rsid w:val="179B09BF"/>
    <w:rsid w:val="179FC10D"/>
    <w:rsid w:val="17A21A40"/>
    <w:rsid w:val="17AC5308"/>
    <w:rsid w:val="17B499EE"/>
    <w:rsid w:val="17B66905"/>
    <w:rsid w:val="17B8D1E5"/>
    <w:rsid w:val="17BCDDA0"/>
    <w:rsid w:val="17C02C88"/>
    <w:rsid w:val="17C5707B"/>
    <w:rsid w:val="17C997B1"/>
    <w:rsid w:val="17CB3DAF"/>
    <w:rsid w:val="17CD20FA"/>
    <w:rsid w:val="17CD77AD"/>
    <w:rsid w:val="17CDF05B"/>
    <w:rsid w:val="17CFFFAB"/>
    <w:rsid w:val="17D0CA65"/>
    <w:rsid w:val="17D6B435"/>
    <w:rsid w:val="17DBE4CA"/>
    <w:rsid w:val="17DBF828"/>
    <w:rsid w:val="17DC966F"/>
    <w:rsid w:val="17E322D5"/>
    <w:rsid w:val="17EF1C82"/>
    <w:rsid w:val="17F1B496"/>
    <w:rsid w:val="17F3B635"/>
    <w:rsid w:val="17F78146"/>
    <w:rsid w:val="17F8A5C3"/>
    <w:rsid w:val="17FCB4B0"/>
    <w:rsid w:val="180F2CC0"/>
    <w:rsid w:val="1814A6E7"/>
    <w:rsid w:val="1816A896"/>
    <w:rsid w:val="181CF8C9"/>
    <w:rsid w:val="181E3771"/>
    <w:rsid w:val="181F1BC7"/>
    <w:rsid w:val="181F4D9E"/>
    <w:rsid w:val="18202C51"/>
    <w:rsid w:val="182104BF"/>
    <w:rsid w:val="18264922"/>
    <w:rsid w:val="18316727"/>
    <w:rsid w:val="18318B5B"/>
    <w:rsid w:val="18361231"/>
    <w:rsid w:val="18396327"/>
    <w:rsid w:val="1839C9D3"/>
    <w:rsid w:val="1848ACE7"/>
    <w:rsid w:val="184A4FEE"/>
    <w:rsid w:val="184A7998"/>
    <w:rsid w:val="184F1845"/>
    <w:rsid w:val="1851FFBC"/>
    <w:rsid w:val="18532256"/>
    <w:rsid w:val="1859EF26"/>
    <w:rsid w:val="185E5F5D"/>
    <w:rsid w:val="186C474C"/>
    <w:rsid w:val="186E37AA"/>
    <w:rsid w:val="186FF7BE"/>
    <w:rsid w:val="187069E2"/>
    <w:rsid w:val="18731BF1"/>
    <w:rsid w:val="1876A572"/>
    <w:rsid w:val="187BD159"/>
    <w:rsid w:val="187C0E4B"/>
    <w:rsid w:val="1882B6F1"/>
    <w:rsid w:val="188410CA"/>
    <w:rsid w:val="18866D77"/>
    <w:rsid w:val="188A95DD"/>
    <w:rsid w:val="18912FA5"/>
    <w:rsid w:val="18952FF3"/>
    <w:rsid w:val="1896164F"/>
    <w:rsid w:val="1898A3E7"/>
    <w:rsid w:val="189B66DD"/>
    <w:rsid w:val="189FA172"/>
    <w:rsid w:val="18A169BD"/>
    <w:rsid w:val="18A35846"/>
    <w:rsid w:val="18A698AB"/>
    <w:rsid w:val="18A90E9B"/>
    <w:rsid w:val="18B6CDAE"/>
    <w:rsid w:val="18B98F82"/>
    <w:rsid w:val="18BBDC59"/>
    <w:rsid w:val="18C3F215"/>
    <w:rsid w:val="18C5944A"/>
    <w:rsid w:val="18C64315"/>
    <w:rsid w:val="18C8E7CE"/>
    <w:rsid w:val="18D2D8FA"/>
    <w:rsid w:val="18D307FB"/>
    <w:rsid w:val="18D711E5"/>
    <w:rsid w:val="18DAD0C7"/>
    <w:rsid w:val="18DDDFA1"/>
    <w:rsid w:val="18EA04F2"/>
    <w:rsid w:val="18ECFE1E"/>
    <w:rsid w:val="18F4F583"/>
    <w:rsid w:val="18FAE178"/>
    <w:rsid w:val="18FF633D"/>
    <w:rsid w:val="18FFF2EF"/>
    <w:rsid w:val="19008276"/>
    <w:rsid w:val="1905BE27"/>
    <w:rsid w:val="1905C6D3"/>
    <w:rsid w:val="190674B7"/>
    <w:rsid w:val="190B8EC2"/>
    <w:rsid w:val="190C7243"/>
    <w:rsid w:val="190E8088"/>
    <w:rsid w:val="19102877"/>
    <w:rsid w:val="19164DA2"/>
    <w:rsid w:val="19192BD2"/>
    <w:rsid w:val="191B2B41"/>
    <w:rsid w:val="19256B41"/>
    <w:rsid w:val="19273271"/>
    <w:rsid w:val="19290120"/>
    <w:rsid w:val="192C2662"/>
    <w:rsid w:val="192E7A98"/>
    <w:rsid w:val="19335F2A"/>
    <w:rsid w:val="193679D8"/>
    <w:rsid w:val="19377A17"/>
    <w:rsid w:val="193B0323"/>
    <w:rsid w:val="1944E969"/>
    <w:rsid w:val="194B8B12"/>
    <w:rsid w:val="194F4BE0"/>
    <w:rsid w:val="19542CFE"/>
    <w:rsid w:val="19549965"/>
    <w:rsid w:val="195A789E"/>
    <w:rsid w:val="195FEBE9"/>
    <w:rsid w:val="197565A5"/>
    <w:rsid w:val="197685CE"/>
    <w:rsid w:val="19786352"/>
    <w:rsid w:val="197ACE82"/>
    <w:rsid w:val="197AD5BF"/>
    <w:rsid w:val="197DA241"/>
    <w:rsid w:val="19826062"/>
    <w:rsid w:val="19885042"/>
    <w:rsid w:val="198E7CE6"/>
    <w:rsid w:val="1994CE79"/>
    <w:rsid w:val="19987FF2"/>
    <w:rsid w:val="1998E1CB"/>
    <w:rsid w:val="199B72CF"/>
    <w:rsid w:val="199D4600"/>
    <w:rsid w:val="19AD53F0"/>
    <w:rsid w:val="19B42965"/>
    <w:rsid w:val="19B9978B"/>
    <w:rsid w:val="19BED6C9"/>
    <w:rsid w:val="19BF62B5"/>
    <w:rsid w:val="19C10D32"/>
    <w:rsid w:val="19C3C104"/>
    <w:rsid w:val="19C657F0"/>
    <w:rsid w:val="19CBF99E"/>
    <w:rsid w:val="19CC5BB2"/>
    <w:rsid w:val="19D30C30"/>
    <w:rsid w:val="19DC27A9"/>
    <w:rsid w:val="19DD0D1F"/>
    <w:rsid w:val="19E535F3"/>
    <w:rsid w:val="19E8C16E"/>
    <w:rsid w:val="19EB2458"/>
    <w:rsid w:val="19EC2483"/>
    <w:rsid w:val="19EFE653"/>
    <w:rsid w:val="19F53B7B"/>
    <w:rsid w:val="19F56DA2"/>
    <w:rsid w:val="19F624D9"/>
    <w:rsid w:val="19FC8F2F"/>
    <w:rsid w:val="19FE33B0"/>
    <w:rsid w:val="1A04F773"/>
    <w:rsid w:val="1A07A193"/>
    <w:rsid w:val="1A139957"/>
    <w:rsid w:val="1A13AD19"/>
    <w:rsid w:val="1A1A5347"/>
    <w:rsid w:val="1A1FF31D"/>
    <w:rsid w:val="1A20E804"/>
    <w:rsid w:val="1A2D0EA7"/>
    <w:rsid w:val="1A322731"/>
    <w:rsid w:val="1A3608A8"/>
    <w:rsid w:val="1A378B1C"/>
    <w:rsid w:val="1A3BD63D"/>
    <w:rsid w:val="1A3DF79E"/>
    <w:rsid w:val="1A3FDB37"/>
    <w:rsid w:val="1A43C999"/>
    <w:rsid w:val="1A44FA95"/>
    <w:rsid w:val="1A453460"/>
    <w:rsid w:val="1A465F32"/>
    <w:rsid w:val="1A4741A0"/>
    <w:rsid w:val="1A484D98"/>
    <w:rsid w:val="1A48EB26"/>
    <w:rsid w:val="1A4C6135"/>
    <w:rsid w:val="1A4E16CD"/>
    <w:rsid w:val="1A51DB4E"/>
    <w:rsid w:val="1A520056"/>
    <w:rsid w:val="1A525B41"/>
    <w:rsid w:val="1A539087"/>
    <w:rsid w:val="1A561650"/>
    <w:rsid w:val="1A590617"/>
    <w:rsid w:val="1A63148C"/>
    <w:rsid w:val="1A66770E"/>
    <w:rsid w:val="1A6B73D7"/>
    <w:rsid w:val="1A6CDB68"/>
    <w:rsid w:val="1A6D7997"/>
    <w:rsid w:val="1A6E2047"/>
    <w:rsid w:val="1A70BB36"/>
    <w:rsid w:val="1A73A227"/>
    <w:rsid w:val="1A790E54"/>
    <w:rsid w:val="1A810B81"/>
    <w:rsid w:val="1A86DAB6"/>
    <w:rsid w:val="1A8749E7"/>
    <w:rsid w:val="1A8A7702"/>
    <w:rsid w:val="1A8BB05D"/>
    <w:rsid w:val="1A8BDD33"/>
    <w:rsid w:val="1A8F7175"/>
    <w:rsid w:val="1A9196C6"/>
    <w:rsid w:val="1A92335F"/>
    <w:rsid w:val="1A92D0EC"/>
    <w:rsid w:val="1A92E378"/>
    <w:rsid w:val="1A93D450"/>
    <w:rsid w:val="1A9652F5"/>
    <w:rsid w:val="1A9A76DC"/>
    <w:rsid w:val="1A9EC44B"/>
    <w:rsid w:val="1A9F6D96"/>
    <w:rsid w:val="1AA2979F"/>
    <w:rsid w:val="1AA4B53A"/>
    <w:rsid w:val="1AA6DD8D"/>
    <w:rsid w:val="1AA7BA14"/>
    <w:rsid w:val="1AAECA2D"/>
    <w:rsid w:val="1AB089AB"/>
    <w:rsid w:val="1AB2F8CE"/>
    <w:rsid w:val="1AB365F3"/>
    <w:rsid w:val="1AB5B017"/>
    <w:rsid w:val="1AB674D2"/>
    <w:rsid w:val="1AC78041"/>
    <w:rsid w:val="1ACB6FB1"/>
    <w:rsid w:val="1ACBAE02"/>
    <w:rsid w:val="1ACBE0EC"/>
    <w:rsid w:val="1ACDF231"/>
    <w:rsid w:val="1ACECC26"/>
    <w:rsid w:val="1AD2FD09"/>
    <w:rsid w:val="1AD391D7"/>
    <w:rsid w:val="1AD6CE6A"/>
    <w:rsid w:val="1AD76725"/>
    <w:rsid w:val="1AD7E6B4"/>
    <w:rsid w:val="1ADD74FD"/>
    <w:rsid w:val="1AE0AA0F"/>
    <w:rsid w:val="1AE15B2D"/>
    <w:rsid w:val="1AEC6E8F"/>
    <w:rsid w:val="1AED5CB4"/>
    <w:rsid w:val="1AF3C2AF"/>
    <w:rsid w:val="1AF4587F"/>
    <w:rsid w:val="1AFC5F9D"/>
    <w:rsid w:val="1AFCF4CF"/>
    <w:rsid w:val="1B05ECFC"/>
    <w:rsid w:val="1B0BBEE8"/>
    <w:rsid w:val="1B1A0A4B"/>
    <w:rsid w:val="1B1AC669"/>
    <w:rsid w:val="1B1B3FB8"/>
    <w:rsid w:val="1B1BCE32"/>
    <w:rsid w:val="1B2131F4"/>
    <w:rsid w:val="1B22B423"/>
    <w:rsid w:val="1B2A453B"/>
    <w:rsid w:val="1B3405E4"/>
    <w:rsid w:val="1B38BF75"/>
    <w:rsid w:val="1B38E21D"/>
    <w:rsid w:val="1B40C0C6"/>
    <w:rsid w:val="1B424CF1"/>
    <w:rsid w:val="1B444688"/>
    <w:rsid w:val="1B456CE4"/>
    <w:rsid w:val="1B489C41"/>
    <w:rsid w:val="1B4A4145"/>
    <w:rsid w:val="1B4A4340"/>
    <w:rsid w:val="1B4B3729"/>
    <w:rsid w:val="1B4BA4EE"/>
    <w:rsid w:val="1B4DA5C3"/>
    <w:rsid w:val="1B4E1A8A"/>
    <w:rsid w:val="1B5034B1"/>
    <w:rsid w:val="1B54A273"/>
    <w:rsid w:val="1B5D7748"/>
    <w:rsid w:val="1B5E74D2"/>
    <w:rsid w:val="1B622AE1"/>
    <w:rsid w:val="1B63BF67"/>
    <w:rsid w:val="1B672ABE"/>
    <w:rsid w:val="1B689722"/>
    <w:rsid w:val="1B699AEC"/>
    <w:rsid w:val="1B71C536"/>
    <w:rsid w:val="1B7363AD"/>
    <w:rsid w:val="1B7A1E0D"/>
    <w:rsid w:val="1B7A3B47"/>
    <w:rsid w:val="1B7ABAEC"/>
    <w:rsid w:val="1B7D1E5C"/>
    <w:rsid w:val="1B7FB9A6"/>
    <w:rsid w:val="1B8265EA"/>
    <w:rsid w:val="1B83FFC0"/>
    <w:rsid w:val="1B869B53"/>
    <w:rsid w:val="1B887D86"/>
    <w:rsid w:val="1B88ABDA"/>
    <w:rsid w:val="1B8EA505"/>
    <w:rsid w:val="1B960375"/>
    <w:rsid w:val="1B998655"/>
    <w:rsid w:val="1B9C20B7"/>
    <w:rsid w:val="1B9CFECA"/>
    <w:rsid w:val="1B9FA0DD"/>
    <w:rsid w:val="1BA43A2E"/>
    <w:rsid w:val="1BA5F275"/>
    <w:rsid w:val="1BADE30A"/>
    <w:rsid w:val="1BB2706C"/>
    <w:rsid w:val="1BB94940"/>
    <w:rsid w:val="1BBF70DC"/>
    <w:rsid w:val="1BBFC324"/>
    <w:rsid w:val="1BC3F0DB"/>
    <w:rsid w:val="1BC5C998"/>
    <w:rsid w:val="1BD35F3F"/>
    <w:rsid w:val="1BD5E662"/>
    <w:rsid w:val="1BDAEB18"/>
    <w:rsid w:val="1BDBC7C5"/>
    <w:rsid w:val="1BDFEE34"/>
    <w:rsid w:val="1BE00B53"/>
    <w:rsid w:val="1BE562B0"/>
    <w:rsid w:val="1BE70C5D"/>
    <w:rsid w:val="1BE92294"/>
    <w:rsid w:val="1BEB0BA2"/>
    <w:rsid w:val="1BECACF2"/>
    <w:rsid w:val="1BEF13C5"/>
    <w:rsid w:val="1BF535CD"/>
    <w:rsid w:val="1BF6CDC9"/>
    <w:rsid w:val="1BF7B46F"/>
    <w:rsid w:val="1BFA49EE"/>
    <w:rsid w:val="1BFE1AAE"/>
    <w:rsid w:val="1BFF9934"/>
    <w:rsid w:val="1C08F8F6"/>
    <w:rsid w:val="1C0BF71C"/>
    <w:rsid w:val="1C10DCD8"/>
    <w:rsid w:val="1C12912F"/>
    <w:rsid w:val="1C12A126"/>
    <w:rsid w:val="1C137908"/>
    <w:rsid w:val="1C17EE32"/>
    <w:rsid w:val="1C199A81"/>
    <w:rsid w:val="1C1C9ADC"/>
    <w:rsid w:val="1C206022"/>
    <w:rsid w:val="1C270DA6"/>
    <w:rsid w:val="1C2D3AEF"/>
    <w:rsid w:val="1C34EF41"/>
    <w:rsid w:val="1C3779C9"/>
    <w:rsid w:val="1C3B7016"/>
    <w:rsid w:val="1C3E0C41"/>
    <w:rsid w:val="1C3E16EE"/>
    <w:rsid w:val="1C420D10"/>
    <w:rsid w:val="1C447298"/>
    <w:rsid w:val="1C509C39"/>
    <w:rsid w:val="1C52A55A"/>
    <w:rsid w:val="1C66B15E"/>
    <w:rsid w:val="1C6BDFBB"/>
    <w:rsid w:val="1C6DB397"/>
    <w:rsid w:val="1C6F0B7B"/>
    <w:rsid w:val="1C6F66E0"/>
    <w:rsid w:val="1C6FA58B"/>
    <w:rsid w:val="1C720954"/>
    <w:rsid w:val="1C8792A4"/>
    <w:rsid w:val="1C906CDA"/>
    <w:rsid w:val="1C92F51D"/>
    <w:rsid w:val="1C9514AE"/>
    <w:rsid w:val="1C96A5C8"/>
    <w:rsid w:val="1C9B1FDA"/>
    <w:rsid w:val="1C9B6E20"/>
    <w:rsid w:val="1CA4A3FD"/>
    <w:rsid w:val="1CA70E2F"/>
    <w:rsid w:val="1CA8C79B"/>
    <w:rsid w:val="1CA90B49"/>
    <w:rsid w:val="1CACC057"/>
    <w:rsid w:val="1CAE8F19"/>
    <w:rsid w:val="1CB90874"/>
    <w:rsid w:val="1CBA5FC1"/>
    <w:rsid w:val="1CBCEA42"/>
    <w:rsid w:val="1CBDC18F"/>
    <w:rsid w:val="1CBF9B7B"/>
    <w:rsid w:val="1CC76E68"/>
    <w:rsid w:val="1CC9030C"/>
    <w:rsid w:val="1CC95F1D"/>
    <w:rsid w:val="1CD0E5B9"/>
    <w:rsid w:val="1CD45453"/>
    <w:rsid w:val="1CD53103"/>
    <w:rsid w:val="1CD5D7C2"/>
    <w:rsid w:val="1CD6D733"/>
    <w:rsid w:val="1CD98722"/>
    <w:rsid w:val="1CDD7DBD"/>
    <w:rsid w:val="1CE7B080"/>
    <w:rsid w:val="1CE87413"/>
    <w:rsid w:val="1CE9908C"/>
    <w:rsid w:val="1CEAD62D"/>
    <w:rsid w:val="1CECAF72"/>
    <w:rsid w:val="1CF2AC25"/>
    <w:rsid w:val="1D042761"/>
    <w:rsid w:val="1D121F8E"/>
    <w:rsid w:val="1D175DCB"/>
    <w:rsid w:val="1D21A1BC"/>
    <w:rsid w:val="1D21C116"/>
    <w:rsid w:val="1D313F8C"/>
    <w:rsid w:val="1D3844D6"/>
    <w:rsid w:val="1D3D6EB3"/>
    <w:rsid w:val="1D4049A8"/>
    <w:rsid w:val="1D478305"/>
    <w:rsid w:val="1D47A58B"/>
    <w:rsid w:val="1D499B0B"/>
    <w:rsid w:val="1D49C60B"/>
    <w:rsid w:val="1D4EB053"/>
    <w:rsid w:val="1D53FFAE"/>
    <w:rsid w:val="1D552416"/>
    <w:rsid w:val="1D565A41"/>
    <w:rsid w:val="1D568D05"/>
    <w:rsid w:val="1D56F39E"/>
    <w:rsid w:val="1D5817E5"/>
    <w:rsid w:val="1D5ABB29"/>
    <w:rsid w:val="1D62554B"/>
    <w:rsid w:val="1D639B13"/>
    <w:rsid w:val="1D6888F3"/>
    <w:rsid w:val="1D6FA2E6"/>
    <w:rsid w:val="1D739A6E"/>
    <w:rsid w:val="1D780EE4"/>
    <w:rsid w:val="1D79A779"/>
    <w:rsid w:val="1D7C1AFC"/>
    <w:rsid w:val="1D7DEDEF"/>
    <w:rsid w:val="1D82B040"/>
    <w:rsid w:val="1D86944F"/>
    <w:rsid w:val="1D876B9A"/>
    <w:rsid w:val="1D8C93EC"/>
    <w:rsid w:val="1D9037B1"/>
    <w:rsid w:val="1D912C7C"/>
    <w:rsid w:val="1D94F90B"/>
    <w:rsid w:val="1D9B7D45"/>
    <w:rsid w:val="1D9C9FA2"/>
    <w:rsid w:val="1DA37A7C"/>
    <w:rsid w:val="1DA705E0"/>
    <w:rsid w:val="1DAC66FD"/>
    <w:rsid w:val="1DB3C131"/>
    <w:rsid w:val="1DB63682"/>
    <w:rsid w:val="1DBD180F"/>
    <w:rsid w:val="1DBD5117"/>
    <w:rsid w:val="1DC2FD80"/>
    <w:rsid w:val="1DC32160"/>
    <w:rsid w:val="1DC3E8B9"/>
    <w:rsid w:val="1DC5BB95"/>
    <w:rsid w:val="1DC7E2CE"/>
    <w:rsid w:val="1DC7F094"/>
    <w:rsid w:val="1DCCDB24"/>
    <w:rsid w:val="1DCEAC45"/>
    <w:rsid w:val="1DD248F9"/>
    <w:rsid w:val="1DD305AF"/>
    <w:rsid w:val="1DD3AECF"/>
    <w:rsid w:val="1DD768BB"/>
    <w:rsid w:val="1DD8B332"/>
    <w:rsid w:val="1DE0F437"/>
    <w:rsid w:val="1DECE2D7"/>
    <w:rsid w:val="1DF1098C"/>
    <w:rsid w:val="1DF817DD"/>
    <w:rsid w:val="1DF8A1C9"/>
    <w:rsid w:val="1DFE4884"/>
    <w:rsid w:val="1E0684F7"/>
    <w:rsid w:val="1E0D6E31"/>
    <w:rsid w:val="1E0DBA80"/>
    <w:rsid w:val="1E101C79"/>
    <w:rsid w:val="1E11DBDD"/>
    <w:rsid w:val="1E139E72"/>
    <w:rsid w:val="1E164D51"/>
    <w:rsid w:val="1E28EB08"/>
    <w:rsid w:val="1E2B4232"/>
    <w:rsid w:val="1E2B67AD"/>
    <w:rsid w:val="1E320459"/>
    <w:rsid w:val="1E35F549"/>
    <w:rsid w:val="1E41884E"/>
    <w:rsid w:val="1E466EBE"/>
    <w:rsid w:val="1E587B00"/>
    <w:rsid w:val="1E5950D9"/>
    <w:rsid w:val="1E5A2D02"/>
    <w:rsid w:val="1E610613"/>
    <w:rsid w:val="1E613EC6"/>
    <w:rsid w:val="1E6172CD"/>
    <w:rsid w:val="1E6586E4"/>
    <w:rsid w:val="1E6C1D62"/>
    <w:rsid w:val="1E71254E"/>
    <w:rsid w:val="1E76F921"/>
    <w:rsid w:val="1E770305"/>
    <w:rsid w:val="1E7AC675"/>
    <w:rsid w:val="1E7C431B"/>
    <w:rsid w:val="1E82AD92"/>
    <w:rsid w:val="1E8419F4"/>
    <w:rsid w:val="1E8636BB"/>
    <w:rsid w:val="1E88FB69"/>
    <w:rsid w:val="1E8E0E45"/>
    <w:rsid w:val="1E94D63A"/>
    <w:rsid w:val="1E96AD17"/>
    <w:rsid w:val="1E97313F"/>
    <w:rsid w:val="1E993AC1"/>
    <w:rsid w:val="1E9C3D23"/>
    <w:rsid w:val="1E9C7E7D"/>
    <w:rsid w:val="1E9ED753"/>
    <w:rsid w:val="1EA0A906"/>
    <w:rsid w:val="1EA7B3AA"/>
    <w:rsid w:val="1EA85397"/>
    <w:rsid w:val="1EABFB63"/>
    <w:rsid w:val="1EACC1F3"/>
    <w:rsid w:val="1EAE710F"/>
    <w:rsid w:val="1EAFBBE3"/>
    <w:rsid w:val="1EB48DD6"/>
    <w:rsid w:val="1EB52D7F"/>
    <w:rsid w:val="1EC05489"/>
    <w:rsid w:val="1EC1D07B"/>
    <w:rsid w:val="1EC604F9"/>
    <w:rsid w:val="1EC605CC"/>
    <w:rsid w:val="1ECDA2A4"/>
    <w:rsid w:val="1ED1D474"/>
    <w:rsid w:val="1ED4F8E8"/>
    <w:rsid w:val="1ED668C8"/>
    <w:rsid w:val="1EDB834A"/>
    <w:rsid w:val="1EDBF3CE"/>
    <w:rsid w:val="1EDCE0B2"/>
    <w:rsid w:val="1EE19D9D"/>
    <w:rsid w:val="1EE4CA8D"/>
    <w:rsid w:val="1EE6E188"/>
    <w:rsid w:val="1EE8C7EF"/>
    <w:rsid w:val="1EE94989"/>
    <w:rsid w:val="1EEA17BC"/>
    <w:rsid w:val="1EEBEA46"/>
    <w:rsid w:val="1EEE09C8"/>
    <w:rsid w:val="1EEF298A"/>
    <w:rsid w:val="1EF1AA97"/>
    <w:rsid w:val="1EF1ACDE"/>
    <w:rsid w:val="1EF3E08E"/>
    <w:rsid w:val="1EF9283D"/>
    <w:rsid w:val="1EF98736"/>
    <w:rsid w:val="1EFBEEE9"/>
    <w:rsid w:val="1F047697"/>
    <w:rsid w:val="1F057290"/>
    <w:rsid w:val="1F078D21"/>
    <w:rsid w:val="1F07D086"/>
    <w:rsid w:val="1F0D65FD"/>
    <w:rsid w:val="1F0DFC88"/>
    <w:rsid w:val="1F10E464"/>
    <w:rsid w:val="1F12752D"/>
    <w:rsid w:val="1F14DD52"/>
    <w:rsid w:val="1F1C68AB"/>
    <w:rsid w:val="1F250123"/>
    <w:rsid w:val="1F29CB45"/>
    <w:rsid w:val="1F362686"/>
    <w:rsid w:val="1F36A1D0"/>
    <w:rsid w:val="1F3EF164"/>
    <w:rsid w:val="1F415442"/>
    <w:rsid w:val="1F47D7CF"/>
    <w:rsid w:val="1F4803BE"/>
    <w:rsid w:val="1F4AD378"/>
    <w:rsid w:val="1F4FD7FA"/>
    <w:rsid w:val="1F581ADA"/>
    <w:rsid w:val="1F588258"/>
    <w:rsid w:val="1F5E5135"/>
    <w:rsid w:val="1F5E662F"/>
    <w:rsid w:val="1F5F4A8F"/>
    <w:rsid w:val="1F6BC337"/>
    <w:rsid w:val="1F6EA046"/>
    <w:rsid w:val="1F6EBDB1"/>
    <w:rsid w:val="1F6F1601"/>
    <w:rsid w:val="1F6F1AB0"/>
    <w:rsid w:val="1F736FDC"/>
    <w:rsid w:val="1F7408D7"/>
    <w:rsid w:val="1F75A788"/>
    <w:rsid w:val="1F77C53A"/>
    <w:rsid w:val="1F7804C3"/>
    <w:rsid w:val="1F7BC153"/>
    <w:rsid w:val="1F7C2CD4"/>
    <w:rsid w:val="1F7C97A5"/>
    <w:rsid w:val="1F84D120"/>
    <w:rsid w:val="1F84F001"/>
    <w:rsid w:val="1F9963E5"/>
    <w:rsid w:val="1F9AE39B"/>
    <w:rsid w:val="1F9C103F"/>
    <w:rsid w:val="1F9C5EE7"/>
    <w:rsid w:val="1F9CD739"/>
    <w:rsid w:val="1F9EB523"/>
    <w:rsid w:val="1FA18F31"/>
    <w:rsid w:val="1FABFEC2"/>
    <w:rsid w:val="1FC04BA8"/>
    <w:rsid w:val="1FC2CBB5"/>
    <w:rsid w:val="1FC2FDA4"/>
    <w:rsid w:val="1FC557AA"/>
    <w:rsid w:val="1FC67F53"/>
    <w:rsid w:val="1FC9A788"/>
    <w:rsid w:val="1FCEF19C"/>
    <w:rsid w:val="1FD3FB4C"/>
    <w:rsid w:val="1FD49C22"/>
    <w:rsid w:val="1FD5FA31"/>
    <w:rsid w:val="1FD62846"/>
    <w:rsid w:val="1FD871A9"/>
    <w:rsid w:val="1FDD1AB9"/>
    <w:rsid w:val="1FDE1F09"/>
    <w:rsid w:val="1FE00CA1"/>
    <w:rsid w:val="1FE0C693"/>
    <w:rsid w:val="1FE12B71"/>
    <w:rsid w:val="1FE1BAE8"/>
    <w:rsid w:val="1FE63304"/>
    <w:rsid w:val="1FF0B742"/>
    <w:rsid w:val="1FF4F87E"/>
    <w:rsid w:val="1FF77FA7"/>
    <w:rsid w:val="20003F51"/>
    <w:rsid w:val="2001673D"/>
    <w:rsid w:val="200AC69D"/>
    <w:rsid w:val="200E3CEF"/>
    <w:rsid w:val="20160E95"/>
    <w:rsid w:val="20171C6A"/>
    <w:rsid w:val="201A871F"/>
    <w:rsid w:val="201B1D5D"/>
    <w:rsid w:val="20201F27"/>
    <w:rsid w:val="2022DFF1"/>
    <w:rsid w:val="2027951B"/>
    <w:rsid w:val="202A4C65"/>
    <w:rsid w:val="202E4565"/>
    <w:rsid w:val="20329AC4"/>
    <w:rsid w:val="2035B8D3"/>
    <w:rsid w:val="203F8E76"/>
    <w:rsid w:val="20437582"/>
    <w:rsid w:val="2044BED8"/>
    <w:rsid w:val="2045B2EB"/>
    <w:rsid w:val="204B7117"/>
    <w:rsid w:val="20518037"/>
    <w:rsid w:val="20539126"/>
    <w:rsid w:val="2058926A"/>
    <w:rsid w:val="205C8F6F"/>
    <w:rsid w:val="20656203"/>
    <w:rsid w:val="2066FEBD"/>
    <w:rsid w:val="206AFB56"/>
    <w:rsid w:val="206BAB41"/>
    <w:rsid w:val="206D6596"/>
    <w:rsid w:val="20711712"/>
    <w:rsid w:val="2079D55A"/>
    <w:rsid w:val="207AC47E"/>
    <w:rsid w:val="207EFEB7"/>
    <w:rsid w:val="20817991"/>
    <w:rsid w:val="20850134"/>
    <w:rsid w:val="20879982"/>
    <w:rsid w:val="208E7A33"/>
    <w:rsid w:val="20952AAD"/>
    <w:rsid w:val="209636FD"/>
    <w:rsid w:val="2096B163"/>
    <w:rsid w:val="209E8DC1"/>
    <w:rsid w:val="20A24CD4"/>
    <w:rsid w:val="20A882A3"/>
    <w:rsid w:val="20A9D684"/>
    <w:rsid w:val="20B2B91A"/>
    <w:rsid w:val="20B46773"/>
    <w:rsid w:val="20B50704"/>
    <w:rsid w:val="20B67DA5"/>
    <w:rsid w:val="20B8BAE1"/>
    <w:rsid w:val="20BD36BE"/>
    <w:rsid w:val="20CA4A4C"/>
    <w:rsid w:val="20CA5E6D"/>
    <w:rsid w:val="20CACEFB"/>
    <w:rsid w:val="20CAFD22"/>
    <w:rsid w:val="20CD7B6A"/>
    <w:rsid w:val="20CED200"/>
    <w:rsid w:val="20D18438"/>
    <w:rsid w:val="20D6034E"/>
    <w:rsid w:val="20E18799"/>
    <w:rsid w:val="20E22DD1"/>
    <w:rsid w:val="20E33910"/>
    <w:rsid w:val="20E70F69"/>
    <w:rsid w:val="20ED9377"/>
    <w:rsid w:val="20EF69D0"/>
    <w:rsid w:val="20F686C3"/>
    <w:rsid w:val="20FC4166"/>
    <w:rsid w:val="2101D65E"/>
    <w:rsid w:val="21023C12"/>
    <w:rsid w:val="2106CC96"/>
    <w:rsid w:val="210A9B5E"/>
    <w:rsid w:val="210EF459"/>
    <w:rsid w:val="21143993"/>
    <w:rsid w:val="21146C0D"/>
    <w:rsid w:val="2114BB67"/>
    <w:rsid w:val="21159794"/>
    <w:rsid w:val="211ABC31"/>
    <w:rsid w:val="211D10D1"/>
    <w:rsid w:val="21217945"/>
    <w:rsid w:val="2132DF29"/>
    <w:rsid w:val="2137B020"/>
    <w:rsid w:val="2138435F"/>
    <w:rsid w:val="213B2724"/>
    <w:rsid w:val="213C2836"/>
    <w:rsid w:val="213E35C8"/>
    <w:rsid w:val="2140E5BB"/>
    <w:rsid w:val="2144C24A"/>
    <w:rsid w:val="2147F44C"/>
    <w:rsid w:val="214973E4"/>
    <w:rsid w:val="214A35FC"/>
    <w:rsid w:val="214CB26B"/>
    <w:rsid w:val="214D85F5"/>
    <w:rsid w:val="21530275"/>
    <w:rsid w:val="21553B00"/>
    <w:rsid w:val="215D04DE"/>
    <w:rsid w:val="216035D9"/>
    <w:rsid w:val="21610C41"/>
    <w:rsid w:val="2164F359"/>
    <w:rsid w:val="216CEE4A"/>
    <w:rsid w:val="2170641D"/>
    <w:rsid w:val="21730CF2"/>
    <w:rsid w:val="217D6E68"/>
    <w:rsid w:val="2182F658"/>
    <w:rsid w:val="21848497"/>
    <w:rsid w:val="218EC79F"/>
    <w:rsid w:val="21928777"/>
    <w:rsid w:val="21941028"/>
    <w:rsid w:val="21943EF0"/>
    <w:rsid w:val="2197F7D7"/>
    <w:rsid w:val="219B40A8"/>
    <w:rsid w:val="21A42B4F"/>
    <w:rsid w:val="21A5D83F"/>
    <w:rsid w:val="21A900E9"/>
    <w:rsid w:val="21AD0158"/>
    <w:rsid w:val="21B3E643"/>
    <w:rsid w:val="21B63EA9"/>
    <w:rsid w:val="21BA9CEB"/>
    <w:rsid w:val="21BD9C79"/>
    <w:rsid w:val="21BE66F0"/>
    <w:rsid w:val="21C48A9D"/>
    <w:rsid w:val="21CA0CB8"/>
    <w:rsid w:val="21CC3E70"/>
    <w:rsid w:val="21D4336B"/>
    <w:rsid w:val="21D944D0"/>
    <w:rsid w:val="21DDDDD4"/>
    <w:rsid w:val="21DFAC92"/>
    <w:rsid w:val="21EB9158"/>
    <w:rsid w:val="21EDBDC8"/>
    <w:rsid w:val="21FB9D39"/>
    <w:rsid w:val="21FE1EA1"/>
    <w:rsid w:val="21FFA26C"/>
    <w:rsid w:val="220085E9"/>
    <w:rsid w:val="2201798E"/>
    <w:rsid w:val="220404BD"/>
    <w:rsid w:val="220B22F3"/>
    <w:rsid w:val="220BF6A6"/>
    <w:rsid w:val="22108439"/>
    <w:rsid w:val="22124E77"/>
    <w:rsid w:val="2213B752"/>
    <w:rsid w:val="22146710"/>
    <w:rsid w:val="22198646"/>
    <w:rsid w:val="221CFCE3"/>
    <w:rsid w:val="2221C4C0"/>
    <w:rsid w:val="222E52EA"/>
    <w:rsid w:val="22317706"/>
    <w:rsid w:val="223902AF"/>
    <w:rsid w:val="224D6FF0"/>
    <w:rsid w:val="225117F2"/>
    <w:rsid w:val="2252B35A"/>
    <w:rsid w:val="2257BDAA"/>
    <w:rsid w:val="2258FD4D"/>
    <w:rsid w:val="225A7CD0"/>
    <w:rsid w:val="225C239C"/>
    <w:rsid w:val="2266BDF0"/>
    <w:rsid w:val="2269C8C5"/>
    <w:rsid w:val="226E592D"/>
    <w:rsid w:val="226F115D"/>
    <w:rsid w:val="226FD0EE"/>
    <w:rsid w:val="2276A0FF"/>
    <w:rsid w:val="227816B2"/>
    <w:rsid w:val="227A4477"/>
    <w:rsid w:val="22801B59"/>
    <w:rsid w:val="22860B8E"/>
    <w:rsid w:val="22896A25"/>
    <w:rsid w:val="228A80B6"/>
    <w:rsid w:val="228B1D59"/>
    <w:rsid w:val="228CB965"/>
    <w:rsid w:val="228FAD5E"/>
    <w:rsid w:val="2291D407"/>
    <w:rsid w:val="2295453E"/>
    <w:rsid w:val="2295815F"/>
    <w:rsid w:val="229C3E79"/>
    <w:rsid w:val="22A0643F"/>
    <w:rsid w:val="22A2E30F"/>
    <w:rsid w:val="22A4F759"/>
    <w:rsid w:val="22A660AD"/>
    <w:rsid w:val="22A7703C"/>
    <w:rsid w:val="22A7D3AB"/>
    <w:rsid w:val="22AC4BB4"/>
    <w:rsid w:val="22ACC605"/>
    <w:rsid w:val="22AD7BF0"/>
    <w:rsid w:val="22B33E9E"/>
    <w:rsid w:val="22B612F2"/>
    <w:rsid w:val="22B77332"/>
    <w:rsid w:val="22BBFCC1"/>
    <w:rsid w:val="22BC892C"/>
    <w:rsid w:val="22BD26D3"/>
    <w:rsid w:val="22BDF5B9"/>
    <w:rsid w:val="22C20815"/>
    <w:rsid w:val="22C20AA6"/>
    <w:rsid w:val="22C31770"/>
    <w:rsid w:val="22C4B078"/>
    <w:rsid w:val="22CA0695"/>
    <w:rsid w:val="22D1A8BA"/>
    <w:rsid w:val="22D25D1A"/>
    <w:rsid w:val="22D665C9"/>
    <w:rsid w:val="22DE28EF"/>
    <w:rsid w:val="22E0DD75"/>
    <w:rsid w:val="22E5EB68"/>
    <w:rsid w:val="22E80612"/>
    <w:rsid w:val="22E94D26"/>
    <w:rsid w:val="22E9C1CD"/>
    <w:rsid w:val="22EB95CD"/>
    <w:rsid w:val="22EE87A9"/>
    <w:rsid w:val="22F64042"/>
    <w:rsid w:val="22FB17DD"/>
    <w:rsid w:val="22FDF729"/>
    <w:rsid w:val="22FEADAB"/>
    <w:rsid w:val="23000D95"/>
    <w:rsid w:val="23058E37"/>
    <w:rsid w:val="2309BAB7"/>
    <w:rsid w:val="230C05CA"/>
    <w:rsid w:val="230D030E"/>
    <w:rsid w:val="23118DD1"/>
    <w:rsid w:val="2312C7A6"/>
    <w:rsid w:val="23231F42"/>
    <w:rsid w:val="232A6876"/>
    <w:rsid w:val="2330B0E6"/>
    <w:rsid w:val="23340C53"/>
    <w:rsid w:val="23380EB6"/>
    <w:rsid w:val="23387FD7"/>
    <w:rsid w:val="233995AA"/>
    <w:rsid w:val="234217FD"/>
    <w:rsid w:val="23440C0E"/>
    <w:rsid w:val="2346C816"/>
    <w:rsid w:val="234F32F5"/>
    <w:rsid w:val="234F3A01"/>
    <w:rsid w:val="235656FC"/>
    <w:rsid w:val="23571A2F"/>
    <w:rsid w:val="23572F57"/>
    <w:rsid w:val="2358EC70"/>
    <w:rsid w:val="235ABC90"/>
    <w:rsid w:val="235B164F"/>
    <w:rsid w:val="235BA425"/>
    <w:rsid w:val="236332D1"/>
    <w:rsid w:val="23641EA6"/>
    <w:rsid w:val="2365A56B"/>
    <w:rsid w:val="23688059"/>
    <w:rsid w:val="236C9A5D"/>
    <w:rsid w:val="236CCDEF"/>
    <w:rsid w:val="236E4B04"/>
    <w:rsid w:val="2371D4EC"/>
    <w:rsid w:val="23781B56"/>
    <w:rsid w:val="237A91BA"/>
    <w:rsid w:val="237E62DC"/>
    <w:rsid w:val="237F928A"/>
    <w:rsid w:val="2383994A"/>
    <w:rsid w:val="23841709"/>
    <w:rsid w:val="23877DFF"/>
    <w:rsid w:val="238E8A27"/>
    <w:rsid w:val="239073F9"/>
    <w:rsid w:val="2390AEF8"/>
    <w:rsid w:val="23942701"/>
    <w:rsid w:val="239A8657"/>
    <w:rsid w:val="23A059F1"/>
    <w:rsid w:val="23A417E7"/>
    <w:rsid w:val="23AB30E5"/>
    <w:rsid w:val="23AF2074"/>
    <w:rsid w:val="23AFDD51"/>
    <w:rsid w:val="23BA5E7E"/>
    <w:rsid w:val="23C11F2A"/>
    <w:rsid w:val="23C31E21"/>
    <w:rsid w:val="23C51FEA"/>
    <w:rsid w:val="23CBCEA1"/>
    <w:rsid w:val="23CC603C"/>
    <w:rsid w:val="23CE9E0C"/>
    <w:rsid w:val="23D073A9"/>
    <w:rsid w:val="23D24596"/>
    <w:rsid w:val="23D31AD0"/>
    <w:rsid w:val="23D5D932"/>
    <w:rsid w:val="23D8C8D8"/>
    <w:rsid w:val="23DA6BE5"/>
    <w:rsid w:val="23DD722F"/>
    <w:rsid w:val="23E38975"/>
    <w:rsid w:val="23E664D6"/>
    <w:rsid w:val="23E78E19"/>
    <w:rsid w:val="23EA4CF4"/>
    <w:rsid w:val="23F0E6BF"/>
    <w:rsid w:val="23F12D2F"/>
    <w:rsid w:val="23F5BBDC"/>
    <w:rsid w:val="23F638C1"/>
    <w:rsid w:val="240933F3"/>
    <w:rsid w:val="240CCC30"/>
    <w:rsid w:val="2413F462"/>
    <w:rsid w:val="2414CF79"/>
    <w:rsid w:val="24164882"/>
    <w:rsid w:val="241BE987"/>
    <w:rsid w:val="241D2B6F"/>
    <w:rsid w:val="241D3DEC"/>
    <w:rsid w:val="241E4447"/>
    <w:rsid w:val="241FE3A2"/>
    <w:rsid w:val="242572DC"/>
    <w:rsid w:val="242A83E3"/>
    <w:rsid w:val="242AB92E"/>
    <w:rsid w:val="2430CD66"/>
    <w:rsid w:val="2432185B"/>
    <w:rsid w:val="243400B8"/>
    <w:rsid w:val="24383DA6"/>
    <w:rsid w:val="243870B3"/>
    <w:rsid w:val="24392CAB"/>
    <w:rsid w:val="2439E574"/>
    <w:rsid w:val="243EA4BD"/>
    <w:rsid w:val="2442D1CA"/>
    <w:rsid w:val="2446276C"/>
    <w:rsid w:val="24494196"/>
    <w:rsid w:val="244B779D"/>
    <w:rsid w:val="244DA7FA"/>
    <w:rsid w:val="245000D5"/>
    <w:rsid w:val="245159E2"/>
    <w:rsid w:val="245BCF7E"/>
    <w:rsid w:val="245CFDD7"/>
    <w:rsid w:val="245D2397"/>
    <w:rsid w:val="245EA6C9"/>
    <w:rsid w:val="246396B2"/>
    <w:rsid w:val="2465E2EB"/>
    <w:rsid w:val="246648BD"/>
    <w:rsid w:val="246B6250"/>
    <w:rsid w:val="246CB772"/>
    <w:rsid w:val="246DA7FF"/>
    <w:rsid w:val="246ECA4C"/>
    <w:rsid w:val="24753D3A"/>
    <w:rsid w:val="2475886C"/>
    <w:rsid w:val="247958BE"/>
    <w:rsid w:val="2479C093"/>
    <w:rsid w:val="247EF147"/>
    <w:rsid w:val="2482EFDA"/>
    <w:rsid w:val="248760FC"/>
    <w:rsid w:val="2487A5FC"/>
    <w:rsid w:val="248810D6"/>
    <w:rsid w:val="248BC32D"/>
    <w:rsid w:val="248BFBC4"/>
    <w:rsid w:val="24999D27"/>
    <w:rsid w:val="249A0593"/>
    <w:rsid w:val="24A0D505"/>
    <w:rsid w:val="24A60A35"/>
    <w:rsid w:val="24A9080B"/>
    <w:rsid w:val="24A9ED31"/>
    <w:rsid w:val="24AC01B7"/>
    <w:rsid w:val="24AD53C5"/>
    <w:rsid w:val="24AFC7E9"/>
    <w:rsid w:val="24B136F2"/>
    <w:rsid w:val="24B17B26"/>
    <w:rsid w:val="24B334AA"/>
    <w:rsid w:val="24B35A89"/>
    <w:rsid w:val="24B6BDC9"/>
    <w:rsid w:val="24B6CF36"/>
    <w:rsid w:val="24BB83A4"/>
    <w:rsid w:val="24BDB45A"/>
    <w:rsid w:val="24C39DE1"/>
    <w:rsid w:val="24C51E19"/>
    <w:rsid w:val="24C60F73"/>
    <w:rsid w:val="24CD8D94"/>
    <w:rsid w:val="24CF9F74"/>
    <w:rsid w:val="24CFA676"/>
    <w:rsid w:val="24D32965"/>
    <w:rsid w:val="24E1FCBF"/>
    <w:rsid w:val="24E348CF"/>
    <w:rsid w:val="24E78BA7"/>
    <w:rsid w:val="24E85E8C"/>
    <w:rsid w:val="24E8A8BE"/>
    <w:rsid w:val="24EA373C"/>
    <w:rsid w:val="24ED0340"/>
    <w:rsid w:val="24EE8552"/>
    <w:rsid w:val="24F39FAC"/>
    <w:rsid w:val="24F4E8AE"/>
    <w:rsid w:val="250210A8"/>
    <w:rsid w:val="25111167"/>
    <w:rsid w:val="2517DBCF"/>
    <w:rsid w:val="251B0994"/>
    <w:rsid w:val="251FDAEC"/>
    <w:rsid w:val="251FDB06"/>
    <w:rsid w:val="2525D1ED"/>
    <w:rsid w:val="25328D7C"/>
    <w:rsid w:val="2533A786"/>
    <w:rsid w:val="253B3BCE"/>
    <w:rsid w:val="253D9790"/>
    <w:rsid w:val="253F29B4"/>
    <w:rsid w:val="2546AFFB"/>
    <w:rsid w:val="254AC58B"/>
    <w:rsid w:val="254C7CF9"/>
    <w:rsid w:val="254EC91D"/>
    <w:rsid w:val="2554C194"/>
    <w:rsid w:val="2558B5B8"/>
    <w:rsid w:val="255D052A"/>
    <w:rsid w:val="2568E372"/>
    <w:rsid w:val="256AAC15"/>
    <w:rsid w:val="256CA019"/>
    <w:rsid w:val="25754470"/>
    <w:rsid w:val="2575CFFC"/>
    <w:rsid w:val="25774D05"/>
    <w:rsid w:val="2578E0DF"/>
    <w:rsid w:val="257F0E24"/>
    <w:rsid w:val="258C654A"/>
    <w:rsid w:val="258DF7DE"/>
    <w:rsid w:val="2591DD39"/>
    <w:rsid w:val="25942825"/>
    <w:rsid w:val="2595CE05"/>
    <w:rsid w:val="25993EBD"/>
    <w:rsid w:val="259A192A"/>
    <w:rsid w:val="259DC7D9"/>
    <w:rsid w:val="25A53518"/>
    <w:rsid w:val="25A7EB26"/>
    <w:rsid w:val="25A9B3AD"/>
    <w:rsid w:val="25AD651C"/>
    <w:rsid w:val="25AE1729"/>
    <w:rsid w:val="25AF9FE3"/>
    <w:rsid w:val="25B0986F"/>
    <w:rsid w:val="25B0D49C"/>
    <w:rsid w:val="25B56F98"/>
    <w:rsid w:val="25B834C2"/>
    <w:rsid w:val="25BBEBBA"/>
    <w:rsid w:val="25BD2C8E"/>
    <w:rsid w:val="25BE3BFB"/>
    <w:rsid w:val="25C5D1BD"/>
    <w:rsid w:val="25C5FF55"/>
    <w:rsid w:val="25C8FAE3"/>
    <w:rsid w:val="25C96AA0"/>
    <w:rsid w:val="25CD0673"/>
    <w:rsid w:val="25CD2539"/>
    <w:rsid w:val="25D022D0"/>
    <w:rsid w:val="25D0767E"/>
    <w:rsid w:val="25D60C9C"/>
    <w:rsid w:val="25D7CEBD"/>
    <w:rsid w:val="25DDA09C"/>
    <w:rsid w:val="25E411D4"/>
    <w:rsid w:val="25E932CA"/>
    <w:rsid w:val="25E9FDF0"/>
    <w:rsid w:val="25ECFAAB"/>
    <w:rsid w:val="25F0947F"/>
    <w:rsid w:val="25F63CEF"/>
    <w:rsid w:val="25F81EFE"/>
    <w:rsid w:val="2602330A"/>
    <w:rsid w:val="260702C3"/>
    <w:rsid w:val="260AA20A"/>
    <w:rsid w:val="260DB39C"/>
    <w:rsid w:val="260F8858"/>
    <w:rsid w:val="261315D5"/>
    <w:rsid w:val="261384F1"/>
    <w:rsid w:val="26158CA0"/>
    <w:rsid w:val="26177E3F"/>
    <w:rsid w:val="2619AB93"/>
    <w:rsid w:val="2621FD52"/>
    <w:rsid w:val="26220C50"/>
    <w:rsid w:val="26227771"/>
    <w:rsid w:val="262550F3"/>
    <w:rsid w:val="26265031"/>
    <w:rsid w:val="262D486B"/>
    <w:rsid w:val="262F46E5"/>
    <w:rsid w:val="262FF855"/>
    <w:rsid w:val="263050D3"/>
    <w:rsid w:val="264415C6"/>
    <w:rsid w:val="26448BF3"/>
    <w:rsid w:val="26494058"/>
    <w:rsid w:val="264C8BD6"/>
    <w:rsid w:val="264CB048"/>
    <w:rsid w:val="26535F4F"/>
    <w:rsid w:val="2657D753"/>
    <w:rsid w:val="265EFDFB"/>
    <w:rsid w:val="26608928"/>
    <w:rsid w:val="2662EC16"/>
    <w:rsid w:val="266CB1EF"/>
    <w:rsid w:val="266EA629"/>
    <w:rsid w:val="266F6721"/>
    <w:rsid w:val="2674D7B9"/>
    <w:rsid w:val="2677D305"/>
    <w:rsid w:val="2679E16E"/>
    <w:rsid w:val="267A6E63"/>
    <w:rsid w:val="267C0284"/>
    <w:rsid w:val="267E6873"/>
    <w:rsid w:val="267F5488"/>
    <w:rsid w:val="26832A02"/>
    <w:rsid w:val="268CADC8"/>
    <w:rsid w:val="268FDEA3"/>
    <w:rsid w:val="2693673D"/>
    <w:rsid w:val="2694265D"/>
    <w:rsid w:val="2696A28A"/>
    <w:rsid w:val="2696DA60"/>
    <w:rsid w:val="2697746C"/>
    <w:rsid w:val="269E5ACF"/>
    <w:rsid w:val="269F30A3"/>
    <w:rsid w:val="26A2CC04"/>
    <w:rsid w:val="26A2EDC9"/>
    <w:rsid w:val="26A46D10"/>
    <w:rsid w:val="26A7C6CD"/>
    <w:rsid w:val="26A97F11"/>
    <w:rsid w:val="26A98892"/>
    <w:rsid w:val="26AB8516"/>
    <w:rsid w:val="26AC4261"/>
    <w:rsid w:val="26AE1912"/>
    <w:rsid w:val="26B5055B"/>
    <w:rsid w:val="26B741A4"/>
    <w:rsid w:val="26B7B5DC"/>
    <w:rsid w:val="26B7C23C"/>
    <w:rsid w:val="26B8452C"/>
    <w:rsid w:val="26B99358"/>
    <w:rsid w:val="26BFE2E0"/>
    <w:rsid w:val="26C39533"/>
    <w:rsid w:val="26C42A29"/>
    <w:rsid w:val="26C8D932"/>
    <w:rsid w:val="26CA6166"/>
    <w:rsid w:val="26CE098E"/>
    <w:rsid w:val="26CE90D1"/>
    <w:rsid w:val="26CF57E6"/>
    <w:rsid w:val="26DC37E6"/>
    <w:rsid w:val="26DF8A37"/>
    <w:rsid w:val="26E9CFF5"/>
    <w:rsid w:val="26EAABE4"/>
    <w:rsid w:val="26ECFBED"/>
    <w:rsid w:val="26F2ADC7"/>
    <w:rsid w:val="26F3C691"/>
    <w:rsid w:val="26F96BBF"/>
    <w:rsid w:val="26FA1BD1"/>
    <w:rsid w:val="26FF2D34"/>
    <w:rsid w:val="27029C91"/>
    <w:rsid w:val="27038B09"/>
    <w:rsid w:val="2705B0A5"/>
    <w:rsid w:val="2707853C"/>
    <w:rsid w:val="270D69F9"/>
    <w:rsid w:val="2712B94C"/>
    <w:rsid w:val="271719C4"/>
    <w:rsid w:val="272704B2"/>
    <w:rsid w:val="2729F285"/>
    <w:rsid w:val="272C2F70"/>
    <w:rsid w:val="272D4A1F"/>
    <w:rsid w:val="272E272D"/>
    <w:rsid w:val="272EEFB5"/>
    <w:rsid w:val="2731D626"/>
    <w:rsid w:val="2732183A"/>
    <w:rsid w:val="2732743A"/>
    <w:rsid w:val="2735A19E"/>
    <w:rsid w:val="273C3475"/>
    <w:rsid w:val="274B6B75"/>
    <w:rsid w:val="274C244C"/>
    <w:rsid w:val="274C387B"/>
    <w:rsid w:val="274D9FFB"/>
    <w:rsid w:val="2758CE08"/>
    <w:rsid w:val="275B3B38"/>
    <w:rsid w:val="275D4F2E"/>
    <w:rsid w:val="275DBD4F"/>
    <w:rsid w:val="275EEC9A"/>
    <w:rsid w:val="27653E52"/>
    <w:rsid w:val="2765D7C2"/>
    <w:rsid w:val="27669BA8"/>
    <w:rsid w:val="27683E2B"/>
    <w:rsid w:val="2768C14F"/>
    <w:rsid w:val="276B463C"/>
    <w:rsid w:val="276BB2C8"/>
    <w:rsid w:val="276CE34D"/>
    <w:rsid w:val="2772211B"/>
    <w:rsid w:val="27728041"/>
    <w:rsid w:val="2774119D"/>
    <w:rsid w:val="27751A4D"/>
    <w:rsid w:val="277782AC"/>
    <w:rsid w:val="2778E37E"/>
    <w:rsid w:val="277DF9F3"/>
    <w:rsid w:val="277EAA16"/>
    <w:rsid w:val="278545B9"/>
    <w:rsid w:val="2787C5F5"/>
    <w:rsid w:val="278A7C6D"/>
    <w:rsid w:val="278C3D56"/>
    <w:rsid w:val="278DD8D2"/>
    <w:rsid w:val="278E0281"/>
    <w:rsid w:val="27920DBB"/>
    <w:rsid w:val="279BF6B0"/>
    <w:rsid w:val="279E6867"/>
    <w:rsid w:val="27A238C9"/>
    <w:rsid w:val="27A5EE42"/>
    <w:rsid w:val="27A7E0BC"/>
    <w:rsid w:val="27AA8DC9"/>
    <w:rsid w:val="27B2D464"/>
    <w:rsid w:val="27B36DA3"/>
    <w:rsid w:val="27B909D9"/>
    <w:rsid w:val="27C22C98"/>
    <w:rsid w:val="27C57F2B"/>
    <w:rsid w:val="27C63955"/>
    <w:rsid w:val="27C75EC3"/>
    <w:rsid w:val="27C84E7F"/>
    <w:rsid w:val="27C966D6"/>
    <w:rsid w:val="27CF1F35"/>
    <w:rsid w:val="27D3D321"/>
    <w:rsid w:val="27D6A18C"/>
    <w:rsid w:val="27D9F333"/>
    <w:rsid w:val="27DE2836"/>
    <w:rsid w:val="27E3C263"/>
    <w:rsid w:val="27E8C197"/>
    <w:rsid w:val="27E943F0"/>
    <w:rsid w:val="27EBB3B8"/>
    <w:rsid w:val="27EC2644"/>
    <w:rsid w:val="27EF7B92"/>
    <w:rsid w:val="27EFD35D"/>
    <w:rsid w:val="27F11E45"/>
    <w:rsid w:val="27F21998"/>
    <w:rsid w:val="27F591FB"/>
    <w:rsid w:val="27F6784B"/>
    <w:rsid w:val="27FA45C8"/>
    <w:rsid w:val="27FBEF13"/>
    <w:rsid w:val="27FC7511"/>
    <w:rsid w:val="2800C4A3"/>
    <w:rsid w:val="280146F1"/>
    <w:rsid w:val="280A4BC0"/>
    <w:rsid w:val="2811E61B"/>
    <w:rsid w:val="2816EEB6"/>
    <w:rsid w:val="2817A1E9"/>
    <w:rsid w:val="281C156D"/>
    <w:rsid w:val="281DB575"/>
    <w:rsid w:val="281E71B6"/>
    <w:rsid w:val="2827AE5B"/>
    <w:rsid w:val="282EE107"/>
    <w:rsid w:val="28318771"/>
    <w:rsid w:val="2832CA8A"/>
    <w:rsid w:val="2837A2C9"/>
    <w:rsid w:val="283C515A"/>
    <w:rsid w:val="283FE947"/>
    <w:rsid w:val="284864A6"/>
    <w:rsid w:val="284B71C9"/>
    <w:rsid w:val="284B848F"/>
    <w:rsid w:val="284BD9F4"/>
    <w:rsid w:val="28504D96"/>
    <w:rsid w:val="28566E5F"/>
    <w:rsid w:val="2856B132"/>
    <w:rsid w:val="2859CA24"/>
    <w:rsid w:val="285C794C"/>
    <w:rsid w:val="2867A4FF"/>
    <w:rsid w:val="2869A854"/>
    <w:rsid w:val="287081C9"/>
    <w:rsid w:val="2871B6A9"/>
    <w:rsid w:val="287D103B"/>
    <w:rsid w:val="2889C951"/>
    <w:rsid w:val="288A9D26"/>
    <w:rsid w:val="288C123A"/>
    <w:rsid w:val="288D3EA3"/>
    <w:rsid w:val="288EC88E"/>
    <w:rsid w:val="28919F92"/>
    <w:rsid w:val="2892BAEE"/>
    <w:rsid w:val="28934841"/>
    <w:rsid w:val="289D0701"/>
    <w:rsid w:val="289E3D6E"/>
    <w:rsid w:val="28A557D7"/>
    <w:rsid w:val="28A7A7B8"/>
    <w:rsid w:val="28A96DF0"/>
    <w:rsid w:val="28B308BE"/>
    <w:rsid w:val="28B4732D"/>
    <w:rsid w:val="28B4BC72"/>
    <w:rsid w:val="28B51027"/>
    <w:rsid w:val="28B6B9CC"/>
    <w:rsid w:val="28B74215"/>
    <w:rsid w:val="28BCC4D8"/>
    <w:rsid w:val="28BE6E77"/>
    <w:rsid w:val="28BF419B"/>
    <w:rsid w:val="28C04D95"/>
    <w:rsid w:val="28C0C32D"/>
    <w:rsid w:val="28CF0517"/>
    <w:rsid w:val="28CF4E46"/>
    <w:rsid w:val="28D0D348"/>
    <w:rsid w:val="28D4A886"/>
    <w:rsid w:val="28D62758"/>
    <w:rsid w:val="28DE29D8"/>
    <w:rsid w:val="28DFE223"/>
    <w:rsid w:val="28E2F52B"/>
    <w:rsid w:val="28E41E9F"/>
    <w:rsid w:val="28E9EEB2"/>
    <w:rsid w:val="28EE08E9"/>
    <w:rsid w:val="28F8F136"/>
    <w:rsid w:val="28FB81E2"/>
    <w:rsid w:val="28FDC248"/>
    <w:rsid w:val="28FE612B"/>
    <w:rsid w:val="29000C6F"/>
    <w:rsid w:val="2901E8D3"/>
    <w:rsid w:val="290B30FF"/>
    <w:rsid w:val="290E1521"/>
    <w:rsid w:val="290FA399"/>
    <w:rsid w:val="2923DB7E"/>
    <w:rsid w:val="292F38CF"/>
    <w:rsid w:val="2930707F"/>
    <w:rsid w:val="2932410B"/>
    <w:rsid w:val="2934F8AF"/>
    <w:rsid w:val="29359F9C"/>
    <w:rsid w:val="293F97A9"/>
    <w:rsid w:val="2943ABB3"/>
    <w:rsid w:val="294453A1"/>
    <w:rsid w:val="2945D0F0"/>
    <w:rsid w:val="2947C4FB"/>
    <w:rsid w:val="29483260"/>
    <w:rsid w:val="294A0665"/>
    <w:rsid w:val="2956EF45"/>
    <w:rsid w:val="295ABA63"/>
    <w:rsid w:val="29637858"/>
    <w:rsid w:val="29643B27"/>
    <w:rsid w:val="2967D57A"/>
    <w:rsid w:val="296857EB"/>
    <w:rsid w:val="296876AE"/>
    <w:rsid w:val="296DCD30"/>
    <w:rsid w:val="297625C3"/>
    <w:rsid w:val="29774BE8"/>
    <w:rsid w:val="29797292"/>
    <w:rsid w:val="297B33CF"/>
    <w:rsid w:val="297C0C4B"/>
    <w:rsid w:val="297FEE1A"/>
    <w:rsid w:val="2987DE4B"/>
    <w:rsid w:val="298B5301"/>
    <w:rsid w:val="29908681"/>
    <w:rsid w:val="29938F98"/>
    <w:rsid w:val="29951848"/>
    <w:rsid w:val="29973ACB"/>
    <w:rsid w:val="2998E8AF"/>
    <w:rsid w:val="2999559C"/>
    <w:rsid w:val="299B50F9"/>
    <w:rsid w:val="299CE1C2"/>
    <w:rsid w:val="299DBBC0"/>
    <w:rsid w:val="29A0E6ED"/>
    <w:rsid w:val="29A43596"/>
    <w:rsid w:val="29A9C517"/>
    <w:rsid w:val="29AC3F86"/>
    <w:rsid w:val="29AD32B6"/>
    <w:rsid w:val="29AD49B3"/>
    <w:rsid w:val="29B19C86"/>
    <w:rsid w:val="29BF2557"/>
    <w:rsid w:val="29C0B123"/>
    <w:rsid w:val="29C56D9E"/>
    <w:rsid w:val="29C9B7A3"/>
    <w:rsid w:val="29CA6058"/>
    <w:rsid w:val="29CD1488"/>
    <w:rsid w:val="29DB3A07"/>
    <w:rsid w:val="29DB7386"/>
    <w:rsid w:val="29DE44B4"/>
    <w:rsid w:val="29E07B58"/>
    <w:rsid w:val="29E32AF8"/>
    <w:rsid w:val="29E53C0C"/>
    <w:rsid w:val="29E70C00"/>
    <w:rsid w:val="29E9CFB6"/>
    <w:rsid w:val="29EE6F3B"/>
    <w:rsid w:val="29F2EB69"/>
    <w:rsid w:val="29F301A8"/>
    <w:rsid w:val="29F5DA8C"/>
    <w:rsid w:val="29FC2604"/>
    <w:rsid w:val="29FD724B"/>
    <w:rsid w:val="29FE9F01"/>
    <w:rsid w:val="2A064AF5"/>
    <w:rsid w:val="2A0ADC1F"/>
    <w:rsid w:val="2A0B87E9"/>
    <w:rsid w:val="2A130F81"/>
    <w:rsid w:val="2A19784D"/>
    <w:rsid w:val="2A1B427F"/>
    <w:rsid w:val="2A1D5DBE"/>
    <w:rsid w:val="2A1E0556"/>
    <w:rsid w:val="2A24B6F5"/>
    <w:rsid w:val="2A2632AD"/>
    <w:rsid w:val="2A291861"/>
    <w:rsid w:val="2A2A40F5"/>
    <w:rsid w:val="2A2A4310"/>
    <w:rsid w:val="2A2B8A13"/>
    <w:rsid w:val="2A32EA19"/>
    <w:rsid w:val="2A43FDF3"/>
    <w:rsid w:val="2A454702"/>
    <w:rsid w:val="2A465833"/>
    <w:rsid w:val="2A46D179"/>
    <w:rsid w:val="2A4B83B4"/>
    <w:rsid w:val="2A4C51B2"/>
    <w:rsid w:val="2A4CBBB3"/>
    <w:rsid w:val="2A4E8696"/>
    <w:rsid w:val="2A53CC03"/>
    <w:rsid w:val="2A5B2FBF"/>
    <w:rsid w:val="2A5E41A4"/>
    <w:rsid w:val="2A612ABF"/>
    <w:rsid w:val="2A64E9A6"/>
    <w:rsid w:val="2A6920BC"/>
    <w:rsid w:val="2A6C4920"/>
    <w:rsid w:val="2A761B30"/>
    <w:rsid w:val="2A7999D1"/>
    <w:rsid w:val="2A7B92E1"/>
    <w:rsid w:val="2A7D6F43"/>
    <w:rsid w:val="2A80B351"/>
    <w:rsid w:val="2A833345"/>
    <w:rsid w:val="2A83BE8C"/>
    <w:rsid w:val="2A84B749"/>
    <w:rsid w:val="2A8939A0"/>
    <w:rsid w:val="2A8AAB54"/>
    <w:rsid w:val="2A8AD1CD"/>
    <w:rsid w:val="2A90C2D1"/>
    <w:rsid w:val="2A9548C7"/>
    <w:rsid w:val="2A968A96"/>
    <w:rsid w:val="2A97E24D"/>
    <w:rsid w:val="2AA49114"/>
    <w:rsid w:val="2AAD421C"/>
    <w:rsid w:val="2AAD9907"/>
    <w:rsid w:val="2AB05A70"/>
    <w:rsid w:val="2AB13A27"/>
    <w:rsid w:val="2AB4EEB2"/>
    <w:rsid w:val="2AC45BA6"/>
    <w:rsid w:val="2AC5375C"/>
    <w:rsid w:val="2ACDF1BB"/>
    <w:rsid w:val="2AD0743E"/>
    <w:rsid w:val="2AD413ED"/>
    <w:rsid w:val="2AE4DFD4"/>
    <w:rsid w:val="2AE6E75C"/>
    <w:rsid w:val="2AEE86A8"/>
    <w:rsid w:val="2AF05AA9"/>
    <w:rsid w:val="2AF2E845"/>
    <w:rsid w:val="2AF5C96C"/>
    <w:rsid w:val="2AFBC39E"/>
    <w:rsid w:val="2AFD9C82"/>
    <w:rsid w:val="2B0F693D"/>
    <w:rsid w:val="2B1A16C8"/>
    <w:rsid w:val="2B1B9404"/>
    <w:rsid w:val="2B1F232D"/>
    <w:rsid w:val="2B207569"/>
    <w:rsid w:val="2B2417F0"/>
    <w:rsid w:val="2B24F2D5"/>
    <w:rsid w:val="2B28A694"/>
    <w:rsid w:val="2B304120"/>
    <w:rsid w:val="2B34B056"/>
    <w:rsid w:val="2B378C19"/>
    <w:rsid w:val="2B44ECF2"/>
    <w:rsid w:val="2B458F04"/>
    <w:rsid w:val="2B49AF33"/>
    <w:rsid w:val="2B65177D"/>
    <w:rsid w:val="2B6A5256"/>
    <w:rsid w:val="2B6E408A"/>
    <w:rsid w:val="2B7B9BA2"/>
    <w:rsid w:val="2B830C1F"/>
    <w:rsid w:val="2B844BCB"/>
    <w:rsid w:val="2B84BF8A"/>
    <w:rsid w:val="2B8A8817"/>
    <w:rsid w:val="2B8D3507"/>
    <w:rsid w:val="2B8D557A"/>
    <w:rsid w:val="2B8E4C71"/>
    <w:rsid w:val="2B8FBF50"/>
    <w:rsid w:val="2B921329"/>
    <w:rsid w:val="2B95D7FC"/>
    <w:rsid w:val="2B9A88A8"/>
    <w:rsid w:val="2B9E486D"/>
    <w:rsid w:val="2BA0E1D7"/>
    <w:rsid w:val="2BA423B8"/>
    <w:rsid w:val="2BA5AE2E"/>
    <w:rsid w:val="2BA9A39F"/>
    <w:rsid w:val="2BA9FBD9"/>
    <w:rsid w:val="2BAD2C2F"/>
    <w:rsid w:val="2BB66997"/>
    <w:rsid w:val="2BBD1365"/>
    <w:rsid w:val="2BBE2FB6"/>
    <w:rsid w:val="2BC3EA84"/>
    <w:rsid w:val="2BC41B5F"/>
    <w:rsid w:val="2BCB450A"/>
    <w:rsid w:val="2BCDD508"/>
    <w:rsid w:val="2BCE0E1F"/>
    <w:rsid w:val="2BD185AD"/>
    <w:rsid w:val="2BD3AFFE"/>
    <w:rsid w:val="2BE0AB43"/>
    <w:rsid w:val="2BE17F14"/>
    <w:rsid w:val="2BE68451"/>
    <w:rsid w:val="2BE7B1D1"/>
    <w:rsid w:val="2BE8777D"/>
    <w:rsid w:val="2BE96B18"/>
    <w:rsid w:val="2BE9CF07"/>
    <w:rsid w:val="2BEC38C4"/>
    <w:rsid w:val="2BEF9F00"/>
    <w:rsid w:val="2BF51313"/>
    <w:rsid w:val="2BF7D3B5"/>
    <w:rsid w:val="2BFAA7D1"/>
    <w:rsid w:val="2C00087C"/>
    <w:rsid w:val="2C0113F1"/>
    <w:rsid w:val="2C08B851"/>
    <w:rsid w:val="2C0C0E21"/>
    <w:rsid w:val="2C1136A8"/>
    <w:rsid w:val="2C14E423"/>
    <w:rsid w:val="2C1824FF"/>
    <w:rsid w:val="2C2913C8"/>
    <w:rsid w:val="2C293EA0"/>
    <w:rsid w:val="2C32F605"/>
    <w:rsid w:val="2C3BF13D"/>
    <w:rsid w:val="2C415E2E"/>
    <w:rsid w:val="2C45BCB6"/>
    <w:rsid w:val="2C490637"/>
    <w:rsid w:val="2C51094B"/>
    <w:rsid w:val="2C52E2FE"/>
    <w:rsid w:val="2C586B1A"/>
    <w:rsid w:val="2C618971"/>
    <w:rsid w:val="2C63E276"/>
    <w:rsid w:val="2C68FB43"/>
    <w:rsid w:val="2C6C7190"/>
    <w:rsid w:val="2C723F76"/>
    <w:rsid w:val="2C77E6C4"/>
    <w:rsid w:val="2C799627"/>
    <w:rsid w:val="2C79E3C3"/>
    <w:rsid w:val="2C7FF946"/>
    <w:rsid w:val="2C800E00"/>
    <w:rsid w:val="2C80BD4D"/>
    <w:rsid w:val="2C82AC51"/>
    <w:rsid w:val="2C855FC1"/>
    <w:rsid w:val="2C863360"/>
    <w:rsid w:val="2C86FE80"/>
    <w:rsid w:val="2C871AE8"/>
    <w:rsid w:val="2C8B9803"/>
    <w:rsid w:val="2C991ADC"/>
    <w:rsid w:val="2C9D611F"/>
    <w:rsid w:val="2CA026B6"/>
    <w:rsid w:val="2CA3904C"/>
    <w:rsid w:val="2CAA2FC3"/>
    <w:rsid w:val="2CB2916C"/>
    <w:rsid w:val="2CB5F796"/>
    <w:rsid w:val="2CB89ED6"/>
    <w:rsid w:val="2CB8C60E"/>
    <w:rsid w:val="2CBC8FB9"/>
    <w:rsid w:val="2CBD0FF1"/>
    <w:rsid w:val="2CC665C7"/>
    <w:rsid w:val="2CCBB766"/>
    <w:rsid w:val="2CCEFBF6"/>
    <w:rsid w:val="2CD1B86D"/>
    <w:rsid w:val="2CD7A680"/>
    <w:rsid w:val="2CD87395"/>
    <w:rsid w:val="2CDDF348"/>
    <w:rsid w:val="2CE418B2"/>
    <w:rsid w:val="2CE519E4"/>
    <w:rsid w:val="2CE758A2"/>
    <w:rsid w:val="2CEBD7BF"/>
    <w:rsid w:val="2CEF84C4"/>
    <w:rsid w:val="2CF00E3C"/>
    <w:rsid w:val="2CF050A1"/>
    <w:rsid w:val="2CF7441A"/>
    <w:rsid w:val="2CF8B579"/>
    <w:rsid w:val="2CFD0A0F"/>
    <w:rsid w:val="2CFD2A4A"/>
    <w:rsid w:val="2D1969A2"/>
    <w:rsid w:val="2D1FF75D"/>
    <w:rsid w:val="2D203F2C"/>
    <w:rsid w:val="2D20521A"/>
    <w:rsid w:val="2D2CD366"/>
    <w:rsid w:val="2D2D1C9F"/>
    <w:rsid w:val="2D2EC5E8"/>
    <w:rsid w:val="2D491E4D"/>
    <w:rsid w:val="2D4BF0D5"/>
    <w:rsid w:val="2D50AA84"/>
    <w:rsid w:val="2D514109"/>
    <w:rsid w:val="2D579C78"/>
    <w:rsid w:val="2D5B0B29"/>
    <w:rsid w:val="2D5CADA7"/>
    <w:rsid w:val="2D62806C"/>
    <w:rsid w:val="2D6372DC"/>
    <w:rsid w:val="2D65A465"/>
    <w:rsid w:val="2D74C71B"/>
    <w:rsid w:val="2D761EAD"/>
    <w:rsid w:val="2D786810"/>
    <w:rsid w:val="2D7E2C00"/>
    <w:rsid w:val="2D927CCF"/>
    <w:rsid w:val="2D96EDCE"/>
    <w:rsid w:val="2D987274"/>
    <w:rsid w:val="2D9BEEDF"/>
    <w:rsid w:val="2DA00373"/>
    <w:rsid w:val="2DA0F68F"/>
    <w:rsid w:val="2DA6651A"/>
    <w:rsid w:val="2DAE9BBD"/>
    <w:rsid w:val="2DB06D1D"/>
    <w:rsid w:val="2DB4D32C"/>
    <w:rsid w:val="2DB8A080"/>
    <w:rsid w:val="2DB8B55A"/>
    <w:rsid w:val="2DBE278F"/>
    <w:rsid w:val="2DC7ED75"/>
    <w:rsid w:val="2DC86D8B"/>
    <w:rsid w:val="2DCEC6EA"/>
    <w:rsid w:val="2DD2869E"/>
    <w:rsid w:val="2DD3DD5E"/>
    <w:rsid w:val="2DD451FD"/>
    <w:rsid w:val="2DD5E163"/>
    <w:rsid w:val="2DD64E1B"/>
    <w:rsid w:val="2DD8EF99"/>
    <w:rsid w:val="2DE64217"/>
    <w:rsid w:val="2DEA6EF5"/>
    <w:rsid w:val="2DF4C0E0"/>
    <w:rsid w:val="2DF83F63"/>
    <w:rsid w:val="2DF90745"/>
    <w:rsid w:val="2E05DF3A"/>
    <w:rsid w:val="2E08A555"/>
    <w:rsid w:val="2E0A508C"/>
    <w:rsid w:val="2E1F608A"/>
    <w:rsid w:val="2E23F222"/>
    <w:rsid w:val="2E2461F5"/>
    <w:rsid w:val="2E2846D0"/>
    <w:rsid w:val="2E306ED2"/>
    <w:rsid w:val="2E351EE1"/>
    <w:rsid w:val="2E352300"/>
    <w:rsid w:val="2E399E26"/>
    <w:rsid w:val="2E3DDF25"/>
    <w:rsid w:val="2E414FC7"/>
    <w:rsid w:val="2E4EA1EA"/>
    <w:rsid w:val="2E515C49"/>
    <w:rsid w:val="2E53A3E4"/>
    <w:rsid w:val="2E53AC36"/>
    <w:rsid w:val="2E55AF80"/>
    <w:rsid w:val="2E58D6CA"/>
    <w:rsid w:val="2E5BB072"/>
    <w:rsid w:val="2E5E6600"/>
    <w:rsid w:val="2E5F2DE5"/>
    <w:rsid w:val="2E5F522C"/>
    <w:rsid w:val="2E655CE2"/>
    <w:rsid w:val="2E6AEE9D"/>
    <w:rsid w:val="2E6DB301"/>
    <w:rsid w:val="2E752990"/>
    <w:rsid w:val="2E79172B"/>
    <w:rsid w:val="2E7A4552"/>
    <w:rsid w:val="2E7BF9EA"/>
    <w:rsid w:val="2E8178D7"/>
    <w:rsid w:val="2E82C99B"/>
    <w:rsid w:val="2E87AFF3"/>
    <w:rsid w:val="2E8EA659"/>
    <w:rsid w:val="2EA34218"/>
    <w:rsid w:val="2EB65250"/>
    <w:rsid w:val="2EB6F87C"/>
    <w:rsid w:val="2EBA3B24"/>
    <w:rsid w:val="2EBE7B79"/>
    <w:rsid w:val="2EC28C9C"/>
    <w:rsid w:val="2ECB6855"/>
    <w:rsid w:val="2ECC4DFA"/>
    <w:rsid w:val="2ECE5792"/>
    <w:rsid w:val="2ED19114"/>
    <w:rsid w:val="2ED1B04F"/>
    <w:rsid w:val="2ED2DB60"/>
    <w:rsid w:val="2ED7CAFE"/>
    <w:rsid w:val="2EE37B89"/>
    <w:rsid w:val="2EE501F7"/>
    <w:rsid w:val="2EE6D3E2"/>
    <w:rsid w:val="2EEC1D8B"/>
    <w:rsid w:val="2EEC3644"/>
    <w:rsid w:val="2EEF1EBC"/>
    <w:rsid w:val="2EF63435"/>
    <w:rsid w:val="2EF67A3C"/>
    <w:rsid w:val="2EFAEB0E"/>
    <w:rsid w:val="2EFD46AE"/>
    <w:rsid w:val="2EFF8930"/>
    <w:rsid w:val="2EFF9CCA"/>
    <w:rsid w:val="2F002574"/>
    <w:rsid w:val="2F029D7C"/>
    <w:rsid w:val="2F0455DE"/>
    <w:rsid w:val="2F0A02B1"/>
    <w:rsid w:val="2F0C458D"/>
    <w:rsid w:val="2F1286FE"/>
    <w:rsid w:val="2F186DD4"/>
    <w:rsid w:val="2F1A5570"/>
    <w:rsid w:val="2F203D33"/>
    <w:rsid w:val="2F22414E"/>
    <w:rsid w:val="2F2246A1"/>
    <w:rsid w:val="2F270E41"/>
    <w:rsid w:val="2F313652"/>
    <w:rsid w:val="2F3298CA"/>
    <w:rsid w:val="2F33A41B"/>
    <w:rsid w:val="2F376DC2"/>
    <w:rsid w:val="2F37B59C"/>
    <w:rsid w:val="2F3BA726"/>
    <w:rsid w:val="2F3D3E97"/>
    <w:rsid w:val="2F48929B"/>
    <w:rsid w:val="2F493E63"/>
    <w:rsid w:val="2F4C7FE9"/>
    <w:rsid w:val="2F557538"/>
    <w:rsid w:val="2F58F370"/>
    <w:rsid w:val="2F59A39E"/>
    <w:rsid w:val="2F59AC89"/>
    <w:rsid w:val="2F5C5E76"/>
    <w:rsid w:val="2F5E40B4"/>
    <w:rsid w:val="2F5EE4D7"/>
    <w:rsid w:val="2F628D3E"/>
    <w:rsid w:val="2F629046"/>
    <w:rsid w:val="2F6634D4"/>
    <w:rsid w:val="2F6A753B"/>
    <w:rsid w:val="2F6B315D"/>
    <w:rsid w:val="2F711D6C"/>
    <w:rsid w:val="2F7362FD"/>
    <w:rsid w:val="2F741F16"/>
    <w:rsid w:val="2F76C0F1"/>
    <w:rsid w:val="2F781D48"/>
    <w:rsid w:val="2F7B7061"/>
    <w:rsid w:val="2F7D74E3"/>
    <w:rsid w:val="2F7E091E"/>
    <w:rsid w:val="2F7FCF6A"/>
    <w:rsid w:val="2F8608E7"/>
    <w:rsid w:val="2F8D1CEF"/>
    <w:rsid w:val="2F8E1D2C"/>
    <w:rsid w:val="2F9307F9"/>
    <w:rsid w:val="2F94CDED"/>
    <w:rsid w:val="2F95AB9F"/>
    <w:rsid w:val="2F95C4A4"/>
    <w:rsid w:val="2F960A2C"/>
    <w:rsid w:val="2F99D0F8"/>
    <w:rsid w:val="2F9D1669"/>
    <w:rsid w:val="2F9DCCD6"/>
    <w:rsid w:val="2FA04EBE"/>
    <w:rsid w:val="2FAC1B57"/>
    <w:rsid w:val="2FB02D6A"/>
    <w:rsid w:val="2FB0C1E5"/>
    <w:rsid w:val="2FBF1FB4"/>
    <w:rsid w:val="2FC4316F"/>
    <w:rsid w:val="2FCBE1E3"/>
    <w:rsid w:val="2FCDDDB5"/>
    <w:rsid w:val="2FCEE0DF"/>
    <w:rsid w:val="2FCFC2F1"/>
    <w:rsid w:val="2FD1371B"/>
    <w:rsid w:val="2FD4FB5D"/>
    <w:rsid w:val="2FD5295C"/>
    <w:rsid w:val="2FD8FFBC"/>
    <w:rsid w:val="2FDA4C27"/>
    <w:rsid w:val="2FDA9F8E"/>
    <w:rsid w:val="2FDB469B"/>
    <w:rsid w:val="2FDD0382"/>
    <w:rsid w:val="2FDDC40B"/>
    <w:rsid w:val="2FDFB889"/>
    <w:rsid w:val="2FE01F7B"/>
    <w:rsid w:val="2FE2094D"/>
    <w:rsid w:val="2FE42587"/>
    <w:rsid w:val="2FE9F9C0"/>
    <w:rsid w:val="2FEB82AB"/>
    <w:rsid w:val="2FECA787"/>
    <w:rsid w:val="2FEDC683"/>
    <w:rsid w:val="2FEF2674"/>
    <w:rsid w:val="2FF7A005"/>
    <w:rsid w:val="2FF8708A"/>
    <w:rsid w:val="2FF97EF9"/>
    <w:rsid w:val="2FFBDCBC"/>
    <w:rsid w:val="300F5FFC"/>
    <w:rsid w:val="30149E7F"/>
    <w:rsid w:val="301589BE"/>
    <w:rsid w:val="3015A0A9"/>
    <w:rsid w:val="30172FD3"/>
    <w:rsid w:val="3018AFE0"/>
    <w:rsid w:val="301EB528"/>
    <w:rsid w:val="3022404F"/>
    <w:rsid w:val="30234899"/>
    <w:rsid w:val="3024D15E"/>
    <w:rsid w:val="3025586E"/>
    <w:rsid w:val="30258878"/>
    <w:rsid w:val="3027236E"/>
    <w:rsid w:val="3029082B"/>
    <w:rsid w:val="302BEB20"/>
    <w:rsid w:val="302C7E10"/>
    <w:rsid w:val="302E0FA9"/>
    <w:rsid w:val="302E33BD"/>
    <w:rsid w:val="302F8F75"/>
    <w:rsid w:val="30318EC8"/>
    <w:rsid w:val="3035A893"/>
    <w:rsid w:val="30366893"/>
    <w:rsid w:val="303801E3"/>
    <w:rsid w:val="303B0D19"/>
    <w:rsid w:val="30476627"/>
    <w:rsid w:val="304D5E12"/>
    <w:rsid w:val="304DF73B"/>
    <w:rsid w:val="3055DB4D"/>
    <w:rsid w:val="3058DD80"/>
    <w:rsid w:val="3064045B"/>
    <w:rsid w:val="3069761A"/>
    <w:rsid w:val="306AEAB3"/>
    <w:rsid w:val="306CA69C"/>
    <w:rsid w:val="3071AF4E"/>
    <w:rsid w:val="30729A24"/>
    <w:rsid w:val="3079C993"/>
    <w:rsid w:val="307C6AB3"/>
    <w:rsid w:val="307E1148"/>
    <w:rsid w:val="3084D51D"/>
    <w:rsid w:val="308837C8"/>
    <w:rsid w:val="3088A5E0"/>
    <w:rsid w:val="30930082"/>
    <w:rsid w:val="3094C49A"/>
    <w:rsid w:val="3094FDA3"/>
    <w:rsid w:val="309A3285"/>
    <w:rsid w:val="309F95DF"/>
    <w:rsid w:val="30A1F809"/>
    <w:rsid w:val="30A7EE99"/>
    <w:rsid w:val="30A9CBAA"/>
    <w:rsid w:val="30B110AE"/>
    <w:rsid w:val="30B11BE5"/>
    <w:rsid w:val="30B1EA18"/>
    <w:rsid w:val="30BBB298"/>
    <w:rsid w:val="30BF2439"/>
    <w:rsid w:val="30C15A3F"/>
    <w:rsid w:val="30C3F597"/>
    <w:rsid w:val="30C4D520"/>
    <w:rsid w:val="30C87A68"/>
    <w:rsid w:val="30CA1B94"/>
    <w:rsid w:val="30CD8CAA"/>
    <w:rsid w:val="30CEC1F2"/>
    <w:rsid w:val="30CFB65B"/>
    <w:rsid w:val="30D0C746"/>
    <w:rsid w:val="30D3F2E5"/>
    <w:rsid w:val="30D6C3BD"/>
    <w:rsid w:val="30E24F7E"/>
    <w:rsid w:val="30E41F72"/>
    <w:rsid w:val="30EE6259"/>
    <w:rsid w:val="30F05F11"/>
    <w:rsid w:val="30FB828C"/>
    <w:rsid w:val="3106959D"/>
    <w:rsid w:val="3107461B"/>
    <w:rsid w:val="31095085"/>
    <w:rsid w:val="310BB075"/>
    <w:rsid w:val="3118C8E6"/>
    <w:rsid w:val="311F5B9C"/>
    <w:rsid w:val="3123C3B9"/>
    <w:rsid w:val="31344CAA"/>
    <w:rsid w:val="313A2F11"/>
    <w:rsid w:val="314DC022"/>
    <w:rsid w:val="314DCCE9"/>
    <w:rsid w:val="3159376C"/>
    <w:rsid w:val="31644BE8"/>
    <w:rsid w:val="3164C138"/>
    <w:rsid w:val="316701F3"/>
    <w:rsid w:val="31672F8F"/>
    <w:rsid w:val="3168A3A6"/>
    <w:rsid w:val="316E5823"/>
    <w:rsid w:val="317066E7"/>
    <w:rsid w:val="3176653F"/>
    <w:rsid w:val="317ACACD"/>
    <w:rsid w:val="317C4CFA"/>
    <w:rsid w:val="317CB1B3"/>
    <w:rsid w:val="317F5321"/>
    <w:rsid w:val="31810338"/>
    <w:rsid w:val="318E7834"/>
    <w:rsid w:val="3191050C"/>
    <w:rsid w:val="3193AA04"/>
    <w:rsid w:val="31951234"/>
    <w:rsid w:val="3197212D"/>
    <w:rsid w:val="319A7FC1"/>
    <w:rsid w:val="319B434B"/>
    <w:rsid w:val="31A05264"/>
    <w:rsid w:val="31A1B5EF"/>
    <w:rsid w:val="31A2B359"/>
    <w:rsid w:val="31A5C5B3"/>
    <w:rsid w:val="31A69A93"/>
    <w:rsid w:val="31A75EC9"/>
    <w:rsid w:val="31AD54D2"/>
    <w:rsid w:val="31AF2FB0"/>
    <w:rsid w:val="31B03560"/>
    <w:rsid w:val="31B7ABF7"/>
    <w:rsid w:val="31C03669"/>
    <w:rsid w:val="31C4CDAB"/>
    <w:rsid w:val="31C56467"/>
    <w:rsid w:val="31C62797"/>
    <w:rsid w:val="31D25FD2"/>
    <w:rsid w:val="31D2A09B"/>
    <w:rsid w:val="31D4ED31"/>
    <w:rsid w:val="31D64000"/>
    <w:rsid w:val="31E3EF58"/>
    <w:rsid w:val="31E75FB2"/>
    <w:rsid w:val="31E991EA"/>
    <w:rsid w:val="31EAA5B5"/>
    <w:rsid w:val="31EC9FE2"/>
    <w:rsid w:val="31F35AE6"/>
    <w:rsid w:val="31F61770"/>
    <w:rsid w:val="31FF8495"/>
    <w:rsid w:val="32009BFF"/>
    <w:rsid w:val="320554F2"/>
    <w:rsid w:val="320ADD15"/>
    <w:rsid w:val="320EF4B1"/>
    <w:rsid w:val="321470FC"/>
    <w:rsid w:val="321E0E3B"/>
    <w:rsid w:val="321F0F6E"/>
    <w:rsid w:val="32207B58"/>
    <w:rsid w:val="322644B7"/>
    <w:rsid w:val="3246182B"/>
    <w:rsid w:val="324744D4"/>
    <w:rsid w:val="324A8285"/>
    <w:rsid w:val="324D35F8"/>
    <w:rsid w:val="3251B31B"/>
    <w:rsid w:val="32531DF6"/>
    <w:rsid w:val="325379A5"/>
    <w:rsid w:val="32563E6E"/>
    <w:rsid w:val="32564618"/>
    <w:rsid w:val="32598B45"/>
    <w:rsid w:val="325BFCCC"/>
    <w:rsid w:val="32631F28"/>
    <w:rsid w:val="3266790D"/>
    <w:rsid w:val="32689EC5"/>
    <w:rsid w:val="326D5CA6"/>
    <w:rsid w:val="32720BE7"/>
    <w:rsid w:val="327937A0"/>
    <w:rsid w:val="327A8DC2"/>
    <w:rsid w:val="327D6866"/>
    <w:rsid w:val="327EC337"/>
    <w:rsid w:val="32847697"/>
    <w:rsid w:val="32862C2A"/>
    <w:rsid w:val="328D2410"/>
    <w:rsid w:val="32918D41"/>
    <w:rsid w:val="32931FC5"/>
    <w:rsid w:val="3298DC94"/>
    <w:rsid w:val="329AB7C2"/>
    <w:rsid w:val="329B0464"/>
    <w:rsid w:val="329B67CC"/>
    <w:rsid w:val="32A13E6C"/>
    <w:rsid w:val="32A2983E"/>
    <w:rsid w:val="32ABE8FD"/>
    <w:rsid w:val="32AF15BD"/>
    <w:rsid w:val="32B5164B"/>
    <w:rsid w:val="32B66DC3"/>
    <w:rsid w:val="32B90930"/>
    <w:rsid w:val="32BAABCF"/>
    <w:rsid w:val="32C81B91"/>
    <w:rsid w:val="32C8AA49"/>
    <w:rsid w:val="32C95964"/>
    <w:rsid w:val="32CB9493"/>
    <w:rsid w:val="32D2B11A"/>
    <w:rsid w:val="32DDABF7"/>
    <w:rsid w:val="32DECCB1"/>
    <w:rsid w:val="32E0BF67"/>
    <w:rsid w:val="32E2ED69"/>
    <w:rsid w:val="32E87185"/>
    <w:rsid w:val="32E9E9AA"/>
    <w:rsid w:val="32F64A22"/>
    <w:rsid w:val="32FA2173"/>
    <w:rsid w:val="32FCD1F8"/>
    <w:rsid w:val="3305AA74"/>
    <w:rsid w:val="330E3E2D"/>
    <w:rsid w:val="330EB91B"/>
    <w:rsid w:val="330ECB57"/>
    <w:rsid w:val="3313CF03"/>
    <w:rsid w:val="33157215"/>
    <w:rsid w:val="3316D5C7"/>
    <w:rsid w:val="331A2982"/>
    <w:rsid w:val="331C9D19"/>
    <w:rsid w:val="331D1C7B"/>
    <w:rsid w:val="3324CEF7"/>
    <w:rsid w:val="3332DAA6"/>
    <w:rsid w:val="3336121F"/>
    <w:rsid w:val="33363EA5"/>
    <w:rsid w:val="333E0A25"/>
    <w:rsid w:val="333EBD0D"/>
    <w:rsid w:val="3344AD43"/>
    <w:rsid w:val="334705CA"/>
    <w:rsid w:val="334A40E0"/>
    <w:rsid w:val="334AB54A"/>
    <w:rsid w:val="334D193F"/>
    <w:rsid w:val="334F0EAC"/>
    <w:rsid w:val="3359D7A9"/>
    <w:rsid w:val="335B7822"/>
    <w:rsid w:val="335C4D77"/>
    <w:rsid w:val="33623974"/>
    <w:rsid w:val="33626AB4"/>
    <w:rsid w:val="3367D8A4"/>
    <w:rsid w:val="336C282C"/>
    <w:rsid w:val="33723B43"/>
    <w:rsid w:val="337561E2"/>
    <w:rsid w:val="33759BDE"/>
    <w:rsid w:val="3377A1F2"/>
    <w:rsid w:val="3377FE0E"/>
    <w:rsid w:val="338AB14C"/>
    <w:rsid w:val="338AF14B"/>
    <w:rsid w:val="33918632"/>
    <w:rsid w:val="33982049"/>
    <w:rsid w:val="33990765"/>
    <w:rsid w:val="339A6603"/>
    <w:rsid w:val="339BBB63"/>
    <w:rsid w:val="33A18773"/>
    <w:rsid w:val="33A560BF"/>
    <w:rsid w:val="33A888F1"/>
    <w:rsid w:val="33A8B0FC"/>
    <w:rsid w:val="33A8D4F5"/>
    <w:rsid w:val="33A8E005"/>
    <w:rsid w:val="33A90334"/>
    <w:rsid w:val="33A97EB3"/>
    <w:rsid w:val="33AB3E7B"/>
    <w:rsid w:val="33AB425A"/>
    <w:rsid w:val="33AC664C"/>
    <w:rsid w:val="33AD6810"/>
    <w:rsid w:val="33AFBC22"/>
    <w:rsid w:val="33B11AC1"/>
    <w:rsid w:val="33B27D6D"/>
    <w:rsid w:val="33B32180"/>
    <w:rsid w:val="33B42A9C"/>
    <w:rsid w:val="33B905C5"/>
    <w:rsid w:val="33C159F7"/>
    <w:rsid w:val="33C6BC90"/>
    <w:rsid w:val="33CD4173"/>
    <w:rsid w:val="33E12A71"/>
    <w:rsid w:val="33E3B15F"/>
    <w:rsid w:val="33E4B98E"/>
    <w:rsid w:val="33E51F2A"/>
    <w:rsid w:val="33E5C0E4"/>
    <w:rsid w:val="33E6A261"/>
    <w:rsid w:val="33F1A12D"/>
    <w:rsid w:val="33F33C34"/>
    <w:rsid w:val="33F4EAF5"/>
    <w:rsid w:val="33FB1333"/>
    <w:rsid w:val="33FC6BFE"/>
    <w:rsid w:val="3405B5D4"/>
    <w:rsid w:val="340E384C"/>
    <w:rsid w:val="3416043B"/>
    <w:rsid w:val="341C25A5"/>
    <w:rsid w:val="341C935B"/>
    <w:rsid w:val="341E665D"/>
    <w:rsid w:val="3429E7B3"/>
    <w:rsid w:val="342AA158"/>
    <w:rsid w:val="344B6820"/>
    <w:rsid w:val="344DB41E"/>
    <w:rsid w:val="344F1621"/>
    <w:rsid w:val="3450AF4D"/>
    <w:rsid w:val="3452475E"/>
    <w:rsid w:val="3453DD5F"/>
    <w:rsid w:val="345A6186"/>
    <w:rsid w:val="34602804"/>
    <w:rsid w:val="34628EF7"/>
    <w:rsid w:val="34659B24"/>
    <w:rsid w:val="346C2718"/>
    <w:rsid w:val="3474CD07"/>
    <w:rsid w:val="34776FA8"/>
    <w:rsid w:val="3480FBAD"/>
    <w:rsid w:val="3481CC90"/>
    <w:rsid w:val="34870006"/>
    <w:rsid w:val="348A3F07"/>
    <w:rsid w:val="348C79DE"/>
    <w:rsid w:val="348EE9C2"/>
    <w:rsid w:val="348F047B"/>
    <w:rsid w:val="3490F789"/>
    <w:rsid w:val="3492AC54"/>
    <w:rsid w:val="3496F533"/>
    <w:rsid w:val="3497FC62"/>
    <w:rsid w:val="3498D116"/>
    <w:rsid w:val="3499B19B"/>
    <w:rsid w:val="349E4A99"/>
    <w:rsid w:val="349F02AD"/>
    <w:rsid w:val="34A12608"/>
    <w:rsid w:val="34A1C120"/>
    <w:rsid w:val="34A270F2"/>
    <w:rsid w:val="34A3416F"/>
    <w:rsid w:val="34A9F853"/>
    <w:rsid w:val="34AB8B86"/>
    <w:rsid w:val="34ABEE80"/>
    <w:rsid w:val="34ADADA7"/>
    <w:rsid w:val="34ADCE6C"/>
    <w:rsid w:val="34B2F16A"/>
    <w:rsid w:val="34B5C6A8"/>
    <w:rsid w:val="34B6024D"/>
    <w:rsid w:val="34B7CE6F"/>
    <w:rsid w:val="34B88A84"/>
    <w:rsid w:val="34BB0046"/>
    <w:rsid w:val="34BD151F"/>
    <w:rsid w:val="34BE06F8"/>
    <w:rsid w:val="34BE5F34"/>
    <w:rsid w:val="34BEA5E8"/>
    <w:rsid w:val="34C1C099"/>
    <w:rsid w:val="34C691C3"/>
    <w:rsid w:val="34CAA513"/>
    <w:rsid w:val="34CDD620"/>
    <w:rsid w:val="34D2B02C"/>
    <w:rsid w:val="34DF034E"/>
    <w:rsid w:val="34DF4AD1"/>
    <w:rsid w:val="34E833E6"/>
    <w:rsid w:val="34E9FB1B"/>
    <w:rsid w:val="34EC2F78"/>
    <w:rsid w:val="34F1CB22"/>
    <w:rsid w:val="34F97582"/>
    <w:rsid w:val="34FA5A54"/>
    <w:rsid w:val="3500F6C9"/>
    <w:rsid w:val="350DD8CC"/>
    <w:rsid w:val="3512CBAD"/>
    <w:rsid w:val="35149E97"/>
    <w:rsid w:val="3515DB96"/>
    <w:rsid w:val="351AA29F"/>
    <w:rsid w:val="351C4770"/>
    <w:rsid w:val="351F04E2"/>
    <w:rsid w:val="35204340"/>
    <w:rsid w:val="35224B8D"/>
    <w:rsid w:val="3522DF51"/>
    <w:rsid w:val="352497EC"/>
    <w:rsid w:val="35260DA0"/>
    <w:rsid w:val="352B7634"/>
    <w:rsid w:val="35334F09"/>
    <w:rsid w:val="3533600B"/>
    <w:rsid w:val="353A771C"/>
    <w:rsid w:val="3543C73F"/>
    <w:rsid w:val="3544DDFB"/>
    <w:rsid w:val="35459AE7"/>
    <w:rsid w:val="354BDB98"/>
    <w:rsid w:val="354EDA1B"/>
    <w:rsid w:val="3550BDD5"/>
    <w:rsid w:val="3553E54C"/>
    <w:rsid w:val="3557608F"/>
    <w:rsid w:val="355775CA"/>
    <w:rsid w:val="3558668F"/>
    <w:rsid w:val="3558F7BA"/>
    <w:rsid w:val="35604318"/>
    <w:rsid w:val="35621512"/>
    <w:rsid w:val="35674058"/>
    <w:rsid w:val="356C8DBD"/>
    <w:rsid w:val="357F3429"/>
    <w:rsid w:val="35846B89"/>
    <w:rsid w:val="3586E5C5"/>
    <w:rsid w:val="358AD2E0"/>
    <w:rsid w:val="358BDCFF"/>
    <w:rsid w:val="358BE8E7"/>
    <w:rsid w:val="358E723A"/>
    <w:rsid w:val="358E89D6"/>
    <w:rsid w:val="3599BF0C"/>
    <w:rsid w:val="3599E6B7"/>
    <w:rsid w:val="359AF5BC"/>
    <w:rsid w:val="35A7F283"/>
    <w:rsid w:val="35A8D69D"/>
    <w:rsid w:val="35A970FA"/>
    <w:rsid w:val="35AF0427"/>
    <w:rsid w:val="35B15875"/>
    <w:rsid w:val="35B47CCA"/>
    <w:rsid w:val="35B57022"/>
    <w:rsid w:val="35B691F1"/>
    <w:rsid w:val="35B99624"/>
    <w:rsid w:val="35BA6E60"/>
    <w:rsid w:val="35C55A05"/>
    <w:rsid w:val="35C6D036"/>
    <w:rsid w:val="35CEA9F8"/>
    <w:rsid w:val="35D3AD88"/>
    <w:rsid w:val="35D587D7"/>
    <w:rsid w:val="35DDE772"/>
    <w:rsid w:val="35E9673C"/>
    <w:rsid w:val="35EA9A64"/>
    <w:rsid w:val="35EE2D4E"/>
    <w:rsid w:val="35F27F86"/>
    <w:rsid w:val="35FB2628"/>
    <w:rsid w:val="35FC3400"/>
    <w:rsid w:val="35FCEAE2"/>
    <w:rsid w:val="3605E0FE"/>
    <w:rsid w:val="360982CA"/>
    <w:rsid w:val="360CF2A5"/>
    <w:rsid w:val="360D95D0"/>
    <w:rsid w:val="360EEF72"/>
    <w:rsid w:val="3615DAE6"/>
    <w:rsid w:val="36169442"/>
    <w:rsid w:val="361D8688"/>
    <w:rsid w:val="362484FD"/>
    <w:rsid w:val="363B72A1"/>
    <w:rsid w:val="363C37BA"/>
    <w:rsid w:val="363E35AB"/>
    <w:rsid w:val="364006D7"/>
    <w:rsid w:val="3643B99A"/>
    <w:rsid w:val="36496F66"/>
    <w:rsid w:val="364AEB48"/>
    <w:rsid w:val="364D0C26"/>
    <w:rsid w:val="364ED5AA"/>
    <w:rsid w:val="36500A89"/>
    <w:rsid w:val="36557386"/>
    <w:rsid w:val="3656048C"/>
    <w:rsid w:val="365668FA"/>
    <w:rsid w:val="365D4B3B"/>
    <w:rsid w:val="365DEF0C"/>
    <w:rsid w:val="366094A7"/>
    <w:rsid w:val="3660E151"/>
    <w:rsid w:val="3662A1E8"/>
    <w:rsid w:val="3666224A"/>
    <w:rsid w:val="366C106F"/>
    <w:rsid w:val="366C79D8"/>
    <w:rsid w:val="36779188"/>
    <w:rsid w:val="367C5158"/>
    <w:rsid w:val="367DCF3D"/>
    <w:rsid w:val="36810493"/>
    <w:rsid w:val="3685B98A"/>
    <w:rsid w:val="3685C46B"/>
    <w:rsid w:val="368AE55E"/>
    <w:rsid w:val="368DD8E5"/>
    <w:rsid w:val="368EEB1A"/>
    <w:rsid w:val="36917A9A"/>
    <w:rsid w:val="36947932"/>
    <w:rsid w:val="3697966E"/>
    <w:rsid w:val="369A6A4F"/>
    <w:rsid w:val="369C068D"/>
    <w:rsid w:val="369DB39C"/>
    <w:rsid w:val="369DE257"/>
    <w:rsid w:val="36A1C105"/>
    <w:rsid w:val="36A559A6"/>
    <w:rsid w:val="36A6294B"/>
    <w:rsid w:val="36A935A5"/>
    <w:rsid w:val="36AA028E"/>
    <w:rsid w:val="36AE50B5"/>
    <w:rsid w:val="36AFA2B6"/>
    <w:rsid w:val="36B6A1CE"/>
    <w:rsid w:val="36B6BEB1"/>
    <w:rsid w:val="36B6CBAE"/>
    <w:rsid w:val="36B8959A"/>
    <w:rsid w:val="36B8BF54"/>
    <w:rsid w:val="36B9642D"/>
    <w:rsid w:val="36BFB03E"/>
    <w:rsid w:val="36C40213"/>
    <w:rsid w:val="36C676BA"/>
    <w:rsid w:val="36CCA2AA"/>
    <w:rsid w:val="36CDD07D"/>
    <w:rsid w:val="36D01C60"/>
    <w:rsid w:val="36D5E6A4"/>
    <w:rsid w:val="36E71E26"/>
    <w:rsid w:val="36E7FF06"/>
    <w:rsid w:val="36ECAACC"/>
    <w:rsid w:val="36EE548B"/>
    <w:rsid w:val="36F2703E"/>
    <w:rsid w:val="36F65510"/>
    <w:rsid w:val="36F6B14E"/>
    <w:rsid w:val="36F735AF"/>
    <w:rsid w:val="36FD816E"/>
    <w:rsid w:val="36FEEE69"/>
    <w:rsid w:val="37035FC2"/>
    <w:rsid w:val="371250EB"/>
    <w:rsid w:val="3714F808"/>
    <w:rsid w:val="371A09E4"/>
    <w:rsid w:val="371DA17A"/>
    <w:rsid w:val="371E6648"/>
    <w:rsid w:val="3727BD90"/>
    <w:rsid w:val="3728B12C"/>
    <w:rsid w:val="3728C899"/>
    <w:rsid w:val="3733C915"/>
    <w:rsid w:val="37347C55"/>
    <w:rsid w:val="3736BD7E"/>
    <w:rsid w:val="373F7B28"/>
    <w:rsid w:val="3751131C"/>
    <w:rsid w:val="375AB109"/>
    <w:rsid w:val="375D68E4"/>
    <w:rsid w:val="37601300"/>
    <w:rsid w:val="376238F7"/>
    <w:rsid w:val="376B8796"/>
    <w:rsid w:val="376FC3D0"/>
    <w:rsid w:val="37753D79"/>
    <w:rsid w:val="37769640"/>
    <w:rsid w:val="3777A20B"/>
    <w:rsid w:val="37784D34"/>
    <w:rsid w:val="377E9BCC"/>
    <w:rsid w:val="378304B8"/>
    <w:rsid w:val="3794F9CE"/>
    <w:rsid w:val="37958B7D"/>
    <w:rsid w:val="37A14FD3"/>
    <w:rsid w:val="37A5118E"/>
    <w:rsid w:val="37A6B9B1"/>
    <w:rsid w:val="37B38384"/>
    <w:rsid w:val="37B7F471"/>
    <w:rsid w:val="37B9CA0E"/>
    <w:rsid w:val="37C1FF8A"/>
    <w:rsid w:val="37C234F0"/>
    <w:rsid w:val="37C31355"/>
    <w:rsid w:val="37C583BC"/>
    <w:rsid w:val="37C58BA7"/>
    <w:rsid w:val="37CD5B8E"/>
    <w:rsid w:val="37D323CC"/>
    <w:rsid w:val="37DF97D7"/>
    <w:rsid w:val="37E1CEF7"/>
    <w:rsid w:val="37E42BB0"/>
    <w:rsid w:val="37E6BD82"/>
    <w:rsid w:val="37E8B406"/>
    <w:rsid w:val="37E92D18"/>
    <w:rsid w:val="37EB4760"/>
    <w:rsid w:val="37F025BE"/>
    <w:rsid w:val="37F15D7F"/>
    <w:rsid w:val="37F2703A"/>
    <w:rsid w:val="37F3618B"/>
    <w:rsid w:val="37F4E86A"/>
    <w:rsid w:val="37F6261E"/>
    <w:rsid w:val="37FC96B6"/>
    <w:rsid w:val="37FE4ABF"/>
    <w:rsid w:val="37FF151E"/>
    <w:rsid w:val="37FF60B4"/>
    <w:rsid w:val="38062A4E"/>
    <w:rsid w:val="3806C54E"/>
    <w:rsid w:val="380871DE"/>
    <w:rsid w:val="38093A1E"/>
    <w:rsid w:val="380C5B7C"/>
    <w:rsid w:val="3815A2C8"/>
    <w:rsid w:val="3816E5C8"/>
    <w:rsid w:val="38188FD9"/>
    <w:rsid w:val="3818F8DB"/>
    <w:rsid w:val="382688C4"/>
    <w:rsid w:val="383176D7"/>
    <w:rsid w:val="38330276"/>
    <w:rsid w:val="383C0641"/>
    <w:rsid w:val="383E7CC2"/>
    <w:rsid w:val="385510C3"/>
    <w:rsid w:val="38560359"/>
    <w:rsid w:val="38585397"/>
    <w:rsid w:val="38590C66"/>
    <w:rsid w:val="38593EA4"/>
    <w:rsid w:val="385F5BB9"/>
    <w:rsid w:val="3864E007"/>
    <w:rsid w:val="386B8CAD"/>
    <w:rsid w:val="3875B19C"/>
    <w:rsid w:val="3877924B"/>
    <w:rsid w:val="387F74A4"/>
    <w:rsid w:val="38829768"/>
    <w:rsid w:val="38851A2A"/>
    <w:rsid w:val="3887AC8E"/>
    <w:rsid w:val="3891267F"/>
    <w:rsid w:val="3898AD51"/>
    <w:rsid w:val="389A9455"/>
    <w:rsid w:val="38A63D43"/>
    <w:rsid w:val="38A9DA7E"/>
    <w:rsid w:val="38AB7C07"/>
    <w:rsid w:val="38AB8A19"/>
    <w:rsid w:val="38B32015"/>
    <w:rsid w:val="38B5AB6A"/>
    <w:rsid w:val="38B741D0"/>
    <w:rsid w:val="38BA2CBF"/>
    <w:rsid w:val="38BF0D17"/>
    <w:rsid w:val="38C3F54E"/>
    <w:rsid w:val="38C798A8"/>
    <w:rsid w:val="38CE321B"/>
    <w:rsid w:val="38CF49E4"/>
    <w:rsid w:val="38D0353C"/>
    <w:rsid w:val="38D77A0D"/>
    <w:rsid w:val="38DA5DA1"/>
    <w:rsid w:val="38DC0A7C"/>
    <w:rsid w:val="38DF692D"/>
    <w:rsid w:val="38E0CAD2"/>
    <w:rsid w:val="38E4AB56"/>
    <w:rsid w:val="38E4F500"/>
    <w:rsid w:val="38EE8131"/>
    <w:rsid w:val="38F18792"/>
    <w:rsid w:val="38F512CA"/>
    <w:rsid w:val="38F9BDCE"/>
    <w:rsid w:val="38FC6B64"/>
    <w:rsid w:val="38FE10F4"/>
    <w:rsid w:val="391256E6"/>
    <w:rsid w:val="3917354E"/>
    <w:rsid w:val="391970C8"/>
    <w:rsid w:val="391B37DD"/>
    <w:rsid w:val="391C6BD4"/>
    <w:rsid w:val="391D05B4"/>
    <w:rsid w:val="391E3A8B"/>
    <w:rsid w:val="391EAC27"/>
    <w:rsid w:val="392226A2"/>
    <w:rsid w:val="39254FF8"/>
    <w:rsid w:val="39269A1A"/>
    <w:rsid w:val="39284CD7"/>
    <w:rsid w:val="392A48BF"/>
    <w:rsid w:val="3930E75D"/>
    <w:rsid w:val="3933BE87"/>
    <w:rsid w:val="3934CC5B"/>
    <w:rsid w:val="39390FF4"/>
    <w:rsid w:val="393A22D4"/>
    <w:rsid w:val="393CC82D"/>
    <w:rsid w:val="39422AC8"/>
    <w:rsid w:val="394283DB"/>
    <w:rsid w:val="39436ABC"/>
    <w:rsid w:val="39481036"/>
    <w:rsid w:val="394CADC5"/>
    <w:rsid w:val="394D541B"/>
    <w:rsid w:val="39514C22"/>
    <w:rsid w:val="3951D049"/>
    <w:rsid w:val="3955D7E1"/>
    <w:rsid w:val="395ADBD7"/>
    <w:rsid w:val="39652A5C"/>
    <w:rsid w:val="3965538F"/>
    <w:rsid w:val="396A26A8"/>
    <w:rsid w:val="39743D33"/>
    <w:rsid w:val="3974AC67"/>
    <w:rsid w:val="3976C01B"/>
    <w:rsid w:val="397ECBE1"/>
    <w:rsid w:val="398563FF"/>
    <w:rsid w:val="3991AEF2"/>
    <w:rsid w:val="39921DAF"/>
    <w:rsid w:val="39941A19"/>
    <w:rsid w:val="39967C06"/>
    <w:rsid w:val="399B706E"/>
    <w:rsid w:val="39A5481E"/>
    <w:rsid w:val="39A78885"/>
    <w:rsid w:val="39AEA541"/>
    <w:rsid w:val="39B38B11"/>
    <w:rsid w:val="39BE58D4"/>
    <w:rsid w:val="39C14118"/>
    <w:rsid w:val="39C15719"/>
    <w:rsid w:val="39C34290"/>
    <w:rsid w:val="39C448AC"/>
    <w:rsid w:val="39C5A03E"/>
    <w:rsid w:val="39C88FB0"/>
    <w:rsid w:val="39C9BD4B"/>
    <w:rsid w:val="39CE1C3A"/>
    <w:rsid w:val="39CE2AD4"/>
    <w:rsid w:val="39D5F529"/>
    <w:rsid w:val="39DFC8AF"/>
    <w:rsid w:val="39E2743F"/>
    <w:rsid w:val="39E39CD0"/>
    <w:rsid w:val="39E419A5"/>
    <w:rsid w:val="39E456EF"/>
    <w:rsid w:val="39E6E165"/>
    <w:rsid w:val="39EC4F98"/>
    <w:rsid w:val="39EE90F6"/>
    <w:rsid w:val="39EFBE4D"/>
    <w:rsid w:val="39F4A303"/>
    <w:rsid w:val="39F7CB6E"/>
    <w:rsid w:val="3A0B7CE5"/>
    <w:rsid w:val="3A0BAD1C"/>
    <w:rsid w:val="3A0E01EE"/>
    <w:rsid w:val="3A0F15C1"/>
    <w:rsid w:val="3A0F9AF1"/>
    <w:rsid w:val="3A10FA3F"/>
    <w:rsid w:val="3A123D07"/>
    <w:rsid w:val="3A169660"/>
    <w:rsid w:val="3A17F3ED"/>
    <w:rsid w:val="3A19CF7C"/>
    <w:rsid w:val="3A1F6B8C"/>
    <w:rsid w:val="3A1FF20E"/>
    <w:rsid w:val="3A213971"/>
    <w:rsid w:val="3A218B85"/>
    <w:rsid w:val="3A24C896"/>
    <w:rsid w:val="3A25E4BD"/>
    <w:rsid w:val="3A295F20"/>
    <w:rsid w:val="3A2FF0EA"/>
    <w:rsid w:val="3A325028"/>
    <w:rsid w:val="3A33F83A"/>
    <w:rsid w:val="3A3B0FE8"/>
    <w:rsid w:val="3A4819FD"/>
    <w:rsid w:val="3A484847"/>
    <w:rsid w:val="3A4BEE60"/>
    <w:rsid w:val="3A52F5AC"/>
    <w:rsid w:val="3A5D7E03"/>
    <w:rsid w:val="3A6310DF"/>
    <w:rsid w:val="3A66335A"/>
    <w:rsid w:val="3A6C0892"/>
    <w:rsid w:val="3A713920"/>
    <w:rsid w:val="3A723098"/>
    <w:rsid w:val="3A72B881"/>
    <w:rsid w:val="3A73F931"/>
    <w:rsid w:val="3A75D22E"/>
    <w:rsid w:val="3A778004"/>
    <w:rsid w:val="3A78B1B7"/>
    <w:rsid w:val="3A7C8881"/>
    <w:rsid w:val="3A869D32"/>
    <w:rsid w:val="3A89173A"/>
    <w:rsid w:val="3A8ADF40"/>
    <w:rsid w:val="3A8CB390"/>
    <w:rsid w:val="3A8EEC1C"/>
    <w:rsid w:val="3A93B9E2"/>
    <w:rsid w:val="3A97F253"/>
    <w:rsid w:val="3A9D071C"/>
    <w:rsid w:val="3AA0DCBC"/>
    <w:rsid w:val="3AA1B7E3"/>
    <w:rsid w:val="3AA267E4"/>
    <w:rsid w:val="3AA3AF37"/>
    <w:rsid w:val="3AA6E333"/>
    <w:rsid w:val="3AA79097"/>
    <w:rsid w:val="3AA7F865"/>
    <w:rsid w:val="3AA909F6"/>
    <w:rsid w:val="3AA9A02C"/>
    <w:rsid w:val="3AAE1178"/>
    <w:rsid w:val="3AAEABFF"/>
    <w:rsid w:val="3AB42637"/>
    <w:rsid w:val="3AB4D441"/>
    <w:rsid w:val="3AB63CA6"/>
    <w:rsid w:val="3AB65EED"/>
    <w:rsid w:val="3AB7817F"/>
    <w:rsid w:val="3AC0C99B"/>
    <w:rsid w:val="3AC2F3CB"/>
    <w:rsid w:val="3AC33931"/>
    <w:rsid w:val="3AC4A448"/>
    <w:rsid w:val="3AC5CFC0"/>
    <w:rsid w:val="3AC7633E"/>
    <w:rsid w:val="3ACC7AAB"/>
    <w:rsid w:val="3ACF37F3"/>
    <w:rsid w:val="3ACF5991"/>
    <w:rsid w:val="3AD0331B"/>
    <w:rsid w:val="3ADEBE9F"/>
    <w:rsid w:val="3AE3A4DC"/>
    <w:rsid w:val="3AE72DB1"/>
    <w:rsid w:val="3AE911C7"/>
    <w:rsid w:val="3AF3EB56"/>
    <w:rsid w:val="3AFFD211"/>
    <w:rsid w:val="3B04B071"/>
    <w:rsid w:val="3B0B7F2A"/>
    <w:rsid w:val="3B1394D0"/>
    <w:rsid w:val="3B15BAAB"/>
    <w:rsid w:val="3B1A7EB8"/>
    <w:rsid w:val="3B1AB504"/>
    <w:rsid w:val="3B1E40F4"/>
    <w:rsid w:val="3B1E646F"/>
    <w:rsid w:val="3B1F43FE"/>
    <w:rsid w:val="3B2320C9"/>
    <w:rsid w:val="3B25027D"/>
    <w:rsid w:val="3B285701"/>
    <w:rsid w:val="3B298443"/>
    <w:rsid w:val="3B2E4A4B"/>
    <w:rsid w:val="3B379585"/>
    <w:rsid w:val="3B38CB2B"/>
    <w:rsid w:val="3B3DE83C"/>
    <w:rsid w:val="3B467849"/>
    <w:rsid w:val="3B49DF43"/>
    <w:rsid w:val="3B4A9C04"/>
    <w:rsid w:val="3B5989F5"/>
    <w:rsid w:val="3B5BA4EF"/>
    <w:rsid w:val="3B63549F"/>
    <w:rsid w:val="3B64B24B"/>
    <w:rsid w:val="3B6983C0"/>
    <w:rsid w:val="3B6A3776"/>
    <w:rsid w:val="3B6C78BA"/>
    <w:rsid w:val="3B6D8F0C"/>
    <w:rsid w:val="3B71E2ED"/>
    <w:rsid w:val="3B7364A9"/>
    <w:rsid w:val="3B7F868C"/>
    <w:rsid w:val="3B831343"/>
    <w:rsid w:val="3B873789"/>
    <w:rsid w:val="3B88C0D9"/>
    <w:rsid w:val="3B8B00EA"/>
    <w:rsid w:val="3B8F7275"/>
    <w:rsid w:val="3B91016B"/>
    <w:rsid w:val="3B94E1BA"/>
    <w:rsid w:val="3B94E6E9"/>
    <w:rsid w:val="3BA30B41"/>
    <w:rsid w:val="3BA8C6C8"/>
    <w:rsid w:val="3BAC4C7A"/>
    <w:rsid w:val="3BB1BDDD"/>
    <w:rsid w:val="3BB3D92D"/>
    <w:rsid w:val="3BB442B1"/>
    <w:rsid w:val="3BB8E3D5"/>
    <w:rsid w:val="3BB9484A"/>
    <w:rsid w:val="3BBE27DB"/>
    <w:rsid w:val="3BC065F4"/>
    <w:rsid w:val="3BC13458"/>
    <w:rsid w:val="3BC2C6E0"/>
    <w:rsid w:val="3BC88F58"/>
    <w:rsid w:val="3BC913F1"/>
    <w:rsid w:val="3BCAE571"/>
    <w:rsid w:val="3BD2D3E9"/>
    <w:rsid w:val="3BD633ED"/>
    <w:rsid w:val="3BD9E0FA"/>
    <w:rsid w:val="3BDEF69E"/>
    <w:rsid w:val="3BDF56EA"/>
    <w:rsid w:val="3BE074C6"/>
    <w:rsid w:val="3BE4DBBB"/>
    <w:rsid w:val="3BEA3453"/>
    <w:rsid w:val="3BEAB9C7"/>
    <w:rsid w:val="3BEF35C9"/>
    <w:rsid w:val="3BF011C9"/>
    <w:rsid w:val="3BF33E0A"/>
    <w:rsid w:val="3BF7A6C1"/>
    <w:rsid w:val="3BF8BAAE"/>
    <w:rsid w:val="3C024A35"/>
    <w:rsid w:val="3C02DF76"/>
    <w:rsid w:val="3C055245"/>
    <w:rsid w:val="3C0DFAA0"/>
    <w:rsid w:val="3C12CF67"/>
    <w:rsid w:val="3C1A1D25"/>
    <w:rsid w:val="3C20504C"/>
    <w:rsid w:val="3C21063A"/>
    <w:rsid w:val="3C2ED9A8"/>
    <w:rsid w:val="3C3757C4"/>
    <w:rsid w:val="3C3B3BCE"/>
    <w:rsid w:val="3C3C834B"/>
    <w:rsid w:val="3C3CDAA3"/>
    <w:rsid w:val="3C408CFA"/>
    <w:rsid w:val="3C42F22B"/>
    <w:rsid w:val="3C460313"/>
    <w:rsid w:val="3C490984"/>
    <w:rsid w:val="3C51D74E"/>
    <w:rsid w:val="3C520A78"/>
    <w:rsid w:val="3C534D2A"/>
    <w:rsid w:val="3C55F190"/>
    <w:rsid w:val="3C57BD1E"/>
    <w:rsid w:val="3C585EDB"/>
    <w:rsid w:val="3C5EF3C0"/>
    <w:rsid w:val="3C767910"/>
    <w:rsid w:val="3C7BC003"/>
    <w:rsid w:val="3C7F1BDB"/>
    <w:rsid w:val="3C80FEBF"/>
    <w:rsid w:val="3C882F6B"/>
    <w:rsid w:val="3C8F96DA"/>
    <w:rsid w:val="3C981EC1"/>
    <w:rsid w:val="3C98AE5D"/>
    <w:rsid w:val="3C991CF1"/>
    <w:rsid w:val="3C9CC3C8"/>
    <w:rsid w:val="3CA00890"/>
    <w:rsid w:val="3CA2E008"/>
    <w:rsid w:val="3CA4F746"/>
    <w:rsid w:val="3CA69E31"/>
    <w:rsid w:val="3CA6C523"/>
    <w:rsid w:val="3CA7E212"/>
    <w:rsid w:val="3CA93350"/>
    <w:rsid w:val="3CA9B434"/>
    <w:rsid w:val="3CAA04E4"/>
    <w:rsid w:val="3CAA5EA7"/>
    <w:rsid w:val="3CAAD10D"/>
    <w:rsid w:val="3CB1352B"/>
    <w:rsid w:val="3CBA12C1"/>
    <w:rsid w:val="3CBCAD8A"/>
    <w:rsid w:val="3CBDB1DC"/>
    <w:rsid w:val="3CC06F53"/>
    <w:rsid w:val="3CC67921"/>
    <w:rsid w:val="3CC98590"/>
    <w:rsid w:val="3CCF5996"/>
    <w:rsid w:val="3CD23049"/>
    <w:rsid w:val="3CD80DAE"/>
    <w:rsid w:val="3CDD18FF"/>
    <w:rsid w:val="3CE59294"/>
    <w:rsid w:val="3CE6EA95"/>
    <w:rsid w:val="3CE7F565"/>
    <w:rsid w:val="3CE825F3"/>
    <w:rsid w:val="3CEE072C"/>
    <w:rsid w:val="3CF2E636"/>
    <w:rsid w:val="3CF2F32C"/>
    <w:rsid w:val="3CF5B7BA"/>
    <w:rsid w:val="3CF81922"/>
    <w:rsid w:val="3CFA247C"/>
    <w:rsid w:val="3CFB166E"/>
    <w:rsid w:val="3CFF89E0"/>
    <w:rsid w:val="3D012BEA"/>
    <w:rsid w:val="3D0B62F0"/>
    <w:rsid w:val="3D0B66FE"/>
    <w:rsid w:val="3D0D998B"/>
    <w:rsid w:val="3D0F9BFC"/>
    <w:rsid w:val="3D111B55"/>
    <w:rsid w:val="3D117953"/>
    <w:rsid w:val="3D15289E"/>
    <w:rsid w:val="3D1597D0"/>
    <w:rsid w:val="3D1D7E6C"/>
    <w:rsid w:val="3D231E03"/>
    <w:rsid w:val="3D3370E2"/>
    <w:rsid w:val="3D36DF53"/>
    <w:rsid w:val="3D378FDC"/>
    <w:rsid w:val="3D383CCE"/>
    <w:rsid w:val="3D3A4902"/>
    <w:rsid w:val="3D3BC6EA"/>
    <w:rsid w:val="3D3F9586"/>
    <w:rsid w:val="3D424CC6"/>
    <w:rsid w:val="3D4364AC"/>
    <w:rsid w:val="3D4ADFDB"/>
    <w:rsid w:val="3D518B4E"/>
    <w:rsid w:val="3D56A1E1"/>
    <w:rsid w:val="3D58669F"/>
    <w:rsid w:val="3D5DB56A"/>
    <w:rsid w:val="3D5F42E0"/>
    <w:rsid w:val="3D6C328D"/>
    <w:rsid w:val="3D70D35F"/>
    <w:rsid w:val="3D71014A"/>
    <w:rsid w:val="3D73DE14"/>
    <w:rsid w:val="3D75FC7E"/>
    <w:rsid w:val="3D7781FA"/>
    <w:rsid w:val="3D7E65F3"/>
    <w:rsid w:val="3D84D6DB"/>
    <w:rsid w:val="3D880BA8"/>
    <w:rsid w:val="3D8CCA29"/>
    <w:rsid w:val="3D8CF07F"/>
    <w:rsid w:val="3D8D58F0"/>
    <w:rsid w:val="3D8DB311"/>
    <w:rsid w:val="3D91076C"/>
    <w:rsid w:val="3D95E0C9"/>
    <w:rsid w:val="3DA06CC0"/>
    <w:rsid w:val="3DA115EC"/>
    <w:rsid w:val="3DA3D716"/>
    <w:rsid w:val="3DB1C705"/>
    <w:rsid w:val="3DB498E8"/>
    <w:rsid w:val="3DC6365A"/>
    <w:rsid w:val="3DC8AD34"/>
    <w:rsid w:val="3DCB1A3C"/>
    <w:rsid w:val="3DCB3FCC"/>
    <w:rsid w:val="3DCCEAC1"/>
    <w:rsid w:val="3DCD151C"/>
    <w:rsid w:val="3DDAFC8F"/>
    <w:rsid w:val="3DE07304"/>
    <w:rsid w:val="3DE6E2F1"/>
    <w:rsid w:val="3DE76DAF"/>
    <w:rsid w:val="3DE99664"/>
    <w:rsid w:val="3DEB1506"/>
    <w:rsid w:val="3DED3B5E"/>
    <w:rsid w:val="3DEDE995"/>
    <w:rsid w:val="3DF06D96"/>
    <w:rsid w:val="3DFA8CB5"/>
    <w:rsid w:val="3DFDFC4B"/>
    <w:rsid w:val="3DFFC437"/>
    <w:rsid w:val="3E01E55D"/>
    <w:rsid w:val="3E091F07"/>
    <w:rsid w:val="3E0B51A3"/>
    <w:rsid w:val="3E0D4501"/>
    <w:rsid w:val="3E0D84DD"/>
    <w:rsid w:val="3E0F3367"/>
    <w:rsid w:val="3E144CBC"/>
    <w:rsid w:val="3E14E2B4"/>
    <w:rsid w:val="3E16A72E"/>
    <w:rsid w:val="3E16BFA1"/>
    <w:rsid w:val="3E16FADC"/>
    <w:rsid w:val="3E18DF4A"/>
    <w:rsid w:val="3E25F447"/>
    <w:rsid w:val="3E272DE6"/>
    <w:rsid w:val="3E3397A4"/>
    <w:rsid w:val="3E352499"/>
    <w:rsid w:val="3E352DA6"/>
    <w:rsid w:val="3E36EA8F"/>
    <w:rsid w:val="3E3AD6D4"/>
    <w:rsid w:val="3E3C0015"/>
    <w:rsid w:val="3E3CCD66"/>
    <w:rsid w:val="3E40640A"/>
    <w:rsid w:val="3E45ECD3"/>
    <w:rsid w:val="3E513321"/>
    <w:rsid w:val="3E51CBBC"/>
    <w:rsid w:val="3E53DFB9"/>
    <w:rsid w:val="3E56C17D"/>
    <w:rsid w:val="3E583D28"/>
    <w:rsid w:val="3E5BD588"/>
    <w:rsid w:val="3E5C6FD3"/>
    <w:rsid w:val="3E5D1EDE"/>
    <w:rsid w:val="3E6182B8"/>
    <w:rsid w:val="3E6DDF84"/>
    <w:rsid w:val="3E70D19B"/>
    <w:rsid w:val="3E72FD4B"/>
    <w:rsid w:val="3E74BFAC"/>
    <w:rsid w:val="3E75AB6B"/>
    <w:rsid w:val="3E779CC0"/>
    <w:rsid w:val="3E78C0FF"/>
    <w:rsid w:val="3E83EE01"/>
    <w:rsid w:val="3E864F8F"/>
    <w:rsid w:val="3E869240"/>
    <w:rsid w:val="3E87F27B"/>
    <w:rsid w:val="3E8A6ADB"/>
    <w:rsid w:val="3E92C7ED"/>
    <w:rsid w:val="3E96C488"/>
    <w:rsid w:val="3E99126D"/>
    <w:rsid w:val="3EA0EF63"/>
    <w:rsid w:val="3EA5D47E"/>
    <w:rsid w:val="3EA6B5FD"/>
    <w:rsid w:val="3EABD9FC"/>
    <w:rsid w:val="3EB0A974"/>
    <w:rsid w:val="3EB0CA68"/>
    <w:rsid w:val="3EB1A799"/>
    <w:rsid w:val="3EB577E5"/>
    <w:rsid w:val="3EB670FB"/>
    <w:rsid w:val="3EB8C327"/>
    <w:rsid w:val="3EC1D777"/>
    <w:rsid w:val="3EC8866F"/>
    <w:rsid w:val="3EC99255"/>
    <w:rsid w:val="3ECA3358"/>
    <w:rsid w:val="3ECA530B"/>
    <w:rsid w:val="3ECAF58E"/>
    <w:rsid w:val="3ED0E5AD"/>
    <w:rsid w:val="3ED2406E"/>
    <w:rsid w:val="3ED518EA"/>
    <w:rsid w:val="3ED6AF05"/>
    <w:rsid w:val="3ED796AB"/>
    <w:rsid w:val="3EDDF03B"/>
    <w:rsid w:val="3EDE76B5"/>
    <w:rsid w:val="3EE1FED8"/>
    <w:rsid w:val="3EE2603E"/>
    <w:rsid w:val="3EE5F2CC"/>
    <w:rsid w:val="3EE9BE37"/>
    <w:rsid w:val="3EED9883"/>
    <w:rsid w:val="3EF4D81E"/>
    <w:rsid w:val="3EF5A8CB"/>
    <w:rsid w:val="3EFA825F"/>
    <w:rsid w:val="3EFAA4AF"/>
    <w:rsid w:val="3EFDF519"/>
    <w:rsid w:val="3F02ECC0"/>
    <w:rsid w:val="3F047C15"/>
    <w:rsid w:val="3F0D6CF2"/>
    <w:rsid w:val="3F11056D"/>
    <w:rsid w:val="3F12D8B0"/>
    <w:rsid w:val="3F158427"/>
    <w:rsid w:val="3F1D9D7C"/>
    <w:rsid w:val="3F1DF396"/>
    <w:rsid w:val="3F1E8078"/>
    <w:rsid w:val="3F1EAFB3"/>
    <w:rsid w:val="3F243584"/>
    <w:rsid w:val="3F25638E"/>
    <w:rsid w:val="3F2880E3"/>
    <w:rsid w:val="3F33CD9C"/>
    <w:rsid w:val="3F3541D9"/>
    <w:rsid w:val="3F35DA4E"/>
    <w:rsid w:val="3F361A87"/>
    <w:rsid w:val="3F3AE8B5"/>
    <w:rsid w:val="3F3FE2F4"/>
    <w:rsid w:val="3F40BEF7"/>
    <w:rsid w:val="3F4652EE"/>
    <w:rsid w:val="3F478A57"/>
    <w:rsid w:val="3F4DB54D"/>
    <w:rsid w:val="3F4F3B93"/>
    <w:rsid w:val="3F4F98DF"/>
    <w:rsid w:val="3F512BF3"/>
    <w:rsid w:val="3F584080"/>
    <w:rsid w:val="3F58D383"/>
    <w:rsid w:val="3F5F6652"/>
    <w:rsid w:val="3F62CB04"/>
    <w:rsid w:val="3F653209"/>
    <w:rsid w:val="3F659388"/>
    <w:rsid w:val="3F671856"/>
    <w:rsid w:val="3F6F9457"/>
    <w:rsid w:val="3F748873"/>
    <w:rsid w:val="3F74C672"/>
    <w:rsid w:val="3F77103F"/>
    <w:rsid w:val="3F779469"/>
    <w:rsid w:val="3F79225A"/>
    <w:rsid w:val="3F7A2E33"/>
    <w:rsid w:val="3F816C2D"/>
    <w:rsid w:val="3F822FD3"/>
    <w:rsid w:val="3F825349"/>
    <w:rsid w:val="3F82690B"/>
    <w:rsid w:val="3F85E5C6"/>
    <w:rsid w:val="3F86CADA"/>
    <w:rsid w:val="3F8759C9"/>
    <w:rsid w:val="3F87F0F1"/>
    <w:rsid w:val="3F884FE9"/>
    <w:rsid w:val="3F895798"/>
    <w:rsid w:val="3F8B2705"/>
    <w:rsid w:val="3F8E50EF"/>
    <w:rsid w:val="3F937145"/>
    <w:rsid w:val="3F93C43E"/>
    <w:rsid w:val="3F93E47D"/>
    <w:rsid w:val="3F951CBC"/>
    <w:rsid w:val="3F982EE0"/>
    <w:rsid w:val="3F988912"/>
    <w:rsid w:val="3F98A1A9"/>
    <w:rsid w:val="3F99C751"/>
    <w:rsid w:val="3F99D0AF"/>
    <w:rsid w:val="3F9E2E7D"/>
    <w:rsid w:val="3FA32254"/>
    <w:rsid w:val="3FA6A6AC"/>
    <w:rsid w:val="3FA92390"/>
    <w:rsid w:val="3FAA1340"/>
    <w:rsid w:val="3FB5E930"/>
    <w:rsid w:val="3FBE0B3E"/>
    <w:rsid w:val="3FBE334B"/>
    <w:rsid w:val="3FC0D7A1"/>
    <w:rsid w:val="3FC14C12"/>
    <w:rsid w:val="3FC28A3F"/>
    <w:rsid w:val="3FC733A2"/>
    <w:rsid w:val="3FCF52D2"/>
    <w:rsid w:val="3FD09460"/>
    <w:rsid w:val="3FD595E1"/>
    <w:rsid w:val="3FD72F48"/>
    <w:rsid w:val="3FDADA6E"/>
    <w:rsid w:val="3FDDB607"/>
    <w:rsid w:val="3FEB82A9"/>
    <w:rsid w:val="3FEEEA11"/>
    <w:rsid w:val="3FF210F4"/>
    <w:rsid w:val="3FF9726A"/>
    <w:rsid w:val="3FFE1B7A"/>
    <w:rsid w:val="40073F62"/>
    <w:rsid w:val="4009B9F8"/>
    <w:rsid w:val="400CA0D7"/>
    <w:rsid w:val="40119012"/>
    <w:rsid w:val="4012AF54"/>
    <w:rsid w:val="40161387"/>
    <w:rsid w:val="4017B79C"/>
    <w:rsid w:val="401CA6E9"/>
    <w:rsid w:val="401DC9A6"/>
    <w:rsid w:val="4022DB2D"/>
    <w:rsid w:val="40239D0E"/>
    <w:rsid w:val="40240E7E"/>
    <w:rsid w:val="402730F1"/>
    <w:rsid w:val="4028EFC5"/>
    <w:rsid w:val="4029BDD1"/>
    <w:rsid w:val="402A862D"/>
    <w:rsid w:val="402DC04D"/>
    <w:rsid w:val="402DD679"/>
    <w:rsid w:val="4030493D"/>
    <w:rsid w:val="403301B1"/>
    <w:rsid w:val="40356FC9"/>
    <w:rsid w:val="403741E3"/>
    <w:rsid w:val="403B1832"/>
    <w:rsid w:val="403D24A5"/>
    <w:rsid w:val="4040D756"/>
    <w:rsid w:val="40445293"/>
    <w:rsid w:val="4045DEBE"/>
    <w:rsid w:val="404B9DD3"/>
    <w:rsid w:val="404CC2F0"/>
    <w:rsid w:val="4052F083"/>
    <w:rsid w:val="405C2C12"/>
    <w:rsid w:val="405D2C9F"/>
    <w:rsid w:val="405E6400"/>
    <w:rsid w:val="40631673"/>
    <w:rsid w:val="406779C8"/>
    <w:rsid w:val="406A24B6"/>
    <w:rsid w:val="406F2639"/>
    <w:rsid w:val="40778C79"/>
    <w:rsid w:val="407BC7A6"/>
    <w:rsid w:val="407C40B0"/>
    <w:rsid w:val="407C5259"/>
    <w:rsid w:val="407E22A8"/>
    <w:rsid w:val="4080E0E0"/>
    <w:rsid w:val="40831423"/>
    <w:rsid w:val="408410B3"/>
    <w:rsid w:val="40841645"/>
    <w:rsid w:val="408552E9"/>
    <w:rsid w:val="408935E0"/>
    <w:rsid w:val="40927497"/>
    <w:rsid w:val="40941384"/>
    <w:rsid w:val="40969F02"/>
    <w:rsid w:val="40972B06"/>
    <w:rsid w:val="4098506E"/>
    <w:rsid w:val="409EBB4D"/>
    <w:rsid w:val="40A17F90"/>
    <w:rsid w:val="40A1DA9B"/>
    <w:rsid w:val="40A2B4F0"/>
    <w:rsid w:val="40A3EFC8"/>
    <w:rsid w:val="40A4CF5B"/>
    <w:rsid w:val="40A513A8"/>
    <w:rsid w:val="40A9EAB9"/>
    <w:rsid w:val="40AC6C5B"/>
    <w:rsid w:val="40AF9FA1"/>
    <w:rsid w:val="40C40588"/>
    <w:rsid w:val="40CA1C02"/>
    <w:rsid w:val="40D6AA0B"/>
    <w:rsid w:val="40DD6A9B"/>
    <w:rsid w:val="40DEA8EE"/>
    <w:rsid w:val="40E0723B"/>
    <w:rsid w:val="40E5FE99"/>
    <w:rsid w:val="40E7EEDD"/>
    <w:rsid w:val="40EC7CD0"/>
    <w:rsid w:val="40F04A54"/>
    <w:rsid w:val="40F34DFF"/>
    <w:rsid w:val="40F4234D"/>
    <w:rsid w:val="40F431F3"/>
    <w:rsid w:val="40FA858A"/>
    <w:rsid w:val="40FC6B52"/>
    <w:rsid w:val="40FC80D8"/>
    <w:rsid w:val="40FD5B15"/>
    <w:rsid w:val="4105B899"/>
    <w:rsid w:val="41062CAF"/>
    <w:rsid w:val="4108B160"/>
    <w:rsid w:val="4109C692"/>
    <w:rsid w:val="410C22B8"/>
    <w:rsid w:val="41149B13"/>
    <w:rsid w:val="411AE821"/>
    <w:rsid w:val="411D966C"/>
    <w:rsid w:val="411EA6A6"/>
    <w:rsid w:val="411F3F1D"/>
    <w:rsid w:val="4120AB80"/>
    <w:rsid w:val="4121DC7C"/>
    <w:rsid w:val="412229C3"/>
    <w:rsid w:val="41257A42"/>
    <w:rsid w:val="412BC176"/>
    <w:rsid w:val="41378362"/>
    <w:rsid w:val="413C602E"/>
    <w:rsid w:val="413CEBF4"/>
    <w:rsid w:val="41434168"/>
    <w:rsid w:val="4143E15C"/>
    <w:rsid w:val="41448FF2"/>
    <w:rsid w:val="4144A3C0"/>
    <w:rsid w:val="4145557D"/>
    <w:rsid w:val="414BA2F0"/>
    <w:rsid w:val="414E9DB4"/>
    <w:rsid w:val="41516C24"/>
    <w:rsid w:val="41523268"/>
    <w:rsid w:val="41534A05"/>
    <w:rsid w:val="4159E3C7"/>
    <w:rsid w:val="4161730A"/>
    <w:rsid w:val="4163A458"/>
    <w:rsid w:val="416D6075"/>
    <w:rsid w:val="4173A001"/>
    <w:rsid w:val="417808B4"/>
    <w:rsid w:val="417E0E92"/>
    <w:rsid w:val="417F104B"/>
    <w:rsid w:val="417F8CA8"/>
    <w:rsid w:val="417F96CD"/>
    <w:rsid w:val="4180A0C9"/>
    <w:rsid w:val="418A3B12"/>
    <w:rsid w:val="419159A1"/>
    <w:rsid w:val="4197D3DE"/>
    <w:rsid w:val="41986EA2"/>
    <w:rsid w:val="419C563B"/>
    <w:rsid w:val="41A4851E"/>
    <w:rsid w:val="41ACB241"/>
    <w:rsid w:val="41B3713D"/>
    <w:rsid w:val="41B807F7"/>
    <w:rsid w:val="41BDA65E"/>
    <w:rsid w:val="41C0A2F0"/>
    <w:rsid w:val="41C28064"/>
    <w:rsid w:val="41C3FDD6"/>
    <w:rsid w:val="41C8E90F"/>
    <w:rsid w:val="41CC367C"/>
    <w:rsid w:val="41D9EC88"/>
    <w:rsid w:val="41DB2F60"/>
    <w:rsid w:val="41DC1DFB"/>
    <w:rsid w:val="41E3E7A5"/>
    <w:rsid w:val="41E499A9"/>
    <w:rsid w:val="41EB2BC5"/>
    <w:rsid w:val="41EE6B11"/>
    <w:rsid w:val="41F39201"/>
    <w:rsid w:val="41FF1C16"/>
    <w:rsid w:val="41FF432C"/>
    <w:rsid w:val="4202E135"/>
    <w:rsid w:val="420DD097"/>
    <w:rsid w:val="420DEA74"/>
    <w:rsid w:val="420FACB3"/>
    <w:rsid w:val="4212DD99"/>
    <w:rsid w:val="4213A689"/>
    <w:rsid w:val="4214BBED"/>
    <w:rsid w:val="421E2790"/>
    <w:rsid w:val="421F0F3C"/>
    <w:rsid w:val="422A8D26"/>
    <w:rsid w:val="4234884C"/>
    <w:rsid w:val="4234DE7E"/>
    <w:rsid w:val="42355816"/>
    <w:rsid w:val="4235FC0A"/>
    <w:rsid w:val="4236591D"/>
    <w:rsid w:val="4239E2AE"/>
    <w:rsid w:val="423D8071"/>
    <w:rsid w:val="4242E286"/>
    <w:rsid w:val="42442A7F"/>
    <w:rsid w:val="424E3388"/>
    <w:rsid w:val="424E76D8"/>
    <w:rsid w:val="424F79CD"/>
    <w:rsid w:val="4250C769"/>
    <w:rsid w:val="4250F355"/>
    <w:rsid w:val="42518477"/>
    <w:rsid w:val="42548DD5"/>
    <w:rsid w:val="425C9E7D"/>
    <w:rsid w:val="4263E836"/>
    <w:rsid w:val="42682196"/>
    <w:rsid w:val="4269ADE8"/>
    <w:rsid w:val="4275C2FF"/>
    <w:rsid w:val="427620B0"/>
    <w:rsid w:val="42793081"/>
    <w:rsid w:val="428021AB"/>
    <w:rsid w:val="42816447"/>
    <w:rsid w:val="428287B6"/>
    <w:rsid w:val="428DE9CC"/>
    <w:rsid w:val="42918F77"/>
    <w:rsid w:val="4292AEFE"/>
    <w:rsid w:val="42945782"/>
    <w:rsid w:val="429B6699"/>
    <w:rsid w:val="429FDC79"/>
    <w:rsid w:val="42ADF322"/>
    <w:rsid w:val="42B41164"/>
    <w:rsid w:val="42BEA177"/>
    <w:rsid w:val="42BFD820"/>
    <w:rsid w:val="42C17ECA"/>
    <w:rsid w:val="42C23CC0"/>
    <w:rsid w:val="42C6C50A"/>
    <w:rsid w:val="42C709F0"/>
    <w:rsid w:val="42C8B483"/>
    <w:rsid w:val="42E27F0D"/>
    <w:rsid w:val="42E494D4"/>
    <w:rsid w:val="42E93840"/>
    <w:rsid w:val="42EC562B"/>
    <w:rsid w:val="42EF7D7E"/>
    <w:rsid w:val="42F0D1BC"/>
    <w:rsid w:val="42F0E3BB"/>
    <w:rsid w:val="42F387CF"/>
    <w:rsid w:val="42F582AB"/>
    <w:rsid w:val="42F674DB"/>
    <w:rsid w:val="42FB1657"/>
    <w:rsid w:val="42FB9B8E"/>
    <w:rsid w:val="42FD2817"/>
    <w:rsid w:val="43061763"/>
    <w:rsid w:val="4308C9D6"/>
    <w:rsid w:val="430970AF"/>
    <w:rsid w:val="430C0642"/>
    <w:rsid w:val="43139E6B"/>
    <w:rsid w:val="4317E408"/>
    <w:rsid w:val="4318A5E3"/>
    <w:rsid w:val="431B0336"/>
    <w:rsid w:val="4321609E"/>
    <w:rsid w:val="4323812B"/>
    <w:rsid w:val="432C730E"/>
    <w:rsid w:val="4332738F"/>
    <w:rsid w:val="4337D769"/>
    <w:rsid w:val="4339BE00"/>
    <w:rsid w:val="4339EF93"/>
    <w:rsid w:val="433A6E80"/>
    <w:rsid w:val="433D60C7"/>
    <w:rsid w:val="433D758E"/>
    <w:rsid w:val="4340DBF0"/>
    <w:rsid w:val="4343F78B"/>
    <w:rsid w:val="434C62D4"/>
    <w:rsid w:val="434CEE61"/>
    <w:rsid w:val="434F58FD"/>
    <w:rsid w:val="435B1A7C"/>
    <w:rsid w:val="436342BC"/>
    <w:rsid w:val="4363B8A7"/>
    <w:rsid w:val="4366DDB4"/>
    <w:rsid w:val="436A2DA0"/>
    <w:rsid w:val="436C76D5"/>
    <w:rsid w:val="43709C8D"/>
    <w:rsid w:val="437136A0"/>
    <w:rsid w:val="43727E5F"/>
    <w:rsid w:val="4373E440"/>
    <w:rsid w:val="4376179A"/>
    <w:rsid w:val="43761DEF"/>
    <w:rsid w:val="437CEFD1"/>
    <w:rsid w:val="43829043"/>
    <w:rsid w:val="438C5A61"/>
    <w:rsid w:val="438CD95A"/>
    <w:rsid w:val="438CDA66"/>
    <w:rsid w:val="438E3798"/>
    <w:rsid w:val="438FBCF9"/>
    <w:rsid w:val="4391D4DD"/>
    <w:rsid w:val="4392165E"/>
    <w:rsid w:val="439671D7"/>
    <w:rsid w:val="4396D2E8"/>
    <w:rsid w:val="43A681B9"/>
    <w:rsid w:val="43A88A85"/>
    <w:rsid w:val="43A9D741"/>
    <w:rsid w:val="43B4FBE9"/>
    <w:rsid w:val="43BA8EB2"/>
    <w:rsid w:val="43BBE046"/>
    <w:rsid w:val="43C099BB"/>
    <w:rsid w:val="43CCB7C6"/>
    <w:rsid w:val="43D0E5BD"/>
    <w:rsid w:val="43D14F16"/>
    <w:rsid w:val="43D5D9DA"/>
    <w:rsid w:val="43D7E12B"/>
    <w:rsid w:val="43DE2120"/>
    <w:rsid w:val="43DF114B"/>
    <w:rsid w:val="43E118A8"/>
    <w:rsid w:val="43E4D6C4"/>
    <w:rsid w:val="43E7CA58"/>
    <w:rsid w:val="43ECF736"/>
    <w:rsid w:val="43EE91A6"/>
    <w:rsid w:val="43F381FC"/>
    <w:rsid w:val="43F4698E"/>
    <w:rsid w:val="43F8E810"/>
    <w:rsid w:val="43FBA6CD"/>
    <w:rsid w:val="43FDE9D7"/>
    <w:rsid w:val="43FE6CDB"/>
    <w:rsid w:val="43FF3C9E"/>
    <w:rsid w:val="43FF7A3F"/>
    <w:rsid w:val="440259CA"/>
    <w:rsid w:val="4408894B"/>
    <w:rsid w:val="440A5B50"/>
    <w:rsid w:val="440DB395"/>
    <w:rsid w:val="44102578"/>
    <w:rsid w:val="441152F4"/>
    <w:rsid w:val="441553DE"/>
    <w:rsid w:val="44215CF6"/>
    <w:rsid w:val="4421B10D"/>
    <w:rsid w:val="44267512"/>
    <w:rsid w:val="4426A901"/>
    <w:rsid w:val="44325B82"/>
    <w:rsid w:val="44445414"/>
    <w:rsid w:val="4448183E"/>
    <w:rsid w:val="44497242"/>
    <w:rsid w:val="444A0980"/>
    <w:rsid w:val="44543D7D"/>
    <w:rsid w:val="445DA53E"/>
    <w:rsid w:val="445F72EB"/>
    <w:rsid w:val="4460B2FA"/>
    <w:rsid w:val="44616C4F"/>
    <w:rsid w:val="446D0AEE"/>
    <w:rsid w:val="44743449"/>
    <w:rsid w:val="4474E909"/>
    <w:rsid w:val="447577DB"/>
    <w:rsid w:val="4475CEB5"/>
    <w:rsid w:val="447F17D2"/>
    <w:rsid w:val="44868081"/>
    <w:rsid w:val="448AF9F7"/>
    <w:rsid w:val="448CC170"/>
    <w:rsid w:val="448F5873"/>
    <w:rsid w:val="44933E0F"/>
    <w:rsid w:val="44A1D171"/>
    <w:rsid w:val="44A325EA"/>
    <w:rsid w:val="44A3D406"/>
    <w:rsid w:val="44A94658"/>
    <w:rsid w:val="44AA12E4"/>
    <w:rsid w:val="44AD5AE9"/>
    <w:rsid w:val="44B0E161"/>
    <w:rsid w:val="44B30BA6"/>
    <w:rsid w:val="44B73362"/>
    <w:rsid w:val="44BCD506"/>
    <w:rsid w:val="44C15A22"/>
    <w:rsid w:val="44CAB295"/>
    <w:rsid w:val="44CE9707"/>
    <w:rsid w:val="44CF67A7"/>
    <w:rsid w:val="44D1EB3B"/>
    <w:rsid w:val="44D23CE9"/>
    <w:rsid w:val="44D301AB"/>
    <w:rsid w:val="44D396B4"/>
    <w:rsid w:val="44DFBC57"/>
    <w:rsid w:val="44E14DF4"/>
    <w:rsid w:val="44E1777B"/>
    <w:rsid w:val="44E1C4E3"/>
    <w:rsid w:val="44E38028"/>
    <w:rsid w:val="44E52F84"/>
    <w:rsid w:val="44E6CC14"/>
    <w:rsid w:val="44E6E136"/>
    <w:rsid w:val="44E7E20E"/>
    <w:rsid w:val="44E84400"/>
    <w:rsid w:val="44E910AD"/>
    <w:rsid w:val="44F7BC6E"/>
    <w:rsid w:val="4501EB15"/>
    <w:rsid w:val="4502A7BE"/>
    <w:rsid w:val="450A66F2"/>
    <w:rsid w:val="450C150B"/>
    <w:rsid w:val="450D600E"/>
    <w:rsid w:val="450D6787"/>
    <w:rsid w:val="450FD03B"/>
    <w:rsid w:val="4510A205"/>
    <w:rsid w:val="45181117"/>
    <w:rsid w:val="451DE171"/>
    <w:rsid w:val="451E58B1"/>
    <w:rsid w:val="4520493A"/>
    <w:rsid w:val="45274325"/>
    <w:rsid w:val="45288B68"/>
    <w:rsid w:val="4529157B"/>
    <w:rsid w:val="45305D04"/>
    <w:rsid w:val="45338EAB"/>
    <w:rsid w:val="45378245"/>
    <w:rsid w:val="453B71F1"/>
    <w:rsid w:val="453BCBDF"/>
    <w:rsid w:val="453E7A19"/>
    <w:rsid w:val="453FE7B2"/>
    <w:rsid w:val="454E22B4"/>
    <w:rsid w:val="454F6639"/>
    <w:rsid w:val="454FA968"/>
    <w:rsid w:val="4554BE3E"/>
    <w:rsid w:val="4557FDE0"/>
    <w:rsid w:val="455C8B95"/>
    <w:rsid w:val="4560CC58"/>
    <w:rsid w:val="4561F52F"/>
    <w:rsid w:val="456338B8"/>
    <w:rsid w:val="4564F77D"/>
    <w:rsid w:val="456526AB"/>
    <w:rsid w:val="4567FBED"/>
    <w:rsid w:val="4569C524"/>
    <w:rsid w:val="457707A7"/>
    <w:rsid w:val="457F65E0"/>
    <w:rsid w:val="45855488"/>
    <w:rsid w:val="4586D84C"/>
    <w:rsid w:val="45871EAB"/>
    <w:rsid w:val="4589238F"/>
    <w:rsid w:val="458BDD83"/>
    <w:rsid w:val="458FC301"/>
    <w:rsid w:val="45906A06"/>
    <w:rsid w:val="459FFE7F"/>
    <w:rsid w:val="45ABEA44"/>
    <w:rsid w:val="45AD57E5"/>
    <w:rsid w:val="45B14DBA"/>
    <w:rsid w:val="45B172DB"/>
    <w:rsid w:val="45B495A3"/>
    <w:rsid w:val="45B9F808"/>
    <w:rsid w:val="45BE464C"/>
    <w:rsid w:val="45C64719"/>
    <w:rsid w:val="45C65374"/>
    <w:rsid w:val="45C8AF09"/>
    <w:rsid w:val="45CE0DBD"/>
    <w:rsid w:val="45CFF6C8"/>
    <w:rsid w:val="45D1AFE5"/>
    <w:rsid w:val="45D1D981"/>
    <w:rsid w:val="45DC3AD3"/>
    <w:rsid w:val="45DE53F8"/>
    <w:rsid w:val="45E2D4D2"/>
    <w:rsid w:val="45E49701"/>
    <w:rsid w:val="45E68F64"/>
    <w:rsid w:val="45EA2820"/>
    <w:rsid w:val="45EAF114"/>
    <w:rsid w:val="45ECA389"/>
    <w:rsid w:val="45F05C0F"/>
    <w:rsid w:val="45F37C5C"/>
    <w:rsid w:val="45F409C1"/>
    <w:rsid w:val="45F84517"/>
    <w:rsid w:val="45FA18A5"/>
    <w:rsid w:val="46081324"/>
    <w:rsid w:val="46096DEA"/>
    <w:rsid w:val="460AE3AC"/>
    <w:rsid w:val="460AEC85"/>
    <w:rsid w:val="460E891F"/>
    <w:rsid w:val="46155B48"/>
    <w:rsid w:val="4616EA7C"/>
    <w:rsid w:val="46175D13"/>
    <w:rsid w:val="4617F086"/>
    <w:rsid w:val="461A42D3"/>
    <w:rsid w:val="461C13FE"/>
    <w:rsid w:val="462C241D"/>
    <w:rsid w:val="462CF461"/>
    <w:rsid w:val="462D21BB"/>
    <w:rsid w:val="46335143"/>
    <w:rsid w:val="46389EDB"/>
    <w:rsid w:val="4639493B"/>
    <w:rsid w:val="46398C8D"/>
    <w:rsid w:val="463D7910"/>
    <w:rsid w:val="46422E22"/>
    <w:rsid w:val="464287A1"/>
    <w:rsid w:val="4645B73A"/>
    <w:rsid w:val="4645F34C"/>
    <w:rsid w:val="46473C66"/>
    <w:rsid w:val="464E5D30"/>
    <w:rsid w:val="4652526C"/>
    <w:rsid w:val="465F72C5"/>
    <w:rsid w:val="46638CD7"/>
    <w:rsid w:val="46686799"/>
    <w:rsid w:val="466EF1DA"/>
    <w:rsid w:val="467B9080"/>
    <w:rsid w:val="467CB0E8"/>
    <w:rsid w:val="4685AC97"/>
    <w:rsid w:val="4686DB02"/>
    <w:rsid w:val="46888B8D"/>
    <w:rsid w:val="468E69B1"/>
    <w:rsid w:val="468E9F5D"/>
    <w:rsid w:val="4692A798"/>
    <w:rsid w:val="46937399"/>
    <w:rsid w:val="469777B1"/>
    <w:rsid w:val="469AD8A4"/>
    <w:rsid w:val="469CC4C7"/>
    <w:rsid w:val="469EDFF3"/>
    <w:rsid w:val="46A6F172"/>
    <w:rsid w:val="46AB26E9"/>
    <w:rsid w:val="46ADA956"/>
    <w:rsid w:val="46AE53CB"/>
    <w:rsid w:val="46B125A5"/>
    <w:rsid w:val="46B21886"/>
    <w:rsid w:val="46B38A29"/>
    <w:rsid w:val="46B605EC"/>
    <w:rsid w:val="46B8354C"/>
    <w:rsid w:val="46B91277"/>
    <w:rsid w:val="46BB66BF"/>
    <w:rsid w:val="46BC79FE"/>
    <w:rsid w:val="46BCDC91"/>
    <w:rsid w:val="46BDEB32"/>
    <w:rsid w:val="46C1117B"/>
    <w:rsid w:val="46C21AC4"/>
    <w:rsid w:val="46C368DC"/>
    <w:rsid w:val="46CFFF96"/>
    <w:rsid w:val="46D07F07"/>
    <w:rsid w:val="46D0E49A"/>
    <w:rsid w:val="46D6068D"/>
    <w:rsid w:val="46D7F673"/>
    <w:rsid w:val="46DB2ABB"/>
    <w:rsid w:val="46DF7D69"/>
    <w:rsid w:val="46DFEC83"/>
    <w:rsid w:val="46E0FD35"/>
    <w:rsid w:val="46E2CB08"/>
    <w:rsid w:val="46EB382C"/>
    <w:rsid w:val="46F1C955"/>
    <w:rsid w:val="46F4ADCF"/>
    <w:rsid w:val="470185C8"/>
    <w:rsid w:val="4705B410"/>
    <w:rsid w:val="470EDEE3"/>
    <w:rsid w:val="4710E1AF"/>
    <w:rsid w:val="471210C4"/>
    <w:rsid w:val="47149D14"/>
    <w:rsid w:val="471B79EB"/>
    <w:rsid w:val="472AF95A"/>
    <w:rsid w:val="472B1E5C"/>
    <w:rsid w:val="4732B0DB"/>
    <w:rsid w:val="47363D50"/>
    <w:rsid w:val="47379115"/>
    <w:rsid w:val="4739A4EB"/>
    <w:rsid w:val="47459DEE"/>
    <w:rsid w:val="474CFAAF"/>
    <w:rsid w:val="4755496D"/>
    <w:rsid w:val="4755BBEB"/>
    <w:rsid w:val="475A37BD"/>
    <w:rsid w:val="4761CDA9"/>
    <w:rsid w:val="47645BD9"/>
    <w:rsid w:val="4767E5BE"/>
    <w:rsid w:val="47716A0C"/>
    <w:rsid w:val="47773496"/>
    <w:rsid w:val="477789CC"/>
    <w:rsid w:val="477BBF7F"/>
    <w:rsid w:val="4780154C"/>
    <w:rsid w:val="478B69CE"/>
    <w:rsid w:val="478E4AB1"/>
    <w:rsid w:val="479D66D8"/>
    <w:rsid w:val="479EABC3"/>
    <w:rsid w:val="479EC9EC"/>
    <w:rsid w:val="479F0F7F"/>
    <w:rsid w:val="47A7E7ED"/>
    <w:rsid w:val="47AEE9CC"/>
    <w:rsid w:val="47B46F14"/>
    <w:rsid w:val="47B47749"/>
    <w:rsid w:val="47B8BEF4"/>
    <w:rsid w:val="47C55DF3"/>
    <w:rsid w:val="47C88F62"/>
    <w:rsid w:val="47CEE1B7"/>
    <w:rsid w:val="47E052AB"/>
    <w:rsid w:val="47E0DAEB"/>
    <w:rsid w:val="47E15FF8"/>
    <w:rsid w:val="47E5C2F2"/>
    <w:rsid w:val="47E76170"/>
    <w:rsid w:val="47EA8ED0"/>
    <w:rsid w:val="47F1D5CD"/>
    <w:rsid w:val="47F66FA8"/>
    <w:rsid w:val="47F6B399"/>
    <w:rsid w:val="47FF4A07"/>
    <w:rsid w:val="48078F21"/>
    <w:rsid w:val="48092B7A"/>
    <w:rsid w:val="480CC955"/>
    <w:rsid w:val="480D2D3A"/>
    <w:rsid w:val="4810A902"/>
    <w:rsid w:val="48122069"/>
    <w:rsid w:val="481293F9"/>
    <w:rsid w:val="48130D51"/>
    <w:rsid w:val="481980D4"/>
    <w:rsid w:val="481A0164"/>
    <w:rsid w:val="481B917D"/>
    <w:rsid w:val="48219A17"/>
    <w:rsid w:val="482561CD"/>
    <w:rsid w:val="4825E404"/>
    <w:rsid w:val="482A9C47"/>
    <w:rsid w:val="4833DECB"/>
    <w:rsid w:val="4836BDDA"/>
    <w:rsid w:val="483751A8"/>
    <w:rsid w:val="48389A4D"/>
    <w:rsid w:val="483D31C5"/>
    <w:rsid w:val="483FF79F"/>
    <w:rsid w:val="48435D17"/>
    <w:rsid w:val="48440AAF"/>
    <w:rsid w:val="484761AC"/>
    <w:rsid w:val="485CC327"/>
    <w:rsid w:val="485D15FF"/>
    <w:rsid w:val="48619AE4"/>
    <w:rsid w:val="4861CE05"/>
    <w:rsid w:val="48650553"/>
    <w:rsid w:val="486638F2"/>
    <w:rsid w:val="48673FA2"/>
    <w:rsid w:val="486CCFE6"/>
    <w:rsid w:val="486D5125"/>
    <w:rsid w:val="486E0CD8"/>
    <w:rsid w:val="4875BFC7"/>
    <w:rsid w:val="48770D4D"/>
    <w:rsid w:val="4877260B"/>
    <w:rsid w:val="48777177"/>
    <w:rsid w:val="487B32EB"/>
    <w:rsid w:val="487B35F3"/>
    <w:rsid w:val="4884EB77"/>
    <w:rsid w:val="4885EA43"/>
    <w:rsid w:val="48895DF6"/>
    <w:rsid w:val="488A136F"/>
    <w:rsid w:val="488D36D6"/>
    <w:rsid w:val="4890C807"/>
    <w:rsid w:val="48925193"/>
    <w:rsid w:val="489257FE"/>
    <w:rsid w:val="4893D3A4"/>
    <w:rsid w:val="48A1A460"/>
    <w:rsid w:val="48A38658"/>
    <w:rsid w:val="48A4AEF9"/>
    <w:rsid w:val="48A7DABE"/>
    <w:rsid w:val="48B011EA"/>
    <w:rsid w:val="48B235D0"/>
    <w:rsid w:val="48B2D18D"/>
    <w:rsid w:val="48B53B32"/>
    <w:rsid w:val="48BF19F1"/>
    <w:rsid w:val="48C3BE83"/>
    <w:rsid w:val="48C43169"/>
    <w:rsid w:val="48C90061"/>
    <w:rsid w:val="48CA8CB1"/>
    <w:rsid w:val="48CD4522"/>
    <w:rsid w:val="48D789A7"/>
    <w:rsid w:val="48D7EA56"/>
    <w:rsid w:val="48DB1314"/>
    <w:rsid w:val="48E239A5"/>
    <w:rsid w:val="48E5DA9B"/>
    <w:rsid w:val="48E752A1"/>
    <w:rsid w:val="48E85BF7"/>
    <w:rsid w:val="48E97D36"/>
    <w:rsid w:val="48EA310F"/>
    <w:rsid w:val="48EED8CF"/>
    <w:rsid w:val="48EFAD17"/>
    <w:rsid w:val="48F0B604"/>
    <w:rsid w:val="48F347F1"/>
    <w:rsid w:val="48F393D8"/>
    <w:rsid w:val="48F994E2"/>
    <w:rsid w:val="48FEF065"/>
    <w:rsid w:val="4905D5E6"/>
    <w:rsid w:val="49083BD0"/>
    <w:rsid w:val="49093460"/>
    <w:rsid w:val="4909DDFB"/>
    <w:rsid w:val="490F6AFB"/>
    <w:rsid w:val="49147999"/>
    <w:rsid w:val="491D7929"/>
    <w:rsid w:val="4921F144"/>
    <w:rsid w:val="49276C4D"/>
    <w:rsid w:val="4929CD20"/>
    <w:rsid w:val="492F39D3"/>
    <w:rsid w:val="4930376B"/>
    <w:rsid w:val="49336532"/>
    <w:rsid w:val="49337DAF"/>
    <w:rsid w:val="4936B0B6"/>
    <w:rsid w:val="493810F6"/>
    <w:rsid w:val="493F3A4D"/>
    <w:rsid w:val="49402AE0"/>
    <w:rsid w:val="49417683"/>
    <w:rsid w:val="494328A9"/>
    <w:rsid w:val="494489B3"/>
    <w:rsid w:val="4944E795"/>
    <w:rsid w:val="4946AA1F"/>
    <w:rsid w:val="494EE0E3"/>
    <w:rsid w:val="4952BE6B"/>
    <w:rsid w:val="49566EE5"/>
    <w:rsid w:val="495F93F7"/>
    <w:rsid w:val="4964B23C"/>
    <w:rsid w:val="49684243"/>
    <w:rsid w:val="4968ABB3"/>
    <w:rsid w:val="496B7DBD"/>
    <w:rsid w:val="496C48E5"/>
    <w:rsid w:val="497003FF"/>
    <w:rsid w:val="497873A6"/>
    <w:rsid w:val="4979D8C9"/>
    <w:rsid w:val="497EF680"/>
    <w:rsid w:val="49838034"/>
    <w:rsid w:val="49840094"/>
    <w:rsid w:val="49860D6E"/>
    <w:rsid w:val="498B4DEC"/>
    <w:rsid w:val="498C979F"/>
    <w:rsid w:val="498CAED1"/>
    <w:rsid w:val="498F3133"/>
    <w:rsid w:val="498FD68E"/>
    <w:rsid w:val="4998251B"/>
    <w:rsid w:val="499C4DDA"/>
    <w:rsid w:val="499D0A75"/>
    <w:rsid w:val="499DBBD4"/>
    <w:rsid w:val="499FBFF2"/>
    <w:rsid w:val="49A12A65"/>
    <w:rsid w:val="49A3E85C"/>
    <w:rsid w:val="49A70663"/>
    <w:rsid w:val="49A90581"/>
    <w:rsid w:val="49A93A2B"/>
    <w:rsid w:val="49AA44A8"/>
    <w:rsid w:val="49AF351E"/>
    <w:rsid w:val="49AF771E"/>
    <w:rsid w:val="49B039A0"/>
    <w:rsid w:val="49B3813A"/>
    <w:rsid w:val="49B58A58"/>
    <w:rsid w:val="49B644EC"/>
    <w:rsid w:val="49B70A6B"/>
    <w:rsid w:val="49B9DEC0"/>
    <w:rsid w:val="49BB99A9"/>
    <w:rsid w:val="49BCA2D6"/>
    <w:rsid w:val="49BCB580"/>
    <w:rsid w:val="49C1242F"/>
    <w:rsid w:val="49C913F8"/>
    <w:rsid w:val="49CA06AF"/>
    <w:rsid w:val="49CF5C82"/>
    <w:rsid w:val="49CFC6F1"/>
    <w:rsid w:val="49D1FC69"/>
    <w:rsid w:val="49D76251"/>
    <w:rsid w:val="49DA1C91"/>
    <w:rsid w:val="49E04892"/>
    <w:rsid w:val="49E5F6CF"/>
    <w:rsid w:val="49E71584"/>
    <w:rsid w:val="49E91BDC"/>
    <w:rsid w:val="49ED0D4E"/>
    <w:rsid w:val="49F00E68"/>
    <w:rsid w:val="49F2BCA0"/>
    <w:rsid w:val="49F58A71"/>
    <w:rsid w:val="49F9CA8D"/>
    <w:rsid w:val="49FA50D9"/>
    <w:rsid w:val="49FC4C94"/>
    <w:rsid w:val="49FC90FE"/>
    <w:rsid w:val="4A02E362"/>
    <w:rsid w:val="4A080C87"/>
    <w:rsid w:val="4A083DB0"/>
    <w:rsid w:val="4A10EC03"/>
    <w:rsid w:val="4A12BA38"/>
    <w:rsid w:val="4A12D665"/>
    <w:rsid w:val="4A182B53"/>
    <w:rsid w:val="4A19C2E4"/>
    <w:rsid w:val="4A1D5C55"/>
    <w:rsid w:val="4A23A358"/>
    <w:rsid w:val="4A24ABDA"/>
    <w:rsid w:val="4A29C6B4"/>
    <w:rsid w:val="4A3815E5"/>
    <w:rsid w:val="4A3BEB08"/>
    <w:rsid w:val="4A3C9DDE"/>
    <w:rsid w:val="4A3CDCF1"/>
    <w:rsid w:val="4A4B860C"/>
    <w:rsid w:val="4A4FC86C"/>
    <w:rsid w:val="4A54D551"/>
    <w:rsid w:val="4A59BEC7"/>
    <w:rsid w:val="4A5A9823"/>
    <w:rsid w:val="4A5EB523"/>
    <w:rsid w:val="4A61C148"/>
    <w:rsid w:val="4A62DA08"/>
    <w:rsid w:val="4A664D04"/>
    <w:rsid w:val="4A69D54E"/>
    <w:rsid w:val="4A70993C"/>
    <w:rsid w:val="4A725F32"/>
    <w:rsid w:val="4A72D8F5"/>
    <w:rsid w:val="4A8AAD96"/>
    <w:rsid w:val="4A8B8B3A"/>
    <w:rsid w:val="4A8E5112"/>
    <w:rsid w:val="4A9AFEC0"/>
    <w:rsid w:val="4A9EC048"/>
    <w:rsid w:val="4AA673A5"/>
    <w:rsid w:val="4AA71675"/>
    <w:rsid w:val="4AAB4943"/>
    <w:rsid w:val="4AAFA57F"/>
    <w:rsid w:val="4AB5ED76"/>
    <w:rsid w:val="4ABB310A"/>
    <w:rsid w:val="4AC0168A"/>
    <w:rsid w:val="4AC27FE2"/>
    <w:rsid w:val="4AC30B72"/>
    <w:rsid w:val="4AC55B4A"/>
    <w:rsid w:val="4AD17AAB"/>
    <w:rsid w:val="4AD3AD56"/>
    <w:rsid w:val="4AD5DD92"/>
    <w:rsid w:val="4AE2B2A6"/>
    <w:rsid w:val="4AE553C5"/>
    <w:rsid w:val="4AF3149C"/>
    <w:rsid w:val="4AF5DED5"/>
    <w:rsid w:val="4AF9019A"/>
    <w:rsid w:val="4AF90930"/>
    <w:rsid w:val="4AFB9EF2"/>
    <w:rsid w:val="4AFBDA5B"/>
    <w:rsid w:val="4AFD9C08"/>
    <w:rsid w:val="4AFE6C2C"/>
    <w:rsid w:val="4B052294"/>
    <w:rsid w:val="4B10A112"/>
    <w:rsid w:val="4B15CA30"/>
    <w:rsid w:val="4B1E6760"/>
    <w:rsid w:val="4B22F5D8"/>
    <w:rsid w:val="4B243089"/>
    <w:rsid w:val="4B26B386"/>
    <w:rsid w:val="4B2E395D"/>
    <w:rsid w:val="4B2EFEC5"/>
    <w:rsid w:val="4B385516"/>
    <w:rsid w:val="4B3CB374"/>
    <w:rsid w:val="4B3DBD16"/>
    <w:rsid w:val="4B3EA42C"/>
    <w:rsid w:val="4B450D69"/>
    <w:rsid w:val="4B4D498D"/>
    <w:rsid w:val="4B4DCC97"/>
    <w:rsid w:val="4B5098F8"/>
    <w:rsid w:val="4B589261"/>
    <w:rsid w:val="4B590779"/>
    <w:rsid w:val="4B59BEF4"/>
    <w:rsid w:val="4B5CE5C0"/>
    <w:rsid w:val="4B614FC3"/>
    <w:rsid w:val="4B6194DD"/>
    <w:rsid w:val="4B669B33"/>
    <w:rsid w:val="4B66A1D2"/>
    <w:rsid w:val="4B674F79"/>
    <w:rsid w:val="4B691418"/>
    <w:rsid w:val="4B6C8209"/>
    <w:rsid w:val="4B6E5CA6"/>
    <w:rsid w:val="4B762AFF"/>
    <w:rsid w:val="4B80E9C2"/>
    <w:rsid w:val="4B8365F2"/>
    <w:rsid w:val="4B930949"/>
    <w:rsid w:val="4B94C347"/>
    <w:rsid w:val="4B9A1B05"/>
    <w:rsid w:val="4BA1EEB1"/>
    <w:rsid w:val="4BA693BD"/>
    <w:rsid w:val="4BA81926"/>
    <w:rsid w:val="4BA9A5E8"/>
    <w:rsid w:val="4BACA232"/>
    <w:rsid w:val="4BB6CFC7"/>
    <w:rsid w:val="4BBB2AEA"/>
    <w:rsid w:val="4BBB4694"/>
    <w:rsid w:val="4BC02302"/>
    <w:rsid w:val="4BC5DD81"/>
    <w:rsid w:val="4BCCCE47"/>
    <w:rsid w:val="4BCF677D"/>
    <w:rsid w:val="4BD10BD9"/>
    <w:rsid w:val="4BE613A9"/>
    <w:rsid w:val="4BE7533B"/>
    <w:rsid w:val="4BF00ECE"/>
    <w:rsid w:val="4BF4FFCF"/>
    <w:rsid w:val="4BF9B862"/>
    <w:rsid w:val="4BFD9B81"/>
    <w:rsid w:val="4C024CEE"/>
    <w:rsid w:val="4C0517FD"/>
    <w:rsid w:val="4C066216"/>
    <w:rsid w:val="4C0FD315"/>
    <w:rsid w:val="4C110A4D"/>
    <w:rsid w:val="4C12F225"/>
    <w:rsid w:val="4C140D0F"/>
    <w:rsid w:val="4C19C040"/>
    <w:rsid w:val="4C23DC9B"/>
    <w:rsid w:val="4C2B5D97"/>
    <w:rsid w:val="4C2E48F3"/>
    <w:rsid w:val="4C388177"/>
    <w:rsid w:val="4C40B8B7"/>
    <w:rsid w:val="4C415AF6"/>
    <w:rsid w:val="4C4491A4"/>
    <w:rsid w:val="4C48AC2A"/>
    <w:rsid w:val="4C492D45"/>
    <w:rsid w:val="4C4A2836"/>
    <w:rsid w:val="4C4B0D35"/>
    <w:rsid w:val="4C53D903"/>
    <w:rsid w:val="4C59C99A"/>
    <w:rsid w:val="4C5EC832"/>
    <w:rsid w:val="4C5EE46B"/>
    <w:rsid w:val="4C63F509"/>
    <w:rsid w:val="4C649CFD"/>
    <w:rsid w:val="4C6EFB22"/>
    <w:rsid w:val="4C709C65"/>
    <w:rsid w:val="4C718D7C"/>
    <w:rsid w:val="4C72F18C"/>
    <w:rsid w:val="4C7A75CC"/>
    <w:rsid w:val="4C7A9A84"/>
    <w:rsid w:val="4C7CAA97"/>
    <w:rsid w:val="4C7D4103"/>
    <w:rsid w:val="4C848C7A"/>
    <w:rsid w:val="4C8CFEC3"/>
    <w:rsid w:val="4C8E8307"/>
    <w:rsid w:val="4C9AE892"/>
    <w:rsid w:val="4C9BC11D"/>
    <w:rsid w:val="4C9C0B55"/>
    <w:rsid w:val="4C9ED6E2"/>
    <w:rsid w:val="4CA10937"/>
    <w:rsid w:val="4CA522A7"/>
    <w:rsid w:val="4CA833FB"/>
    <w:rsid w:val="4CA95BCE"/>
    <w:rsid w:val="4CAABB36"/>
    <w:rsid w:val="4CAB0494"/>
    <w:rsid w:val="4CAC52CA"/>
    <w:rsid w:val="4CAFE233"/>
    <w:rsid w:val="4CB936F8"/>
    <w:rsid w:val="4CBDC615"/>
    <w:rsid w:val="4CBEE53B"/>
    <w:rsid w:val="4CC19FDF"/>
    <w:rsid w:val="4CC99DFF"/>
    <w:rsid w:val="4CCE1706"/>
    <w:rsid w:val="4CCFF6C4"/>
    <w:rsid w:val="4CD1C13B"/>
    <w:rsid w:val="4CD3131B"/>
    <w:rsid w:val="4CD38976"/>
    <w:rsid w:val="4CD73E84"/>
    <w:rsid w:val="4CDE687C"/>
    <w:rsid w:val="4CE54E2A"/>
    <w:rsid w:val="4CE7C11E"/>
    <w:rsid w:val="4CF0A7A1"/>
    <w:rsid w:val="4CF99507"/>
    <w:rsid w:val="4CF9BFB4"/>
    <w:rsid w:val="4D01C299"/>
    <w:rsid w:val="4D02A134"/>
    <w:rsid w:val="4D04896B"/>
    <w:rsid w:val="4D1699CA"/>
    <w:rsid w:val="4D1C437F"/>
    <w:rsid w:val="4D1DDDA8"/>
    <w:rsid w:val="4D1ECCF0"/>
    <w:rsid w:val="4D239F8B"/>
    <w:rsid w:val="4D248961"/>
    <w:rsid w:val="4D271AF2"/>
    <w:rsid w:val="4D288F09"/>
    <w:rsid w:val="4D292D8C"/>
    <w:rsid w:val="4D2BE52B"/>
    <w:rsid w:val="4D306A47"/>
    <w:rsid w:val="4D3525E4"/>
    <w:rsid w:val="4D35EE1E"/>
    <w:rsid w:val="4D4060AC"/>
    <w:rsid w:val="4D45AAA4"/>
    <w:rsid w:val="4D4625A6"/>
    <w:rsid w:val="4D4AFF84"/>
    <w:rsid w:val="4D4B362B"/>
    <w:rsid w:val="4D4CA47A"/>
    <w:rsid w:val="4D4CF151"/>
    <w:rsid w:val="4D4D5AA4"/>
    <w:rsid w:val="4D4FE302"/>
    <w:rsid w:val="4D52A3B2"/>
    <w:rsid w:val="4D59FB77"/>
    <w:rsid w:val="4D5EA0EA"/>
    <w:rsid w:val="4D6E1D79"/>
    <w:rsid w:val="4D6EF398"/>
    <w:rsid w:val="4D728E53"/>
    <w:rsid w:val="4D750F52"/>
    <w:rsid w:val="4D7D74C4"/>
    <w:rsid w:val="4D7DA833"/>
    <w:rsid w:val="4D7E5447"/>
    <w:rsid w:val="4D8657AF"/>
    <w:rsid w:val="4D86A985"/>
    <w:rsid w:val="4D8D9809"/>
    <w:rsid w:val="4D9614D9"/>
    <w:rsid w:val="4D9B3422"/>
    <w:rsid w:val="4D9F56A4"/>
    <w:rsid w:val="4DA97050"/>
    <w:rsid w:val="4DAA57E6"/>
    <w:rsid w:val="4DAA7772"/>
    <w:rsid w:val="4DAB8748"/>
    <w:rsid w:val="4DAE36E4"/>
    <w:rsid w:val="4DAE4B93"/>
    <w:rsid w:val="4DB0FEBD"/>
    <w:rsid w:val="4DB18AF9"/>
    <w:rsid w:val="4DB711CE"/>
    <w:rsid w:val="4DC11054"/>
    <w:rsid w:val="4DC3F401"/>
    <w:rsid w:val="4DD0528D"/>
    <w:rsid w:val="4DD1399F"/>
    <w:rsid w:val="4DDA9732"/>
    <w:rsid w:val="4DE2750F"/>
    <w:rsid w:val="4DF1B6BA"/>
    <w:rsid w:val="4DF7E81E"/>
    <w:rsid w:val="4DF96AE3"/>
    <w:rsid w:val="4DFEA611"/>
    <w:rsid w:val="4DFECF01"/>
    <w:rsid w:val="4E051B8B"/>
    <w:rsid w:val="4E0763F1"/>
    <w:rsid w:val="4E0B8E46"/>
    <w:rsid w:val="4E101F47"/>
    <w:rsid w:val="4E128BA6"/>
    <w:rsid w:val="4E132927"/>
    <w:rsid w:val="4E170D27"/>
    <w:rsid w:val="4E199062"/>
    <w:rsid w:val="4E1BBD5F"/>
    <w:rsid w:val="4E20795B"/>
    <w:rsid w:val="4E246F78"/>
    <w:rsid w:val="4E2867F2"/>
    <w:rsid w:val="4E290ABD"/>
    <w:rsid w:val="4E2CD9E7"/>
    <w:rsid w:val="4E2D8D47"/>
    <w:rsid w:val="4E2F7E63"/>
    <w:rsid w:val="4E36B9D2"/>
    <w:rsid w:val="4E40D940"/>
    <w:rsid w:val="4E428A08"/>
    <w:rsid w:val="4E476D0D"/>
    <w:rsid w:val="4E4A11E4"/>
    <w:rsid w:val="4E557744"/>
    <w:rsid w:val="4E55BAE1"/>
    <w:rsid w:val="4E5E5EA6"/>
    <w:rsid w:val="4E5F0974"/>
    <w:rsid w:val="4E6770A1"/>
    <w:rsid w:val="4E69B7B1"/>
    <w:rsid w:val="4E6E2B52"/>
    <w:rsid w:val="4E6EB904"/>
    <w:rsid w:val="4E70D53D"/>
    <w:rsid w:val="4E78FDC4"/>
    <w:rsid w:val="4E7A3723"/>
    <w:rsid w:val="4E80D109"/>
    <w:rsid w:val="4E84E035"/>
    <w:rsid w:val="4E8A5F48"/>
    <w:rsid w:val="4E8B9A36"/>
    <w:rsid w:val="4E98192D"/>
    <w:rsid w:val="4E9E698D"/>
    <w:rsid w:val="4E9EFBEF"/>
    <w:rsid w:val="4EA1D2D1"/>
    <w:rsid w:val="4EA41900"/>
    <w:rsid w:val="4EB1D466"/>
    <w:rsid w:val="4EB80115"/>
    <w:rsid w:val="4EBBD5F4"/>
    <w:rsid w:val="4EBD6394"/>
    <w:rsid w:val="4ECBA9EF"/>
    <w:rsid w:val="4ECDBC15"/>
    <w:rsid w:val="4ECF394B"/>
    <w:rsid w:val="4ED2B45D"/>
    <w:rsid w:val="4ED609D2"/>
    <w:rsid w:val="4EDA8C05"/>
    <w:rsid w:val="4EDA9003"/>
    <w:rsid w:val="4EDBCC7A"/>
    <w:rsid w:val="4EE32A16"/>
    <w:rsid w:val="4EE4C75E"/>
    <w:rsid w:val="4EE5AA5C"/>
    <w:rsid w:val="4EE73ADD"/>
    <w:rsid w:val="4EE76EF6"/>
    <w:rsid w:val="4EECABC5"/>
    <w:rsid w:val="4EEE1691"/>
    <w:rsid w:val="4EF4ABED"/>
    <w:rsid w:val="4EF5CAE1"/>
    <w:rsid w:val="4EF7A96A"/>
    <w:rsid w:val="4EFCB530"/>
    <w:rsid w:val="4EFDF17E"/>
    <w:rsid w:val="4F00648F"/>
    <w:rsid w:val="4F00BA7C"/>
    <w:rsid w:val="4F02496E"/>
    <w:rsid w:val="4F03223D"/>
    <w:rsid w:val="4F03E47D"/>
    <w:rsid w:val="4F056E9D"/>
    <w:rsid w:val="4F0C1D58"/>
    <w:rsid w:val="4F0D0327"/>
    <w:rsid w:val="4F18C0E1"/>
    <w:rsid w:val="4F196F9B"/>
    <w:rsid w:val="4F1B3CD0"/>
    <w:rsid w:val="4F1CBA69"/>
    <w:rsid w:val="4F1F1139"/>
    <w:rsid w:val="4F1F74B2"/>
    <w:rsid w:val="4F22AF13"/>
    <w:rsid w:val="4F295A2B"/>
    <w:rsid w:val="4F2D139C"/>
    <w:rsid w:val="4F3712B5"/>
    <w:rsid w:val="4F37A029"/>
    <w:rsid w:val="4F383A23"/>
    <w:rsid w:val="4F3A36EB"/>
    <w:rsid w:val="4F3A7276"/>
    <w:rsid w:val="4F3C411F"/>
    <w:rsid w:val="4F3C5514"/>
    <w:rsid w:val="4F3D3C30"/>
    <w:rsid w:val="4F407547"/>
    <w:rsid w:val="4F41C02F"/>
    <w:rsid w:val="4F42BE61"/>
    <w:rsid w:val="4F449EED"/>
    <w:rsid w:val="4F454A67"/>
    <w:rsid w:val="4F49B85C"/>
    <w:rsid w:val="4F50036D"/>
    <w:rsid w:val="4F58FD5F"/>
    <w:rsid w:val="4F5D5932"/>
    <w:rsid w:val="4F5DDAB3"/>
    <w:rsid w:val="4F5F7077"/>
    <w:rsid w:val="4F60EEEB"/>
    <w:rsid w:val="4F65D1D7"/>
    <w:rsid w:val="4F6B4D83"/>
    <w:rsid w:val="4F6C29BE"/>
    <w:rsid w:val="4F6DB527"/>
    <w:rsid w:val="4F6F31D4"/>
    <w:rsid w:val="4F70A3D7"/>
    <w:rsid w:val="4F71713A"/>
    <w:rsid w:val="4F73A3CD"/>
    <w:rsid w:val="4F74E5D7"/>
    <w:rsid w:val="4F7EBE40"/>
    <w:rsid w:val="4F856E75"/>
    <w:rsid w:val="4F8C44DD"/>
    <w:rsid w:val="4F9087C2"/>
    <w:rsid w:val="4F9BAE26"/>
    <w:rsid w:val="4FA27239"/>
    <w:rsid w:val="4FAC5571"/>
    <w:rsid w:val="4FB39BE7"/>
    <w:rsid w:val="4FBC51F3"/>
    <w:rsid w:val="4FBFD4C0"/>
    <w:rsid w:val="4FC020AF"/>
    <w:rsid w:val="4FC53240"/>
    <w:rsid w:val="4FC5F8C9"/>
    <w:rsid w:val="4FC76851"/>
    <w:rsid w:val="4FC9687E"/>
    <w:rsid w:val="4FCA1F1F"/>
    <w:rsid w:val="4FCE4F1D"/>
    <w:rsid w:val="4FD08179"/>
    <w:rsid w:val="4FD53990"/>
    <w:rsid w:val="4FD571CB"/>
    <w:rsid w:val="4FDA4EC1"/>
    <w:rsid w:val="4FDA997B"/>
    <w:rsid w:val="4FE0B7C9"/>
    <w:rsid w:val="4FE56EFD"/>
    <w:rsid w:val="4FE6121A"/>
    <w:rsid w:val="4FEF293B"/>
    <w:rsid w:val="4FEF5C33"/>
    <w:rsid w:val="4FEF7AA5"/>
    <w:rsid w:val="4FF0032D"/>
    <w:rsid w:val="4FF3C17A"/>
    <w:rsid w:val="4FF61B5F"/>
    <w:rsid w:val="4FFABD17"/>
    <w:rsid w:val="4FFB300C"/>
    <w:rsid w:val="4FFB6D91"/>
    <w:rsid w:val="5002A5EC"/>
    <w:rsid w:val="5004EA23"/>
    <w:rsid w:val="50078293"/>
    <w:rsid w:val="50128665"/>
    <w:rsid w:val="50137F50"/>
    <w:rsid w:val="50140CA9"/>
    <w:rsid w:val="50196CFF"/>
    <w:rsid w:val="501DAA6A"/>
    <w:rsid w:val="5021D3F9"/>
    <w:rsid w:val="5024532B"/>
    <w:rsid w:val="5024CF3A"/>
    <w:rsid w:val="50275995"/>
    <w:rsid w:val="5029752B"/>
    <w:rsid w:val="5029CFBB"/>
    <w:rsid w:val="50332B67"/>
    <w:rsid w:val="50378ED0"/>
    <w:rsid w:val="5037A0E4"/>
    <w:rsid w:val="503920B8"/>
    <w:rsid w:val="503989D9"/>
    <w:rsid w:val="5040E03A"/>
    <w:rsid w:val="5042A7AD"/>
    <w:rsid w:val="504909FC"/>
    <w:rsid w:val="5049A854"/>
    <w:rsid w:val="504F646F"/>
    <w:rsid w:val="50534188"/>
    <w:rsid w:val="5059BCF5"/>
    <w:rsid w:val="505BF672"/>
    <w:rsid w:val="505D5A52"/>
    <w:rsid w:val="505E3540"/>
    <w:rsid w:val="50662585"/>
    <w:rsid w:val="50687A7A"/>
    <w:rsid w:val="5070DC2B"/>
    <w:rsid w:val="5074DD51"/>
    <w:rsid w:val="5075D718"/>
    <w:rsid w:val="5078C1EE"/>
    <w:rsid w:val="507DA407"/>
    <w:rsid w:val="507E28F1"/>
    <w:rsid w:val="5088B20B"/>
    <w:rsid w:val="508C7F28"/>
    <w:rsid w:val="508E2E5A"/>
    <w:rsid w:val="5095251E"/>
    <w:rsid w:val="5095DCD5"/>
    <w:rsid w:val="50978066"/>
    <w:rsid w:val="5098803D"/>
    <w:rsid w:val="509975E5"/>
    <w:rsid w:val="5099C8D9"/>
    <w:rsid w:val="509F930E"/>
    <w:rsid w:val="509F9F8F"/>
    <w:rsid w:val="50A190DD"/>
    <w:rsid w:val="50A35DD7"/>
    <w:rsid w:val="50A6F5CD"/>
    <w:rsid w:val="50A6FBB7"/>
    <w:rsid w:val="50BA6F2B"/>
    <w:rsid w:val="50BCB594"/>
    <w:rsid w:val="50BEED04"/>
    <w:rsid w:val="50C16D86"/>
    <w:rsid w:val="50C19263"/>
    <w:rsid w:val="50C1FE7C"/>
    <w:rsid w:val="50C97F5C"/>
    <w:rsid w:val="50CC4120"/>
    <w:rsid w:val="50D040C3"/>
    <w:rsid w:val="50D3AA1C"/>
    <w:rsid w:val="50D58DF9"/>
    <w:rsid w:val="50DC0385"/>
    <w:rsid w:val="50E2E698"/>
    <w:rsid w:val="50E3C976"/>
    <w:rsid w:val="50E6A7AB"/>
    <w:rsid w:val="50E7866F"/>
    <w:rsid w:val="50F270C9"/>
    <w:rsid w:val="50F43FC8"/>
    <w:rsid w:val="50F4F906"/>
    <w:rsid w:val="50F5EA06"/>
    <w:rsid w:val="50FC2959"/>
    <w:rsid w:val="50FFECF1"/>
    <w:rsid w:val="5102AF0A"/>
    <w:rsid w:val="5105937F"/>
    <w:rsid w:val="51075B90"/>
    <w:rsid w:val="5112C2C8"/>
    <w:rsid w:val="5113FFAB"/>
    <w:rsid w:val="5115D5D0"/>
    <w:rsid w:val="511F0E11"/>
    <w:rsid w:val="5121225E"/>
    <w:rsid w:val="512570AB"/>
    <w:rsid w:val="5125C381"/>
    <w:rsid w:val="5125CD3A"/>
    <w:rsid w:val="5127A8A4"/>
    <w:rsid w:val="51280528"/>
    <w:rsid w:val="51285CDE"/>
    <w:rsid w:val="51294DC3"/>
    <w:rsid w:val="512B544A"/>
    <w:rsid w:val="512DFC91"/>
    <w:rsid w:val="5131FDA1"/>
    <w:rsid w:val="5132DF94"/>
    <w:rsid w:val="5137BC78"/>
    <w:rsid w:val="51380AAA"/>
    <w:rsid w:val="5138A9EA"/>
    <w:rsid w:val="5139D500"/>
    <w:rsid w:val="514DC7BD"/>
    <w:rsid w:val="514E2406"/>
    <w:rsid w:val="514E9D25"/>
    <w:rsid w:val="51502829"/>
    <w:rsid w:val="5159A682"/>
    <w:rsid w:val="515A8EC8"/>
    <w:rsid w:val="516AD8B6"/>
    <w:rsid w:val="516DBCFD"/>
    <w:rsid w:val="516F085E"/>
    <w:rsid w:val="517EF91B"/>
    <w:rsid w:val="518252D8"/>
    <w:rsid w:val="518D7487"/>
    <w:rsid w:val="5191F689"/>
    <w:rsid w:val="51941D75"/>
    <w:rsid w:val="5194B2D2"/>
    <w:rsid w:val="5198182E"/>
    <w:rsid w:val="5198D433"/>
    <w:rsid w:val="51994973"/>
    <w:rsid w:val="519C50F8"/>
    <w:rsid w:val="519DDBAD"/>
    <w:rsid w:val="519EF448"/>
    <w:rsid w:val="519F777D"/>
    <w:rsid w:val="519FBFEC"/>
    <w:rsid w:val="51A712EE"/>
    <w:rsid w:val="51AA0D8E"/>
    <w:rsid w:val="51B7D63A"/>
    <w:rsid w:val="51B81822"/>
    <w:rsid w:val="51BD44CD"/>
    <w:rsid w:val="51C134C5"/>
    <w:rsid w:val="51C50944"/>
    <w:rsid w:val="51C53AED"/>
    <w:rsid w:val="51C6B8B9"/>
    <w:rsid w:val="51CB5164"/>
    <w:rsid w:val="51CCCDCA"/>
    <w:rsid w:val="51CD9B9A"/>
    <w:rsid w:val="51D1573D"/>
    <w:rsid w:val="51D2ABB5"/>
    <w:rsid w:val="51D67B51"/>
    <w:rsid w:val="51D6CEE6"/>
    <w:rsid w:val="51DA900B"/>
    <w:rsid w:val="51E4A20D"/>
    <w:rsid w:val="51E6DFBB"/>
    <w:rsid w:val="51EB9E13"/>
    <w:rsid w:val="51F25E76"/>
    <w:rsid w:val="51F3F31E"/>
    <w:rsid w:val="51F4F117"/>
    <w:rsid w:val="51FA2CC4"/>
    <w:rsid w:val="51FE2103"/>
    <w:rsid w:val="5200343C"/>
    <w:rsid w:val="5201B36C"/>
    <w:rsid w:val="5205CD19"/>
    <w:rsid w:val="5210855F"/>
    <w:rsid w:val="5211F942"/>
    <w:rsid w:val="521418D3"/>
    <w:rsid w:val="52141CBE"/>
    <w:rsid w:val="5216C18B"/>
    <w:rsid w:val="521C1BC7"/>
    <w:rsid w:val="521FA817"/>
    <w:rsid w:val="522295D0"/>
    <w:rsid w:val="52259516"/>
    <w:rsid w:val="522A58AD"/>
    <w:rsid w:val="522F8F1D"/>
    <w:rsid w:val="5239C523"/>
    <w:rsid w:val="523CBF4A"/>
    <w:rsid w:val="523E2490"/>
    <w:rsid w:val="524224B3"/>
    <w:rsid w:val="5244EA8D"/>
    <w:rsid w:val="52455699"/>
    <w:rsid w:val="524E32F8"/>
    <w:rsid w:val="524F8E10"/>
    <w:rsid w:val="52513520"/>
    <w:rsid w:val="5251DF9F"/>
    <w:rsid w:val="52741846"/>
    <w:rsid w:val="5275970C"/>
    <w:rsid w:val="5275CEEE"/>
    <w:rsid w:val="5276772A"/>
    <w:rsid w:val="52769E8C"/>
    <w:rsid w:val="52797CCF"/>
    <w:rsid w:val="52819BE0"/>
    <w:rsid w:val="5282C574"/>
    <w:rsid w:val="5282D9EA"/>
    <w:rsid w:val="5284AE0E"/>
    <w:rsid w:val="528851B0"/>
    <w:rsid w:val="528880F0"/>
    <w:rsid w:val="528BECAB"/>
    <w:rsid w:val="529235FF"/>
    <w:rsid w:val="52973C19"/>
    <w:rsid w:val="5298A2D3"/>
    <w:rsid w:val="529AE1A0"/>
    <w:rsid w:val="529C1F59"/>
    <w:rsid w:val="529E1B78"/>
    <w:rsid w:val="52A00E0D"/>
    <w:rsid w:val="52A3EE2B"/>
    <w:rsid w:val="52A68381"/>
    <w:rsid w:val="52A94E2A"/>
    <w:rsid w:val="52ADACCD"/>
    <w:rsid w:val="52B185A0"/>
    <w:rsid w:val="52B220C3"/>
    <w:rsid w:val="52B23DA0"/>
    <w:rsid w:val="52B384B6"/>
    <w:rsid w:val="52B3D4FC"/>
    <w:rsid w:val="52B5F060"/>
    <w:rsid w:val="52BBDA6F"/>
    <w:rsid w:val="52C0019C"/>
    <w:rsid w:val="52C017F5"/>
    <w:rsid w:val="52C03067"/>
    <w:rsid w:val="52C43038"/>
    <w:rsid w:val="52C51C43"/>
    <w:rsid w:val="52C58464"/>
    <w:rsid w:val="52C75B3C"/>
    <w:rsid w:val="52CBB441"/>
    <w:rsid w:val="52D803F6"/>
    <w:rsid w:val="52DE2352"/>
    <w:rsid w:val="52E101FD"/>
    <w:rsid w:val="52E4AFBF"/>
    <w:rsid w:val="52EFD287"/>
    <w:rsid w:val="52F41933"/>
    <w:rsid w:val="52F5E8AB"/>
    <w:rsid w:val="52F8D2D5"/>
    <w:rsid w:val="52FA34C0"/>
    <w:rsid w:val="52FE0F66"/>
    <w:rsid w:val="530C0385"/>
    <w:rsid w:val="53167014"/>
    <w:rsid w:val="53181829"/>
    <w:rsid w:val="53193519"/>
    <w:rsid w:val="5319996E"/>
    <w:rsid w:val="531B88C9"/>
    <w:rsid w:val="531B8C9E"/>
    <w:rsid w:val="5327374C"/>
    <w:rsid w:val="53277666"/>
    <w:rsid w:val="5327CFD7"/>
    <w:rsid w:val="532B1EAF"/>
    <w:rsid w:val="532C49EC"/>
    <w:rsid w:val="532F6B28"/>
    <w:rsid w:val="53305013"/>
    <w:rsid w:val="533245F2"/>
    <w:rsid w:val="533424BE"/>
    <w:rsid w:val="533C5DCA"/>
    <w:rsid w:val="534C2712"/>
    <w:rsid w:val="534DA89F"/>
    <w:rsid w:val="53578049"/>
    <w:rsid w:val="53599AE9"/>
    <w:rsid w:val="535E26D9"/>
    <w:rsid w:val="535F7064"/>
    <w:rsid w:val="5363E256"/>
    <w:rsid w:val="5365E762"/>
    <w:rsid w:val="536A6058"/>
    <w:rsid w:val="53715FEC"/>
    <w:rsid w:val="53751189"/>
    <w:rsid w:val="5379CEB0"/>
    <w:rsid w:val="537B6BF5"/>
    <w:rsid w:val="537E4E17"/>
    <w:rsid w:val="5382172B"/>
    <w:rsid w:val="53845C48"/>
    <w:rsid w:val="538588A1"/>
    <w:rsid w:val="5388464C"/>
    <w:rsid w:val="5388B832"/>
    <w:rsid w:val="538C8932"/>
    <w:rsid w:val="538F36ED"/>
    <w:rsid w:val="53920812"/>
    <w:rsid w:val="53949C1F"/>
    <w:rsid w:val="5394C237"/>
    <w:rsid w:val="53953E61"/>
    <w:rsid w:val="5396524A"/>
    <w:rsid w:val="5399925F"/>
    <w:rsid w:val="539EAE8A"/>
    <w:rsid w:val="539F0F8B"/>
    <w:rsid w:val="53B7B341"/>
    <w:rsid w:val="53B7DDCC"/>
    <w:rsid w:val="53B93135"/>
    <w:rsid w:val="53B947B6"/>
    <w:rsid w:val="53BF8FD7"/>
    <w:rsid w:val="53C43D03"/>
    <w:rsid w:val="53C51A09"/>
    <w:rsid w:val="53C8252C"/>
    <w:rsid w:val="53CED316"/>
    <w:rsid w:val="53D0DDD5"/>
    <w:rsid w:val="53D96EB4"/>
    <w:rsid w:val="53E14BB3"/>
    <w:rsid w:val="53EDBE5F"/>
    <w:rsid w:val="53EF91AE"/>
    <w:rsid w:val="53EFC5F8"/>
    <w:rsid w:val="53F48263"/>
    <w:rsid w:val="53FAE7B4"/>
    <w:rsid w:val="53FDE2F2"/>
    <w:rsid w:val="54017A62"/>
    <w:rsid w:val="54047949"/>
    <w:rsid w:val="54084010"/>
    <w:rsid w:val="540AEA2F"/>
    <w:rsid w:val="5411402B"/>
    <w:rsid w:val="541502B1"/>
    <w:rsid w:val="5419B19B"/>
    <w:rsid w:val="541F487B"/>
    <w:rsid w:val="542199D8"/>
    <w:rsid w:val="5423021A"/>
    <w:rsid w:val="5423D1D4"/>
    <w:rsid w:val="5426302E"/>
    <w:rsid w:val="5427A9CA"/>
    <w:rsid w:val="542BF345"/>
    <w:rsid w:val="543036B1"/>
    <w:rsid w:val="543B5317"/>
    <w:rsid w:val="543D5C56"/>
    <w:rsid w:val="543E3A42"/>
    <w:rsid w:val="543E5628"/>
    <w:rsid w:val="544135C5"/>
    <w:rsid w:val="5441F9EA"/>
    <w:rsid w:val="544DC652"/>
    <w:rsid w:val="544ECD2A"/>
    <w:rsid w:val="544FED22"/>
    <w:rsid w:val="54514E54"/>
    <w:rsid w:val="545457BA"/>
    <w:rsid w:val="5455DD76"/>
    <w:rsid w:val="545A7A54"/>
    <w:rsid w:val="545B3E74"/>
    <w:rsid w:val="545C0B9B"/>
    <w:rsid w:val="545F6E57"/>
    <w:rsid w:val="54667D17"/>
    <w:rsid w:val="5467F188"/>
    <w:rsid w:val="5468D54B"/>
    <w:rsid w:val="5469C17B"/>
    <w:rsid w:val="546A4B9E"/>
    <w:rsid w:val="546DA501"/>
    <w:rsid w:val="54709783"/>
    <w:rsid w:val="5474E095"/>
    <w:rsid w:val="547EE0D0"/>
    <w:rsid w:val="54889A45"/>
    <w:rsid w:val="54954987"/>
    <w:rsid w:val="549559F4"/>
    <w:rsid w:val="54984DC5"/>
    <w:rsid w:val="5499BD58"/>
    <w:rsid w:val="54A765CD"/>
    <w:rsid w:val="54A785AE"/>
    <w:rsid w:val="54A8B463"/>
    <w:rsid w:val="54AD126B"/>
    <w:rsid w:val="54B3B928"/>
    <w:rsid w:val="54B9629D"/>
    <w:rsid w:val="54BBC7F6"/>
    <w:rsid w:val="54BD9E08"/>
    <w:rsid w:val="54BF96C7"/>
    <w:rsid w:val="54C31862"/>
    <w:rsid w:val="54C65165"/>
    <w:rsid w:val="54C6AA8F"/>
    <w:rsid w:val="54C74EA1"/>
    <w:rsid w:val="54C783B4"/>
    <w:rsid w:val="54C88B75"/>
    <w:rsid w:val="54CF660F"/>
    <w:rsid w:val="54D5AACF"/>
    <w:rsid w:val="54D672E8"/>
    <w:rsid w:val="54D8DB25"/>
    <w:rsid w:val="54DA255B"/>
    <w:rsid w:val="54DD67E5"/>
    <w:rsid w:val="54E02469"/>
    <w:rsid w:val="54E29D85"/>
    <w:rsid w:val="54E2CE61"/>
    <w:rsid w:val="54EEA19A"/>
    <w:rsid w:val="54EFEF42"/>
    <w:rsid w:val="54EFF00C"/>
    <w:rsid w:val="54F36E18"/>
    <w:rsid w:val="54F384E3"/>
    <w:rsid w:val="54F98BCA"/>
    <w:rsid w:val="55033487"/>
    <w:rsid w:val="55046821"/>
    <w:rsid w:val="5506684F"/>
    <w:rsid w:val="5515818E"/>
    <w:rsid w:val="5516677C"/>
    <w:rsid w:val="551952E7"/>
    <w:rsid w:val="551ADDCF"/>
    <w:rsid w:val="551B893F"/>
    <w:rsid w:val="551E35EB"/>
    <w:rsid w:val="55232CA0"/>
    <w:rsid w:val="55233566"/>
    <w:rsid w:val="55241EF5"/>
    <w:rsid w:val="5526D6CE"/>
    <w:rsid w:val="5528F169"/>
    <w:rsid w:val="552B8686"/>
    <w:rsid w:val="5530F3B5"/>
    <w:rsid w:val="55319153"/>
    <w:rsid w:val="553310C5"/>
    <w:rsid w:val="55349A9A"/>
    <w:rsid w:val="55350C71"/>
    <w:rsid w:val="55384B12"/>
    <w:rsid w:val="5540BFC7"/>
    <w:rsid w:val="5545CD32"/>
    <w:rsid w:val="554E48DD"/>
    <w:rsid w:val="554F3D82"/>
    <w:rsid w:val="5551F9DE"/>
    <w:rsid w:val="55528E02"/>
    <w:rsid w:val="5553CAF8"/>
    <w:rsid w:val="5558A18F"/>
    <w:rsid w:val="55590C5F"/>
    <w:rsid w:val="555AE9A6"/>
    <w:rsid w:val="555C0E35"/>
    <w:rsid w:val="555D0144"/>
    <w:rsid w:val="555D16D4"/>
    <w:rsid w:val="555F6ED1"/>
    <w:rsid w:val="5560D1FB"/>
    <w:rsid w:val="55628A77"/>
    <w:rsid w:val="55643FB5"/>
    <w:rsid w:val="5564432B"/>
    <w:rsid w:val="5566628C"/>
    <w:rsid w:val="55681843"/>
    <w:rsid w:val="5569C1A3"/>
    <w:rsid w:val="556B1C49"/>
    <w:rsid w:val="556C4A93"/>
    <w:rsid w:val="5570DD65"/>
    <w:rsid w:val="557108A4"/>
    <w:rsid w:val="557CFAE7"/>
    <w:rsid w:val="557D28B4"/>
    <w:rsid w:val="55802E3C"/>
    <w:rsid w:val="5589C356"/>
    <w:rsid w:val="55968ACA"/>
    <w:rsid w:val="5597D021"/>
    <w:rsid w:val="55980BE4"/>
    <w:rsid w:val="55984E77"/>
    <w:rsid w:val="5598924F"/>
    <w:rsid w:val="559A9C78"/>
    <w:rsid w:val="559F763D"/>
    <w:rsid w:val="55A45C6F"/>
    <w:rsid w:val="55A7FA5B"/>
    <w:rsid w:val="55A8EF26"/>
    <w:rsid w:val="55AB68B3"/>
    <w:rsid w:val="55B370F6"/>
    <w:rsid w:val="55B3E3A7"/>
    <w:rsid w:val="55BFD0F5"/>
    <w:rsid w:val="55C5C20A"/>
    <w:rsid w:val="55C6E6F4"/>
    <w:rsid w:val="55C7ADA4"/>
    <w:rsid w:val="55C8485D"/>
    <w:rsid w:val="55CBFD3D"/>
    <w:rsid w:val="55E816E3"/>
    <w:rsid w:val="55E9C75D"/>
    <w:rsid w:val="55F4F181"/>
    <w:rsid w:val="55FC9A11"/>
    <w:rsid w:val="55FD1225"/>
    <w:rsid w:val="56032410"/>
    <w:rsid w:val="5603D23A"/>
    <w:rsid w:val="560404CA"/>
    <w:rsid w:val="560534D7"/>
    <w:rsid w:val="560DD99D"/>
    <w:rsid w:val="560EE996"/>
    <w:rsid w:val="5610EBD4"/>
    <w:rsid w:val="56122365"/>
    <w:rsid w:val="5615B896"/>
    <w:rsid w:val="5617BFB5"/>
    <w:rsid w:val="561EEAA8"/>
    <w:rsid w:val="56265DA3"/>
    <w:rsid w:val="562E101F"/>
    <w:rsid w:val="562EBC87"/>
    <w:rsid w:val="562F23B8"/>
    <w:rsid w:val="5630EAF1"/>
    <w:rsid w:val="56380433"/>
    <w:rsid w:val="563D8A98"/>
    <w:rsid w:val="5648A1E8"/>
    <w:rsid w:val="564BE8AB"/>
    <w:rsid w:val="564DC649"/>
    <w:rsid w:val="564E41B7"/>
    <w:rsid w:val="5654CED9"/>
    <w:rsid w:val="56563F7E"/>
    <w:rsid w:val="565B16D1"/>
    <w:rsid w:val="565CA418"/>
    <w:rsid w:val="565CBADC"/>
    <w:rsid w:val="565DE956"/>
    <w:rsid w:val="5668C4FF"/>
    <w:rsid w:val="56790251"/>
    <w:rsid w:val="567EB251"/>
    <w:rsid w:val="5681D79D"/>
    <w:rsid w:val="56844636"/>
    <w:rsid w:val="5686CC3D"/>
    <w:rsid w:val="5686FF8A"/>
    <w:rsid w:val="568873A3"/>
    <w:rsid w:val="56894D87"/>
    <w:rsid w:val="56907874"/>
    <w:rsid w:val="5694059A"/>
    <w:rsid w:val="569762DA"/>
    <w:rsid w:val="5698D46D"/>
    <w:rsid w:val="569B0F5A"/>
    <w:rsid w:val="569FA13D"/>
    <w:rsid w:val="569FC2B4"/>
    <w:rsid w:val="56A19CD2"/>
    <w:rsid w:val="56A4F262"/>
    <w:rsid w:val="56AF3DF9"/>
    <w:rsid w:val="56B128A8"/>
    <w:rsid w:val="56B6D046"/>
    <w:rsid w:val="56B9BCF3"/>
    <w:rsid w:val="56BCCA42"/>
    <w:rsid w:val="56BFE14A"/>
    <w:rsid w:val="56C1AE1F"/>
    <w:rsid w:val="56C3CA35"/>
    <w:rsid w:val="56C55800"/>
    <w:rsid w:val="56C7AFD4"/>
    <w:rsid w:val="56C8499E"/>
    <w:rsid w:val="56CCAC7C"/>
    <w:rsid w:val="56DABA47"/>
    <w:rsid w:val="56DD3F80"/>
    <w:rsid w:val="56DFFA6B"/>
    <w:rsid w:val="56E143C9"/>
    <w:rsid w:val="56E4EFA4"/>
    <w:rsid w:val="56E7DCC3"/>
    <w:rsid w:val="56F3464A"/>
    <w:rsid w:val="56F84D29"/>
    <w:rsid w:val="56FEB1BB"/>
    <w:rsid w:val="5700B1B7"/>
    <w:rsid w:val="57042143"/>
    <w:rsid w:val="5704BB63"/>
    <w:rsid w:val="5706DB1E"/>
    <w:rsid w:val="5706EDA0"/>
    <w:rsid w:val="57093A77"/>
    <w:rsid w:val="570FDE56"/>
    <w:rsid w:val="571B5074"/>
    <w:rsid w:val="571CC173"/>
    <w:rsid w:val="571F7BCC"/>
    <w:rsid w:val="57248FE6"/>
    <w:rsid w:val="572B8A40"/>
    <w:rsid w:val="572EC228"/>
    <w:rsid w:val="5731DDBC"/>
    <w:rsid w:val="573F8E48"/>
    <w:rsid w:val="5744E487"/>
    <w:rsid w:val="574D5EB4"/>
    <w:rsid w:val="575223CA"/>
    <w:rsid w:val="5752B788"/>
    <w:rsid w:val="5753F21F"/>
    <w:rsid w:val="575CB38D"/>
    <w:rsid w:val="575F4A35"/>
    <w:rsid w:val="5761D081"/>
    <w:rsid w:val="5766FA0F"/>
    <w:rsid w:val="576BF81B"/>
    <w:rsid w:val="57705BBF"/>
    <w:rsid w:val="5771A9CB"/>
    <w:rsid w:val="57731905"/>
    <w:rsid w:val="577525D8"/>
    <w:rsid w:val="57754B36"/>
    <w:rsid w:val="57759C89"/>
    <w:rsid w:val="5777A3B0"/>
    <w:rsid w:val="57793441"/>
    <w:rsid w:val="577D257E"/>
    <w:rsid w:val="5780627E"/>
    <w:rsid w:val="5782DCA2"/>
    <w:rsid w:val="578AD6B4"/>
    <w:rsid w:val="578CF3E0"/>
    <w:rsid w:val="578E97B5"/>
    <w:rsid w:val="57908463"/>
    <w:rsid w:val="5792DE72"/>
    <w:rsid w:val="579475C4"/>
    <w:rsid w:val="579BE931"/>
    <w:rsid w:val="579C32BA"/>
    <w:rsid w:val="57A031F7"/>
    <w:rsid w:val="57A4E83E"/>
    <w:rsid w:val="57AAD06E"/>
    <w:rsid w:val="57AD8E73"/>
    <w:rsid w:val="57B1E9D3"/>
    <w:rsid w:val="57B31C6C"/>
    <w:rsid w:val="57B33FF0"/>
    <w:rsid w:val="57B529E4"/>
    <w:rsid w:val="57B5B782"/>
    <w:rsid w:val="57B9845A"/>
    <w:rsid w:val="57BCFA1E"/>
    <w:rsid w:val="57BD7C5A"/>
    <w:rsid w:val="57BF5FA8"/>
    <w:rsid w:val="57C062A5"/>
    <w:rsid w:val="57C6A178"/>
    <w:rsid w:val="57CC2040"/>
    <w:rsid w:val="57CC5DBF"/>
    <w:rsid w:val="57CF1999"/>
    <w:rsid w:val="57D33FBC"/>
    <w:rsid w:val="57D583D5"/>
    <w:rsid w:val="57DC47B4"/>
    <w:rsid w:val="57DC670B"/>
    <w:rsid w:val="57E0AC8B"/>
    <w:rsid w:val="57E861CE"/>
    <w:rsid w:val="57ECDBD4"/>
    <w:rsid w:val="57ED5299"/>
    <w:rsid w:val="57F04896"/>
    <w:rsid w:val="57F0C2B0"/>
    <w:rsid w:val="57F8EAFF"/>
    <w:rsid w:val="57FA0795"/>
    <w:rsid w:val="57FDCBD2"/>
    <w:rsid w:val="57FE35E7"/>
    <w:rsid w:val="57FFB1D0"/>
    <w:rsid w:val="58036421"/>
    <w:rsid w:val="580A4825"/>
    <w:rsid w:val="580AAE1C"/>
    <w:rsid w:val="580ADFF2"/>
    <w:rsid w:val="580B16AF"/>
    <w:rsid w:val="580E55E8"/>
    <w:rsid w:val="580F2BED"/>
    <w:rsid w:val="580F4629"/>
    <w:rsid w:val="58143AAD"/>
    <w:rsid w:val="5815D65B"/>
    <w:rsid w:val="5816625B"/>
    <w:rsid w:val="5817D556"/>
    <w:rsid w:val="581A18A8"/>
    <w:rsid w:val="581A3CDF"/>
    <w:rsid w:val="581B8181"/>
    <w:rsid w:val="5821770D"/>
    <w:rsid w:val="5823CDAB"/>
    <w:rsid w:val="58277586"/>
    <w:rsid w:val="58278FED"/>
    <w:rsid w:val="582944FB"/>
    <w:rsid w:val="5829D0BA"/>
    <w:rsid w:val="582E4EAE"/>
    <w:rsid w:val="582E7D95"/>
    <w:rsid w:val="582E91B0"/>
    <w:rsid w:val="58305B80"/>
    <w:rsid w:val="5835B42E"/>
    <w:rsid w:val="5836EF18"/>
    <w:rsid w:val="5837B2B8"/>
    <w:rsid w:val="58397A52"/>
    <w:rsid w:val="5850F4C2"/>
    <w:rsid w:val="58538CF4"/>
    <w:rsid w:val="5855B075"/>
    <w:rsid w:val="585BB918"/>
    <w:rsid w:val="585CDCD8"/>
    <w:rsid w:val="585EFDF3"/>
    <w:rsid w:val="58645AA4"/>
    <w:rsid w:val="58645E29"/>
    <w:rsid w:val="586A526F"/>
    <w:rsid w:val="586C321E"/>
    <w:rsid w:val="586D2648"/>
    <w:rsid w:val="586E9FE7"/>
    <w:rsid w:val="5870659B"/>
    <w:rsid w:val="58728FD9"/>
    <w:rsid w:val="587554E8"/>
    <w:rsid w:val="5876AE41"/>
    <w:rsid w:val="587C41C4"/>
    <w:rsid w:val="5884359A"/>
    <w:rsid w:val="58879FB5"/>
    <w:rsid w:val="589FE013"/>
    <w:rsid w:val="58A0462D"/>
    <w:rsid w:val="58A14501"/>
    <w:rsid w:val="58A20B56"/>
    <w:rsid w:val="58A44A78"/>
    <w:rsid w:val="58A49269"/>
    <w:rsid w:val="58A59543"/>
    <w:rsid w:val="58AB0C8C"/>
    <w:rsid w:val="58AF4722"/>
    <w:rsid w:val="58B0BA97"/>
    <w:rsid w:val="58B5D8D3"/>
    <w:rsid w:val="58BD3DE8"/>
    <w:rsid w:val="58BF3B42"/>
    <w:rsid w:val="58C0E758"/>
    <w:rsid w:val="58C3C3AF"/>
    <w:rsid w:val="58C5CEE7"/>
    <w:rsid w:val="58C98117"/>
    <w:rsid w:val="58CE771C"/>
    <w:rsid w:val="58CEBD6F"/>
    <w:rsid w:val="58D368C9"/>
    <w:rsid w:val="58DB46B1"/>
    <w:rsid w:val="58DC14B8"/>
    <w:rsid w:val="58E42AD9"/>
    <w:rsid w:val="58E76C4C"/>
    <w:rsid w:val="58E9C3B4"/>
    <w:rsid w:val="58EC4009"/>
    <w:rsid w:val="58EC8B23"/>
    <w:rsid w:val="58EE1DEB"/>
    <w:rsid w:val="58F3079C"/>
    <w:rsid w:val="58F55EB7"/>
    <w:rsid w:val="5901A953"/>
    <w:rsid w:val="5904C5CB"/>
    <w:rsid w:val="5905D1A1"/>
    <w:rsid w:val="590A6151"/>
    <w:rsid w:val="5911B099"/>
    <w:rsid w:val="5914CC3F"/>
    <w:rsid w:val="591D9115"/>
    <w:rsid w:val="592207CB"/>
    <w:rsid w:val="5925B707"/>
    <w:rsid w:val="59279816"/>
    <w:rsid w:val="592A6B66"/>
    <w:rsid w:val="592DD772"/>
    <w:rsid w:val="5930F486"/>
    <w:rsid w:val="593279A9"/>
    <w:rsid w:val="59355D75"/>
    <w:rsid w:val="5937559D"/>
    <w:rsid w:val="5939239B"/>
    <w:rsid w:val="59392403"/>
    <w:rsid w:val="59398FB8"/>
    <w:rsid w:val="593CC2DF"/>
    <w:rsid w:val="593D6927"/>
    <w:rsid w:val="59463C7F"/>
    <w:rsid w:val="5946E226"/>
    <w:rsid w:val="59474B00"/>
    <w:rsid w:val="594E6199"/>
    <w:rsid w:val="5954B6F6"/>
    <w:rsid w:val="595677F3"/>
    <w:rsid w:val="595C4011"/>
    <w:rsid w:val="5961738F"/>
    <w:rsid w:val="59681E1F"/>
    <w:rsid w:val="596A20A2"/>
    <w:rsid w:val="596C7B9C"/>
    <w:rsid w:val="5973873B"/>
    <w:rsid w:val="5974A0E7"/>
    <w:rsid w:val="5974F4C7"/>
    <w:rsid w:val="59758160"/>
    <w:rsid w:val="597A1758"/>
    <w:rsid w:val="597F6961"/>
    <w:rsid w:val="598FA064"/>
    <w:rsid w:val="5990ADFB"/>
    <w:rsid w:val="5994D22E"/>
    <w:rsid w:val="59976DBD"/>
    <w:rsid w:val="5999E35F"/>
    <w:rsid w:val="599A5901"/>
    <w:rsid w:val="599DEE98"/>
    <w:rsid w:val="59A7DD7C"/>
    <w:rsid w:val="59A9CD6C"/>
    <w:rsid w:val="59AE54AA"/>
    <w:rsid w:val="59B0FC02"/>
    <w:rsid w:val="59B10FD4"/>
    <w:rsid w:val="59B858FF"/>
    <w:rsid w:val="59B8E7EF"/>
    <w:rsid w:val="59B8E894"/>
    <w:rsid w:val="59B9B5C7"/>
    <w:rsid w:val="59BB3164"/>
    <w:rsid w:val="59BC2045"/>
    <w:rsid w:val="59C104C0"/>
    <w:rsid w:val="59C276BE"/>
    <w:rsid w:val="59C56912"/>
    <w:rsid w:val="59C7FA92"/>
    <w:rsid w:val="59CC2E92"/>
    <w:rsid w:val="59CE19B5"/>
    <w:rsid w:val="59D9008D"/>
    <w:rsid w:val="59DC4FFA"/>
    <w:rsid w:val="59DDD290"/>
    <w:rsid w:val="59DE5A8C"/>
    <w:rsid w:val="59E2DCD1"/>
    <w:rsid w:val="59EE04BA"/>
    <w:rsid w:val="59FC7DA5"/>
    <w:rsid w:val="59FFA866"/>
    <w:rsid w:val="5A00182D"/>
    <w:rsid w:val="5A00B275"/>
    <w:rsid w:val="5A0E50D2"/>
    <w:rsid w:val="5A0E8FD2"/>
    <w:rsid w:val="5A0EA5F1"/>
    <w:rsid w:val="5A11FCB3"/>
    <w:rsid w:val="5A147EE3"/>
    <w:rsid w:val="5A155D38"/>
    <w:rsid w:val="5A161979"/>
    <w:rsid w:val="5A219A84"/>
    <w:rsid w:val="5A23DFEE"/>
    <w:rsid w:val="5A23E0D4"/>
    <w:rsid w:val="5A240FF3"/>
    <w:rsid w:val="5A26CE43"/>
    <w:rsid w:val="5A2850C7"/>
    <w:rsid w:val="5A2926F2"/>
    <w:rsid w:val="5A3179A8"/>
    <w:rsid w:val="5A342952"/>
    <w:rsid w:val="5A34846D"/>
    <w:rsid w:val="5A35A869"/>
    <w:rsid w:val="5A380E82"/>
    <w:rsid w:val="5A3A3197"/>
    <w:rsid w:val="5A3A3441"/>
    <w:rsid w:val="5A3B1EA7"/>
    <w:rsid w:val="5A3B23A5"/>
    <w:rsid w:val="5A3FA79D"/>
    <w:rsid w:val="5A40B35E"/>
    <w:rsid w:val="5A454DAF"/>
    <w:rsid w:val="5A46E6C8"/>
    <w:rsid w:val="5A4B2E43"/>
    <w:rsid w:val="5A4FDDDA"/>
    <w:rsid w:val="5A5228F5"/>
    <w:rsid w:val="5A542B23"/>
    <w:rsid w:val="5A567AC7"/>
    <w:rsid w:val="5A586CBD"/>
    <w:rsid w:val="5A5A94B2"/>
    <w:rsid w:val="5A614C4D"/>
    <w:rsid w:val="5A6C6B2F"/>
    <w:rsid w:val="5A6D028E"/>
    <w:rsid w:val="5A6F0FE2"/>
    <w:rsid w:val="5A6F3786"/>
    <w:rsid w:val="5A77BCE9"/>
    <w:rsid w:val="5A794BB2"/>
    <w:rsid w:val="5A81B5D5"/>
    <w:rsid w:val="5A836DC9"/>
    <w:rsid w:val="5A85447A"/>
    <w:rsid w:val="5A859B38"/>
    <w:rsid w:val="5A881500"/>
    <w:rsid w:val="5A8E7ED0"/>
    <w:rsid w:val="5A910D1C"/>
    <w:rsid w:val="5A9F217C"/>
    <w:rsid w:val="5A9F425B"/>
    <w:rsid w:val="5A9FFB75"/>
    <w:rsid w:val="5AA104C4"/>
    <w:rsid w:val="5AA4446C"/>
    <w:rsid w:val="5AA8C117"/>
    <w:rsid w:val="5AAEC7DE"/>
    <w:rsid w:val="5AB6A1B5"/>
    <w:rsid w:val="5AB8FA56"/>
    <w:rsid w:val="5ABC2E61"/>
    <w:rsid w:val="5AC16EF9"/>
    <w:rsid w:val="5AC54819"/>
    <w:rsid w:val="5AC728FB"/>
    <w:rsid w:val="5AC7EA5F"/>
    <w:rsid w:val="5ACC5A3D"/>
    <w:rsid w:val="5AD10A1A"/>
    <w:rsid w:val="5AD46AAA"/>
    <w:rsid w:val="5ADAA299"/>
    <w:rsid w:val="5AE537E8"/>
    <w:rsid w:val="5AEA775A"/>
    <w:rsid w:val="5AEC905C"/>
    <w:rsid w:val="5AEEC94F"/>
    <w:rsid w:val="5AEF4837"/>
    <w:rsid w:val="5AF2837F"/>
    <w:rsid w:val="5AF8E3FC"/>
    <w:rsid w:val="5AFA9F2A"/>
    <w:rsid w:val="5AFFE2C6"/>
    <w:rsid w:val="5B09A899"/>
    <w:rsid w:val="5B09D04F"/>
    <w:rsid w:val="5B0A5B08"/>
    <w:rsid w:val="5B0D1504"/>
    <w:rsid w:val="5B12CBE6"/>
    <w:rsid w:val="5B1A9D2F"/>
    <w:rsid w:val="5B1ECB8C"/>
    <w:rsid w:val="5B20F395"/>
    <w:rsid w:val="5B26A7A5"/>
    <w:rsid w:val="5B27D36C"/>
    <w:rsid w:val="5B2888EE"/>
    <w:rsid w:val="5B307D12"/>
    <w:rsid w:val="5B311678"/>
    <w:rsid w:val="5B3449EA"/>
    <w:rsid w:val="5B38BCE3"/>
    <w:rsid w:val="5B3DCD5A"/>
    <w:rsid w:val="5B400FD3"/>
    <w:rsid w:val="5B420239"/>
    <w:rsid w:val="5B46E69E"/>
    <w:rsid w:val="5B47D8F4"/>
    <w:rsid w:val="5B492D5F"/>
    <w:rsid w:val="5B4A1C59"/>
    <w:rsid w:val="5B4B57B6"/>
    <w:rsid w:val="5B4D468F"/>
    <w:rsid w:val="5B50D45B"/>
    <w:rsid w:val="5B52699C"/>
    <w:rsid w:val="5B541F5D"/>
    <w:rsid w:val="5B5656E6"/>
    <w:rsid w:val="5B5788B5"/>
    <w:rsid w:val="5B5A7716"/>
    <w:rsid w:val="5B5BD770"/>
    <w:rsid w:val="5B5F4AAC"/>
    <w:rsid w:val="5B61ABA4"/>
    <w:rsid w:val="5B649606"/>
    <w:rsid w:val="5B6842F8"/>
    <w:rsid w:val="5B68A695"/>
    <w:rsid w:val="5B692EE5"/>
    <w:rsid w:val="5B73197C"/>
    <w:rsid w:val="5B79B7EA"/>
    <w:rsid w:val="5B7DAEF9"/>
    <w:rsid w:val="5B833BC9"/>
    <w:rsid w:val="5B83B003"/>
    <w:rsid w:val="5B8F074C"/>
    <w:rsid w:val="5B908EB7"/>
    <w:rsid w:val="5B92F8BC"/>
    <w:rsid w:val="5B945160"/>
    <w:rsid w:val="5B95CE57"/>
    <w:rsid w:val="5B98E23B"/>
    <w:rsid w:val="5BA33AED"/>
    <w:rsid w:val="5BA40480"/>
    <w:rsid w:val="5BA43ED5"/>
    <w:rsid w:val="5BAA9F63"/>
    <w:rsid w:val="5BACB7F4"/>
    <w:rsid w:val="5BAD24F2"/>
    <w:rsid w:val="5BB2F60A"/>
    <w:rsid w:val="5BB431FA"/>
    <w:rsid w:val="5BBAFBCC"/>
    <w:rsid w:val="5BBB9883"/>
    <w:rsid w:val="5BC032A1"/>
    <w:rsid w:val="5BC202FE"/>
    <w:rsid w:val="5BC72C77"/>
    <w:rsid w:val="5BC92441"/>
    <w:rsid w:val="5BCC4126"/>
    <w:rsid w:val="5BD03910"/>
    <w:rsid w:val="5BD077CE"/>
    <w:rsid w:val="5BDBE00E"/>
    <w:rsid w:val="5BE424C4"/>
    <w:rsid w:val="5BE6ACDF"/>
    <w:rsid w:val="5BEB2027"/>
    <w:rsid w:val="5BF11631"/>
    <w:rsid w:val="5BF47955"/>
    <w:rsid w:val="5BFB9F98"/>
    <w:rsid w:val="5BFDDF21"/>
    <w:rsid w:val="5C070611"/>
    <w:rsid w:val="5C0C890D"/>
    <w:rsid w:val="5C0FCB89"/>
    <w:rsid w:val="5C12D465"/>
    <w:rsid w:val="5C1E0894"/>
    <w:rsid w:val="5C201565"/>
    <w:rsid w:val="5C24FA2B"/>
    <w:rsid w:val="5C2BD02A"/>
    <w:rsid w:val="5C2BD446"/>
    <w:rsid w:val="5C336FCD"/>
    <w:rsid w:val="5C37CC11"/>
    <w:rsid w:val="5C3D18C6"/>
    <w:rsid w:val="5C3DC771"/>
    <w:rsid w:val="5C3E4DFE"/>
    <w:rsid w:val="5C3FBF24"/>
    <w:rsid w:val="5C40F4BD"/>
    <w:rsid w:val="5C41BF75"/>
    <w:rsid w:val="5C42AE2E"/>
    <w:rsid w:val="5C440405"/>
    <w:rsid w:val="5C49A651"/>
    <w:rsid w:val="5C4A9D96"/>
    <w:rsid w:val="5C52E1AD"/>
    <w:rsid w:val="5C67753E"/>
    <w:rsid w:val="5C740555"/>
    <w:rsid w:val="5C75039F"/>
    <w:rsid w:val="5C7F99C5"/>
    <w:rsid w:val="5C84EABF"/>
    <w:rsid w:val="5C8807B0"/>
    <w:rsid w:val="5C890344"/>
    <w:rsid w:val="5C8CB4AA"/>
    <w:rsid w:val="5C8F9F5A"/>
    <w:rsid w:val="5C90D1C2"/>
    <w:rsid w:val="5C966118"/>
    <w:rsid w:val="5C9835E3"/>
    <w:rsid w:val="5C9873C5"/>
    <w:rsid w:val="5C9B44F2"/>
    <w:rsid w:val="5C9FDBE7"/>
    <w:rsid w:val="5CA20070"/>
    <w:rsid w:val="5CA2EFF8"/>
    <w:rsid w:val="5CA2FF11"/>
    <w:rsid w:val="5CA7195E"/>
    <w:rsid w:val="5CB29C7F"/>
    <w:rsid w:val="5CB66026"/>
    <w:rsid w:val="5CBB3A71"/>
    <w:rsid w:val="5CC0928A"/>
    <w:rsid w:val="5CC45529"/>
    <w:rsid w:val="5CC547DF"/>
    <w:rsid w:val="5CC608C7"/>
    <w:rsid w:val="5CC7F6D2"/>
    <w:rsid w:val="5CC8C562"/>
    <w:rsid w:val="5CC955D8"/>
    <w:rsid w:val="5CCE18FC"/>
    <w:rsid w:val="5CCF7391"/>
    <w:rsid w:val="5CD1D02C"/>
    <w:rsid w:val="5CD23217"/>
    <w:rsid w:val="5CD30FBC"/>
    <w:rsid w:val="5CDA1E90"/>
    <w:rsid w:val="5CDB379E"/>
    <w:rsid w:val="5CE03489"/>
    <w:rsid w:val="5CE67541"/>
    <w:rsid w:val="5CE91CD4"/>
    <w:rsid w:val="5CEBD34F"/>
    <w:rsid w:val="5CEC7587"/>
    <w:rsid w:val="5CF8290B"/>
    <w:rsid w:val="5CF9EBE7"/>
    <w:rsid w:val="5CFA34C9"/>
    <w:rsid w:val="5D012904"/>
    <w:rsid w:val="5D0A3912"/>
    <w:rsid w:val="5D0EC840"/>
    <w:rsid w:val="5D163DFF"/>
    <w:rsid w:val="5D166DBB"/>
    <w:rsid w:val="5D190040"/>
    <w:rsid w:val="5D1DA711"/>
    <w:rsid w:val="5D1E4E9F"/>
    <w:rsid w:val="5D249BAD"/>
    <w:rsid w:val="5D24D901"/>
    <w:rsid w:val="5D274C6C"/>
    <w:rsid w:val="5D288F0B"/>
    <w:rsid w:val="5D2ED0E5"/>
    <w:rsid w:val="5D311568"/>
    <w:rsid w:val="5D340707"/>
    <w:rsid w:val="5D34F852"/>
    <w:rsid w:val="5D375946"/>
    <w:rsid w:val="5D39C849"/>
    <w:rsid w:val="5D4187B1"/>
    <w:rsid w:val="5D46E87F"/>
    <w:rsid w:val="5D493B66"/>
    <w:rsid w:val="5D4F5A0F"/>
    <w:rsid w:val="5D51E996"/>
    <w:rsid w:val="5D54EA4F"/>
    <w:rsid w:val="5D55337F"/>
    <w:rsid w:val="5D5874DD"/>
    <w:rsid w:val="5D5C5245"/>
    <w:rsid w:val="5D5F3D4A"/>
    <w:rsid w:val="5D62286F"/>
    <w:rsid w:val="5D6292A9"/>
    <w:rsid w:val="5D64B514"/>
    <w:rsid w:val="5D658DD5"/>
    <w:rsid w:val="5D65C65A"/>
    <w:rsid w:val="5D72F369"/>
    <w:rsid w:val="5D73E2C3"/>
    <w:rsid w:val="5D758FD2"/>
    <w:rsid w:val="5D78C2C2"/>
    <w:rsid w:val="5D7CBD59"/>
    <w:rsid w:val="5D7F60B6"/>
    <w:rsid w:val="5D87D19F"/>
    <w:rsid w:val="5D8AD1CC"/>
    <w:rsid w:val="5D934810"/>
    <w:rsid w:val="5D981288"/>
    <w:rsid w:val="5D99AE59"/>
    <w:rsid w:val="5D9A8B33"/>
    <w:rsid w:val="5D9CC2F4"/>
    <w:rsid w:val="5DA5236A"/>
    <w:rsid w:val="5DAA5F30"/>
    <w:rsid w:val="5DAC968E"/>
    <w:rsid w:val="5DB15507"/>
    <w:rsid w:val="5DBC79BC"/>
    <w:rsid w:val="5DBCCC50"/>
    <w:rsid w:val="5DBFE898"/>
    <w:rsid w:val="5DC355D2"/>
    <w:rsid w:val="5DC8C877"/>
    <w:rsid w:val="5DD28F7A"/>
    <w:rsid w:val="5DD3CA62"/>
    <w:rsid w:val="5DD3FFFB"/>
    <w:rsid w:val="5DDB7021"/>
    <w:rsid w:val="5DE725A9"/>
    <w:rsid w:val="5DECDB8A"/>
    <w:rsid w:val="5DEF17DD"/>
    <w:rsid w:val="5DEF3403"/>
    <w:rsid w:val="5DF04785"/>
    <w:rsid w:val="5DF29BA1"/>
    <w:rsid w:val="5DF8F2B4"/>
    <w:rsid w:val="5E0369EE"/>
    <w:rsid w:val="5E0465AA"/>
    <w:rsid w:val="5E07305D"/>
    <w:rsid w:val="5E0ADC6D"/>
    <w:rsid w:val="5E0B9A71"/>
    <w:rsid w:val="5E0E5984"/>
    <w:rsid w:val="5E124830"/>
    <w:rsid w:val="5E153C83"/>
    <w:rsid w:val="5E160EE7"/>
    <w:rsid w:val="5E1E1CC9"/>
    <w:rsid w:val="5E306265"/>
    <w:rsid w:val="5E314E15"/>
    <w:rsid w:val="5E34899B"/>
    <w:rsid w:val="5E3A5BCC"/>
    <w:rsid w:val="5E3CD21C"/>
    <w:rsid w:val="5E3DCB2B"/>
    <w:rsid w:val="5E3E9842"/>
    <w:rsid w:val="5E3EF9AC"/>
    <w:rsid w:val="5E3FE1F9"/>
    <w:rsid w:val="5E43BCA8"/>
    <w:rsid w:val="5E47D719"/>
    <w:rsid w:val="5E4BCD56"/>
    <w:rsid w:val="5E4E6420"/>
    <w:rsid w:val="5E51CD0F"/>
    <w:rsid w:val="5E51F22B"/>
    <w:rsid w:val="5E541E5B"/>
    <w:rsid w:val="5E591D99"/>
    <w:rsid w:val="5E5DAFF6"/>
    <w:rsid w:val="5E62A7F5"/>
    <w:rsid w:val="5E6525F5"/>
    <w:rsid w:val="5E734F73"/>
    <w:rsid w:val="5E76AB7D"/>
    <w:rsid w:val="5E7787BC"/>
    <w:rsid w:val="5E7BD804"/>
    <w:rsid w:val="5E7DAAE3"/>
    <w:rsid w:val="5E7E5228"/>
    <w:rsid w:val="5E843B7C"/>
    <w:rsid w:val="5E888482"/>
    <w:rsid w:val="5E88F106"/>
    <w:rsid w:val="5E8BA44A"/>
    <w:rsid w:val="5E91C83C"/>
    <w:rsid w:val="5E97DA6D"/>
    <w:rsid w:val="5EA3FA2C"/>
    <w:rsid w:val="5EA6EF4C"/>
    <w:rsid w:val="5EAA449C"/>
    <w:rsid w:val="5EABABD8"/>
    <w:rsid w:val="5EABC4F7"/>
    <w:rsid w:val="5EAD808C"/>
    <w:rsid w:val="5EBE9DC1"/>
    <w:rsid w:val="5EBFD0B6"/>
    <w:rsid w:val="5ECD9AF4"/>
    <w:rsid w:val="5ED9C990"/>
    <w:rsid w:val="5EDCD7E3"/>
    <w:rsid w:val="5EDE8688"/>
    <w:rsid w:val="5EE2F044"/>
    <w:rsid w:val="5EE46DA2"/>
    <w:rsid w:val="5EEA9D41"/>
    <w:rsid w:val="5EEE7240"/>
    <w:rsid w:val="5EEF3914"/>
    <w:rsid w:val="5EEF9FAB"/>
    <w:rsid w:val="5EF327B8"/>
    <w:rsid w:val="5EF490AC"/>
    <w:rsid w:val="5EF5E756"/>
    <w:rsid w:val="5EFF4C2C"/>
    <w:rsid w:val="5F0AC780"/>
    <w:rsid w:val="5F0B59B7"/>
    <w:rsid w:val="5F0BAEAE"/>
    <w:rsid w:val="5F11F9E3"/>
    <w:rsid w:val="5F1254AE"/>
    <w:rsid w:val="5F12E0C8"/>
    <w:rsid w:val="5F15A2A8"/>
    <w:rsid w:val="5F167280"/>
    <w:rsid w:val="5F180231"/>
    <w:rsid w:val="5F1D569B"/>
    <w:rsid w:val="5F2049E1"/>
    <w:rsid w:val="5F20FA7D"/>
    <w:rsid w:val="5F22155D"/>
    <w:rsid w:val="5F2F3FED"/>
    <w:rsid w:val="5F2F8128"/>
    <w:rsid w:val="5F30D9F0"/>
    <w:rsid w:val="5F365F32"/>
    <w:rsid w:val="5F3C6DF8"/>
    <w:rsid w:val="5F3F01CC"/>
    <w:rsid w:val="5F408F43"/>
    <w:rsid w:val="5F449392"/>
    <w:rsid w:val="5F45DD52"/>
    <w:rsid w:val="5F503C5C"/>
    <w:rsid w:val="5F5CF167"/>
    <w:rsid w:val="5F5DD945"/>
    <w:rsid w:val="5F5F5182"/>
    <w:rsid w:val="5F63DF62"/>
    <w:rsid w:val="5F662FF8"/>
    <w:rsid w:val="5F6AAB15"/>
    <w:rsid w:val="5F6B3AE8"/>
    <w:rsid w:val="5F723609"/>
    <w:rsid w:val="5F731399"/>
    <w:rsid w:val="5F7482FC"/>
    <w:rsid w:val="5F758404"/>
    <w:rsid w:val="5F7A7081"/>
    <w:rsid w:val="5F874C87"/>
    <w:rsid w:val="5F880978"/>
    <w:rsid w:val="5F92A1CD"/>
    <w:rsid w:val="5F9504CD"/>
    <w:rsid w:val="5F95E8BF"/>
    <w:rsid w:val="5F9B1D3C"/>
    <w:rsid w:val="5F9BE914"/>
    <w:rsid w:val="5F9DFE85"/>
    <w:rsid w:val="5FA0BD3A"/>
    <w:rsid w:val="5FA1D216"/>
    <w:rsid w:val="5FA1D740"/>
    <w:rsid w:val="5FA7BA8E"/>
    <w:rsid w:val="5FAB023A"/>
    <w:rsid w:val="5FAF71BE"/>
    <w:rsid w:val="5FB43595"/>
    <w:rsid w:val="5FB76C73"/>
    <w:rsid w:val="5FBBCAA8"/>
    <w:rsid w:val="5FBBDD6F"/>
    <w:rsid w:val="5FBC9C27"/>
    <w:rsid w:val="5FBDDB04"/>
    <w:rsid w:val="5FC0A106"/>
    <w:rsid w:val="5FC26E07"/>
    <w:rsid w:val="5FC36C7E"/>
    <w:rsid w:val="5FCB6C83"/>
    <w:rsid w:val="5FCC0424"/>
    <w:rsid w:val="5FCC4C59"/>
    <w:rsid w:val="5FD41B6A"/>
    <w:rsid w:val="5FD57A33"/>
    <w:rsid w:val="5FD5B9D0"/>
    <w:rsid w:val="5FD6F478"/>
    <w:rsid w:val="5FD97385"/>
    <w:rsid w:val="5FDAFDF0"/>
    <w:rsid w:val="5FDFD495"/>
    <w:rsid w:val="5FE15E22"/>
    <w:rsid w:val="5FE17EEE"/>
    <w:rsid w:val="5FE3962D"/>
    <w:rsid w:val="5FE77983"/>
    <w:rsid w:val="5FF46BC1"/>
    <w:rsid w:val="5FF4CA56"/>
    <w:rsid w:val="5FFFC123"/>
    <w:rsid w:val="600533CF"/>
    <w:rsid w:val="600881A5"/>
    <w:rsid w:val="6010C8B1"/>
    <w:rsid w:val="60119461"/>
    <w:rsid w:val="601275BE"/>
    <w:rsid w:val="60130977"/>
    <w:rsid w:val="60141730"/>
    <w:rsid w:val="60151BEA"/>
    <w:rsid w:val="6015F4EE"/>
    <w:rsid w:val="60189555"/>
    <w:rsid w:val="601911F1"/>
    <w:rsid w:val="601BC10F"/>
    <w:rsid w:val="6024CAB7"/>
    <w:rsid w:val="602B7EFB"/>
    <w:rsid w:val="602CD4EC"/>
    <w:rsid w:val="602E1EB3"/>
    <w:rsid w:val="603733C0"/>
    <w:rsid w:val="603A4A1A"/>
    <w:rsid w:val="603B461F"/>
    <w:rsid w:val="603ED928"/>
    <w:rsid w:val="6041974C"/>
    <w:rsid w:val="6041F793"/>
    <w:rsid w:val="6042885D"/>
    <w:rsid w:val="60452B83"/>
    <w:rsid w:val="6048E094"/>
    <w:rsid w:val="604D6077"/>
    <w:rsid w:val="60597B14"/>
    <w:rsid w:val="605AA30A"/>
    <w:rsid w:val="605D3D14"/>
    <w:rsid w:val="605DE7BD"/>
    <w:rsid w:val="605E0F01"/>
    <w:rsid w:val="605E2C45"/>
    <w:rsid w:val="60622C99"/>
    <w:rsid w:val="60646A1A"/>
    <w:rsid w:val="60667DEB"/>
    <w:rsid w:val="60678A09"/>
    <w:rsid w:val="607113BE"/>
    <w:rsid w:val="607186E8"/>
    <w:rsid w:val="607333E2"/>
    <w:rsid w:val="6078FB89"/>
    <w:rsid w:val="607A93AC"/>
    <w:rsid w:val="607C3613"/>
    <w:rsid w:val="607CEB18"/>
    <w:rsid w:val="60837086"/>
    <w:rsid w:val="6083F9DC"/>
    <w:rsid w:val="6086FE05"/>
    <w:rsid w:val="608BD6BB"/>
    <w:rsid w:val="60943E62"/>
    <w:rsid w:val="609586C3"/>
    <w:rsid w:val="609C5C3F"/>
    <w:rsid w:val="60A2512A"/>
    <w:rsid w:val="60AA166B"/>
    <w:rsid w:val="60B57F64"/>
    <w:rsid w:val="60B724CA"/>
    <w:rsid w:val="60B9385C"/>
    <w:rsid w:val="60B94F9B"/>
    <w:rsid w:val="60BA26D9"/>
    <w:rsid w:val="60BA7BC3"/>
    <w:rsid w:val="60BB35C7"/>
    <w:rsid w:val="60C34E00"/>
    <w:rsid w:val="60CBD649"/>
    <w:rsid w:val="60CCEAAD"/>
    <w:rsid w:val="60CE658E"/>
    <w:rsid w:val="60DD6D06"/>
    <w:rsid w:val="60DEA7A3"/>
    <w:rsid w:val="60E1FD5A"/>
    <w:rsid w:val="60E957FE"/>
    <w:rsid w:val="60E97B70"/>
    <w:rsid w:val="60EA6502"/>
    <w:rsid w:val="60EC0808"/>
    <w:rsid w:val="60EDF6A4"/>
    <w:rsid w:val="60EF709A"/>
    <w:rsid w:val="60F51EE2"/>
    <w:rsid w:val="60FA21F3"/>
    <w:rsid w:val="610EAFAB"/>
    <w:rsid w:val="611191D0"/>
    <w:rsid w:val="61128D9C"/>
    <w:rsid w:val="61134F53"/>
    <w:rsid w:val="611ABBB2"/>
    <w:rsid w:val="612A42A2"/>
    <w:rsid w:val="612C6A75"/>
    <w:rsid w:val="612CEEA5"/>
    <w:rsid w:val="612DF12F"/>
    <w:rsid w:val="612DFD66"/>
    <w:rsid w:val="61353B64"/>
    <w:rsid w:val="613D6242"/>
    <w:rsid w:val="613F270B"/>
    <w:rsid w:val="614546D9"/>
    <w:rsid w:val="6147C09E"/>
    <w:rsid w:val="614B3CAA"/>
    <w:rsid w:val="614FE1A1"/>
    <w:rsid w:val="6150E019"/>
    <w:rsid w:val="61536181"/>
    <w:rsid w:val="6154812F"/>
    <w:rsid w:val="6155921D"/>
    <w:rsid w:val="615A7849"/>
    <w:rsid w:val="615CD432"/>
    <w:rsid w:val="6167CE68"/>
    <w:rsid w:val="616D43A9"/>
    <w:rsid w:val="61715A09"/>
    <w:rsid w:val="617BEAB2"/>
    <w:rsid w:val="61835B6C"/>
    <w:rsid w:val="6183B343"/>
    <w:rsid w:val="6188A882"/>
    <w:rsid w:val="6189B309"/>
    <w:rsid w:val="619141B2"/>
    <w:rsid w:val="61946E6F"/>
    <w:rsid w:val="61970A5B"/>
    <w:rsid w:val="6199371B"/>
    <w:rsid w:val="619ADF11"/>
    <w:rsid w:val="61A4557A"/>
    <w:rsid w:val="61A55D7B"/>
    <w:rsid w:val="61A6B89A"/>
    <w:rsid w:val="61A7AFF4"/>
    <w:rsid w:val="61A8B782"/>
    <w:rsid w:val="61A9CBE1"/>
    <w:rsid w:val="61A9F31B"/>
    <w:rsid w:val="61AAA454"/>
    <w:rsid w:val="61ABB549"/>
    <w:rsid w:val="61ABB57A"/>
    <w:rsid w:val="61B20369"/>
    <w:rsid w:val="61B59BF7"/>
    <w:rsid w:val="61B88710"/>
    <w:rsid w:val="61C875D4"/>
    <w:rsid w:val="61D66DB4"/>
    <w:rsid w:val="61DD9F2F"/>
    <w:rsid w:val="61DEA9A1"/>
    <w:rsid w:val="61E007BF"/>
    <w:rsid w:val="61E094EC"/>
    <w:rsid w:val="61E3639A"/>
    <w:rsid w:val="61E3CB6E"/>
    <w:rsid w:val="61E6092B"/>
    <w:rsid w:val="61E96ADD"/>
    <w:rsid w:val="61EA7D7C"/>
    <w:rsid w:val="61F2ABC3"/>
    <w:rsid w:val="61F2CCC3"/>
    <w:rsid w:val="61F64DFA"/>
    <w:rsid w:val="61F6B2E7"/>
    <w:rsid w:val="61F701B7"/>
    <w:rsid w:val="61FB9C96"/>
    <w:rsid w:val="62002721"/>
    <w:rsid w:val="62014D4F"/>
    <w:rsid w:val="62054E75"/>
    <w:rsid w:val="620BC716"/>
    <w:rsid w:val="620E4019"/>
    <w:rsid w:val="620E738C"/>
    <w:rsid w:val="62144136"/>
    <w:rsid w:val="6216C191"/>
    <w:rsid w:val="622077E8"/>
    <w:rsid w:val="6222DBD8"/>
    <w:rsid w:val="62268641"/>
    <w:rsid w:val="6226FD95"/>
    <w:rsid w:val="622D0F4E"/>
    <w:rsid w:val="622FE7EC"/>
    <w:rsid w:val="6232D8E9"/>
    <w:rsid w:val="6244514B"/>
    <w:rsid w:val="624788C3"/>
    <w:rsid w:val="6247B49D"/>
    <w:rsid w:val="6248A4BA"/>
    <w:rsid w:val="62495233"/>
    <w:rsid w:val="62536007"/>
    <w:rsid w:val="6255D05D"/>
    <w:rsid w:val="62592EE1"/>
    <w:rsid w:val="625AC5C4"/>
    <w:rsid w:val="625F9B28"/>
    <w:rsid w:val="6268F3E1"/>
    <w:rsid w:val="626A001C"/>
    <w:rsid w:val="626D2B82"/>
    <w:rsid w:val="626D42A3"/>
    <w:rsid w:val="627584CB"/>
    <w:rsid w:val="6278DE46"/>
    <w:rsid w:val="6278FE40"/>
    <w:rsid w:val="627DE18B"/>
    <w:rsid w:val="62822CBF"/>
    <w:rsid w:val="6284709C"/>
    <w:rsid w:val="628B70D4"/>
    <w:rsid w:val="629C2D93"/>
    <w:rsid w:val="629DC836"/>
    <w:rsid w:val="629F63A9"/>
    <w:rsid w:val="629FD56B"/>
    <w:rsid w:val="62A9334A"/>
    <w:rsid w:val="62A99608"/>
    <w:rsid w:val="62AE4407"/>
    <w:rsid w:val="62B6C9AD"/>
    <w:rsid w:val="62B85518"/>
    <w:rsid w:val="62B9A5FB"/>
    <w:rsid w:val="62BAFF27"/>
    <w:rsid w:val="62BD9176"/>
    <w:rsid w:val="62C861C0"/>
    <w:rsid w:val="62C996A4"/>
    <w:rsid w:val="62CD1394"/>
    <w:rsid w:val="62CD2D30"/>
    <w:rsid w:val="62CF0ECB"/>
    <w:rsid w:val="62D00A1A"/>
    <w:rsid w:val="62D01852"/>
    <w:rsid w:val="62DE12A4"/>
    <w:rsid w:val="62E02C09"/>
    <w:rsid w:val="62E2945D"/>
    <w:rsid w:val="62EB1772"/>
    <w:rsid w:val="62F10EE2"/>
    <w:rsid w:val="62F11671"/>
    <w:rsid w:val="62F58A30"/>
    <w:rsid w:val="62F7316D"/>
    <w:rsid w:val="62FC70FF"/>
    <w:rsid w:val="62FF140B"/>
    <w:rsid w:val="63085172"/>
    <w:rsid w:val="630AC2FE"/>
    <w:rsid w:val="630D3392"/>
    <w:rsid w:val="630E5154"/>
    <w:rsid w:val="630EC4CE"/>
    <w:rsid w:val="6310F6FD"/>
    <w:rsid w:val="63187154"/>
    <w:rsid w:val="631A0E6F"/>
    <w:rsid w:val="631A291C"/>
    <w:rsid w:val="631C8598"/>
    <w:rsid w:val="63200930"/>
    <w:rsid w:val="63217A8B"/>
    <w:rsid w:val="6322A1E0"/>
    <w:rsid w:val="63235FB4"/>
    <w:rsid w:val="632650D5"/>
    <w:rsid w:val="63272FFA"/>
    <w:rsid w:val="63280D9C"/>
    <w:rsid w:val="632C85AF"/>
    <w:rsid w:val="632F5C5F"/>
    <w:rsid w:val="63313880"/>
    <w:rsid w:val="63344094"/>
    <w:rsid w:val="6335A6B0"/>
    <w:rsid w:val="633B2946"/>
    <w:rsid w:val="63411F1E"/>
    <w:rsid w:val="6342C64A"/>
    <w:rsid w:val="6345F04F"/>
    <w:rsid w:val="63464AEB"/>
    <w:rsid w:val="63484D84"/>
    <w:rsid w:val="6349217F"/>
    <w:rsid w:val="634FB0AB"/>
    <w:rsid w:val="63583EEA"/>
    <w:rsid w:val="635A7183"/>
    <w:rsid w:val="635B52DD"/>
    <w:rsid w:val="635D277C"/>
    <w:rsid w:val="6361E3C0"/>
    <w:rsid w:val="63646F96"/>
    <w:rsid w:val="6369896D"/>
    <w:rsid w:val="636B9AA0"/>
    <w:rsid w:val="63706B4E"/>
    <w:rsid w:val="637298B9"/>
    <w:rsid w:val="6373AED5"/>
    <w:rsid w:val="6375532F"/>
    <w:rsid w:val="63780737"/>
    <w:rsid w:val="6380E1C1"/>
    <w:rsid w:val="638148B5"/>
    <w:rsid w:val="6386D0EF"/>
    <w:rsid w:val="638A5C39"/>
    <w:rsid w:val="638D912D"/>
    <w:rsid w:val="638F90F9"/>
    <w:rsid w:val="6391E79D"/>
    <w:rsid w:val="6392E1F1"/>
    <w:rsid w:val="63964F44"/>
    <w:rsid w:val="639757DD"/>
    <w:rsid w:val="63983833"/>
    <w:rsid w:val="6398FCC0"/>
    <w:rsid w:val="639B026B"/>
    <w:rsid w:val="639B6BCD"/>
    <w:rsid w:val="63A47447"/>
    <w:rsid w:val="63A9D652"/>
    <w:rsid w:val="63AFD331"/>
    <w:rsid w:val="63B846D7"/>
    <w:rsid w:val="63BBEE29"/>
    <w:rsid w:val="63BD961B"/>
    <w:rsid w:val="63BFE43D"/>
    <w:rsid w:val="63C10A25"/>
    <w:rsid w:val="63C3198E"/>
    <w:rsid w:val="63C3728D"/>
    <w:rsid w:val="63CEA072"/>
    <w:rsid w:val="63D0CD3A"/>
    <w:rsid w:val="63D2CEEA"/>
    <w:rsid w:val="63D3FFA4"/>
    <w:rsid w:val="63DAB3FA"/>
    <w:rsid w:val="63DF41A3"/>
    <w:rsid w:val="63E877FC"/>
    <w:rsid w:val="63E905DB"/>
    <w:rsid w:val="63E9E599"/>
    <w:rsid w:val="63EFAF98"/>
    <w:rsid w:val="63F0A7ED"/>
    <w:rsid w:val="63F8961B"/>
    <w:rsid w:val="63FECB12"/>
    <w:rsid w:val="6403C5CA"/>
    <w:rsid w:val="640A7CE0"/>
    <w:rsid w:val="640C55E2"/>
    <w:rsid w:val="6411FD90"/>
    <w:rsid w:val="64148391"/>
    <w:rsid w:val="641579AB"/>
    <w:rsid w:val="641BAF47"/>
    <w:rsid w:val="641D19C1"/>
    <w:rsid w:val="641EF042"/>
    <w:rsid w:val="644820F8"/>
    <w:rsid w:val="645386E0"/>
    <w:rsid w:val="6454D5CD"/>
    <w:rsid w:val="645FAA5A"/>
    <w:rsid w:val="64616725"/>
    <w:rsid w:val="64617D84"/>
    <w:rsid w:val="6463B191"/>
    <w:rsid w:val="6463EF01"/>
    <w:rsid w:val="64665E88"/>
    <w:rsid w:val="64677C57"/>
    <w:rsid w:val="6475AF9C"/>
    <w:rsid w:val="647A3BC1"/>
    <w:rsid w:val="647AA699"/>
    <w:rsid w:val="647CAA4C"/>
    <w:rsid w:val="6482D208"/>
    <w:rsid w:val="64883173"/>
    <w:rsid w:val="64883CDD"/>
    <w:rsid w:val="648A1C87"/>
    <w:rsid w:val="648B86D6"/>
    <w:rsid w:val="649AB379"/>
    <w:rsid w:val="649B9106"/>
    <w:rsid w:val="649F1233"/>
    <w:rsid w:val="64A01020"/>
    <w:rsid w:val="64A3267D"/>
    <w:rsid w:val="64A79C5D"/>
    <w:rsid w:val="64A91059"/>
    <w:rsid w:val="64AA27DE"/>
    <w:rsid w:val="64AD7D96"/>
    <w:rsid w:val="64B056CD"/>
    <w:rsid w:val="64B881B7"/>
    <w:rsid w:val="64BAA448"/>
    <w:rsid w:val="64BB126C"/>
    <w:rsid w:val="64BE7453"/>
    <w:rsid w:val="64BE7B9C"/>
    <w:rsid w:val="64C16F9C"/>
    <w:rsid w:val="64C8AA34"/>
    <w:rsid w:val="64CD6CF4"/>
    <w:rsid w:val="64D483F6"/>
    <w:rsid w:val="64D5494B"/>
    <w:rsid w:val="64DD3E38"/>
    <w:rsid w:val="64DED5DC"/>
    <w:rsid w:val="64E08686"/>
    <w:rsid w:val="64E47475"/>
    <w:rsid w:val="64E56694"/>
    <w:rsid w:val="64EB2361"/>
    <w:rsid w:val="64ECF1EB"/>
    <w:rsid w:val="64EE810B"/>
    <w:rsid w:val="64F4C8FC"/>
    <w:rsid w:val="64FFB0CE"/>
    <w:rsid w:val="65008B65"/>
    <w:rsid w:val="6503976E"/>
    <w:rsid w:val="65075447"/>
    <w:rsid w:val="6507AD1F"/>
    <w:rsid w:val="650D9C5D"/>
    <w:rsid w:val="65162845"/>
    <w:rsid w:val="651D382C"/>
    <w:rsid w:val="651FED86"/>
    <w:rsid w:val="65207B57"/>
    <w:rsid w:val="65261F88"/>
    <w:rsid w:val="65282DDB"/>
    <w:rsid w:val="652D8820"/>
    <w:rsid w:val="652F43DD"/>
    <w:rsid w:val="6532F0E5"/>
    <w:rsid w:val="6533A040"/>
    <w:rsid w:val="65342D20"/>
    <w:rsid w:val="65354980"/>
    <w:rsid w:val="653FBD51"/>
    <w:rsid w:val="654853E8"/>
    <w:rsid w:val="654990B4"/>
    <w:rsid w:val="654DBF71"/>
    <w:rsid w:val="654F0468"/>
    <w:rsid w:val="654F43BB"/>
    <w:rsid w:val="654F9F43"/>
    <w:rsid w:val="6558C2D7"/>
    <w:rsid w:val="655F8401"/>
    <w:rsid w:val="6560E256"/>
    <w:rsid w:val="6562F588"/>
    <w:rsid w:val="65634E55"/>
    <w:rsid w:val="65646DE3"/>
    <w:rsid w:val="65698F0B"/>
    <w:rsid w:val="656DD6B4"/>
    <w:rsid w:val="6574CA05"/>
    <w:rsid w:val="657632AA"/>
    <w:rsid w:val="6578B21E"/>
    <w:rsid w:val="657FA1C0"/>
    <w:rsid w:val="657FD445"/>
    <w:rsid w:val="65807A34"/>
    <w:rsid w:val="6584888F"/>
    <w:rsid w:val="65931178"/>
    <w:rsid w:val="65940660"/>
    <w:rsid w:val="6594385A"/>
    <w:rsid w:val="659988C8"/>
    <w:rsid w:val="6599DC55"/>
    <w:rsid w:val="659FE45C"/>
    <w:rsid w:val="65A02C61"/>
    <w:rsid w:val="65A3750A"/>
    <w:rsid w:val="65A3A93B"/>
    <w:rsid w:val="65A48197"/>
    <w:rsid w:val="65A5743F"/>
    <w:rsid w:val="65A97E17"/>
    <w:rsid w:val="65AABF52"/>
    <w:rsid w:val="65B07754"/>
    <w:rsid w:val="65B11957"/>
    <w:rsid w:val="65BBD472"/>
    <w:rsid w:val="65C19EC1"/>
    <w:rsid w:val="65C9D808"/>
    <w:rsid w:val="65CBD232"/>
    <w:rsid w:val="65CC7967"/>
    <w:rsid w:val="65D05FE8"/>
    <w:rsid w:val="65D131AA"/>
    <w:rsid w:val="65D60195"/>
    <w:rsid w:val="65E1952D"/>
    <w:rsid w:val="65E24978"/>
    <w:rsid w:val="65E675B8"/>
    <w:rsid w:val="65E6C425"/>
    <w:rsid w:val="65EC3715"/>
    <w:rsid w:val="65EC753B"/>
    <w:rsid w:val="65F8CB81"/>
    <w:rsid w:val="66071D9D"/>
    <w:rsid w:val="660822F9"/>
    <w:rsid w:val="660FA955"/>
    <w:rsid w:val="660FCB46"/>
    <w:rsid w:val="66124C0E"/>
    <w:rsid w:val="66191847"/>
    <w:rsid w:val="661FF4DA"/>
    <w:rsid w:val="662055CC"/>
    <w:rsid w:val="6621BD27"/>
    <w:rsid w:val="6625B168"/>
    <w:rsid w:val="662E527C"/>
    <w:rsid w:val="662F2263"/>
    <w:rsid w:val="66300748"/>
    <w:rsid w:val="66366DCF"/>
    <w:rsid w:val="66382D71"/>
    <w:rsid w:val="66390677"/>
    <w:rsid w:val="6639648A"/>
    <w:rsid w:val="663B843B"/>
    <w:rsid w:val="6641084B"/>
    <w:rsid w:val="66411308"/>
    <w:rsid w:val="66489C20"/>
    <w:rsid w:val="664E1287"/>
    <w:rsid w:val="664F0647"/>
    <w:rsid w:val="6651D46D"/>
    <w:rsid w:val="665C694F"/>
    <w:rsid w:val="665DFD16"/>
    <w:rsid w:val="665F24B2"/>
    <w:rsid w:val="6661DC6D"/>
    <w:rsid w:val="6669E3AB"/>
    <w:rsid w:val="666BEC41"/>
    <w:rsid w:val="666D0BEF"/>
    <w:rsid w:val="667235CE"/>
    <w:rsid w:val="667382F5"/>
    <w:rsid w:val="66755EAB"/>
    <w:rsid w:val="66823F9F"/>
    <w:rsid w:val="6682E29F"/>
    <w:rsid w:val="6683308A"/>
    <w:rsid w:val="66846B3F"/>
    <w:rsid w:val="6684ABDE"/>
    <w:rsid w:val="668F7461"/>
    <w:rsid w:val="6690C1FE"/>
    <w:rsid w:val="6692858A"/>
    <w:rsid w:val="6694C18F"/>
    <w:rsid w:val="6698FB77"/>
    <w:rsid w:val="66A28247"/>
    <w:rsid w:val="66A3752D"/>
    <w:rsid w:val="66A50405"/>
    <w:rsid w:val="66ABBE76"/>
    <w:rsid w:val="66B0334E"/>
    <w:rsid w:val="66B4BB9C"/>
    <w:rsid w:val="66B87185"/>
    <w:rsid w:val="66BD5C4D"/>
    <w:rsid w:val="66BEEFDF"/>
    <w:rsid w:val="66C0A406"/>
    <w:rsid w:val="66C21409"/>
    <w:rsid w:val="66C6C3A9"/>
    <w:rsid w:val="66D048D1"/>
    <w:rsid w:val="66D25237"/>
    <w:rsid w:val="66D2D458"/>
    <w:rsid w:val="66D7D603"/>
    <w:rsid w:val="66D95CC3"/>
    <w:rsid w:val="66DA50A4"/>
    <w:rsid w:val="66DE73EF"/>
    <w:rsid w:val="66DF2C8B"/>
    <w:rsid w:val="66DFFC92"/>
    <w:rsid w:val="66E17B60"/>
    <w:rsid w:val="66E1E135"/>
    <w:rsid w:val="66E29D09"/>
    <w:rsid w:val="66E69EF0"/>
    <w:rsid w:val="66E7A69D"/>
    <w:rsid w:val="66E86C1F"/>
    <w:rsid w:val="66EA2550"/>
    <w:rsid w:val="66ECF0E8"/>
    <w:rsid w:val="66F07D66"/>
    <w:rsid w:val="66F6FBE8"/>
    <w:rsid w:val="66F8931A"/>
    <w:rsid w:val="66F948A7"/>
    <w:rsid w:val="66FED994"/>
    <w:rsid w:val="66FFB237"/>
    <w:rsid w:val="6702F240"/>
    <w:rsid w:val="6703E060"/>
    <w:rsid w:val="67064630"/>
    <w:rsid w:val="670916A9"/>
    <w:rsid w:val="670BB9CC"/>
    <w:rsid w:val="670DEC5B"/>
    <w:rsid w:val="67182BD0"/>
    <w:rsid w:val="67197D47"/>
    <w:rsid w:val="6723E0C0"/>
    <w:rsid w:val="67292E61"/>
    <w:rsid w:val="672C5BD6"/>
    <w:rsid w:val="672ED3DD"/>
    <w:rsid w:val="67364582"/>
    <w:rsid w:val="673979EA"/>
    <w:rsid w:val="673B4A51"/>
    <w:rsid w:val="67433A14"/>
    <w:rsid w:val="6746D82E"/>
    <w:rsid w:val="67475B72"/>
    <w:rsid w:val="674A3E98"/>
    <w:rsid w:val="674BCFE8"/>
    <w:rsid w:val="674E72E9"/>
    <w:rsid w:val="6753438C"/>
    <w:rsid w:val="675B623C"/>
    <w:rsid w:val="675CEA1D"/>
    <w:rsid w:val="675CFAC5"/>
    <w:rsid w:val="675D011C"/>
    <w:rsid w:val="675FC12F"/>
    <w:rsid w:val="67664A13"/>
    <w:rsid w:val="67672E8A"/>
    <w:rsid w:val="67682C65"/>
    <w:rsid w:val="676CB877"/>
    <w:rsid w:val="677481DC"/>
    <w:rsid w:val="6774A9C4"/>
    <w:rsid w:val="6779A217"/>
    <w:rsid w:val="67816A2B"/>
    <w:rsid w:val="67831463"/>
    <w:rsid w:val="6784236D"/>
    <w:rsid w:val="6789755F"/>
    <w:rsid w:val="678FC857"/>
    <w:rsid w:val="67919846"/>
    <w:rsid w:val="67968C89"/>
    <w:rsid w:val="6796CE36"/>
    <w:rsid w:val="679E48D1"/>
    <w:rsid w:val="67A1A247"/>
    <w:rsid w:val="67A7A999"/>
    <w:rsid w:val="67AFF29F"/>
    <w:rsid w:val="67B1D10D"/>
    <w:rsid w:val="67BC01CF"/>
    <w:rsid w:val="67BC319E"/>
    <w:rsid w:val="67CCE283"/>
    <w:rsid w:val="67CCF43F"/>
    <w:rsid w:val="67D29728"/>
    <w:rsid w:val="67DE854A"/>
    <w:rsid w:val="67DF12A5"/>
    <w:rsid w:val="67E6B076"/>
    <w:rsid w:val="67E72A5D"/>
    <w:rsid w:val="67EDDA4E"/>
    <w:rsid w:val="67F67F8C"/>
    <w:rsid w:val="67F6C902"/>
    <w:rsid w:val="67FAFABC"/>
    <w:rsid w:val="67FD1105"/>
    <w:rsid w:val="68014945"/>
    <w:rsid w:val="680301F6"/>
    <w:rsid w:val="6803237C"/>
    <w:rsid w:val="6810CD24"/>
    <w:rsid w:val="6810FC1D"/>
    <w:rsid w:val="6814FCE9"/>
    <w:rsid w:val="681962B0"/>
    <w:rsid w:val="6819DD28"/>
    <w:rsid w:val="681BAA53"/>
    <w:rsid w:val="681F4415"/>
    <w:rsid w:val="682324FB"/>
    <w:rsid w:val="68273034"/>
    <w:rsid w:val="68298F96"/>
    <w:rsid w:val="682F737E"/>
    <w:rsid w:val="68307EC0"/>
    <w:rsid w:val="6832BB94"/>
    <w:rsid w:val="6836055B"/>
    <w:rsid w:val="6836A461"/>
    <w:rsid w:val="6836C5A8"/>
    <w:rsid w:val="68382AB2"/>
    <w:rsid w:val="6842172F"/>
    <w:rsid w:val="68425F03"/>
    <w:rsid w:val="6844834C"/>
    <w:rsid w:val="68453B9E"/>
    <w:rsid w:val="68480280"/>
    <w:rsid w:val="684CA28B"/>
    <w:rsid w:val="68509964"/>
    <w:rsid w:val="6851185D"/>
    <w:rsid w:val="6855E23A"/>
    <w:rsid w:val="68567A56"/>
    <w:rsid w:val="6857417B"/>
    <w:rsid w:val="685746D5"/>
    <w:rsid w:val="685BA76F"/>
    <w:rsid w:val="685EA819"/>
    <w:rsid w:val="685F5E49"/>
    <w:rsid w:val="685FA020"/>
    <w:rsid w:val="68621B3B"/>
    <w:rsid w:val="6867A714"/>
    <w:rsid w:val="686B3911"/>
    <w:rsid w:val="686C484A"/>
    <w:rsid w:val="687ABCB6"/>
    <w:rsid w:val="687CE5FE"/>
    <w:rsid w:val="687D2D88"/>
    <w:rsid w:val="688A7811"/>
    <w:rsid w:val="68923680"/>
    <w:rsid w:val="689455B3"/>
    <w:rsid w:val="68954481"/>
    <w:rsid w:val="68969280"/>
    <w:rsid w:val="689DA2CD"/>
    <w:rsid w:val="689E8A64"/>
    <w:rsid w:val="68A28FE2"/>
    <w:rsid w:val="68A32A99"/>
    <w:rsid w:val="68A66B6B"/>
    <w:rsid w:val="68A6A5D2"/>
    <w:rsid w:val="68A9636A"/>
    <w:rsid w:val="68A9C2A7"/>
    <w:rsid w:val="68B0D60D"/>
    <w:rsid w:val="68B1125B"/>
    <w:rsid w:val="68B314C0"/>
    <w:rsid w:val="68B38B17"/>
    <w:rsid w:val="68B41083"/>
    <w:rsid w:val="68B72CF3"/>
    <w:rsid w:val="68B95B25"/>
    <w:rsid w:val="68BAE9E8"/>
    <w:rsid w:val="68BE1449"/>
    <w:rsid w:val="68C58523"/>
    <w:rsid w:val="68C5B3F3"/>
    <w:rsid w:val="68C87F74"/>
    <w:rsid w:val="68C8B772"/>
    <w:rsid w:val="68CA6E78"/>
    <w:rsid w:val="68CB03F5"/>
    <w:rsid w:val="68D15014"/>
    <w:rsid w:val="68D45B52"/>
    <w:rsid w:val="68D7FCB1"/>
    <w:rsid w:val="68DCE219"/>
    <w:rsid w:val="68E6378E"/>
    <w:rsid w:val="68E8BB31"/>
    <w:rsid w:val="68E9F800"/>
    <w:rsid w:val="68EC1169"/>
    <w:rsid w:val="68EC2556"/>
    <w:rsid w:val="68F3185E"/>
    <w:rsid w:val="68F784BD"/>
    <w:rsid w:val="68F9BDEC"/>
    <w:rsid w:val="68FCA16A"/>
    <w:rsid w:val="69055F96"/>
    <w:rsid w:val="690A3588"/>
    <w:rsid w:val="69105024"/>
    <w:rsid w:val="69138114"/>
    <w:rsid w:val="69145F19"/>
    <w:rsid w:val="691A57F4"/>
    <w:rsid w:val="691AE63D"/>
    <w:rsid w:val="692045A6"/>
    <w:rsid w:val="6925E2FD"/>
    <w:rsid w:val="692A5C03"/>
    <w:rsid w:val="692A7D0D"/>
    <w:rsid w:val="692CE5C1"/>
    <w:rsid w:val="6933B752"/>
    <w:rsid w:val="693866F1"/>
    <w:rsid w:val="69394289"/>
    <w:rsid w:val="693D9E21"/>
    <w:rsid w:val="694152A7"/>
    <w:rsid w:val="694340A3"/>
    <w:rsid w:val="69515E35"/>
    <w:rsid w:val="69528561"/>
    <w:rsid w:val="6955FAFB"/>
    <w:rsid w:val="695B9005"/>
    <w:rsid w:val="695C8F68"/>
    <w:rsid w:val="695C991B"/>
    <w:rsid w:val="69648710"/>
    <w:rsid w:val="696919B4"/>
    <w:rsid w:val="696C656D"/>
    <w:rsid w:val="697138AB"/>
    <w:rsid w:val="6972CBC1"/>
    <w:rsid w:val="6973ECD5"/>
    <w:rsid w:val="697BB213"/>
    <w:rsid w:val="698109D3"/>
    <w:rsid w:val="69824A7C"/>
    <w:rsid w:val="698347FA"/>
    <w:rsid w:val="69838E69"/>
    <w:rsid w:val="6986C352"/>
    <w:rsid w:val="6987D74C"/>
    <w:rsid w:val="698D78F2"/>
    <w:rsid w:val="6991A73F"/>
    <w:rsid w:val="69959698"/>
    <w:rsid w:val="69965754"/>
    <w:rsid w:val="699E398B"/>
    <w:rsid w:val="69A1F5C2"/>
    <w:rsid w:val="69A43A0E"/>
    <w:rsid w:val="69A66847"/>
    <w:rsid w:val="69A8928A"/>
    <w:rsid w:val="69ABF031"/>
    <w:rsid w:val="69B03C2D"/>
    <w:rsid w:val="69B908D4"/>
    <w:rsid w:val="69BA7D50"/>
    <w:rsid w:val="69BE71CE"/>
    <w:rsid w:val="69BFA2CD"/>
    <w:rsid w:val="69C2F20B"/>
    <w:rsid w:val="69C3ECBE"/>
    <w:rsid w:val="69C76D0C"/>
    <w:rsid w:val="69CB7C49"/>
    <w:rsid w:val="69D00DBF"/>
    <w:rsid w:val="69D07259"/>
    <w:rsid w:val="69D37216"/>
    <w:rsid w:val="69D56C50"/>
    <w:rsid w:val="69D6D824"/>
    <w:rsid w:val="69D8D726"/>
    <w:rsid w:val="69DB274D"/>
    <w:rsid w:val="69DEB22C"/>
    <w:rsid w:val="69E19B61"/>
    <w:rsid w:val="69E3F9D0"/>
    <w:rsid w:val="69E6CB9C"/>
    <w:rsid w:val="69E9F746"/>
    <w:rsid w:val="69ED8EA5"/>
    <w:rsid w:val="69FAEA6D"/>
    <w:rsid w:val="69FD4EB6"/>
    <w:rsid w:val="69FE872E"/>
    <w:rsid w:val="6A0A1CA9"/>
    <w:rsid w:val="6A0A574E"/>
    <w:rsid w:val="6A0C0DC9"/>
    <w:rsid w:val="6A0C21BD"/>
    <w:rsid w:val="6A0F83D9"/>
    <w:rsid w:val="6A114616"/>
    <w:rsid w:val="6A140B4B"/>
    <w:rsid w:val="6A1C69C2"/>
    <w:rsid w:val="6A251F53"/>
    <w:rsid w:val="6A266A11"/>
    <w:rsid w:val="6A27304C"/>
    <w:rsid w:val="6A274E3F"/>
    <w:rsid w:val="6A2895C6"/>
    <w:rsid w:val="6A2DB83C"/>
    <w:rsid w:val="6A2F2ED2"/>
    <w:rsid w:val="6A315D6E"/>
    <w:rsid w:val="6A33F4CC"/>
    <w:rsid w:val="6A36F74B"/>
    <w:rsid w:val="6A3CC902"/>
    <w:rsid w:val="6A400FC9"/>
    <w:rsid w:val="6A4E4501"/>
    <w:rsid w:val="6A52CB3B"/>
    <w:rsid w:val="6A53106C"/>
    <w:rsid w:val="6A5550DC"/>
    <w:rsid w:val="6A5B70FA"/>
    <w:rsid w:val="6A693A6D"/>
    <w:rsid w:val="6A6C0A72"/>
    <w:rsid w:val="6A6E409E"/>
    <w:rsid w:val="6A6FFBE3"/>
    <w:rsid w:val="6A724AA4"/>
    <w:rsid w:val="6A76F6A8"/>
    <w:rsid w:val="6A809117"/>
    <w:rsid w:val="6A84613B"/>
    <w:rsid w:val="6A85D425"/>
    <w:rsid w:val="6A87426E"/>
    <w:rsid w:val="6A878DC6"/>
    <w:rsid w:val="6A89C84A"/>
    <w:rsid w:val="6A8CD950"/>
    <w:rsid w:val="6A9AB8BF"/>
    <w:rsid w:val="6A9C56A6"/>
    <w:rsid w:val="6A9DC69F"/>
    <w:rsid w:val="6A9EAC19"/>
    <w:rsid w:val="6AA109CC"/>
    <w:rsid w:val="6AA25DF4"/>
    <w:rsid w:val="6AA4496B"/>
    <w:rsid w:val="6AA51BB6"/>
    <w:rsid w:val="6AA6135D"/>
    <w:rsid w:val="6AB214B7"/>
    <w:rsid w:val="6AB2B0EB"/>
    <w:rsid w:val="6ABB07BE"/>
    <w:rsid w:val="6ABE8A0E"/>
    <w:rsid w:val="6AC5CD90"/>
    <w:rsid w:val="6AC7D62B"/>
    <w:rsid w:val="6ACB2DEA"/>
    <w:rsid w:val="6ACC5FFC"/>
    <w:rsid w:val="6AD39A1D"/>
    <w:rsid w:val="6AD6B141"/>
    <w:rsid w:val="6ADB9D97"/>
    <w:rsid w:val="6AE21EA0"/>
    <w:rsid w:val="6AE73501"/>
    <w:rsid w:val="6AEFA22B"/>
    <w:rsid w:val="6B01D042"/>
    <w:rsid w:val="6B022151"/>
    <w:rsid w:val="6B0584F6"/>
    <w:rsid w:val="6B09DC81"/>
    <w:rsid w:val="6B0F1491"/>
    <w:rsid w:val="6B14A828"/>
    <w:rsid w:val="6B1505BB"/>
    <w:rsid w:val="6B17AA55"/>
    <w:rsid w:val="6B195A61"/>
    <w:rsid w:val="6B1A0F1A"/>
    <w:rsid w:val="6B1AF34F"/>
    <w:rsid w:val="6B1BE0B3"/>
    <w:rsid w:val="6B1EF739"/>
    <w:rsid w:val="6B2B0B3D"/>
    <w:rsid w:val="6B3B7227"/>
    <w:rsid w:val="6B3EFB28"/>
    <w:rsid w:val="6B3F0325"/>
    <w:rsid w:val="6B3F4376"/>
    <w:rsid w:val="6B3F6804"/>
    <w:rsid w:val="6B45ACCC"/>
    <w:rsid w:val="6B4706FA"/>
    <w:rsid w:val="6B489E5E"/>
    <w:rsid w:val="6B527C69"/>
    <w:rsid w:val="6B54D3E1"/>
    <w:rsid w:val="6B58AE41"/>
    <w:rsid w:val="6B5A19F2"/>
    <w:rsid w:val="6B5C2C7F"/>
    <w:rsid w:val="6B5D68BA"/>
    <w:rsid w:val="6B5E65F2"/>
    <w:rsid w:val="6B60F367"/>
    <w:rsid w:val="6B64AFB2"/>
    <w:rsid w:val="6B6586DB"/>
    <w:rsid w:val="6B66BAB7"/>
    <w:rsid w:val="6B6ABD3D"/>
    <w:rsid w:val="6B6B594C"/>
    <w:rsid w:val="6B7077B0"/>
    <w:rsid w:val="6B70FA98"/>
    <w:rsid w:val="6B747A6C"/>
    <w:rsid w:val="6B7853A5"/>
    <w:rsid w:val="6B79E6B8"/>
    <w:rsid w:val="6B7D7B20"/>
    <w:rsid w:val="6B80B62D"/>
    <w:rsid w:val="6B8A2885"/>
    <w:rsid w:val="6B8A3FB4"/>
    <w:rsid w:val="6B8CBA3C"/>
    <w:rsid w:val="6B9257D1"/>
    <w:rsid w:val="6B9B491B"/>
    <w:rsid w:val="6B9FC44F"/>
    <w:rsid w:val="6BA03088"/>
    <w:rsid w:val="6BA1BF31"/>
    <w:rsid w:val="6BA8BE90"/>
    <w:rsid w:val="6BAFAFFD"/>
    <w:rsid w:val="6BB6A370"/>
    <w:rsid w:val="6BBBCDDD"/>
    <w:rsid w:val="6BBC2E9E"/>
    <w:rsid w:val="6BC094FA"/>
    <w:rsid w:val="6BC1C949"/>
    <w:rsid w:val="6BC79F26"/>
    <w:rsid w:val="6BCBB78B"/>
    <w:rsid w:val="6BD2CB0D"/>
    <w:rsid w:val="6BD433C8"/>
    <w:rsid w:val="6BD66196"/>
    <w:rsid w:val="6BDA5F61"/>
    <w:rsid w:val="6BDC0AB6"/>
    <w:rsid w:val="6BDCC7FC"/>
    <w:rsid w:val="6BECD29A"/>
    <w:rsid w:val="6BF52F52"/>
    <w:rsid w:val="6BF6D689"/>
    <w:rsid w:val="6BF9F0C1"/>
    <w:rsid w:val="6BF9F88C"/>
    <w:rsid w:val="6BFCF488"/>
    <w:rsid w:val="6BFF9443"/>
    <w:rsid w:val="6BFFB9AD"/>
    <w:rsid w:val="6C0A5FB2"/>
    <w:rsid w:val="6C0B7DE2"/>
    <w:rsid w:val="6C12001A"/>
    <w:rsid w:val="6C120F95"/>
    <w:rsid w:val="6C18DFD0"/>
    <w:rsid w:val="6C1A73C2"/>
    <w:rsid w:val="6C1E793A"/>
    <w:rsid w:val="6C1F11D2"/>
    <w:rsid w:val="6C2043A8"/>
    <w:rsid w:val="6C21DB22"/>
    <w:rsid w:val="6C22CB8B"/>
    <w:rsid w:val="6C390710"/>
    <w:rsid w:val="6C3D72DB"/>
    <w:rsid w:val="6C408A4D"/>
    <w:rsid w:val="6C42506D"/>
    <w:rsid w:val="6C49BC31"/>
    <w:rsid w:val="6C521B9F"/>
    <w:rsid w:val="6C595123"/>
    <w:rsid w:val="6C60611D"/>
    <w:rsid w:val="6C6CFFBB"/>
    <w:rsid w:val="6C6EA257"/>
    <w:rsid w:val="6C77952A"/>
    <w:rsid w:val="6C7C2E96"/>
    <w:rsid w:val="6C7F408E"/>
    <w:rsid w:val="6C7F421D"/>
    <w:rsid w:val="6C7FC77E"/>
    <w:rsid w:val="6C809EB7"/>
    <w:rsid w:val="6C80BA9C"/>
    <w:rsid w:val="6C85B96B"/>
    <w:rsid w:val="6C8D2C7F"/>
    <w:rsid w:val="6C932891"/>
    <w:rsid w:val="6C978876"/>
    <w:rsid w:val="6C9C606E"/>
    <w:rsid w:val="6CA2C34D"/>
    <w:rsid w:val="6CAB487D"/>
    <w:rsid w:val="6CB3F1D5"/>
    <w:rsid w:val="6CB6877F"/>
    <w:rsid w:val="6CBD5847"/>
    <w:rsid w:val="6CBED942"/>
    <w:rsid w:val="6CC94D81"/>
    <w:rsid w:val="6CD32BA8"/>
    <w:rsid w:val="6CD445AE"/>
    <w:rsid w:val="6CD5BF99"/>
    <w:rsid w:val="6CE1E114"/>
    <w:rsid w:val="6CE51021"/>
    <w:rsid w:val="6CE6DE55"/>
    <w:rsid w:val="6CE8D5EA"/>
    <w:rsid w:val="6CEB2C37"/>
    <w:rsid w:val="6CEB3E91"/>
    <w:rsid w:val="6CEFBDE6"/>
    <w:rsid w:val="6CF2D1A1"/>
    <w:rsid w:val="6CF3495B"/>
    <w:rsid w:val="6CF3A250"/>
    <w:rsid w:val="6CF3A5D2"/>
    <w:rsid w:val="6CF8E403"/>
    <w:rsid w:val="6CF90F38"/>
    <w:rsid w:val="6CF962C8"/>
    <w:rsid w:val="6CFDC70C"/>
    <w:rsid w:val="6CFFB546"/>
    <w:rsid w:val="6D03E07D"/>
    <w:rsid w:val="6D04FA5F"/>
    <w:rsid w:val="6D055DF5"/>
    <w:rsid w:val="6D063710"/>
    <w:rsid w:val="6D06A180"/>
    <w:rsid w:val="6D0A1BE6"/>
    <w:rsid w:val="6D129585"/>
    <w:rsid w:val="6D12EFEE"/>
    <w:rsid w:val="6D178215"/>
    <w:rsid w:val="6D1E97AF"/>
    <w:rsid w:val="6D1F1F9C"/>
    <w:rsid w:val="6D203E07"/>
    <w:rsid w:val="6D2107FD"/>
    <w:rsid w:val="6D226F8E"/>
    <w:rsid w:val="6D278C58"/>
    <w:rsid w:val="6D2A9712"/>
    <w:rsid w:val="6D305442"/>
    <w:rsid w:val="6D314764"/>
    <w:rsid w:val="6D352A10"/>
    <w:rsid w:val="6D37EF45"/>
    <w:rsid w:val="6D3ABD84"/>
    <w:rsid w:val="6D3D2C33"/>
    <w:rsid w:val="6D414D7F"/>
    <w:rsid w:val="6D4997FB"/>
    <w:rsid w:val="6D4DB571"/>
    <w:rsid w:val="6D4DC0D4"/>
    <w:rsid w:val="6D4E2D8E"/>
    <w:rsid w:val="6D5D811B"/>
    <w:rsid w:val="6D6FD4F1"/>
    <w:rsid w:val="6D70369B"/>
    <w:rsid w:val="6D777574"/>
    <w:rsid w:val="6D78AE1C"/>
    <w:rsid w:val="6D796C45"/>
    <w:rsid w:val="6D7F114B"/>
    <w:rsid w:val="6D8671C0"/>
    <w:rsid w:val="6D8A08B9"/>
    <w:rsid w:val="6D930C5F"/>
    <w:rsid w:val="6D931387"/>
    <w:rsid w:val="6D95E303"/>
    <w:rsid w:val="6D9631C7"/>
    <w:rsid w:val="6D9663E1"/>
    <w:rsid w:val="6D9BD532"/>
    <w:rsid w:val="6DA16B86"/>
    <w:rsid w:val="6DA5384B"/>
    <w:rsid w:val="6DB26046"/>
    <w:rsid w:val="6DBB0E1C"/>
    <w:rsid w:val="6DC09822"/>
    <w:rsid w:val="6DC5CEA1"/>
    <w:rsid w:val="6DC73EFF"/>
    <w:rsid w:val="6DCE95CB"/>
    <w:rsid w:val="6DD0BA9E"/>
    <w:rsid w:val="6DD18935"/>
    <w:rsid w:val="6DD8DB2F"/>
    <w:rsid w:val="6DDC4D76"/>
    <w:rsid w:val="6DDEDF83"/>
    <w:rsid w:val="6DE4F5F8"/>
    <w:rsid w:val="6DE588FB"/>
    <w:rsid w:val="6DE655E5"/>
    <w:rsid w:val="6DE74AAB"/>
    <w:rsid w:val="6DE97DE7"/>
    <w:rsid w:val="6DEF101E"/>
    <w:rsid w:val="6DF4C2B7"/>
    <w:rsid w:val="6DF6A508"/>
    <w:rsid w:val="6E008E92"/>
    <w:rsid w:val="6E073051"/>
    <w:rsid w:val="6E08AE37"/>
    <w:rsid w:val="6E08D676"/>
    <w:rsid w:val="6E13B410"/>
    <w:rsid w:val="6E1D8FF3"/>
    <w:rsid w:val="6E1FB802"/>
    <w:rsid w:val="6E209837"/>
    <w:rsid w:val="6E21B2C8"/>
    <w:rsid w:val="6E265E39"/>
    <w:rsid w:val="6E2C0E69"/>
    <w:rsid w:val="6E2D1D42"/>
    <w:rsid w:val="6E33AE3D"/>
    <w:rsid w:val="6E34761A"/>
    <w:rsid w:val="6E381357"/>
    <w:rsid w:val="6E39E78A"/>
    <w:rsid w:val="6E3ADC46"/>
    <w:rsid w:val="6E3E961B"/>
    <w:rsid w:val="6E4240E5"/>
    <w:rsid w:val="6E457015"/>
    <w:rsid w:val="6E459F81"/>
    <w:rsid w:val="6E558AFB"/>
    <w:rsid w:val="6E56E85E"/>
    <w:rsid w:val="6E599476"/>
    <w:rsid w:val="6E5D8C2C"/>
    <w:rsid w:val="6E5ED9C2"/>
    <w:rsid w:val="6E60249B"/>
    <w:rsid w:val="6E60E0CD"/>
    <w:rsid w:val="6E62D59D"/>
    <w:rsid w:val="6E62D9B1"/>
    <w:rsid w:val="6E63AC38"/>
    <w:rsid w:val="6E6CC1BA"/>
    <w:rsid w:val="6E6CD0B7"/>
    <w:rsid w:val="6E759D19"/>
    <w:rsid w:val="6E785925"/>
    <w:rsid w:val="6E78A77E"/>
    <w:rsid w:val="6E7F0E98"/>
    <w:rsid w:val="6E807BFB"/>
    <w:rsid w:val="6E885E95"/>
    <w:rsid w:val="6E886C86"/>
    <w:rsid w:val="6E8A86EF"/>
    <w:rsid w:val="6E8B3F82"/>
    <w:rsid w:val="6E97A668"/>
    <w:rsid w:val="6E99799C"/>
    <w:rsid w:val="6E9CFB5A"/>
    <w:rsid w:val="6E9D672B"/>
    <w:rsid w:val="6EA7FE3E"/>
    <w:rsid w:val="6EA937A0"/>
    <w:rsid w:val="6EB1201F"/>
    <w:rsid w:val="6EB422F0"/>
    <w:rsid w:val="6EB4C1F6"/>
    <w:rsid w:val="6EC6E439"/>
    <w:rsid w:val="6ECFBA6D"/>
    <w:rsid w:val="6ED6620E"/>
    <w:rsid w:val="6ED9BAC8"/>
    <w:rsid w:val="6EDB1F79"/>
    <w:rsid w:val="6EDBF9AC"/>
    <w:rsid w:val="6EDCC719"/>
    <w:rsid w:val="6EE2359A"/>
    <w:rsid w:val="6EE3165D"/>
    <w:rsid w:val="6EE8A21A"/>
    <w:rsid w:val="6EE91A34"/>
    <w:rsid w:val="6EEC0461"/>
    <w:rsid w:val="6EEC4308"/>
    <w:rsid w:val="6EECC471"/>
    <w:rsid w:val="6EECE323"/>
    <w:rsid w:val="6EEF2755"/>
    <w:rsid w:val="6EF687F3"/>
    <w:rsid w:val="6EFD2E7A"/>
    <w:rsid w:val="6F045F2B"/>
    <w:rsid w:val="6F119CB2"/>
    <w:rsid w:val="6F138E0C"/>
    <w:rsid w:val="6F15F5BD"/>
    <w:rsid w:val="6F1D0C13"/>
    <w:rsid w:val="6F1EA380"/>
    <w:rsid w:val="6F24C945"/>
    <w:rsid w:val="6F25D875"/>
    <w:rsid w:val="6F2E5B74"/>
    <w:rsid w:val="6F344779"/>
    <w:rsid w:val="6F383066"/>
    <w:rsid w:val="6F4900A8"/>
    <w:rsid w:val="6F4BA480"/>
    <w:rsid w:val="6F4C9AC5"/>
    <w:rsid w:val="6F4CE125"/>
    <w:rsid w:val="6F50F059"/>
    <w:rsid w:val="6F5266FD"/>
    <w:rsid w:val="6F54C24C"/>
    <w:rsid w:val="6F5C7720"/>
    <w:rsid w:val="6F693005"/>
    <w:rsid w:val="6F6962D2"/>
    <w:rsid w:val="6F6A2543"/>
    <w:rsid w:val="6F6AD156"/>
    <w:rsid w:val="6F6FF95B"/>
    <w:rsid w:val="6F70A8FD"/>
    <w:rsid w:val="6F734E35"/>
    <w:rsid w:val="6F74694D"/>
    <w:rsid w:val="6F782909"/>
    <w:rsid w:val="6F7957F6"/>
    <w:rsid w:val="6F7A646D"/>
    <w:rsid w:val="6F83C808"/>
    <w:rsid w:val="6F8F79EF"/>
    <w:rsid w:val="6F8F93D1"/>
    <w:rsid w:val="6F94A9EF"/>
    <w:rsid w:val="6F96C613"/>
    <w:rsid w:val="6F9CE502"/>
    <w:rsid w:val="6F9D4784"/>
    <w:rsid w:val="6F9DB600"/>
    <w:rsid w:val="6F9FE461"/>
    <w:rsid w:val="6FA35BEC"/>
    <w:rsid w:val="6FA417F2"/>
    <w:rsid w:val="6FA8F15E"/>
    <w:rsid w:val="6FAB241F"/>
    <w:rsid w:val="6FAC9BC3"/>
    <w:rsid w:val="6FB3C5C4"/>
    <w:rsid w:val="6FB98DDB"/>
    <w:rsid w:val="6FC22F0D"/>
    <w:rsid w:val="6FC9BEB4"/>
    <w:rsid w:val="6FCC9F7B"/>
    <w:rsid w:val="6FD40D89"/>
    <w:rsid w:val="6FD9954F"/>
    <w:rsid w:val="6FDAE698"/>
    <w:rsid w:val="6FDD7735"/>
    <w:rsid w:val="6FEB1CCE"/>
    <w:rsid w:val="6FECAA31"/>
    <w:rsid w:val="6FEDCEAC"/>
    <w:rsid w:val="6FF0FB04"/>
    <w:rsid w:val="6FF3C756"/>
    <w:rsid w:val="6FF7C237"/>
    <w:rsid w:val="6FF968E4"/>
    <w:rsid w:val="7001FC6A"/>
    <w:rsid w:val="7003191E"/>
    <w:rsid w:val="7005EFC7"/>
    <w:rsid w:val="700682E7"/>
    <w:rsid w:val="7010B964"/>
    <w:rsid w:val="70116D62"/>
    <w:rsid w:val="7011C62B"/>
    <w:rsid w:val="7014B5FA"/>
    <w:rsid w:val="70164F19"/>
    <w:rsid w:val="7016D1A0"/>
    <w:rsid w:val="701EB2CA"/>
    <w:rsid w:val="70213AC2"/>
    <w:rsid w:val="70239F3D"/>
    <w:rsid w:val="7028B710"/>
    <w:rsid w:val="7028B879"/>
    <w:rsid w:val="702B8CA4"/>
    <w:rsid w:val="702E93D1"/>
    <w:rsid w:val="70318EE9"/>
    <w:rsid w:val="703877AB"/>
    <w:rsid w:val="7039409B"/>
    <w:rsid w:val="703EB66B"/>
    <w:rsid w:val="704119B8"/>
    <w:rsid w:val="7041A208"/>
    <w:rsid w:val="7043BEC3"/>
    <w:rsid w:val="70471591"/>
    <w:rsid w:val="7048D7A7"/>
    <w:rsid w:val="704C16EE"/>
    <w:rsid w:val="705192BE"/>
    <w:rsid w:val="7054F3FB"/>
    <w:rsid w:val="705875BF"/>
    <w:rsid w:val="705C8D8F"/>
    <w:rsid w:val="705CDB45"/>
    <w:rsid w:val="70603A59"/>
    <w:rsid w:val="706329F0"/>
    <w:rsid w:val="70697408"/>
    <w:rsid w:val="706BE4BF"/>
    <w:rsid w:val="706DACA5"/>
    <w:rsid w:val="7072BD95"/>
    <w:rsid w:val="7076E6B9"/>
    <w:rsid w:val="707AA07D"/>
    <w:rsid w:val="707C3E8E"/>
    <w:rsid w:val="70820976"/>
    <w:rsid w:val="70835720"/>
    <w:rsid w:val="7083981A"/>
    <w:rsid w:val="7085954D"/>
    <w:rsid w:val="7088248F"/>
    <w:rsid w:val="70895639"/>
    <w:rsid w:val="70899A57"/>
    <w:rsid w:val="708C19CB"/>
    <w:rsid w:val="7098C6BB"/>
    <w:rsid w:val="709A5F4B"/>
    <w:rsid w:val="70A27133"/>
    <w:rsid w:val="70AC76C0"/>
    <w:rsid w:val="70B072B5"/>
    <w:rsid w:val="70B32BB9"/>
    <w:rsid w:val="70B6A715"/>
    <w:rsid w:val="70B94981"/>
    <w:rsid w:val="70BA656F"/>
    <w:rsid w:val="70BC8B41"/>
    <w:rsid w:val="70C22918"/>
    <w:rsid w:val="70C4D56A"/>
    <w:rsid w:val="70C5F1DB"/>
    <w:rsid w:val="70CA52B8"/>
    <w:rsid w:val="70D139B4"/>
    <w:rsid w:val="70D60031"/>
    <w:rsid w:val="70D64AA6"/>
    <w:rsid w:val="70D82478"/>
    <w:rsid w:val="70DB59E0"/>
    <w:rsid w:val="70DBB407"/>
    <w:rsid w:val="70DD27E5"/>
    <w:rsid w:val="70E68A33"/>
    <w:rsid w:val="70E6E09A"/>
    <w:rsid w:val="70E78980"/>
    <w:rsid w:val="70EABD2E"/>
    <w:rsid w:val="70EAC481"/>
    <w:rsid w:val="70F36B56"/>
    <w:rsid w:val="70F8E451"/>
    <w:rsid w:val="70FB443D"/>
    <w:rsid w:val="70FEC633"/>
    <w:rsid w:val="7105FE5B"/>
    <w:rsid w:val="710A5852"/>
    <w:rsid w:val="710CC944"/>
    <w:rsid w:val="710DA048"/>
    <w:rsid w:val="711276BC"/>
    <w:rsid w:val="71171948"/>
    <w:rsid w:val="7119E437"/>
    <w:rsid w:val="71259B80"/>
    <w:rsid w:val="71262EB6"/>
    <w:rsid w:val="71323378"/>
    <w:rsid w:val="71332909"/>
    <w:rsid w:val="7133C519"/>
    <w:rsid w:val="7133D547"/>
    <w:rsid w:val="7139ED2D"/>
    <w:rsid w:val="713DD073"/>
    <w:rsid w:val="7141FB2E"/>
    <w:rsid w:val="7142353F"/>
    <w:rsid w:val="7142AA17"/>
    <w:rsid w:val="714698EF"/>
    <w:rsid w:val="7146BBCF"/>
    <w:rsid w:val="7147F012"/>
    <w:rsid w:val="714A646E"/>
    <w:rsid w:val="714BBD73"/>
    <w:rsid w:val="71537ED3"/>
    <w:rsid w:val="715C7F82"/>
    <w:rsid w:val="715CE92F"/>
    <w:rsid w:val="715F5D06"/>
    <w:rsid w:val="7160267E"/>
    <w:rsid w:val="71612428"/>
    <w:rsid w:val="71614D92"/>
    <w:rsid w:val="716482DB"/>
    <w:rsid w:val="7165463E"/>
    <w:rsid w:val="7165A300"/>
    <w:rsid w:val="71684E39"/>
    <w:rsid w:val="71688CD2"/>
    <w:rsid w:val="716A5DF0"/>
    <w:rsid w:val="716CE1CA"/>
    <w:rsid w:val="716D5A02"/>
    <w:rsid w:val="71711E70"/>
    <w:rsid w:val="71746035"/>
    <w:rsid w:val="7176F54B"/>
    <w:rsid w:val="7177C8E2"/>
    <w:rsid w:val="71783573"/>
    <w:rsid w:val="717A5F61"/>
    <w:rsid w:val="717A99AF"/>
    <w:rsid w:val="717ADE11"/>
    <w:rsid w:val="717AE62D"/>
    <w:rsid w:val="717F1D3B"/>
    <w:rsid w:val="71856B6B"/>
    <w:rsid w:val="718E620F"/>
    <w:rsid w:val="7191B2FE"/>
    <w:rsid w:val="71931B70"/>
    <w:rsid w:val="7193CE8B"/>
    <w:rsid w:val="719A7C6D"/>
    <w:rsid w:val="719BFF3F"/>
    <w:rsid w:val="71A29422"/>
    <w:rsid w:val="71AA2F17"/>
    <w:rsid w:val="71AA37B3"/>
    <w:rsid w:val="71AFF680"/>
    <w:rsid w:val="71B0D284"/>
    <w:rsid w:val="71B2B5B4"/>
    <w:rsid w:val="71B48BAE"/>
    <w:rsid w:val="71B6A314"/>
    <w:rsid w:val="71B6CB1E"/>
    <w:rsid w:val="71BD2B6C"/>
    <w:rsid w:val="71BEF5D7"/>
    <w:rsid w:val="71BFEFBE"/>
    <w:rsid w:val="71C2A1CE"/>
    <w:rsid w:val="71C67A82"/>
    <w:rsid w:val="71C94956"/>
    <w:rsid w:val="71D348CC"/>
    <w:rsid w:val="71D80524"/>
    <w:rsid w:val="71DB2CDE"/>
    <w:rsid w:val="71DBA115"/>
    <w:rsid w:val="71DDD3EC"/>
    <w:rsid w:val="71EF9DD1"/>
    <w:rsid w:val="71F37E1A"/>
    <w:rsid w:val="71F3B746"/>
    <w:rsid w:val="71F8124A"/>
    <w:rsid w:val="71FF9789"/>
    <w:rsid w:val="72000ACC"/>
    <w:rsid w:val="72025DB7"/>
    <w:rsid w:val="720270A3"/>
    <w:rsid w:val="7207E6E9"/>
    <w:rsid w:val="720C3DEB"/>
    <w:rsid w:val="72106DE9"/>
    <w:rsid w:val="7217E2BC"/>
    <w:rsid w:val="721FD7C4"/>
    <w:rsid w:val="722139C9"/>
    <w:rsid w:val="7221F4B8"/>
    <w:rsid w:val="72225749"/>
    <w:rsid w:val="72231002"/>
    <w:rsid w:val="7224CE2F"/>
    <w:rsid w:val="72254F53"/>
    <w:rsid w:val="722B8C85"/>
    <w:rsid w:val="722E2976"/>
    <w:rsid w:val="722E97AB"/>
    <w:rsid w:val="7231AE65"/>
    <w:rsid w:val="7234BC52"/>
    <w:rsid w:val="7241B7DA"/>
    <w:rsid w:val="72423815"/>
    <w:rsid w:val="72462A52"/>
    <w:rsid w:val="724B2969"/>
    <w:rsid w:val="724F93F6"/>
    <w:rsid w:val="7252F9C5"/>
    <w:rsid w:val="725A0B0F"/>
    <w:rsid w:val="726135DB"/>
    <w:rsid w:val="7261ED5B"/>
    <w:rsid w:val="7264E096"/>
    <w:rsid w:val="726CA004"/>
    <w:rsid w:val="726D17C1"/>
    <w:rsid w:val="726D43EC"/>
    <w:rsid w:val="726F8705"/>
    <w:rsid w:val="72719D5F"/>
    <w:rsid w:val="727BEFA4"/>
    <w:rsid w:val="727EB41E"/>
    <w:rsid w:val="727ED00E"/>
    <w:rsid w:val="72831C11"/>
    <w:rsid w:val="72835560"/>
    <w:rsid w:val="72887A25"/>
    <w:rsid w:val="7288ED33"/>
    <w:rsid w:val="728BBB67"/>
    <w:rsid w:val="728E3A63"/>
    <w:rsid w:val="728EC2FB"/>
    <w:rsid w:val="728F0DFC"/>
    <w:rsid w:val="7296264C"/>
    <w:rsid w:val="72965C35"/>
    <w:rsid w:val="729809E7"/>
    <w:rsid w:val="729D3FAA"/>
    <w:rsid w:val="729D57EA"/>
    <w:rsid w:val="72A4D862"/>
    <w:rsid w:val="72AB85E9"/>
    <w:rsid w:val="72ACBF2E"/>
    <w:rsid w:val="72AF7C2A"/>
    <w:rsid w:val="72B69D40"/>
    <w:rsid w:val="72BB65B7"/>
    <w:rsid w:val="72BBA522"/>
    <w:rsid w:val="72C2AE31"/>
    <w:rsid w:val="72CED85E"/>
    <w:rsid w:val="72D0A443"/>
    <w:rsid w:val="72D4B030"/>
    <w:rsid w:val="72D56E10"/>
    <w:rsid w:val="72D6EE5B"/>
    <w:rsid w:val="72D743F7"/>
    <w:rsid w:val="72DF2EC8"/>
    <w:rsid w:val="72DF5C30"/>
    <w:rsid w:val="72E103A7"/>
    <w:rsid w:val="72E11CF9"/>
    <w:rsid w:val="72E3B36C"/>
    <w:rsid w:val="72E3C561"/>
    <w:rsid w:val="72EC9A46"/>
    <w:rsid w:val="72EEDD4D"/>
    <w:rsid w:val="72FC9BA8"/>
    <w:rsid w:val="72FED797"/>
    <w:rsid w:val="730180A4"/>
    <w:rsid w:val="7303BBFD"/>
    <w:rsid w:val="730C38A0"/>
    <w:rsid w:val="7310A105"/>
    <w:rsid w:val="7312B2F6"/>
    <w:rsid w:val="73145F38"/>
    <w:rsid w:val="7315254D"/>
    <w:rsid w:val="731661CB"/>
    <w:rsid w:val="7317AB5A"/>
    <w:rsid w:val="731C2950"/>
    <w:rsid w:val="731D71E5"/>
    <w:rsid w:val="731E54E1"/>
    <w:rsid w:val="7324F8DF"/>
    <w:rsid w:val="732EE950"/>
    <w:rsid w:val="732FD8D4"/>
    <w:rsid w:val="73368007"/>
    <w:rsid w:val="73373699"/>
    <w:rsid w:val="7339C502"/>
    <w:rsid w:val="733A93B7"/>
    <w:rsid w:val="7343F4A3"/>
    <w:rsid w:val="73453AB0"/>
    <w:rsid w:val="7348FE15"/>
    <w:rsid w:val="73497A1C"/>
    <w:rsid w:val="734C17AD"/>
    <w:rsid w:val="734C6D03"/>
    <w:rsid w:val="734E5515"/>
    <w:rsid w:val="735208F4"/>
    <w:rsid w:val="73547245"/>
    <w:rsid w:val="73558B9D"/>
    <w:rsid w:val="73560A60"/>
    <w:rsid w:val="735863AA"/>
    <w:rsid w:val="73598218"/>
    <w:rsid w:val="735EF114"/>
    <w:rsid w:val="7361D8CD"/>
    <w:rsid w:val="73632E80"/>
    <w:rsid w:val="736339BB"/>
    <w:rsid w:val="73687DEC"/>
    <w:rsid w:val="7368B6CF"/>
    <w:rsid w:val="736B094B"/>
    <w:rsid w:val="736C6B1B"/>
    <w:rsid w:val="736F3CD2"/>
    <w:rsid w:val="7374C4D0"/>
    <w:rsid w:val="737826D7"/>
    <w:rsid w:val="737B38C9"/>
    <w:rsid w:val="737D5C31"/>
    <w:rsid w:val="73803E89"/>
    <w:rsid w:val="73859CEC"/>
    <w:rsid w:val="738938E4"/>
    <w:rsid w:val="738B3CB7"/>
    <w:rsid w:val="738B7AB3"/>
    <w:rsid w:val="7399AE1F"/>
    <w:rsid w:val="739A07C5"/>
    <w:rsid w:val="739C6AE7"/>
    <w:rsid w:val="739D4900"/>
    <w:rsid w:val="73A060B6"/>
    <w:rsid w:val="73A27697"/>
    <w:rsid w:val="73A3370C"/>
    <w:rsid w:val="73A45D08"/>
    <w:rsid w:val="73A656EE"/>
    <w:rsid w:val="73A6D4F6"/>
    <w:rsid w:val="73AD3B0F"/>
    <w:rsid w:val="73AE6F2B"/>
    <w:rsid w:val="73AF5EFF"/>
    <w:rsid w:val="73B02CC4"/>
    <w:rsid w:val="73B0F301"/>
    <w:rsid w:val="73B854F0"/>
    <w:rsid w:val="73B97892"/>
    <w:rsid w:val="73BBCD34"/>
    <w:rsid w:val="73BF8979"/>
    <w:rsid w:val="73BFD756"/>
    <w:rsid w:val="73BFDB48"/>
    <w:rsid w:val="73C6C6F4"/>
    <w:rsid w:val="73CA7841"/>
    <w:rsid w:val="73CBEFC5"/>
    <w:rsid w:val="73CDF023"/>
    <w:rsid w:val="73D0EE82"/>
    <w:rsid w:val="73D1D4A1"/>
    <w:rsid w:val="73E05E19"/>
    <w:rsid w:val="73EC427D"/>
    <w:rsid w:val="73EDEC8F"/>
    <w:rsid w:val="73F1CD85"/>
    <w:rsid w:val="73F3164E"/>
    <w:rsid w:val="73F54BA8"/>
    <w:rsid w:val="73F6E69E"/>
    <w:rsid w:val="73F91549"/>
    <w:rsid w:val="73FCD597"/>
    <w:rsid w:val="740233E9"/>
    <w:rsid w:val="7403D387"/>
    <w:rsid w:val="7407538F"/>
    <w:rsid w:val="740B48B7"/>
    <w:rsid w:val="740D9372"/>
    <w:rsid w:val="740DCB1A"/>
    <w:rsid w:val="74122CCA"/>
    <w:rsid w:val="741E8120"/>
    <w:rsid w:val="741FB034"/>
    <w:rsid w:val="7420D02D"/>
    <w:rsid w:val="7426C7CF"/>
    <w:rsid w:val="7428DAB1"/>
    <w:rsid w:val="7431085A"/>
    <w:rsid w:val="7431AE6C"/>
    <w:rsid w:val="7436F5D6"/>
    <w:rsid w:val="7438C926"/>
    <w:rsid w:val="743A9D73"/>
    <w:rsid w:val="7448C887"/>
    <w:rsid w:val="744BAC19"/>
    <w:rsid w:val="744E00CA"/>
    <w:rsid w:val="744E67D9"/>
    <w:rsid w:val="74506B80"/>
    <w:rsid w:val="74568004"/>
    <w:rsid w:val="745ADFF8"/>
    <w:rsid w:val="745E0EC9"/>
    <w:rsid w:val="745F4D0B"/>
    <w:rsid w:val="74606EF2"/>
    <w:rsid w:val="746AFFC0"/>
    <w:rsid w:val="746C9934"/>
    <w:rsid w:val="746F6190"/>
    <w:rsid w:val="746F8098"/>
    <w:rsid w:val="74703B10"/>
    <w:rsid w:val="74731658"/>
    <w:rsid w:val="74748FAB"/>
    <w:rsid w:val="74751321"/>
    <w:rsid w:val="74779536"/>
    <w:rsid w:val="747BB68D"/>
    <w:rsid w:val="74811669"/>
    <w:rsid w:val="74858838"/>
    <w:rsid w:val="748A830E"/>
    <w:rsid w:val="748C1C8F"/>
    <w:rsid w:val="748FF977"/>
    <w:rsid w:val="74933E16"/>
    <w:rsid w:val="74A0F211"/>
    <w:rsid w:val="74A86209"/>
    <w:rsid w:val="74A9079E"/>
    <w:rsid w:val="74AAB270"/>
    <w:rsid w:val="74AB15C9"/>
    <w:rsid w:val="74ACBAC9"/>
    <w:rsid w:val="74B477B2"/>
    <w:rsid w:val="74B4E33C"/>
    <w:rsid w:val="74B900D2"/>
    <w:rsid w:val="74C18EF5"/>
    <w:rsid w:val="74CF900C"/>
    <w:rsid w:val="74CFFA47"/>
    <w:rsid w:val="74D11854"/>
    <w:rsid w:val="74D20A41"/>
    <w:rsid w:val="74D2E6DB"/>
    <w:rsid w:val="74D32297"/>
    <w:rsid w:val="74D53F53"/>
    <w:rsid w:val="74DC7E74"/>
    <w:rsid w:val="74DFC6CD"/>
    <w:rsid w:val="74E7FAC0"/>
    <w:rsid w:val="74E98946"/>
    <w:rsid w:val="74EB54D2"/>
    <w:rsid w:val="74ECBB84"/>
    <w:rsid w:val="74ECE22E"/>
    <w:rsid w:val="74F04F61"/>
    <w:rsid w:val="74F17A0E"/>
    <w:rsid w:val="74F433FB"/>
    <w:rsid w:val="74F866C5"/>
    <w:rsid w:val="74FBDE39"/>
    <w:rsid w:val="74FCDF18"/>
    <w:rsid w:val="7502ED72"/>
    <w:rsid w:val="7504315B"/>
    <w:rsid w:val="75069AC7"/>
    <w:rsid w:val="750739BE"/>
    <w:rsid w:val="750A2F2D"/>
    <w:rsid w:val="750BE98F"/>
    <w:rsid w:val="750C0F97"/>
    <w:rsid w:val="750D5B0B"/>
    <w:rsid w:val="75138F6B"/>
    <w:rsid w:val="7518880D"/>
    <w:rsid w:val="75195069"/>
    <w:rsid w:val="751A82FE"/>
    <w:rsid w:val="751FEE31"/>
    <w:rsid w:val="7524AF66"/>
    <w:rsid w:val="75266636"/>
    <w:rsid w:val="75268AA3"/>
    <w:rsid w:val="752750B0"/>
    <w:rsid w:val="75286A47"/>
    <w:rsid w:val="752B412B"/>
    <w:rsid w:val="752B5C48"/>
    <w:rsid w:val="752B80B0"/>
    <w:rsid w:val="752C2DDE"/>
    <w:rsid w:val="752E16E1"/>
    <w:rsid w:val="75314C19"/>
    <w:rsid w:val="75323B13"/>
    <w:rsid w:val="7533FA73"/>
    <w:rsid w:val="7539ED5D"/>
    <w:rsid w:val="753A442C"/>
    <w:rsid w:val="753AEF65"/>
    <w:rsid w:val="753E65B7"/>
    <w:rsid w:val="75407C48"/>
    <w:rsid w:val="754099E3"/>
    <w:rsid w:val="7547EA97"/>
    <w:rsid w:val="755020E6"/>
    <w:rsid w:val="755621A1"/>
    <w:rsid w:val="755639AA"/>
    <w:rsid w:val="75569D01"/>
    <w:rsid w:val="75597B46"/>
    <w:rsid w:val="755AD33E"/>
    <w:rsid w:val="755F5B24"/>
    <w:rsid w:val="756545A4"/>
    <w:rsid w:val="7566D481"/>
    <w:rsid w:val="75685267"/>
    <w:rsid w:val="757340DF"/>
    <w:rsid w:val="7575AA85"/>
    <w:rsid w:val="75767D10"/>
    <w:rsid w:val="757A948D"/>
    <w:rsid w:val="757F0351"/>
    <w:rsid w:val="75807099"/>
    <w:rsid w:val="75817B1E"/>
    <w:rsid w:val="758818FE"/>
    <w:rsid w:val="7589E054"/>
    <w:rsid w:val="7594DE96"/>
    <w:rsid w:val="75994260"/>
    <w:rsid w:val="759986D2"/>
    <w:rsid w:val="759BECAC"/>
    <w:rsid w:val="759FB5F2"/>
    <w:rsid w:val="75A4D9A4"/>
    <w:rsid w:val="75A8667C"/>
    <w:rsid w:val="75AA07CE"/>
    <w:rsid w:val="75AA3348"/>
    <w:rsid w:val="75AEC352"/>
    <w:rsid w:val="75B22164"/>
    <w:rsid w:val="75B47336"/>
    <w:rsid w:val="75B8AB19"/>
    <w:rsid w:val="75C8CF04"/>
    <w:rsid w:val="75CB1830"/>
    <w:rsid w:val="75CE2091"/>
    <w:rsid w:val="75D33D56"/>
    <w:rsid w:val="75D4FB94"/>
    <w:rsid w:val="75D53DBF"/>
    <w:rsid w:val="75D7FE96"/>
    <w:rsid w:val="75D92034"/>
    <w:rsid w:val="75DB87F1"/>
    <w:rsid w:val="75E10752"/>
    <w:rsid w:val="75E19568"/>
    <w:rsid w:val="75E2985B"/>
    <w:rsid w:val="75E2AF86"/>
    <w:rsid w:val="75EB04F0"/>
    <w:rsid w:val="75F0A578"/>
    <w:rsid w:val="75FAF066"/>
    <w:rsid w:val="76023108"/>
    <w:rsid w:val="7603E368"/>
    <w:rsid w:val="76044760"/>
    <w:rsid w:val="760AD451"/>
    <w:rsid w:val="760B8533"/>
    <w:rsid w:val="760F99C8"/>
    <w:rsid w:val="761750C0"/>
    <w:rsid w:val="76182738"/>
    <w:rsid w:val="761BF690"/>
    <w:rsid w:val="761E83C6"/>
    <w:rsid w:val="7620F12D"/>
    <w:rsid w:val="76212E3A"/>
    <w:rsid w:val="76212E76"/>
    <w:rsid w:val="76241AA5"/>
    <w:rsid w:val="762500EB"/>
    <w:rsid w:val="7625C1DE"/>
    <w:rsid w:val="7625D491"/>
    <w:rsid w:val="7629BA41"/>
    <w:rsid w:val="7629E98D"/>
    <w:rsid w:val="762CAB25"/>
    <w:rsid w:val="762F1E37"/>
    <w:rsid w:val="762F36ED"/>
    <w:rsid w:val="7632D4A5"/>
    <w:rsid w:val="7639DA4F"/>
    <w:rsid w:val="763C5363"/>
    <w:rsid w:val="76486BEE"/>
    <w:rsid w:val="7649647F"/>
    <w:rsid w:val="764FA9C1"/>
    <w:rsid w:val="764FC371"/>
    <w:rsid w:val="76527CD3"/>
    <w:rsid w:val="7659081F"/>
    <w:rsid w:val="76594085"/>
    <w:rsid w:val="7664FF8D"/>
    <w:rsid w:val="7670D58C"/>
    <w:rsid w:val="767476A3"/>
    <w:rsid w:val="7674EEDA"/>
    <w:rsid w:val="76776C59"/>
    <w:rsid w:val="76798D05"/>
    <w:rsid w:val="767B72A5"/>
    <w:rsid w:val="767EE2CD"/>
    <w:rsid w:val="7690721A"/>
    <w:rsid w:val="76928C12"/>
    <w:rsid w:val="7694FDCF"/>
    <w:rsid w:val="76971022"/>
    <w:rsid w:val="76973ED3"/>
    <w:rsid w:val="7699212B"/>
    <w:rsid w:val="7699AF3F"/>
    <w:rsid w:val="76A1097F"/>
    <w:rsid w:val="76A5CF06"/>
    <w:rsid w:val="76A84AFA"/>
    <w:rsid w:val="76A99C95"/>
    <w:rsid w:val="76AC0FC6"/>
    <w:rsid w:val="76B404E5"/>
    <w:rsid w:val="76B75968"/>
    <w:rsid w:val="76B9E1B5"/>
    <w:rsid w:val="76BE403B"/>
    <w:rsid w:val="76BF3137"/>
    <w:rsid w:val="76C6EB56"/>
    <w:rsid w:val="76C8C794"/>
    <w:rsid w:val="76C9F5D1"/>
    <w:rsid w:val="76CB3C9D"/>
    <w:rsid w:val="76D5E1EA"/>
    <w:rsid w:val="76D75DED"/>
    <w:rsid w:val="76D7E97A"/>
    <w:rsid w:val="76DAC97D"/>
    <w:rsid w:val="76E4397A"/>
    <w:rsid w:val="76EB6729"/>
    <w:rsid w:val="76EBA373"/>
    <w:rsid w:val="76F1C498"/>
    <w:rsid w:val="76F80F52"/>
    <w:rsid w:val="76F823D4"/>
    <w:rsid w:val="76F90262"/>
    <w:rsid w:val="76FE9A67"/>
    <w:rsid w:val="76FEF272"/>
    <w:rsid w:val="77029033"/>
    <w:rsid w:val="7703B0A7"/>
    <w:rsid w:val="7709FD73"/>
    <w:rsid w:val="770B1314"/>
    <w:rsid w:val="770C27F9"/>
    <w:rsid w:val="770CF55A"/>
    <w:rsid w:val="771945F1"/>
    <w:rsid w:val="7719FC60"/>
    <w:rsid w:val="771D27FB"/>
    <w:rsid w:val="772292E8"/>
    <w:rsid w:val="77245C04"/>
    <w:rsid w:val="7725FC86"/>
    <w:rsid w:val="7726C930"/>
    <w:rsid w:val="7728972E"/>
    <w:rsid w:val="772AF2C7"/>
    <w:rsid w:val="7734FC97"/>
    <w:rsid w:val="7735D247"/>
    <w:rsid w:val="7737E541"/>
    <w:rsid w:val="77398FB4"/>
    <w:rsid w:val="773D0D0D"/>
    <w:rsid w:val="773E1B1F"/>
    <w:rsid w:val="77414E04"/>
    <w:rsid w:val="77431FEE"/>
    <w:rsid w:val="7743D229"/>
    <w:rsid w:val="7744547D"/>
    <w:rsid w:val="7746C604"/>
    <w:rsid w:val="7747041D"/>
    <w:rsid w:val="77483D6E"/>
    <w:rsid w:val="7748BCDF"/>
    <w:rsid w:val="7748C332"/>
    <w:rsid w:val="774C7CC7"/>
    <w:rsid w:val="77502174"/>
    <w:rsid w:val="7751FD58"/>
    <w:rsid w:val="77570027"/>
    <w:rsid w:val="7757DB54"/>
    <w:rsid w:val="775CC07B"/>
    <w:rsid w:val="775D2D07"/>
    <w:rsid w:val="77610B5B"/>
    <w:rsid w:val="7762B183"/>
    <w:rsid w:val="7763135D"/>
    <w:rsid w:val="776EC01E"/>
    <w:rsid w:val="7772861D"/>
    <w:rsid w:val="7773A42A"/>
    <w:rsid w:val="77748ACB"/>
    <w:rsid w:val="777DBDC3"/>
    <w:rsid w:val="778196D2"/>
    <w:rsid w:val="77844CD3"/>
    <w:rsid w:val="778F9EE7"/>
    <w:rsid w:val="77923BA7"/>
    <w:rsid w:val="77977382"/>
    <w:rsid w:val="779802E3"/>
    <w:rsid w:val="779F1D05"/>
    <w:rsid w:val="779FB98A"/>
    <w:rsid w:val="77A02CA7"/>
    <w:rsid w:val="77A9792B"/>
    <w:rsid w:val="77AA5ABD"/>
    <w:rsid w:val="77AC5F42"/>
    <w:rsid w:val="77BB0A87"/>
    <w:rsid w:val="77BB3A21"/>
    <w:rsid w:val="77BDCF6E"/>
    <w:rsid w:val="77C29903"/>
    <w:rsid w:val="77CF9432"/>
    <w:rsid w:val="77D9D21A"/>
    <w:rsid w:val="77DB0886"/>
    <w:rsid w:val="77F0D051"/>
    <w:rsid w:val="77F1E470"/>
    <w:rsid w:val="77F32588"/>
    <w:rsid w:val="77FA51DC"/>
    <w:rsid w:val="77FAC9EA"/>
    <w:rsid w:val="77FC6645"/>
    <w:rsid w:val="77FCD3A6"/>
    <w:rsid w:val="7801DB75"/>
    <w:rsid w:val="78030E30"/>
    <w:rsid w:val="78088E8C"/>
    <w:rsid w:val="780B4F83"/>
    <w:rsid w:val="78135D89"/>
    <w:rsid w:val="7817EE71"/>
    <w:rsid w:val="781C8979"/>
    <w:rsid w:val="781F5044"/>
    <w:rsid w:val="7823E056"/>
    <w:rsid w:val="782439CC"/>
    <w:rsid w:val="7826703C"/>
    <w:rsid w:val="7826E679"/>
    <w:rsid w:val="782B56FA"/>
    <w:rsid w:val="782EADFC"/>
    <w:rsid w:val="7831997D"/>
    <w:rsid w:val="7835C95D"/>
    <w:rsid w:val="7836546D"/>
    <w:rsid w:val="7836E295"/>
    <w:rsid w:val="7838B66C"/>
    <w:rsid w:val="783EB81B"/>
    <w:rsid w:val="78411506"/>
    <w:rsid w:val="7842A2FC"/>
    <w:rsid w:val="784559B8"/>
    <w:rsid w:val="784CF394"/>
    <w:rsid w:val="784E2657"/>
    <w:rsid w:val="785565C1"/>
    <w:rsid w:val="78578706"/>
    <w:rsid w:val="78590CAB"/>
    <w:rsid w:val="785C05D9"/>
    <w:rsid w:val="785CB43D"/>
    <w:rsid w:val="785D1466"/>
    <w:rsid w:val="78613074"/>
    <w:rsid w:val="7863EDAB"/>
    <w:rsid w:val="78654DB5"/>
    <w:rsid w:val="78699CE9"/>
    <w:rsid w:val="786C8588"/>
    <w:rsid w:val="786D20EF"/>
    <w:rsid w:val="786F420B"/>
    <w:rsid w:val="7871E853"/>
    <w:rsid w:val="7876FF53"/>
    <w:rsid w:val="78770306"/>
    <w:rsid w:val="78793175"/>
    <w:rsid w:val="787C66C2"/>
    <w:rsid w:val="78811FD6"/>
    <w:rsid w:val="788229AD"/>
    <w:rsid w:val="7885C5DC"/>
    <w:rsid w:val="788A4814"/>
    <w:rsid w:val="78911E42"/>
    <w:rsid w:val="78913F03"/>
    <w:rsid w:val="78968F19"/>
    <w:rsid w:val="7896AB85"/>
    <w:rsid w:val="7896D033"/>
    <w:rsid w:val="789703E8"/>
    <w:rsid w:val="78979E79"/>
    <w:rsid w:val="789A89C5"/>
    <w:rsid w:val="789BAB0B"/>
    <w:rsid w:val="78A62297"/>
    <w:rsid w:val="78A69492"/>
    <w:rsid w:val="78A7DFB2"/>
    <w:rsid w:val="78A88368"/>
    <w:rsid w:val="78ACD0BD"/>
    <w:rsid w:val="78AF91C3"/>
    <w:rsid w:val="78B0DBDC"/>
    <w:rsid w:val="78B2027E"/>
    <w:rsid w:val="78B2DE85"/>
    <w:rsid w:val="78B67E3A"/>
    <w:rsid w:val="78B8CE0E"/>
    <w:rsid w:val="78BC329E"/>
    <w:rsid w:val="78BD6472"/>
    <w:rsid w:val="78CC49B8"/>
    <w:rsid w:val="78CCA3CB"/>
    <w:rsid w:val="78CCF49E"/>
    <w:rsid w:val="78CDFF2B"/>
    <w:rsid w:val="78CF4F23"/>
    <w:rsid w:val="78D0DAFF"/>
    <w:rsid w:val="78D5FC06"/>
    <w:rsid w:val="78D98A30"/>
    <w:rsid w:val="78DA8C36"/>
    <w:rsid w:val="78DB6B87"/>
    <w:rsid w:val="78E04CF5"/>
    <w:rsid w:val="78E38396"/>
    <w:rsid w:val="78E74F3F"/>
    <w:rsid w:val="78EA8B95"/>
    <w:rsid w:val="78EAE7D1"/>
    <w:rsid w:val="78F8186D"/>
    <w:rsid w:val="78F89BCE"/>
    <w:rsid w:val="78FA12EF"/>
    <w:rsid w:val="78FCF3C3"/>
    <w:rsid w:val="78FE1163"/>
    <w:rsid w:val="78FE9193"/>
    <w:rsid w:val="78FF9058"/>
    <w:rsid w:val="7904390F"/>
    <w:rsid w:val="790573E7"/>
    <w:rsid w:val="79067790"/>
    <w:rsid w:val="79073AE1"/>
    <w:rsid w:val="7913D12F"/>
    <w:rsid w:val="7917D7A1"/>
    <w:rsid w:val="79184C88"/>
    <w:rsid w:val="791FC2E7"/>
    <w:rsid w:val="79216684"/>
    <w:rsid w:val="7922FD61"/>
    <w:rsid w:val="7924F7C6"/>
    <w:rsid w:val="7925D865"/>
    <w:rsid w:val="7926656D"/>
    <w:rsid w:val="7927B513"/>
    <w:rsid w:val="792C7058"/>
    <w:rsid w:val="792CA71D"/>
    <w:rsid w:val="7932C851"/>
    <w:rsid w:val="7935B862"/>
    <w:rsid w:val="793B37EE"/>
    <w:rsid w:val="793C2A3E"/>
    <w:rsid w:val="793D62BB"/>
    <w:rsid w:val="793F6E29"/>
    <w:rsid w:val="794E02A4"/>
    <w:rsid w:val="79548D22"/>
    <w:rsid w:val="795BB0D0"/>
    <w:rsid w:val="795C22A6"/>
    <w:rsid w:val="795E1EBB"/>
    <w:rsid w:val="79614947"/>
    <w:rsid w:val="79688E2C"/>
    <w:rsid w:val="796BB457"/>
    <w:rsid w:val="796D116E"/>
    <w:rsid w:val="796D524E"/>
    <w:rsid w:val="796FED8C"/>
    <w:rsid w:val="797407C5"/>
    <w:rsid w:val="79754BC0"/>
    <w:rsid w:val="7979383A"/>
    <w:rsid w:val="797D05A0"/>
    <w:rsid w:val="797EA231"/>
    <w:rsid w:val="7982781B"/>
    <w:rsid w:val="79866FC5"/>
    <w:rsid w:val="798860A6"/>
    <w:rsid w:val="798DC0A6"/>
    <w:rsid w:val="79915420"/>
    <w:rsid w:val="7992EDF5"/>
    <w:rsid w:val="7997DE4F"/>
    <w:rsid w:val="799A57E9"/>
    <w:rsid w:val="799D1888"/>
    <w:rsid w:val="799DD168"/>
    <w:rsid w:val="79A0ABC8"/>
    <w:rsid w:val="79A424FF"/>
    <w:rsid w:val="79A4FC48"/>
    <w:rsid w:val="79A5CE03"/>
    <w:rsid w:val="79A7DF9B"/>
    <w:rsid w:val="79AA20D5"/>
    <w:rsid w:val="79B549BA"/>
    <w:rsid w:val="79B60830"/>
    <w:rsid w:val="79B70A0A"/>
    <w:rsid w:val="79BB0C76"/>
    <w:rsid w:val="79BCB729"/>
    <w:rsid w:val="79BDDF4E"/>
    <w:rsid w:val="79C03213"/>
    <w:rsid w:val="79C0EB96"/>
    <w:rsid w:val="79C64DE8"/>
    <w:rsid w:val="79C8A7D3"/>
    <w:rsid w:val="79D51FED"/>
    <w:rsid w:val="79D553B3"/>
    <w:rsid w:val="79D96DE9"/>
    <w:rsid w:val="79DE663B"/>
    <w:rsid w:val="79E1AC26"/>
    <w:rsid w:val="79E30997"/>
    <w:rsid w:val="79E6D163"/>
    <w:rsid w:val="79E8A243"/>
    <w:rsid w:val="79EBB5DB"/>
    <w:rsid w:val="79ECDF19"/>
    <w:rsid w:val="79F47636"/>
    <w:rsid w:val="79F8CFF4"/>
    <w:rsid w:val="79F8E98E"/>
    <w:rsid w:val="7A0AF076"/>
    <w:rsid w:val="7A138FF9"/>
    <w:rsid w:val="7A160472"/>
    <w:rsid w:val="7A182ED7"/>
    <w:rsid w:val="7A1ED429"/>
    <w:rsid w:val="7A247335"/>
    <w:rsid w:val="7A2AF317"/>
    <w:rsid w:val="7A2CF0C9"/>
    <w:rsid w:val="7A2E3787"/>
    <w:rsid w:val="7A2F9ECB"/>
    <w:rsid w:val="7A3578B7"/>
    <w:rsid w:val="7A36B89A"/>
    <w:rsid w:val="7A3862AB"/>
    <w:rsid w:val="7A386846"/>
    <w:rsid w:val="7A3F7150"/>
    <w:rsid w:val="7A401C6E"/>
    <w:rsid w:val="7A4A5020"/>
    <w:rsid w:val="7A54A9D2"/>
    <w:rsid w:val="7A607BF7"/>
    <w:rsid w:val="7A612A1F"/>
    <w:rsid w:val="7A630098"/>
    <w:rsid w:val="7A638E1E"/>
    <w:rsid w:val="7A66238F"/>
    <w:rsid w:val="7A6AA4F8"/>
    <w:rsid w:val="7A6EA6DB"/>
    <w:rsid w:val="7A770E2E"/>
    <w:rsid w:val="7A81633C"/>
    <w:rsid w:val="7A81BB1A"/>
    <w:rsid w:val="7A864E05"/>
    <w:rsid w:val="7A881BE4"/>
    <w:rsid w:val="7A8B1E71"/>
    <w:rsid w:val="7A8D1959"/>
    <w:rsid w:val="7A8E6E74"/>
    <w:rsid w:val="7A9147D2"/>
    <w:rsid w:val="7A93BDFF"/>
    <w:rsid w:val="7A96C2CB"/>
    <w:rsid w:val="7A9844B6"/>
    <w:rsid w:val="7A986C7B"/>
    <w:rsid w:val="7A9BBD87"/>
    <w:rsid w:val="7A9D02C6"/>
    <w:rsid w:val="7AA08DBC"/>
    <w:rsid w:val="7AB4F335"/>
    <w:rsid w:val="7AB6D270"/>
    <w:rsid w:val="7ABED5A9"/>
    <w:rsid w:val="7ABFB748"/>
    <w:rsid w:val="7AC70FAA"/>
    <w:rsid w:val="7AC804E3"/>
    <w:rsid w:val="7ACF21C9"/>
    <w:rsid w:val="7AD094DB"/>
    <w:rsid w:val="7AD22AE6"/>
    <w:rsid w:val="7AD25C93"/>
    <w:rsid w:val="7AD5F2A0"/>
    <w:rsid w:val="7ADD7F1F"/>
    <w:rsid w:val="7AE09A99"/>
    <w:rsid w:val="7AE118E2"/>
    <w:rsid w:val="7AE3CF1D"/>
    <w:rsid w:val="7AEB3D27"/>
    <w:rsid w:val="7AF01ED2"/>
    <w:rsid w:val="7AF163C1"/>
    <w:rsid w:val="7AF44676"/>
    <w:rsid w:val="7AF5D996"/>
    <w:rsid w:val="7AF87C0A"/>
    <w:rsid w:val="7AFECCBA"/>
    <w:rsid w:val="7AFF3E1D"/>
    <w:rsid w:val="7B0205BB"/>
    <w:rsid w:val="7B04AE06"/>
    <w:rsid w:val="7B064BFB"/>
    <w:rsid w:val="7B07ABC1"/>
    <w:rsid w:val="7B0AA1FE"/>
    <w:rsid w:val="7B0AAF84"/>
    <w:rsid w:val="7B0B3D2F"/>
    <w:rsid w:val="7B0D3602"/>
    <w:rsid w:val="7B0EE422"/>
    <w:rsid w:val="7B13897A"/>
    <w:rsid w:val="7B1857A6"/>
    <w:rsid w:val="7B1882C7"/>
    <w:rsid w:val="7B18FD7A"/>
    <w:rsid w:val="7B1E32DB"/>
    <w:rsid w:val="7B1FC5B5"/>
    <w:rsid w:val="7B21D939"/>
    <w:rsid w:val="7B24C2CB"/>
    <w:rsid w:val="7B27BD49"/>
    <w:rsid w:val="7B27E05D"/>
    <w:rsid w:val="7B295D95"/>
    <w:rsid w:val="7B2A32F3"/>
    <w:rsid w:val="7B2FDA77"/>
    <w:rsid w:val="7B31486C"/>
    <w:rsid w:val="7B34BCBF"/>
    <w:rsid w:val="7B3F2282"/>
    <w:rsid w:val="7B3F7406"/>
    <w:rsid w:val="7B4673E0"/>
    <w:rsid w:val="7B47B235"/>
    <w:rsid w:val="7B49B903"/>
    <w:rsid w:val="7B4B1EFF"/>
    <w:rsid w:val="7B4FDEFA"/>
    <w:rsid w:val="7B56C84C"/>
    <w:rsid w:val="7B572298"/>
    <w:rsid w:val="7B5893AB"/>
    <w:rsid w:val="7B5F03E2"/>
    <w:rsid w:val="7B6754F3"/>
    <w:rsid w:val="7B6B93CF"/>
    <w:rsid w:val="7B713303"/>
    <w:rsid w:val="7B74027B"/>
    <w:rsid w:val="7B77DC23"/>
    <w:rsid w:val="7B780B5E"/>
    <w:rsid w:val="7B79DECC"/>
    <w:rsid w:val="7B7A84AD"/>
    <w:rsid w:val="7B7D1440"/>
    <w:rsid w:val="7B850B76"/>
    <w:rsid w:val="7B869A46"/>
    <w:rsid w:val="7B884D44"/>
    <w:rsid w:val="7B962DBF"/>
    <w:rsid w:val="7B963BF6"/>
    <w:rsid w:val="7B97251A"/>
    <w:rsid w:val="7B9B5F8B"/>
    <w:rsid w:val="7B9CA784"/>
    <w:rsid w:val="7BA0206A"/>
    <w:rsid w:val="7BA25169"/>
    <w:rsid w:val="7BA82416"/>
    <w:rsid w:val="7BA9A266"/>
    <w:rsid w:val="7BAB88DC"/>
    <w:rsid w:val="7BAC1A59"/>
    <w:rsid w:val="7BAEE23B"/>
    <w:rsid w:val="7BB074BD"/>
    <w:rsid w:val="7BB0B816"/>
    <w:rsid w:val="7BB21119"/>
    <w:rsid w:val="7BB6FFC1"/>
    <w:rsid w:val="7BB9AF60"/>
    <w:rsid w:val="7BBA1F27"/>
    <w:rsid w:val="7BBC6193"/>
    <w:rsid w:val="7BBF4425"/>
    <w:rsid w:val="7BC0BEAE"/>
    <w:rsid w:val="7BC285AB"/>
    <w:rsid w:val="7BC50257"/>
    <w:rsid w:val="7BC61D10"/>
    <w:rsid w:val="7BD343F9"/>
    <w:rsid w:val="7BDC168A"/>
    <w:rsid w:val="7BE175AC"/>
    <w:rsid w:val="7BE47114"/>
    <w:rsid w:val="7BE762A7"/>
    <w:rsid w:val="7BE97086"/>
    <w:rsid w:val="7BEEACE0"/>
    <w:rsid w:val="7BF172E4"/>
    <w:rsid w:val="7BF61011"/>
    <w:rsid w:val="7BFA28AF"/>
    <w:rsid w:val="7C0283CD"/>
    <w:rsid w:val="7C04836E"/>
    <w:rsid w:val="7C048731"/>
    <w:rsid w:val="7C0AE14C"/>
    <w:rsid w:val="7C0C1283"/>
    <w:rsid w:val="7C0E855F"/>
    <w:rsid w:val="7C30791F"/>
    <w:rsid w:val="7C39763B"/>
    <w:rsid w:val="7C3E4774"/>
    <w:rsid w:val="7C41538F"/>
    <w:rsid w:val="7C41D5F7"/>
    <w:rsid w:val="7C41FC39"/>
    <w:rsid w:val="7C4AC1FA"/>
    <w:rsid w:val="7C4E0720"/>
    <w:rsid w:val="7C509711"/>
    <w:rsid w:val="7C5124B9"/>
    <w:rsid w:val="7C559DB0"/>
    <w:rsid w:val="7C568939"/>
    <w:rsid w:val="7C5C9FE3"/>
    <w:rsid w:val="7C628AA8"/>
    <w:rsid w:val="7C62B109"/>
    <w:rsid w:val="7C633ED7"/>
    <w:rsid w:val="7C6373BA"/>
    <w:rsid w:val="7C66AB03"/>
    <w:rsid w:val="7C6BE73B"/>
    <w:rsid w:val="7C6F965A"/>
    <w:rsid w:val="7C6FDD15"/>
    <w:rsid w:val="7C73DAF1"/>
    <w:rsid w:val="7C784D5C"/>
    <w:rsid w:val="7C786224"/>
    <w:rsid w:val="7C7D355F"/>
    <w:rsid w:val="7C81D7F8"/>
    <w:rsid w:val="7C847B69"/>
    <w:rsid w:val="7C85650A"/>
    <w:rsid w:val="7C85E54A"/>
    <w:rsid w:val="7C868B26"/>
    <w:rsid w:val="7C86CD84"/>
    <w:rsid w:val="7C8AA392"/>
    <w:rsid w:val="7C8EE8A0"/>
    <w:rsid w:val="7C9C67C2"/>
    <w:rsid w:val="7C9CB9CD"/>
    <w:rsid w:val="7CA3F8F4"/>
    <w:rsid w:val="7CA616D6"/>
    <w:rsid w:val="7CA8D42B"/>
    <w:rsid w:val="7CA9A050"/>
    <w:rsid w:val="7CAAC45B"/>
    <w:rsid w:val="7CB18B6F"/>
    <w:rsid w:val="7CB57A44"/>
    <w:rsid w:val="7CB7EC8B"/>
    <w:rsid w:val="7CC3449C"/>
    <w:rsid w:val="7CC3AF9B"/>
    <w:rsid w:val="7CC8246D"/>
    <w:rsid w:val="7CC8B173"/>
    <w:rsid w:val="7CC9C315"/>
    <w:rsid w:val="7CCD099A"/>
    <w:rsid w:val="7CD0A75A"/>
    <w:rsid w:val="7CD27F57"/>
    <w:rsid w:val="7CDA485B"/>
    <w:rsid w:val="7CEB8706"/>
    <w:rsid w:val="7CEBFBE7"/>
    <w:rsid w:val="7CF1982F"/>
    <w:rsid w:val="7CF769CC"/>
    <w:rsid w:val="7CF822C1"/>
    <w:rsid w:val="7D0317EF"/>
    <w:rsid w:val="7D0A0441"/>
    <w:rsid w:val="7D1083EE"/>
    <w:rsid w:val="7D189015"/>
    <w:rsid w:val="7D1FF638"/>
    <w:rsid w:val="7D318B29"/>
    <w:rsid w:val="7D3341FB"/>
    <w:rsid w:val="7D3CF0D1"/>
    <w:rsid w:val="7D3D4566"/>
    <w:rsid w:val="7D3D681E"/>
    <w:rsid w:val="7D3DAE68"/>
    <w:rsid w:val="7D3F4649"/>
    <w:rsid w:val="7D46154D"/>
    <w:rsid w:val="7D486DF5"/>
    <w:rsid w:val="7D51116B"/>
    <w:rsid w:val="7D528501"/>
    <w:rsid w:val="7D5510A6"/>
    <w:rsid w:val="7D597F6A"/>
    <w:rsid w:val="7D5B5F1D"/>
    <w:rsid w:val="7D5BDCB3"/>
    <w:rsid w:val="7D5BF758"/>
    <w:rsid w:val="7D5F64D8"/>
    <w:rsid w:val="7D67C4DE"/>
    <w:rsid w:val="7D68BD8B"/>
    <w:rsid w:val="7D693756"/>
    <w:rsid w:val="7D69AA94"/>
    <w:rsid w:val="7D6CBE27"/>
    <w:rsid w:val="7D6E0659"/>
    <w:rsid w:val="7D6E077A"/>
    <w:rsid w:val="7D71ACAC"/>
    <w:rsid w:val="7D75A72E"/>
    <w:rsid w:val="7D79F7AC"/>
    <w:rsid w:val="7D7B836E"/>
    <w:rsid w:val="7D7EF949"/>
    <w:rsid w:val="7D888149"/>
    <w:rsid w:val="7D912B14"/>
    <w:rsid w:val="7D917FB4"/>
    <w:rsid w:val="7D93ED87"/>
    <w:rsid w:val="7D95ECA4"/>
    <w:rsid w:val="7DA12222"/>
    <w:rsid w:val="7DA1C428"/>
    <w:rsid w:val="7DA5EBE1"/>
    <w:rsid w:val="7DA9EC24"/>
    <w:rsid w:val="7DAC1705"/>
    <w:rsid w:val="7DB1A9E6"/>
    <w:rsid w:val="7DB3D899"/>
    <w:rsid w:val="7DB4B6F2"/>
    <w:rsid w:val="7DB5405B"/>
    <w:rsid w:val="7DB7BA25"/>
    <w:rsid w:val="7DBAE2D6"/>
    <w:rsid w:val="7DBB04ED"/>
    <w:rsid w:val="7DC28453"/>
    <w:rsid w:val="7DC6D7CA"/>
    <w:rsid w:val="7DC727D1"/>
    <w:rsid w:val="7DC80936"/>
    <w:rsid w:val="7DC9E00F"/>
    <w:rsid w:val="7DCBBC4A"/>
    <w:rsid w:val="7DCE3A16"/>
    <w:rsid w:val="7DD3331C"/>
    <w:rsid w:val="7DD7C2C6"/>
    <w:rsid w:val="7DDA5BBA"/>
    <w:rsid w:val="7DDAA2BD"/>
    <w:rsid w:val="7DDCFC6C"/>
    <w:rsid w:val="7DE49CE0"/>
    <w:rsid w:val="7DE70735"/>
    <w:rsid w:val="7DE92A4B"/>
    <w:rsid w:val="7DEDD558"/>
    <w:rsid w:val="7DEF64C8"/>
    <w:rsid w:val="7DEFE8FD"/>
    <w:rsid w:val="7DF20C05"/>
    <w:rsid w:val="7DF55152"/>
    <w:rsid w:val="7DFE72E6"/>
    <w:rsid w:val="7E00E6DC"/>
    <w:rsid w:val="7E03CCCC"/>
    <w:rsid w:val="7E093150"/>
    <w:rsid w:val="7E160E40"/>
    <w:rsid w:val="7E1900A1"/>
    <w:rsid w:val="7E1B4C82"/>
    <w:rsid w:val="7E1C9E15"/>
    <w:rsid w:val="7E27910B"/>
    <w:rsid w:val="7E3240BB"/>
    <w:rsid w:val="7E32D623"/>
    <w:rsid w:val="7E351824"/>
    <w:rsid w:val="7E368827"/>
    <w:rsid w:val="7E389F12"/>
    <w:rsid w:val="7E3A29F5"/>
    <w:rsid w:val="7E42E2C5"/>
    <w:rsid w:val="7E445644"/>
    <w:rsid w:val="7E467F27"/>
    <w:rsid w:val="7E480F1C"/>
    <w:rsid w:val="7E4E886F"/>
    <w:rsid w:val="7E53DE28"/>
    <w:rsid w:val="7E5B6B55"/>
    <w:rsid w:val="7E629C77"/>
    <w:rsid w:val="7E699ACC"/>
    <w:rsid w:val="7E6A1264"/>
    <w:rsid w:val="7E6A48A0"/>
    <w:rsid w:val="7E6B5C11"/>
    <w:rsid w:val="7E6B7182"/>
    <w:rsid w:val="7E6D10E3"/>
    <w:rsid w:val="7E6F75A0"/>
    <w:rsid w:val="7E719B66"/>
    <w:rsid w:val="7E74541C"/>
    <w:rsid w:val="7E8332CD"/>
    <w:rsid w:val="7E8888F3"/>
    <w:rsid w:val="7E89698A"/>
    <w:rsid w:val="7E89DCCD"/>
    <w:rsid w:val="7E8A3389"/>
    <w:rsid w:val="7E90FEBD"/>
    <w:rsid w:val="7E92FAC8"/>
    <w:rsid w:val="7E961D4C"/>
    <w:rsid w:val="7E967C63"/>
    <w:rsid w:val="7E96D616"/>
    <w:rsid w:val="7E97D9DB"/>
    <w:rsid w:val="7EA07703"/>
    <w:rsid w:val="7EAA66C1"/>
    <w:rsid w:val="7EBBDF15"/>
    <w:rsid w:val="7EBE8E23"/>
    <w:rsid w:val="7EC63892"/>
    <w:rsid w:val="7ECA37FD"/>
    <w:rsid w:val="7ED2AA61"/>
    <w:rsid w:val="7ED35AA8"/>
    <w:rsid w:val="7ED37CD0"/>
    <w:rsid w:val="7EDD32DB"/>
    <w:rsid w:val="7EDD6C51"/>
    <w:rsid w:val="7EE4A2AC"/>
    <w:rsid w:val="7EE9CB85"/>
    <w:rsid w:val="7EEBA032"/>
    <w:rsid w:val="7EEE55A6"/>
    <w:rsid w:val="7EF3B717"/>
    <w:rsid w:val="7EF66EA9"/>
    <w:rsid w:val="7EFB79F6"/>
    <w:rsid w:val="7EFDCD0F"/>
    <w:rsid w:val="7F0A1110"/>
    <w:rsid w:val="7F0B4762"/>
    <w:rsid w:val="7F0EDC0C"/>
    <w:rsid w:val="7F13C275"/>
    <w:rsid w:val="7F1668BC"/>
    <w:rsid w:val="7F17B765"/>
    <w:rsid w:val="7F18605D"/>
    <w:rsid w:val="7F1CDA4A"/>
    <w:rsid w:val="7F22728C"/>
    <w:rsid w:val="7F2272A6"/>
    <w:rsid w:val="7F2378AF"/>
    <w:rsid w:val="7F27E160"/>
    <w:rsid w:val="7F2990CA"/>
    <w:rsid w:val="7F3093C4"/>
    <w:rsid w:val="7F34A93B"/>
    <w:rsid w:val="7F34BBFA"/>
    <w:rsid w:val="7F35812C"/>
    <w:rsid w:val="7F368E41"/>
    <w:rsid w:val="7F3782FA"/>
    <w:rsid w:val="7F3B3309"/>
    <w:rsid w:val="7F3BA339"/>
    <w:rsid w:val="7F3EE5DA"/>
    <w:rsid w:val="7F43CA4B"/>
    <w:rsid w:val="7F4B1220"/>
    <w:rsid w:val="7F5978BE"/>
    <w:rsid w:val="7F6041E2"/>
    <w:rsid w:val="7F60F5CA"/>
    <w:rsid w:val="7F617117"/>
    <w:rsid w:val="7F65A2E3"/>
    <w:rsid w:val="7F6DE169"/>
    <w:rsid w:val="7F708E51"/>
    <w:rsid w:val="7F79440E"/>
    <w:rsid w:val="7F878611"/>
    <w:rsid w:val="7F884A76"/>
    <w:rsid w:val="7F88BB1B"/>
    <w:rsid w:val="7F8D0EEF"/>
    <w:rsid w:val="7F8E9292"/>
    <w:rsid w:val="7F90D66D"/>
    <w:rsid w:val="7F956866"/>
    <w:rsid w:val="7F96D6A7"/>
    <w:rsid w:val="7F98464A"/>
    <w:rsid w:val="7FA55F05"/>
    <w:rsid w:val="7FAC251F"/>
    <w:rsid w:val="7FAD48D6"/>
    <w:rsid w:val="7FB0504C"/>
    <w:rsid w:val="7FB15A21"/>
    <w:rsid w:val="7FB24A6A"/>
    <w:rsid w:val="7FB5C24A"/>
    <w:rsid w:val="7FBA806B"/>
    <w:rsid w:val="7FC2C212"/>
    <w:rsid w:val="7FC494A0"/>
    <w:rsid w:val="7FCD4D8C"/>
    <w:rsid w:val="7FDB80C0"/>
    <w:rsid w:val="7FDFC767"/>
    <w:rsid w:val="7FE5EA22"/>
    <w:rsid w:val="7FE8A4B6"/>
    <w:rsid w:val="7FEA559E"/>
    <w:rsid w:val="7FEC54C1"/>
    <w:rsid w:val="7FEC6A68"/>
    <w:rsid w:val="7FED1783"/>
    <w:rsid w:val="7FED411C"/>
    <w:rsid w:val="7FED6C7D"/>
    <w:rsid w:val="7FEE34CE"/>
    <w:rsid w:val="7FF05EE8"/>
    <w:rsid w:val="7FF31B56"/>
    <w:rsid w:val="7FF8C563"/>
    <w:rsid w:val="7FFB99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F5B7F56"/>
  <w15:chartTrackingRefBased/>
  <w15:docId w15:val="{B0F874D2-9E3D-46B7-A861-68DFADCA3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27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7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7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7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7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7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7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7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7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7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7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7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7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7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7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7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7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72A"/>
    <w:rPr>
      <w:rFonts w:eastAsiaTheme="majorEastAsia" w:cstheme="majorBidi"/>
      <w:color w:val="272727" w:themeColor="text1" w:themeTint="D8"/>
    </w:rPr>
  </w:style>
  <w:style w:type="paragraph" w:styleId="Title">
    <w:name w:val="Title"/>
    <w:basedOn w:val="Normal"/>
    <w:next w:val="Normal"/>
    <w:link w:val="TitleChar"/>
    <w:uiPriority w:val="10"/>
    <w:qFormat/>
    <w:rsid w:val="00EC27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7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7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7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72A"/>
    <w:pPr>
      <w:spacing w:before="160"/>
      <w:jc w:val="center"/>
    </w:pPr>
    <w:rPr>
      <w:i/>
      <w:iCs/>
      <w:color w:val="404040" w:themeColor="text1" w:themeTint="BF"/>
    </w:rPr>
  </w:style>
  <w:style w:type="character" w:customStyle="1" w:styleId="QuoteChar">
    <w:name w:val="Quote Char"/>
    <w:basedOn w:val="DefaultParagraphFont"/>
    <w:link w:val="Quote"/>
    <w:uiPriority w:val="29"/>
    <w:rsid w:val="00EC272A"/>
    <w:rPr>
      <w:i/>
      <w:iCs/>
      <w:color w:val="404040" w:themeColor="text1" w:themeTint="BF"/>
    </w:rPr>
  </w:style>
  <w:style w:type="paragraph" w:styleId="ListParagraph">
    <w:name w:val="List Paragraph"/>
    <w:basedOn w:val="Normal"/>
    <w:uiPriority w:val="34"/>
    <w:qFormat/>
    <w:rsid w:val="00EC272A"/>
    <w:pPr>
      <w:ind w:left="720"/>
      <w:contextualSpacing/>
    </w:pPr>
  </w:style>
  <w:style w:type="character" w:styleId="IntenseEmphasis">
    <w:name w:val="Intense Emphasis"/>
    <w:basedOn w:val="DefaultParagraphFont"/>
    <w:uiPriority w:val="21"/>
    <w:qFormat/>
    <w:rsid w:val="00EC272A"/>
    <w:rPr>
      <w:i/>
      <w:iCs/>
      <w:color w:val="0F4761" w:themeColor="accent1" w:themeShade="BF"/>
    </w:rPr>
  </w:style>
  <w:style w:type="paragraph" w:styleId="IntenseQuote">
    <w:name w:val="Intense Quote"/>
    <w:basedOn w:val="Normal"/>
    <w:next w:val="Normal"/>
    <w:link w:val="IntenseQuoteChar"/>
    <w:uiPriority w:val="30"/>
    <w:qFormat/>
    <w:rsid w:val="00EC27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72A"/>
    <w:rPr>
      <w:i/>
      <w:iCs/>
      <w:color w:val="0F4761" w:themeColor="accent1" w:themeShade="BF"/>
    </w:rPr>
  </w:style>
  <w:style w:type="character" w:styleId="IntenseReference">
    <w:name w:val="Intense Reference"/>
    <w:basedOn w:val="DefaultParagraphFont"/>
    <w:uiPriority w:val="32"/>
    <w:qFormat/>
    <w:rsid w:val="00EC272A"/>
    <w:rPr>
      <w:b/>
      <w:bCs/>
      <w:smallCaps/>
      <w:color w:val="0F4761" w:themeColor="accent1" w:themeShade="BF"/>
      <w:spacing w:val="5"/>
    </w:rPr>
  </w:style>
  <w:style w:type="character" w:styleId="CommentReference">
    <w:name w:val="annotation reference"/>
    <w:basedOn w:val="DefaultParagraphFont"/>
    <w:uiPriority w:val="99"/>
    <w:semiHidden/>
    <w:unhideWhenUsed/>
    <w:rsid w:val="000E04D1"/>
    <w:rPr>
      <w:sz w:val="16"/>
      <w:szCs w:val="16"/>
    </w:rPr>
  </w:style>
  <w:style w:type="paragraph" w:styleId="CommentText">
    <w:name w:val="annotation text"/>
    <w:basedOn w:val="Normal"/>
    <w:link w:val="CommentTextChar"/>
    <w:uiPriority w:val="99"/>
    <w:unhideWhenUsed/>
    <w:rsid w:val="000E04D1"/>
    <w:pPr>
      <w:spacing w:line="240" w:lineRule="auto"/>
    </w:pPr>
    <w:rPr>
      <w:sz w:val="20"/>
      <w:szCs w:val="20"/>
    </w:rPr>
  </w:style>
  <w:style w:type="character" w:customStyle="1" w:styleId="CommentTextChar">
    <w:name w:val="Comment Text Char"/>
    <w:basedOn w:val="DefaultParagraphFont"/>
    <w:link w:val="CommentText"/>
    <w:uiPriority w:val="99"/>
    <w:rsid w:val="000E04D1"/>
    <w:rPr>
      <w:sz w:val="20"/>
      <w:szCs w:val="20"/>
    </w:rPr>
  </w:style>
  <w:style w:type="paragraph" w:styleId="CommentSubject">
    <w:name w:val="annotation subject"/>
    <w:basedOn w:val="CommentText"/>
    <w:next w:val="CommentText"/>
    <w:link w:val="CommentSubjectChar"/>
    <w:uiPriority w:val="99"/>
    <w:semiHidden/>
    <w:unhideWhenUsed/>
    <w:rsid w:val="000E04D1"/>
    <w:rPr>
      <w:b/>
      <w:bCs/>
    </w:rPr>
  </w:style>
  <w:style w:type="character" w:customStyle="1" w:styleId="CommentSubjectChar">
    <w:name w:val="Comment Subject Char"/>
    <w:basedOn w:val="CommentTextChar"/>
    <w:link w:val="CommentSubject"/>
    <w:uiPriority w:val="99"/>
    <w:semiHidden/>
    <w:rsid w:val="000E04D1"/>
    <w:rPr>
      <w:b/>
      <w:bCs/>
      <w:sz w:val="20"/>
      <w:szCs w:val="20"/>
    </w:rPr>
  </w:style>
  <w:style w:type="paragraph" w:styleId="Revision">
    <w:name w:val="Revision"/>
    <w:hidden/>
    <w:uiPriority w:val="99"/>
    <w:semiHidden/>
    <w:rsid w:val="000E04D1"/>
    <w:pPr>
      <w:spacing w:after="0" w:line="240" w:lineRule="auto"/>
    </w:pPr>
  </w:style>
  <w:style w:type="paragraph" w:styleId="FootnoteText">
    <w:name w:val="footnote text"/>
    <w:basedOn w:val="Normal"/>
    <w:link w:val="FootnoteTextChar"/>
    <w:uiPriority w:val="99"/>
    <w:unhideWhenUsed/>
    <w:rsid w:val="00453737"/>
    <w:pPr>
      <w:spacing w:after="0" w:line="240" w:lineRule="auto"/>
    </w:pPr>
    <w:rPr>
      <w:sz w:val="20"/>
      <w:szCs w:val="20"/>
    </w:rPr>
  </w:style>
  <w:style w:type="character" w:customStyle="1" w:styleId="FootnoteTextChar">
    <w:name w:val="Footnote Text Char"/>
    <w:basedOn w:val="DefaultParagraphFont"/>
    <w:link w:val="FootnoteText"/>
    <w:uiPriority w:val="99"/>
    <w:rsid w:val="00453737"/>
    <w:rPr>
      <w:sz w:val="20"/>
      <w:szCs w:val="20"/>
    </w:rPr>
  </w:style>
  <w:style w:type="character" w:styleId="FootnoteReference">
    <w:name w:val="footnote reference"/>
    <w:basedOn w:val="DefaultParagraphFont"/>
    <w:uiPriority w:val="99"/>
    <w:semiHidden/>
    <w:unhideWhenUsed/>
    <w:rsid w:val="00453737"/>
    <w:rPr>
      <w:vertAlign w:val="superscript"/>
    </w:rPr>
  </w:style>
  <w:style w:type="paragraph" w:styleId="Header">
    <w:name w:val="header"/>
    <w:basedOn w:val="Normal"/>
    <w:uiPriority w:val="99"/>
    <w:unhideWhenUsed/>
    <w:rsid w:val="04EF83AA"/>
    <w:pPr>
      <w:tabs>
        <w:tab w:val="center" w:pos="4680"/>
        <w:tab w:val="right" w:pos="9360"/>
      </w:tabs>
      <w:spacing w:after="0" w:line="240" w:lineRule="auto"/>
    </w:pPr>
  </w:style>
  <w:style w:type="paragraph" w:styleId="Footer">
    <w:name w:val="footer"/>
    <w:basedOn w:val="Normal"/>
    <w:uiPriority w:val="99"/>
    <w:unhideWhenUsed/>
    <w:rsid w:val="04EF83AA"/>
    <w:pPr>
      <w:tabs>
        <w:tab w:val="center" w:pos="4680"/>
        <w:tab w:val="right" w:pos="9360"/>
      </w:tabs>
      <w:spacing w:after="0" w:line="240" w:lineRule="auto"/>
    </w:pPr>
  </w:style>
  <w:style w:type="character" w:styleId="Hyperlink">
    <w:name w:val="Hyperlink"/>
    <w:basedOn w:val="DefaultParagraphFont"/>
    <w:uiPriority w:val="99"/>
    <w:unhideWhenUsed/>
    <w:rsid w:val="04EF83AA"/>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76131E"/>
    <w:rPr>
      <w:color w:val="96607D" w:themeColor="followedHyperlink"/>
      <w:u w:val="single"/>
    </w:rPr>
  </w:style>
  <w:style w:type="character" w:customStyle="1" w:styleId="Marker">
    <w:name w:val="Marker"/>
    <w:basedOn w:val="DefaultParagraphFont"/>
    <w:rsid w:val="00465834"/>
    <w:rPr>
      <w:color w:val="0000FF"/>
      <w:shd w:val="clear" w:color="auto" w:fill="auto"/>
    </w:rPr>
  </w:style>
  <w:style w:type="paragraph" w:customStyle="1" w:styleId="Pagedecouverture">
    <w:name w:val="Page de couverture"/>
    <w:basedOn w:val="Normal"/>
    <w:next w:val="Normal"/>
    <w:rsid w:val="00465834"/>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6583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65834"/>
    <w:rPr>
      <w:rFonts w:ascii="Times New Roman" w:hAnsi="Times New Roman" w:cs="Times New Roman"/>
      <w:sz w:val="24"/>
    </w:rPr>
  </w:style>
  <w:style w:type="paragraph" w:customStyle="1" w:styleId="FooterSensitivity">
    <w:name w:val="Footer Sensitivity"/>
    <w:basedOn w:val="Normal"/>
    <w:link w:val="FooterSensitivityChar"/>
    <w:rsid w:val="0046583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65834"/>
    <w:rPr>
      <w:rFonts w:ascii="Times New Roman" w:hAnsi="Times New Roman" w:cs="Times New Roman"/>
      <w:b/>
      <w:sz w:val="32"/>
    </w:rPr>
  </w:style>
  <w:style w:type="paragraph" w:customStyle="1" w:styleId="HeaderCoverPage">
    <w:name w:val="Header Cover Page"/>
    <w:basedOn w:val="Normal"/>
    <w:link w:val="HeaderCoverPageChar"/>
    <w:rsid w:val="0046583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65834"/>
    <w:rPr>
      <w:rFonts w:ascii="Times New Roman" w:hAnsi="Times New Roman" w:cs="Times New Roman"/>
      <w:sz w:val="24"/>
    </w:rPr>
  </w:style>
  <w:style w:type="paragraph" w:customStyle="1" w:styleId="HeaderSensitivity">
    <w:name w:val="Header Sensitivity"/>
    <w:basedOn w:val="Normal"/>
    <w:link w:val="HeaderSensitivityChar"/>
    <w:rsid w:val="0046583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65834"/>
    <w:rPr>
      <w:rFonts w:ascii="Times New Roman" w:hAnsi="Times New Roman" w:cs="Times New Roman"/>
      <w:b/>
      <w:sz w:val="32"/>
    </w:rPr>
  </w:style>
  <w:style w:type="paragraph" w:customStyle="1" w:styleId="HeaderSensitivityRight">
    <w:name w:val="Header Sensitivity Right"/>
    <w:basedOn w:val="Normal"/>
    <w:link w:val="HeaderSensitivityRightChar"/>
    <w:rsid w:val="0046583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65834"/>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B82E76"/>
    <w:rPr>
      <w:color w:val="605E5C"/>
      <w:shd w:val="clear" w:color="auto" w:fill="E1DFDD"/>
    </w:rPr>
  </w:style>
  <w:style w:type="character" w:customStyle="1" w:styleId="Mention">
    <w:name w:val="Mention"/>
    <w:basedOn w:val="DefaultParagraphFont"/>
    <w:uiPriority w:val="99"/>
    <w:unhideWhenUsed/>
    <w:rsid w:val="00344CDA"/>
    <w:rPr>
      <w:color w:val="2B579A"/>
      <w:shd w:val="clear" w:color="auto" w:fill="E1DFDD"/>
    </w:rPr>
  </w:style>
  <w:style w:type="character" w:customStyle="1" w:styleId="normaltextrun">
    <w:name w:val="normaltextrun"/>
    <w:basedOn w:val="DefaultParagraphFont"/>
    <w:rsid w:val="003D2395"/>
  </w:style>
  <w:style w:type="paragraph" w:customStyle="1" w:styleId="Languesfaisantfoi">
    <w:name w:val="Langues faisant foi"/>
    <w:basedOn w:val="Normal"/>
    <w:next w:val="Normal"/>
    <w:rsid w:val="00F41C51"/>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41C51"/>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41C51"/>
    <w:pPr>
      <w:spacing w:after="0"/>
    </w:pPr>
  </w:style>
  <w:style w:type="paragraph" w:customStyle="1" w:styleId="IntrtEEEPagedecouverture">
    <w:name w:val="Intérêt EEE (Page de couverture)"/>
    <w:basedOn w:val="IntrtEEE"/>
    <w:next w:val="Normal"/>
    <w:rsid w:val="00F41C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16801">
      <w:bodyDiv w:val="1"/>
      <w:marLeft w:val="0"/>
      <w:marRight w:val="0"/>
      <w:marTop w:val="0"/>
      <w:marBottom w:val="0"/>
      <w:divBdr>
        <w:top w:val="none" w:sz="0" w:space="0" w:color="auto"/>
        <w:left w:val="none" w:sz="0" w:space="0" w:color="auto"/>
        <w:bottom w:val="none" w:sz="0" w:space="0" w:color="auto"/>
        <w:right w:val="none" w:sz="0" w:space="0" w:color="auto"/>
      </w:divBdr>
    </w:div>
    <w:div w:id="170144865">
      <w:bodyDiv w:val="1"/>
      <w:marLeft w:val="0"/>
      <w:marRight w:val="0"/>
      <w:marTop w:val="0"/>
      <w:marBottom w:val="0"/>
      <w:divBdr>
        <w:top w:val="none" w:sz="0" w:space="0" w:color="auto"/>
        <w:left w:val="none" w:sz="0" w:space="0" w:color="auto"/>
        <w:bottom w:val="none" w:sz="0" w:space="0" w:color="auto"/>
        <w:right w:val="none" w:sz="0" w:space="0" w:color="auto"/>
      </w:divBdr>
    </w:div>
    <w:div w:id="210044987">
      <w:bodyDiv w:val="1"/>
      <w:marLeft w:val="0"/>
      <w:marRight w:val="0"/>
      <w:marTop w:val="0"/>
      <w:marBottom w:val="0"/>
      <w:divBdr>
        <w:top w:val="none" w:sz="0" w:space="0" w:color="auto"/>
        <w:left w:val="none" w:sz="0" w:space="0" w:color="auto"/>
        <w:bottom w:val="none" w:sz="0" w:space="0" w:color="auto"/>
        <w:right w:val="none" w:sz="0" w:space="0" w:color="auto"/>
      </w:divBdr>
    </w:div>
    <w:div w:id="405345308">
      <w:bodyDiv w:val="1"/>
      <w:marLeft w:val="0"/>
      <w:marRight w:val="0"/>
      <w:marTop w:val="0"/>
      <w:marBottom w:val="0"/>
      <w:divBdr>
        <w:top w:val="none" w:sz="0" w:space="0" w:color="auto"/>
        <w:left w:val="none" w:sz="0" w:space="0" w:color="auto"/>
        <w:bottom w:val="none" w:sz="0" w:space="0" w:color="auto"/>
        <w:right w:val="none" w:sz="0" w:space="0" w:color="auto"/>
      </w:divBdr>
      <w:divsChild>
        <w:div w:id="1213229160">
          <w:marLeft w:val="0"/>
          <w:marRight w:val="0"/>
          <w:marTop w:val="0"/>
          <w:marBottom w:val="0"/>
          <w:divBdr>
            <w:top w:val="none" w:sz="0" w:space="0" w:color="auto"/>
            <w:left w:val="none" w:sz="0" w:space="0" w:color="auto"/>
            <w:bottom w:val="none" w:sz="0" w:space="0" w:color="auto"/>
            <w:right w:val="none" w:sz="0" w:space="0" w:color="auto"/>
          </w:divBdr>
          <w:divsChild>
            <w:div w:id="257904938">
              <w:marLeft w:val="0"/>
              <w:marRight w:val="0"/>
              <w:marTop w:val="0"/>
              <w:marBottom w:val="0"/>
              <w:divBdr>
                <w:top w:val="none" w:sz="0" w:space="0" w:color="auto"/>
                <w:left w:val="none" w:sz="0" w:space="0" w:color="auto"/>
                <w:bottom w:val="none" w:sz="0" w:space="0" w:color="auto"/>
                <w:right w:val="none" w:sz="0" w:space="0" w:color="auto"/>
              </w:divBdr>
              <w:divsChild>
                <w:div w:id="573197291">
                  <w:marLeft w:val="0"/>
                  <w:marRight w:val="0"/>
                  <w:marTop w:val="0"/>
                  <w:marBottom w:val="0"/>
                  <w:divBdr>
                    <w:top w:val="none" w:sz="0" w:space="0" w:color="auto"/>
                    <w:left w:val="none" w:sz="0" w:space="0" w:color="auto"/>
                    <w:bottom w:val="none" w:sz="0" w:space="0" w:color="auto"/>
                    <w:right w:val="none" w:sz="0" w:space="0" w:color="auto"/>
                  </w:divBdr>
                  <w:divsChild>
                    <w:div w:id="2042319832">
                      <w:marLeft w:val="0"/>
                      <w:marRight w:val="0"/>
                      <w:marTop w:val="0"/>
                      <w:marBottom w:val="0"/>
                      <w:divBdr>
                        <w:top w:val="none" w:sz="0" w:space="0" w:color="auto"/>
                        <w:left w:val="none" w:sz="0" w:space="0" w:color="auto"/>
                        <w:bottom w:val="none" w:sz="0" w:space="0" w:color="auto"/>
                        <w:right w:val="none" w:sz="0" w:space="0" w:color="auto"/>
                      </w:divBdr>
                      <w:divsChild>
                        <w:div w:id="4942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854088">
          <w:marLeft w:val="0"/>
          <w:marRight w:val="0"/>
          <w:marTop w:val="0"/>
          <w:marBottom w:val="0"/>
          <w:divBdr>
            <w:top w:val="none" w:sz="0" w:space="0" w:color="auto"/>
            <w:left w:val="none" w:sz="0" w:space="0" w:color="auto"/>
            <w:bottom w:val="none" w:sz="0" w:space="0" w:color="auto"/>
            <w:right w:val="none" w:sz="0" w:space="0" w:color="auto"/>
          </w:divBdr>
          <w:divsChild>
            <w:div w:id="455295824">
              <w:marLeft w:val="0"/>
              <w:marRight w:val="0"/>
              <w:marTop w:val="0"/>
              <w:marBottom w:val="0"/>
              <w:divBdr>
                <w:top w:val="none" w:sz="0" w:space="0" w:color="auto"/>
                <w:left w:val="none" w:sz="0" w:space="0" w:color="auto"/>
                <w:bottom w:val="none" w:sz="0" w:space="0" w:color="auto"/>
                <w:right w:val="none" w:sz="0" w:space="0" w:color="auto"/>
              </w:divBdr>
              <w:divsChild>
                <w:div w:id="731850215">
                  <w:marLeft w:val="0"/>
                  <w:marRight w:val="0"/>
                  <w:marTop w:val="0"/>
                  <w:marBottom w:val="0"/>
                  <w:divBdr>
                    <w:top w:val="none" w:sz="0" w:space="0" w:color="auto"/>
                    <w:left w:val="none" w:sz="0" w:space="0" w:color="auto"/>
                    <w:bottom w:val="none" w:sz="0" w:space="0" w:color="auto"/>
                    <w:right w:val="none" w:sz="0" w:space="0" w:color="auto"/>
                  </w:divBdr>
                  <w:divsChild>
                    <w:div w:id="2059015758">
                      <w:marLeft w:val="0"/>
                      <w:marRight w:val="0"/>
                      <w:marTop w:val="0"/>
                      <w:marBottom w:val="0"/>
                      <w:divBdr>
                        <w:top w:val="none" w:sz="0" w:space="0" w:color="auto"/>
                        <w:left w:val="none" w:sz="0" w:space="0" w:color="auto"/>
                        <w:bottom w:val="none" w:sz="0" w:space="0" w:color="auto"/>
                        <w:right w:val="none" w:sz="0" w:space="0" w:color="auto"/>
                      </w:divBdr>
                      <w:divsChild>
                        <w:div w:id="18660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046504">
      <w:bodyDiv w:val="1"/>
      <w:marLeft w:val="0"/>
      <w:marRight w:val="0"/>
      <w:marTop w:val="0"/>
      <w:marBottom w:val="0"/>
      <w:divBdr>
        <w:top w:val="none" w:sz="0" w:space="0" w:color="auto"/>
        <w:left w:val="none" w:sz="0" w:space="0" w:color="auto"/>
        <w:bottom w:val="none" w:sz="0" w:space="0" w:color="auto"/>
        <w:right w:val="none" w:sz="0" w:space="0" w:color="auto"/>
      </w:divBdr>
    </w:div>
    <w:div w:id="499858905">
      <w:bodyDiv w:val="1"/>
      <w:marLeft w:val="0"/>
      <w:marRight w:val="0"/>
      <w:marTop w:val="0"/>
      <w:marBottom w:val="0"/>
      <w:divBdr>
        <w:top w:val="none" w:sz="0" w:space="0" w:color="auto"/>
        <w:left w:val="none" w:sz="0" w:space="0" w:color="auto"/>
        <w:bottom w:val="none" w:sz="0" w:space="0" w:color="auto"/>
        <w:right w:val="none" w:sz="0" w:space="0" w:color="auto"/>
      </w:divBdr>
      <w:divsChild>
        <w:div w:id="1419983273">
          <w:marLeft w:val="0"/>
          <w:marRight w:val="0"/>
          <w:marTop w:val="0"/>
          <w:marBottom w:val="0"/>
          <w:divBdr>
            <w:top w:val="none" w:sz="0" w:space="0" w:color="auto"/>
            <w:left w:val="none" w:sz="0" w:space="0" w:color="auto"/>
            <w:bottom w:val="none" w:sz="0" w:space="0" w:color="auto"/>
            <w:right w:val="none" w:sz="0" w:space="0" w:color="auto"/>
          </w:divBdr>
        </w:div>
        <w:div w:id="1796408446">
          <w:marLeft w:val="0"/>
          <w:marRight w:val="0"/>
          <w:marTop w:val="0"/>
          <w:marBottom w:val="0"/>
          <w:divBdr>
            <w:top w:val="none" w:sz="0" w:space="0" w:color="auto"/>
            <w:left w:val="none" w:sz="0" w:space="0" w:color="auto"/>
            <w:bottom w:val="none" w:sz="0" w:space="0" w:color="auto"/>
            <w:right w:val="none" w:sz="0" w:space="0" w:color="auto"/>
          </w:divBdr>
        </w:div>
        <w:div w:id="2073503279">
          <w:marLeft w:val="0"/>
          <w:marRight w:val="0"/>
          <w:marTop w:val="0"/>
          <w:marBottom w:val="0"/>
          <w:divBdr>
            <w:top w:val="none" w:sz="0" w:space="0" w:color="auto"/>
            <w:left w:val="none" w:sz="0" w:space="0" w:color="auto"/>
            <w:bottom w:val="none" w:sz="0" w:space="0" w:color="auto"/>
            <w:right w:val="none" w:sz="0" w:space="0" w:color="auto"/>
          </w:divBdr>
        </w:div>
      </w:divsChild>
    </w:div>
    <w:div w:id="669213835">
      <w:bodyDiv w:val="1"/>
      <w:marLeft w:val="0"/>
      <w:marRight w:val="0"/>
      <w:marTop w:val="0"/>
      <w:marBottom w:val="0"/>
      <w:divBdr>
        <w:top w:val="none" w:sz="0" w:space="0" w:color="auto"/>
        <w:left w:val="none" w:sz="0" w:space="0" w:color="auto"/>
        <w:bottom w:val="none" w:sz="0" w:space="0" w:color="auto"/>
        <w:right w:val="none" w:sz="0" w:space="0" w:color="auto"/>
      </w:divBdr>
    </w:div>
    <w:div w:id="866335396">
      <w:bodyDiv w:val="1"/>
      <w:marLeft w:val="0"/>
      <w:marRight w:val="0"/>
      <w:marTop w:val="0"/>
      <w:marBottom w:val="0"/>
      <w:divBdr>
        <w:top w:val="none" w:sz="0" w:space="0" w:color="auto"/>
        <w:left w:val="none" w:sz="0" w:space="0" w:color="auto"/>
        <w:bottom w:val="none" w:sz="0" w:space="0" w:color="auto"/>
        <w:right w:val="none" w:sz="0" w:space="0" w:color="auto"/>
      </w:divBdr>
    </w:div>
    <w:div w:id="1037198568">
      <w:bodyDiv w:val="1"/>
      <w:marLeft w:val="0"/>
      <w:marRight w:val="0"/>
      <w:marTop w:val="0"/>
      <w:marBottom w:val="0"/>
      <w:divBdr>
        <w:top w:val="none" w:sz="0" w:space="0" w:color="auto"/>
        <w:left w:val="none" w:sz="0" w:space="0" w:color="auto"/>
        <w:bottom w:val="none" w:sz="0" w:space="0" w:color="auto"/>
        <w:right w:val="none" w:sz="0" w:space="0" w:color="auto"/>
      </w:divBdr>
    </w:div>
    <w:div w:id="1082680340">
      <w:bodyDiv w:val="1"/>
      <w:marLeft w:val="0"/>
      <w:marRight w:val="0"/>
      <w:marTop w:val="0"/>
      <w:marBottom w:val="0"/>
      <w:divBdr>
        <w:top w:val="none" w:sz="0" w:space="0" w:color="auto"/>
        <w:left w:val="none" w:sz="0" w:space="0" w:color="auto"/>
        <w:bottom w:val="none" w:sz="0" w:space="0" w:color="auto"/>
        <w:right w:val="none" w:sz="0" w:space="0" w:color="auto"/>
      </w:divBdr>
    </w:div>
    <w:div w:id="1315261095">
      <w:bodyDiv w:val="1"/>
      <w:marLeft w:val="0"/>
      <w:marRight w:val="0"/>
      <w:marTop w:val="0"/>
      <w:marBottom w:val="0"/>
      <w:divBdr>
        <w:top w:val="none" w:sz="0" w:space="0" w:color="auto"/>
        <w:left w:val="none" w:sz="0" w:space="0" w:color="auto"/>
        <w:bottom w:val="none" w:sz="0" w:space="0" w:color="auto"/>
        <w:right w:val="none" w:sz="0" w:space="0" w:color="auto"/>
      </w:divBdr>
    </w:div>
    <w:div w:id="1468007365">
      <w:bodyDiv w:val="1"/>
      <w:marLeft w:val="0"/>
      <w:marRight w:val="0"/>
      <w:marTop w:val="0"/>
      <w:marBottom w:val="0"/>
      <w:divBdr>
        <w:top w:val="none" w:sz="0" w:space="0" w:color="auto"/>
        <w:left w:val="none" w:sz="0" w:space="0" w:color="auto"/>
        <w:bottom w:val="none" w:sz="0" w:space="0" w:color="auto"/>
        <w:right w:val="none" w:sz="0" w:space="0" w:color="auto"/>
      </w:divBdr>
    </w:div>
    <w:div w:id="1676419445">
      <w:bodyDiv w:val="1"/>
      <w:marLeft w:val="0"/>
      <w:marRight w:val="0"/>
      <w:marTop w:val="0"/>
      <w:marBottom w:val="0"/>
      <w:divBdr>
        <w:top w:val="none" w:sz="0" w:space="0" w:color="auto"/>
        <w:left w:val="none" w:sz="0" w:space="0" w:color="auto"/>
        <w:bottom w:val="none" w:sz="0" w:space="0" w:color="auto"/>
        <w:right w:val="none" w:sz="0" w:space="0" w:color="auto"/>
      </w:divBdr>
    </w:div>
    <w:div w:id="1733696908">
      <w:bodyDiv w:val="1"/>
      <w:marLeft w:val="0"/>
      <w:marRight w:val="0"/>
      <w:marTop w:val="0"/>
      <w:marBottom w:val="0"/>
      <w:divBdr>
        <w:top w:val="none" w:sz="0" w:space="0" w:color="auto"/>
        <w:left w:val="none" w:sz="0" w:space="0" w:color="auto"/>
        <w:bottom w:val="none" w:sz="0" w:space="0" w:color="auto"/>
        <w:right w:val="none" w:sz="0" w:space="0" w:color="auto"/>
      </w:divBdr>
    </w:div>
    <w:div w:id="1776755338">
      <w:bodyDiv w:val="1"/>
      <w:marLeft w:val="0"/>
      <w:marRight w:val="0"/>
      <w:marTop w:val="0"/>
      <w:marBottom w:val="0"/>
      <w:divBdr>
        <w:top w:val="none" w:sz="0" w:space="0" w:color="auto"/>
        <w:left w:val="none" w:sz="0" w:space="0" w:color="auto"/>
        <w:bottom w:val="none" w:sz="0" w:space="0" w:color="auto"/>
        <w:right w:val="none" w:sz="0" w:space="0" w:color="auto"/>
      </w:divBdr>
      <w:divsChild>
        <w:div w:id="548421245">
          <w:marLeft w:val="0"/>
          <w:marRight w:val="0"/>
          <w:marTop w:val="0"/>
          <w:marBottom w:val="0"/>
          <w:divBdr>
            <w:top w:val="none" w:sz="0" w:space="0" w:color="auto"/>
            <w:left w:val="none" w:sz="0" w:space="0" w:color="auto"/>
            <w:bottom w:val="none" w:sz="0" w:space="0" w:color="auto"/>
            <w:right w:val="none" w:sz="0" w:space="0" w:color="auto"/>
          </w:divBdr>
        </w:div>
        <w:div w:id="969019709">
          <w:marLeft w:val="0"/>
          <w:marRight w:val="0"/>
          <w:marTop w:val="0"/>
          <w:marBottom w:val="0"/>
          <w:divBdr>
            <w:top w:val="none" w:sz="0" w:space="0" w:color="auto"/>
            <w:left w:val="none" w:sz="0" w:space="0" w:color="auto"/>
            <w:bottom w:val="none" w:sz="0" w:space="0" w:color="auto"/>
            <w:right w:val="none" w:sz="0" w:space="0" w:color="auto"/>
          </w:divBdr>
        </w:div>
        <w:div w:id="1305811063">
          <w:marLeft w:val="0"/>
          <w:marRight w:val="0"/>
          <w:marTop w:val="0"/>
          <w:marBottom w:val="0"/>
          <w:divBdr>
            <w:top w:val="none" w:sz="0" w:space="0" w:color="auto"/>
            <w:left w:val="none" w:sz="0" w:space="0" w:color="auto"/>
            <w:bottom w:val="none" w:sz="0" w:space="0" w:color="auto"/>
            <w:right w:val="none" w:sz="0" w:space="0" w:color="auto"/>
          </w:divBdr>
        </w:div>
      </w:divsChild>
    </w:div>
    <w:div w:id="184609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igital-strategy.ec.europa.eu/en/library/commission-publishes-guidelines-prohibited-artificial-intelligence-ai-practices-defined-ai-act" TargetMode="External"/><Relationship Id="rId2" Type="http://schemas.openxmlformats.org/officeDocument/2006/relationships/hyperlink" Target="https://digital-strategy.ec.europa.eu/en/library/commission-publishes-guidelines-prohibited-artificial-intelligence-ai-practices-defined-ai-act" TargetMode="External"/><Relationship Id="rId1" Type="http://schemas.openxmlformats.org/officeDocument/2006/relationships/hyperlink" Target="https://digital-strategy.ec.europa.eu/en/library/commission-publishes-guidelines-prohibited-artificial-intelligence-ai-practices-defined-ai-act" TargetMode="External"/><Relationship Id="rId6" Type="http://schemas.openxmlformats.org/officeDocument/2006/relationships/hyperlink" Target="https://oecd.ai/fr/incidents?search_terms=%5B%5D&amp;and_condition=false&amp;from_date=2014-01-01&amp;to_date=2025-05-27&amp;properties_config=%7B%22principles%22:%5B%5D,%22industries%22:%5B%5D,%22harm_types%22:%5B%5D,%22harm_levels%22:%5B%5D,%22harmed_entities%22:%5B%5D,%22languages%22:%5B%5D%7D&amp;order_by=date&amp;num_results=20" TargetMode="External"/><Relationship Id="rId5" Type="http://schemas.openxmlformats.org/officeDocument/2006/relationships/hyperlink" Target="https://e-justice.europa.eu/news/commission-launches-public-consultation-high-risk-ai-systems_en" TargetMode="External"/><Relationship Id="rId4" Type="http://schemas.openxmlformats.org/officeDocument/2006/relationships/hyperlink" Target="https://e-justice.europa.eu/news/commission-launches-public-consultation-high-risk-ai-systems_en" TargetMode="External"/></Relationships>
</file>

<file path=word/documenttasks/documenttasks1.xml><?xml version="1.0" encoding="utf-8"?>
<t:Tasks xmlns:t="http://schemas.microsoft.com/office/tasks/2019/documenttasks" xmlns:oel="http://schemas.microsoft.com/office/2019/extlst">
  <t:Task id="{06E332F2-14F2-4979-9390-FA51F89A6E67}">
    <t:Anchor>
      <t:Comment id="645862257"/>
    </t:Anchor>
    <t:History>
      <t:Event time="2025-08-04T09:57:47.136Z" id="{270C74D2-E400-4536-834A-507769ADAE60}">
        <t:Attribution userId="S::agne.limante@ec.europa.eu::f9d47f41-4ab5-4dd7-8489-3b7f79302832" userName="LIMANTE Agne (CNECT)" userProvider="AD"/>
        <t:Anchor>
          <t:Comment id="246616653"/>
        </t:Anchor>
        <t:Create/>
      </t:Event>
      <t:Event time="2025-08-04T09:57:47.136Z" id="{3337DA7B-F166-412F-8533-C7CEB22E1EC1}">
        <t:Attribution userId="S::agne.limante@ec.europa.eu::f9d47f41-4ab5-4dd7-8489-3b7f79302832" userName="LIMANTE Agne (CNECT)" userProvider="AD"/>
        <t:Anchor>
          <t:Comment id="246616653"/>
        </t:Anchor>
        <t:Assign userId="S::Monika.MILANOVIC@ec.europa.eu::b956fd95-283c-4276-9cbc-a784efa59c6e" userName="MILANOVIC Monika (CNECT)" userProvider="AD"/>
      </t:Event>
      <t:Event time="2025-08-04T09:57:47.136Z" id="{7E8F64DF-E518-474A-8BDD-B7DCFCB5AE50}">
        <t:Attribution userId="S::agne.limante@ec.europa.eu::f9d47f41-4ab5-4dd7-8489-3b7f79302832" userName="LIMANTE Agne (CNECT)" userProvider="AD"/>
        <t:Anchor>
          <t:Comment id="246616653"/>
        </t:Anchor>
        <t:SetTitle title="@MILANOVIC Monika (CNECT) I am not sure I completely understood your comment? Could you help me to reformulate thi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584799-4ddd-4bd3-91b5-fd19e73f04ec" xsi:nil="true"/>
    <Person xmlns="6d5ad584-533d-4d9e-8d12-f1eda2044479">
      <UserInfo>
        <DisplayName/>
        <AccountId xsi:nil="true"/>
        <AccountType/>
      </UserInfo>
    </Person>
    <Country xmlns="6d5ad584-533d-4d9e-8d12-f1eda2044479" xsi:nil="true"/>
    <lcf76f155ced4ddcb4097134ff3c332f xmlns="6d5ad584-533d-4d9e-8d12-f1eda20444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20" ma:contentTypeDescription="Create a new document." ma:contentTypeScope="" ma:versionID="bef46332d6527042c24c68ca9e93aa97">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f1b7d85b88470c1acd6a75dbabdbc236" ns2:_="" ns3:_="">
    <xsd:import namespace="6d5ad584-533d-4d9e-8d12-f1eda2044479"/>
    <xsd:import namespace="93584799-4ddd-4bd3-91b5-fd19e73f04ec"/>
    <xsd:element name="properties">
      <xsd:complexType>
        <xsd:sequence>
          <xsd:element name="documentManagement">
            <xsd:complexType>
              <xsd:all>
                <xsd:element ref="ns2:Country"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Person" minOccurs="0"/>
                <xsd:element ref="ns2:lcf76f155ced4ddcb4097134ff3c332f" minOccurs="0"/>
                <xsd:element ref="ns3:TaxCatchAll" minOccurs="0"/>
                <xsd:element ref="ns2:MediaServiceDateTake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Country" ma:index="8" nillable="true" ma:displayName="Country" ma:format="Dropdown" ma:internalName="Country">
      <xsd:simpleType>
        <xsd:restriction base="dms:Choice">
          <xsd:enumeration value="BE"/>
          <xsd:enumeration value="LUX"/>
          <xsd:enumeration value="D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Person" ma:index="21"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47360b1-5b34-4e25-a8c5-5c7e5fa6aa68}" ma:internalName="TaxCatchAll" ma:showField="CatchAllData" ma:web="93584799-4ddd-4bd3-91b5-fd19e73f04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C74F5-493A-4D7D-9139-E127DAA3FED7}">
  <ds:schemaRefs>
    <ds:schemaRef ds:uri="http://schemas.microsoft.com/office/2006/metadata/properties"/>
    <ds:schemaRef ds:uri="http://schemas.microsoft.com/office/infopath/2007/PartnerControls"/>
    <ds:schemaRef ds:uri="93584799-4ddd-4bd3-91b5-fd19e73f04ec"/>
    <ds:schemaRef ds:uri="6d5ad584-533d-4d9e-8d12-f1eda2044479"/>
  </ds:schemaRefs>
</ds:datastoreItem>
</file>

<file path=customXml/itemProps2.xml><?xml version="1.0" encoding="utf-8"?>
<ds:datastoreItem xmlns:ds="http://schemas.openxmlformats.org/officeDocument/2006/customXml" ds:itemID="{B7577111-43C2-431A-97C8-87543D875C89}">
  <ds:schemaRefs>
    <ds:schemaRef ds:uri="http://schemas.microsoft.com/sharepoint/v3/contenttype/forms"/>
  </ds:schemaRefs>
</ds:datastoreItem>
</file>

<file path=customXml/itemProps3.xml><?xml version="1.0" encoding="utf-8"?>
<ds:datastoreItem xmlns:ds="http://schemas.openxmlformats.org/officeDocument/2006/customXml" ds:itemID="{2B2B90F8-86FF-4FE1-BC56-B6336892EC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417D0-579D-4784-B34E-43EF26F36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13</Pages>
  <Words>9123</Words>
  <Characters>52006</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2025-12-06T21:38:00Z</cp:lastPrinted>
  <dcterms:created xsi:type="dcterms:W3CDTF">2026-04-15T14:00:00Z</dcterms:created>
  <dcterms:modified xsi:type="dcterms:W3CDTF">2026-05-11T05:39:00Z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2025-05-06T13:42:14Z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9c2e94a1-968b-4e94-b183-03b81f15832a</vt:lpwstr>
  </property>
  <property fmtid="{D5CDD505-2E9C-101B-9397-08002B2CF9AE}" pid="8" name="MSIP_Label_6bd9ddd1-4d20-43f6-abfa-fc3c07406f94_ContentBits">
    <vt:lpwstr>0</vt:lpwstr>
  </property>
  <property fmtid="{D5CDD505-2E9C-101B-9397-08002B2CF9AE}" pid="9" name="ContentTypeId">
    <vt:lpwstr>0x010100852B821FD596CA4199F5E15CA8AF115B</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Created using">
    <vt:lpwstr>LW 9.1, Build 20240808</vt:lpwstr>
  </property>
  <property fmtid="{D5CDD505-2E9C-101B-9397-08002B2CF9AE}" pid="16" name="DocStatus">
    <vt:lpwstr>Green</vt:lpwstr>
  </property>
  <property fmtid="{D5CDD505-2E9C-101B-9397-08002B2CF9AE}" pid="17" name="Last edited using">
    <vt:lpwstr>LW 9.2, Build 20250828</vt:lpwstr>
  </property>
</Properties>
</file>