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D48DD5" w14:textId="5E4708A2" w:rsidR="002D334A" w:rsidRPr="00512EF0" w:rsidRDefault="00CE046F" w:rsidP="005417D3">
      <w:pPr>
        <w:pStyle w:val="Pagedecouverture"/>
        <w:rPr>
          <w:noProof/>
        </w:rPr>
      </w:pPr>
      <w:bookmarkStart w:id="0" w:name="LW_BM_COVERPAGE"/>
      <w:r>
        <w:rPr>
          <w:noProof/>
        </w:rPr>
        <w:pict w14:anchorId="394DB2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D72CBF9D-A31E-410F-B8D0-F6E11C739921" style="width:455.4pt;height:300.15pt">
            <v:imagedata r:id="rId8" o:title=""/>
          </v:shape>
        </w:pict>
      </w:r>
    </w:p>
    <w:bookmarkEnd w:id="0"/>
    <w:p w14:paraId="27F849CF" w14:textId="77777777" w:rsidR="002D334A" w:rsidRPr="00512EF0" w:rsidRDefault="002D334A" w:rsidP="002D334A">
      <w:pPr>
        <w:rPr>
          <w:noProof/>
        </w:rPr>
        <w:sectPr w:rsidR="002D334A" w:rsidRPr="00512EF0" w:rsidSect="005417D3">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09D4937F" w14:textId="77777777" w:rsidR="00844553" w:rsidRPr="00512EF0" w:rsidRDefault="00844553" w:rsidP="00844553">
      <w:pPr>
        <w:rPr>
          <w:rFonts w:ascii="Times New Roman" w:hAnsi="Times New Roman" w:cs="Times New Roman"/>
          <w:b/>
          <w:bCs/>
          <w:noProof/>
        </w:rPr>
      </w:pPr>
      <w:r>
        <w:rPr>
          <w:rFonts w:ascii="Times New Roman" w:hAnsi="Times New Roman"/>
          <w:b/>
          <w:noProof/>
        </w:rPr>
        <w:lastRenderedPageBreak/>
        <w:t>1. INTRODUCTION</w:t>
      </w:r>
    </w:p>
    <w:p w14:paraId="2FD149A5" w14:textId="7186F6A6" w:rsidR="00812A19" w:rsidRPr="00512EF0" w:rsidRDefault="00844553" w:rsidP="00844553">
      <w:pPr>
        <w:jc w:val="both"/>
        <w:rPr>
          <w:rFonts w:ascii="Times New Roman" w:hAnsi="Times New Roman" w:cs="Times New Roman"/>
          <w:noProof/>
        </w:rPr>
      </w:pPr>
      <w:r>
        <w:rPr>
          <w:rFonts w:ascii="Times New Roman" w:hAnsi="Times New Roman"/>
          <w:noProof/>
        </w:rPr>
        <w:t>La directive (UE) 2020/2184 du Parlement européen et du Conseil relative à la qualité des eaux destinées à la consommation humaine (ci-après la «refonte de la directive relative à l’eau potable») a été adoptée en décembre 2020 et est entrée en vigueur le 12 janvier 2021. Les États membres devaient la transposer au plus tard le 12 janvier 2023.</w:t>
      </w:r>
    </w:p>
    <w:p w14:paraId="487707D1" w14:textId="5D67369E" w:rsidR="00812A19" w:rsidRPr="00512EF0" w:rsidRDefault="00812A19" w:rsidP="00844553">
      <w:pPr>
        <w:jc w:val="both"/>
        <w:rPr>
          <w:rFonts w:ascii="Times New Roman" w:hAnsi="Times New Roman" w:cs="Times New Roman"/>
          <w:noProof/>
        </w:rPr>
      </w:pPr>
      <w:r>
        <w:rPr>
          <w:rFonts w:ascii="Times New Roman" w:hAnsi="Times New Roman"/>
          <w:noProof/>
        </w:rPr>
        <w:t>Les principaux objectifs de la refonte de la directive relative à l’eau potable sont de protéger la santé humaine des effets néfastes de la contamination des eaux destinées à la consommation humaine en garantissant la salubrité et la propreté de celles-ci, ainsi que de préserver et d’améliorer l’accès à ces eaux.</w:t>
      </w:r>
    </w:p>
    <w:p w14:paraId="221201B6" w14:textId="1DF2FFFA" w:rsidR="00DC0DF0" w:rsidRPr="00512EF0" w:rsidRDefault="00844553" w:rsidP="00844553">
      <w:pPr>
        <w:jc w:val="both"/>
        <w:rPr>
          <w:rFonts w:ascii="Times New Roman" w:hAnsi="Times New Roman" w:cs="Times New Roman"/>
          <w:noProof/>
        </w:rPr>
      </w:pPr>
      <w:r>
        <w:rPr>
          <w:rFonts w:ascii="Times New Roman" w:hAnsi="Times New Roman"/>
          <w:noProof/>
        </w:rPr>
        <w:t xml:space="preserve">L’article 21, paragraphe 2, de la refonte de la directive relative à l’eau potable confère à la Commission le pouvoir d’adopter des actes délégués pour une période de cinq ans à compter du </w:t>
      </w:r>
      <w:r>
        <w:rPr>
          <w:rFonts w:ascii="Times New Roman" w:hAnsi="Times New Roman"/>
          <w:b/>
          <w:noProof/>
        </w:rPr>
        <w:t>12 janvier 2021</w:t>
      </w:r>
      <w:r>
        <w:rPr>
          <w:rFonts w:ascii="Times New Roman" w:hAnsi="Times New Roman"/>
          <w:noProof/>
        </w:rPr>
        <w:t>. Les actes délégués sont mentionnés à l’article 4, paragraphe 3, à l’article 11, paragraphes 5, 8 et 11, à l’article 13, paragraphe 6, et à l’article 20, paragraphe 2 de la directive.</w:t>
      </w:r>
    </w:p>
    <w:p w14:paraId="3B2B13ED" w14:textId="736FA9C8" w:rsidR="00844553" w:rsidRPr="00512EF0" w:rsidRDefault="00844553" w:rsidP="00844553">
      <w:pPr>
        <w:jc w:val="both"/>
        <w:rPr>
          <w:rFonts w:ascii="Times New Roman" w:hAnsi="Times New Roman" w:cs="Times New Roman"/>
          <w:noProof/>
        </w:rPr>
      </w:pPr>
      <w:r>
        <w:rPr>
          <w:rFonts w:ascii="Times New Roman" w:hAnsi="Times New Roman"/>
          <w:noProof/>
        </w:rPr>
        <w:t>Ces actes délégués couvrent plusieurs domaines techniques essentiels pour atteindre les objectifs de la directive.</w:t>
      </w:r>
    </w:p>
    <w:p w14:paraId="16D518A7" w14:textId="5B7983E7" w:rsidR="008956E2" w:rsidRPr="00512EF0" w:rsidRDefault="00844553" w:rsidP="007600F0">
      <w:pPr>
        <w:numPr>
          <w:ilvl w:val="0"/>
          <w:numId w:val="1"/>
        </w:numPr>
        <w:jc w:val="both"/>
        <w:rPr>
          <w:rFonts w:ascii="Times New Roman" w:hAnsi="Times New Roman" w:cs="Times New Roman"/>
          <w:noProof/>
        </w:rPr>
      </w:pPr>
      <w:r>
        <w:rPr>
          <w:rFonts w:ascii="Times New Roman" w:hAnsi="Times New Roman"/>
          <w:b/>
          <w:noProof/>
        </w:rPr>
        <w:t>Article 4, paragraphe 3:</w:t>
      </w:r>
      <w:r>
        <w:rPr>
          <w:rFonts w:ascii="Times New Roman" w:hAnsi="Times New Roman"/>
          <w:noProof/>
        </w:rPr>
        <w:t xml:space="preserve"> au plus tard le 12 janvier 2028, la Commission est tenue d’adopter un acte délégué pour fixer, à l’échelle de l’UE, un seuil pour les niveaux de fuite d’eau dans la distribution en eau, seuil fondé sur l’IFS («indice de fuites structurelles») ou sur une autre méthode appropriée. Les États membres dont les taux de fuite sur leur territoire national dépassent ce seuil doivent présenter un plan d’action à la Commission établissant un ensemble de mesures pour réduire les fuites. L’acte délégué est rédigé à partir des évaluations effectuées par les États membres, dont celle du taux moyen de fuite au niveau de l’UE.</w:t>
      </w:r>
    </w:p>
    <w:p w14:paraId="51EE0F67" w14:textId="753455F6" w:rsidR="00844553" w:rsidRPr="00512EF0" w:rsidRDefault="008956E2" w:rsidP="008956E2">
      <w:pPr>
        <w:numPr>
          <w:ilvl w:val="0"/>
          <w:numId w:val="1"/>
        </w:numPr>
        <w:jc w:val="both"/>
        <w:rPr>
          <w:rFonts w:ascii="Times New Roman" w:hAnsi="Times New Roman" w:cs="Times New Roman"/>
          <w:noProof/>
        </w:rPr>
      </w:pPr>
      <w:r>
        <w:rPr>
          <w:rFonts w:ascii="Times New Roman" w:hAnsi="Times New Roman"/>
          <w:noProof/>
        </w:rPr>
        <w:t xml:space="preserve">Dans le cadre de la mise en œuvre de </w:t>
      </w:r>
      <w:r>
        <w:rPr>
          <w:rFonts w:ascii="Times New Roman" w:hAnsi="Times New Roman"/>
          <w:b/>
          <w:noProof/>
        </w:rPr>
        <w:t>l’article 11 sur les exigences minimales en matière d’hygiène pour les matériaux entrant en contact avec les eaux destinées à la consommation humaine</w:t>
      </w:r>
      <w:r>
        <w:rPr>
          <w:rFonts w:ascii="Times New Roman" w:hAnsi="Times New Roman"/>
          <w:noProof/>
        </w:rPr>
        <w:t>, la Commission est tenue de:</w:t>
      </w:r>
    </w:p>
    <w:p w14:paraId="283277C9" w14:textId="13535D54" w:rsidR="00D20C10" w:rsidRPr="00512EF0" w:rsidRDefault="00844553" w:rsidP="004D3ED9">
      <w:pPr>
        <w:numPr>
          <w:ilvl w:val="1"/>
          <w:numId w:val="1"/>
        </w:numPr>
        <w:jc w:val="both"/>
        <w:rPr>
          <w:rFonts w:ascii="Times New Roman" w:hAnsi="Times New Roman" w:cs="Times New Roman"/>
          <w:noProof/>
        </w:rPr>
      </w:pPr>
      <w:r>
        <w:rPr>
          <w:rFonts w:ascii="Times New Roman" w:hAnsi="Times New Roman"/>
          <w:b/>
          <w:noProof/>
        </w:rPr>
        <w:t xml:space="preserve">Article 11, paragraphe 5: </w:t>
      </w:r>
      <w:r>
        <w:rPr>
          <w:rFonts w:ascii="Times New Roman" w:hAnsi="Times New Roman"/>
          <w:noProof/>
        </w:rPr>
        <w:t>définir une procédure pour soumettre une demande, qui couvre les exigences en matière d’informations aux fins de l’inscription sur les listes positives européennes, ou du retrait de celles-ci, de substances de départ, de compositions ou de constituants;</w:t>
      </w:r>
    </w:p>
    <w:p w14:paraId="2ACC675E" w14:textId="4B19E518" w:rsidR="00D20C10" w:rsidRPr="00512EF0" w:rsidRDefault="00D20C10" w:rsidP="004D3ED9">
      <w:pPr>
        <w:numPr>
          <w:ilvl w:val="1"/>
          <w:numId w:val="1"/>
        </w:numPr>
        <w:jc w:val="both"/>
        <w:rPr>
          <w:rFonts w:ascii="Times New Roman" w:hAnsi="Times New Roman" w:cs="Times New Roman"/>
          <w:noProof/>
        </w:rPr>
      </w:pPr>
      <w:r>
        <w:rPr>
          <w:rFonts w:ascii="Times New Roman" w:hAnsi="Times New Roman"/>
          <w:b/>
          <w:noProof/>
        </w:rPr>
        <w:t xml:space="preserve">Article 11, paragraphe 8: </w:t>
      </w:r>
      <w:r>
        <w:rPr>
          <w:rFonts w:ascii="Times New Roman" w:hAnsi="Times New Roman"/>
          <w:noProof/>
        </w:rPr>
        <w:t>déterminer la procédure d’évaluation de la conformité appropriée applicable aux produits couverts par l’article 11 sur la base des modules figurant à l’annexe II de la décision nº 768/2008/CE du Parlement européen et du Conseil;</w:t>
      </w:r>
    </w:p>
    <w:p w14:paraId="34D1C7CC" w14:textId="522A7F8D" w:rsidR="00844553" w:rsidRPr="00512EF0" w:rsidRDefault="00D20C10" w:rsidP="004D3ED9">
      <w:pPr>
        <w:numPr>
          <w:ilvl w:val="1"/>
          <w:numId w:val="1"/>
        </w:numPr>
        <w:jc w:val="both"/>
        <w:rPr>
          <w:rFonts w:ascii="Times New Roman" w:hAnsi="Times New Roman" w:cs="Times New Roman"/>
          <w:noProof/>
        </w:rPr>
      </w:pPr>
      <w:r>
        <w:rPr>
          <w:rFonts w:ascii="Times New Roman" w:hAnsi="Times New Roman"/>
          <w:b/>
          <w:noProof/>
        </w:rPr>
        <w:t>Article 11, paragraphe 11:</w:t>
      </w:r>
      <w:r>
        <w:rPr>
          <w:rFonts w:ascii="Times New Roman" w:hAnsi="Times New Roman"/>
          <w:noProof/>
        </w:rPr>
        <w:t xml:space="preserve"> établir des spécifications harmonisées pour un marquage visible, nettement lisible et indélébile devant être utilisé pour indiquer que des produits en contact avec les eaux destinées à la consommation humaine sont conformes aux exigences minimales en matière d’hygiène pour les matériaux entrant en contact avec ces eaux;</w:t>
      </w:r>
    </w:p>
    <w:p w14:paraId="6EEAADBB" w14:textId="6C4306CD" w:rsidR="00844553" w:rsidRPr="00512EF0" w:rsidRDefault="00844553" w:rsidP="007600F0">
      <w:pPr>
        <w:numPr>
          <w:ilvl w:val="0"/>
          <w:numId w:val="1"/>
        </w:numPr>
        <w:jc w:val="both"/>
        <w:rPr>
          <w:rFonts w:ascii="Times New Roman" w:hAnsi="Times New Roman" w:cs="Times New Roman"/>
          <w:noProof/>
        </w:rPr>
      </w:pPr>
      <w:r>
        <w:rPr>
          <w:rFonts w:ascii="Times New Roman" w:hAnsi="Times New Roman"/>
          <w:b/>
          <w:noProof/>
        </w:rPr>
        <w:t>Article 13, paragraphe 6:</w:t>
      </w:r>
      <w:r>
        <w:rPr>
          <w:rFonts w:ascii="Times New Roman" w:hAnsi="Times New Roman"/>
          <w:noProof/>
        </w:rPr>
        <w:t xml:space="preserve"> la Commission est tenue d’adopter une méthode de mesure des microplastiques dans les eaux destinées à la consommation humaine;</w:t>
      </w:r>
    </w:p>
    <w:p w14:paraId="2773E7A4" w14:textId="54E754B4" w:rsidR="00EF45CB" w:rsidRPr="00512EF0" w:rsidRDefault="00844553" w:rsidP="007600F0">
      <w:pPr>
        <w:numPr>
          <w:ilvl w:val="0"/>
          <w:numId w:val="1"/>
        </w:numPr>
        <w:jc w:val="both"/>
        <w:rPr>
          <w:rFonts w:ascii="Times New Roman" w:hAnsi="Times New Roman" w:cs="Times New Roman"/>
          <w:noProof/>
        </w:rPr>
      </w:pPr>
      <w:r>
        <w:rPr>
          <w:rFonts w:ascii="Times New Roman" w:hAnsi="Times New Roman"/>
          <w:b/>
          <w:noProof/>
        </w:rPr>
        <w:t>Article 20, paragraphe 2:</w:t>
      </w:r>
      <w:r>
        <w:rPr>
          <w:rFonts w:ascii="Times New Roman" w:hAnsi="Times New Roman"/>
          <w:noProof/>
        </w:rPr>
        <w:t xml:space="preserve"> La Commission est habilitée à:</w:t>
      </w:r>
    </w:p>
    <w:p w14:paraId="3C17C9DB" w14:textId="0F038EB8" w:rsidR="00844553" w:rsidRPr="00512EF0" w:rsidRDefault="00EF45CB" w:rsidP="007600F0">
      <w:pPr>
        <w:numPr>
          <w:ilvl w:val="1"/>
          <w:numId w:val="1"/>
        </w:numPr>
        <w:jc w:val="both"/>
        <w:rPr>
          <w:rFonts w:ascii="Times New Roman" w:hAnsi="Times New Roman" w:cs="Times New Roman"/>
          <w:noProof/>
        </w:rPr>
      </w:pPr>
      <w:r>
        <w:rPr>
          <w:rFonts w:ascii="Times New Roman" w:hAnsi="Times New Roman"/>
          <w:noProof/>
        </w:rPr>
        <w:t>modifier l’annexe III de la directive, le cas échéant, pour l'adapter au progrès scientifique et technique;</w:t>
      </w:r>
    </w:p>
    <w:p w14:paraId="6524EF74" w14:textId="03E33105" w:rsidR="00EF45CB" w:rsidRPr="00512EF0" w:rsidRDefault="00EF45CB" w:rsidP="007600F0">
      <w:pPr>
        <w:numPr>
          <w:ilvl w:val="1"/>
          <w:numId w:val="1"/>
        </w:numPr>
        <w:jc w:val="both"/>
        <w:rPr>
          <w:rFonts w:ascii="Times New Roman" w:hAnsi="Times New Roman" w:cs="Times New Roman"/>
          <w:noProof/>
        </w:rPr>
      </w:pPr>
      <w:r>
        <w:rPr>
          <w:rFonts w:ascii="Times New Roman" w:hAnsi="Times New Roman"/>
          <w:noProof/>
        </w:rPr>
        <w:lastRenderedPageBreak/>
        <w:t>modifier la valeur paramétrique du bisphénol A indiquée à l’annexe I, partie B, de la directive, dans la mesure nécessaire pour l’adapter au progrès scientifique et technique.</w:t>
      </w:r>
    </w:p>
    <w:p w14:paraId="38A74C2F" w14:textId="77777777" w:rsidR="00CB1550" w:rsidRPr="00512EF0" w:rsidRDefault="00CB1550">
      <w:pPr>
        <w:rPr>
          <w:rFonts w:ascii="Times New Roman" w:hAnsi="Times New Roman" w:cs="Times New Roman"/>
          <w:noProof/>
        </w:rPr>
      </w:pPr>
    </w:p>
    <w:p w14:paraId="49A5F235" w14:textId="4F62677F" w:rsidR="00B73A58" w:rsidRPr="00512EF0" w:rsidRDefault="00DE57F3" w:rsidP="00844553">
      <w:pPr>
        <w:rPr>
          <w:rFonts w:ascii="Times New Roman" w:hAnsi="Times New Roman" w:cs="Times New Roman"/>
          <w:b/>
          <w:bCs/>
          <w:noProof/>
        </w:rPr>
      </w:pPr>
      <w:r>
        <w:rPr>
          <w:rFonts w:ascii="Times New Roman" w:hAnsi="Times New Roman"/>
          <w:b/>
          <w:noProof/>
        </w:rPr>
        <w:t>2. BASE JURIDIQUE</w:t>
      </w:r>
    </w:p>
    <w:p w14:paraId="77A7B830" w14:textId="53920459" w:rsidR="00844553" w:rsidRPr="00512EF0" w:rsidRDefault="00844553" w:rsidP="00E91824">
      <w:pPr>
        <w:jc w:val="both"/>
        <w:rPr>
          <w:rFonts w:ascii="Times New Roman" w:hAnsi="Times New Roman" w:cs="Times New Roman"/>
          <w:noProof/>
        </w:rPr>
      </w:pPr>
      <w:r>
        <w:rPr>
          <w:rFonts w:ascii="Times New Roman" w:hAnsi="Times New Roman"/>
          <w:noProof/>
        </w:rPr>
        <w:t>Conformément à l’article 21, paragraphe 2, la Commission doit élaborer un rapport relatif à la délégation de pouvoir au plus tard neuf mois avant la fin de la période de cinq ans, c’est-à-dire avant le 12 janvier 2026.</w:t>
      </w:r>
    </w:p>
    <w:p w14:paraId="185890ED" w14:textId="16C96E46" w:rsidR="00B73A58" w:rsidRPr="00512EF0" w:rsidRDefault="00B73A58" w:rsidP="00E91824">
      <w:pPr>
        <w:jc w:val="both"/>
        <w:rPr>
          <w:rFonts w:ascii="Times New Roman" w:hAnsi="Times New Roman" w:cs="Times New Roman"/>
          <w:noProof/>
        </w:rPr>
      </w:pPr>
      <w:r>
        <w:rPr>
          <w:rFonts w:ascii="Times New Roman" w:hAnsi="Times New Roman"/>
          <w:noProof/>
        </w:rPr>
        <w:t>Conformément à l’article 21, paragraphe 2, de la directive, la délégation de pouvoir serait tacitement prorogée pour une autre période de cinq ans à compter du 12 janvier 2026, sauf si le Parlement européen ou le Conseil s'opposait à cette prorogation trois mois au plus tard avant cette date.</w:t>
      </w:r>
    </w:p>
    <w:p w14:paraId="2D78BDBC" w14:textId="77777777" w:rsidR="00477716" w:rsidRPr="00512EF0" w:rsidRDefault="00477716">
      <w:pPr>
        <w:rPr>
          <w:rFonts w:ascii="Times New Roman" w:hAnsi="Times New Roman" w:cs="Times New Roman"/>
          <w:noProof/>
        </w:rPr>
      </w:pPr>
    </w:p>
    <w:p w14:paraId="603ADA82" w14:textId="52950E82" w:rsidR="00844553" w:rsidRPr="00512EF0" w:rsidRDefault="00DE57F3" w:rsidP="00844553">
      <w:pPr>
        <w:rPr>
          <w:rFonts w:ascii="Times New Roman" w:hAnsi="Times New Roman" w:cs="Times New Roman"/>
          <w:b/>
          <w:bCs/>
          <w:noProof/>
        </w:rPr>
      </w:pPr>
      <w:r>
        <w:rPr>
          <w:rFonts w:ascii="Times New Roman" w:hAnsi="Times New Roman"/>
          <w:b/>
          <w:noProof/>
        </w:rPr>
        <w:t>3. EXERCICE DES POUVOIRS DÉLÉGUÉS AU COURS DE LA PÉRIODE DE RÉFÉRENCE</w:t>
      </w:r>
    </w:p>
    <w:p w14:paraId="4CDD8CFC" w14:textId="65E355FA" w:rsidR="00844553" w:rsidRPr="00512EF0" w:rsidRDefault="00844553" w:rsidP="00E91824">
      <w:pPr>
        <w:jc w:val="both"/>
        <w:rPr>
          <w:rFonts w:ascii="Times New Roman" w:hAnsi="Times New Roman" w:cs="Times New Roman"/>
          <w:noProof/>
        </w:rPr>
      </w:pPr>
      <w:r>
        <w:rPr>
          <w:rFonts w:ascii="Times New Roman" w:hAnsi="Times New Roman"/>
          <w:noProof/>
        </w:rPr>
        <w:t>Au cours de la période de référence, la Commission a exercé ses pouvoirs délégués comme suit pour veiller à la mise en œuvre effective de la directive.</w:t>
      </w:r>
    </w:p>
    <w:p w14:paraId="6A767EA1" w14:textId="38B2C972" w:rsidR="00844553" w:rsidRPr="00512EF0" w:rsidRDefault="007D477A" w:rsidP="00E91824">
      <w:pPr>
        <w:numPr>
          <w:ilvl w:val="0"/>
          <w:numId w:val="2"/>
        </w:numPr>
        <w:jc w:val="both"/>
        <w:rPr>
          <w:rFonts w:ascii="Times New Roman" w:hAnsi="Times New Roman" w:cs="Times New Roman"/>
          <w:noProof/>
        </w:rPr>
      </w:pPr>
      <w:r>
        <w:rPr>
          <w:rFonts w:ascii="Times New Roman" w:hAnsi="Times New Roman"/>
          <w:b/>
          <w:noProof/>
        </w:rPr>
        <w:t>Conformément à l’article 11, paragraphes 5, 8 et 11</w:t>
      </w:r>
      <w:r>
        <w:rPr>
          <w:rFonts w:ascii="Times New Roman" w:hAnsi="Times New Roman"/>
          <w:noProof/>
        </w:rPr>
        <w:t xml:space="preserve"> sur les exigences minimales en matière d’hygiène pour les matériaux entrant en contact avec les eaux destinées à la consommation humaine, le 23 janvier 2024, la Commission a adopté:</w:t>
      </w:r>
    </w:p>
    <w:p w14:paraId="531FA232" w14:textId="5DFEECC3" w:rsidR="00844553" w:rsidRPr="00512EF0" w:rsidRDefault="007D477A" w:rsidP="00E91824">
      <w:pPr>
        <w:numPr>
          <w:ilvl w:val="1"/>
          <w:numId w:val="2"/>
        </w:numPr>
        <w:jc w:val="both"/>
        <w:rPr>
          <w:rFonts w:ascii="Times New Roman" w:hAnsi="Times New Roman" w:cs="Times New Roman"/>
          <w:noProof/>
        </w:rPr>
      </w:pPr>
      <w:r>
        <w:rPr>
          <w:rFonts w:ascii="Times New Roman" w:hAnsi="Times New Roman"/>
          <w:noProof/>
        </w:rPr>
        <w:t>le règlement délégué (UE) 2024/369 de la Commission complétant la directive (UE) 2020/2184 du Parlement européen et du Conseil en établissant la procédure d’inscription sur les listes positives européennes, ou de retrait de celles-ci, de substances de départ, de compositions et de constituants;</w:t>
      </w:r>
    </w:p>
    <w:p w14:paraId="33BFF683" w14:textId="17CDD473" w:rsidR="007600F0" w:rsidRPr="00512EF0" w:rsidRDefault="007600F0" w:rsidP="007600F0">
      <w:pPr>
        <w:numPr>
          <w:ilvl w:val="1"/>
          <w:numId w:val="2"/>
        </w:numPr>
        <w:jc w:val="both"/>
        <w:rPr>
          <w:rFonts w:ascii="Times New Roman" w:hAnsi="Times New Roman" w:cs="Times New Roman"/>
          <w:noProof/>
        </w:rPr>
      </w:pPr>
      <w:r>
        <w:rPr>
          <w:rFonts w:ascii="Times New Roman" w:hAnsi="Times New Roman"/>
          <w:noProof/>
        </w:rPr>
        <w:t>le règlement délégué (UE) 2024/370 de la Commission complétant la directive (UE) 2020/2184 du Parlement européen et du Conseil en établissant des procédures d’évaluation de la conformité pour les produits entrant en contact avec l’eau destinée à la consommation humaine, ainsi que des règles relatives à la désignation des organismes d’évaluation de la conformité qui participent à ces procédures;</w:t>
      </w:r>
    </w:p>
    <w:p w14:paraId="42B883B6" w14:textId="4E5C10ED" w:rsidR="007600F0" w:rsidRPr="00512EF0" w:rsidRDefault="007600F0" w:rsidP="007600F0">
      <w:pPr>
        <w:numPr>
          <w:ilvl w:val="1"/>
          <w:numId w:val="2"/>
        </w:numPr>
        <w:jc w:val="both"/>
        <w:rPr>
          <w:rFonts w:ascii="Times New Roman" w:hAnsi="Times New Roman" w:cs="Times New Roman"/>
          <w:noProof/>
        </w:rPr>
      </w:pPr>
      <w:r>
        <w:rPr>
          <w:rFonts w:ascii="Times New Roman" w:hAnsi="Times New Roman"/>
          <w:noProof/>
        </w:rPr>
        <w:t>le règlement délégué (UE) 2024/371 de la Commission complétant la directive (UE) 2020/2184 du Parlement européen et du Conseil en établissant des spécifications harmonisées pour le marquage des produits entrant en contact avec l’eau destinée à la consommation humaine.</w:t>
      </w:r>
    </w:p>
    <w:p w14:paraId="5EE4D395" w14:textId="4D516E07" w:rsidR="00844553" w:rsidRPr="00381199" w:rsidRDefault="007600F0" w:rsidP="007600F0">
      <w:pPr>
        <w:numPr>
          <w:ilvl w:val="0"/>
          <w:numId w:val="2"/>
        </w:numPr>
        <w:rPr>
          <w:rFonts w:ascii="Times New Roman" w:hAnsi="Times New Roman" w:cs="Times New Roman"/>
          <w:noProof/>
        </w:rPr>
      </w:pPr>
      <w:r>
        <w:rPr>
          <w:rFonts w:ascii="Times New Roman" w:hAnsi="Times New Roman"/>
          <w:b/>
          <w:noProof/>
        </w:rPr>
        <w:t>Conformément à l’article 13, paragraphe 6</w:t>
      </w:r>
      <w:r>
        <w:rPr>
          <w:rFonts w:ascii="Times New Roman" w:hAnsi="Times New Roman"/>
          <w:noProof/>
        </w:rPr>
        <w:t>, le 11 mars 2024, la Commission a adopté:</w:t>
      </w:r>
    </w:p>
    <w:p w14:paraId="18D0B106" w14:textId="3903995B" w:rsidR="007600F0" w:rsidRPr="00512EF0" w:rsidRDefault="007600F0" w:rsidP="007600F0">
      <w:pPr>
        <w:numPr>
          <w:ilvl w:val="1"/>
          <w:numId w:val="2"/>
        </w:numPr>
        <w:jc w:val="both"/>
        <w:rPr>
          <w:rFonts w:ascii="Times New Roman" w:hAnsi="Times New Roman" w:cs="Times New Roman"/>
          <w:noProof/>
        </w:rPr>
      </w:pPr>
      <w:r>
        <w:rPr>
          <w:rFonts w:ascii="Times New Roman" w:hAnsi="Times New Roman"/>
          <w:noProof/>
        </w:rPr>
        <w:t>la décision déléguée (UE) 2024/1441 de la Commission complétant la directive (UE) 2020/2184 du Parlement européen et du Conseil en établissant une méthode de mesure des microplastiques dans l’eau destinée à la consommation humaine [notifiée sous le numéro C(2024) 1459].</w:t>
      </w:r>
    </w:p>
    <w:p w14:paraId="2456ADA5" w14:textId="77777777" w:rsidR="00844553" w:rsidRPr="00512EF0" w:rsidRDefault="00844553" w:rsidP="00DC0DF0">
      <w:pPr>
        <w:jc w:val="both"/>
        <w:rPr>
          <w:rFonts w:ascii="Times New Roman" w:hAnsi="Times New Roman" w:cs="Times New Roman"/>
          <w:noProof/>
        </w:rPr>
      </w:pPr>
    </w:p>
    <w:p w14:paraId="5BC1B781" w14:textId="11AA51C7" w:rsidR="00D35050" w:rsidRPr="00512EF0" w:rsidRDefault="00DE57F3" w:rsidP="00CE046F">
      <w:pPr>
        <w:keepNext/>
        <w:jc w:val="both"/>
        <w:rPr>
          <w:rFonts w:ascii="Times New Roman" w:hAnsi="Times New Roman" w:cs="Times New Roman"/>
          <w:b/>
          <w:bCs/>
          <w:noProof/>
        </w:rPr>
      </w:pPr>
      <w:r>
        <w:rPr>
          <w:rFonts w:ascii="Times New Roman" w:hAnsi="Times New Roman"/>
          <w:b/>
          <w:noProof/>
        </w:rPr>
        <w:t>4. CONSULTATIONS AVANT ADOPTION</w:t>
      </w:r>
    </w:p>
    <w:p w14:paraId="31A9C0EE" w14:textId="1C8963DD" w:rsidR="00D35050" w:rsidRPr="00512EF0" w:rsidRDefault="00D35050" w:rsidP="00CE046F">
      <w:pPr>
        <w:keepNext/>
        <w:jc w:val="both"/>
        <w:rPr>
          <w:rFonts w:ascii="Times New Roman" w:hAnsi="Times New Roman" w:cs="Times New Roman"/>
          <w:noProof/>
        </w:rPr>
      </w:pPr>
      <w:r>
        <w:rPr>
          <w:rFonts w:ascii="Times New Roman" w:hAnsi="Times New Roman"/>
          <w:noProof/>
        </w:rPr>
        <w:t xml:space="preserve">Pour chaque acte délégué adopté, la Commission a mené de vastes consultations d’experts désignés par les États membres au sein du </w:t>
      </w:r>
      <w:r>
        <w:rPr>
          <w:rFonts w:ascii="Times New Roman" w:hAnsi="Times New Roman"/>
          <w:b/>
          <w:noProof/>
        </w:rPr>
        <w:t>groupe d’experts sur la mise en œuvre de la directive relative à l’eau potable</w:t>
      </w:r>
      <w:r>
        <w:rPr>
          <w:rStyle w:val="FootnoteReference"/>
          <w:rFonts w:ascii="Times New Roman" w:hAnsi="Times New Roman" w:cs="Times New Roman"/>
          <w:bCs/>
          <w:noProof/>
        </w:rPr>
        <w:footnoteReference w:id="1"/>
      </w:r>
      <w:r>
        <w:rPr>
          <w:rFonts w:ascii="Times New Roman" w:hAnsi="Times New Roman"/>
          <w:b/>
          <w:noProof/>
        </w:rPr>
        <w:t xml:space="preserve"> et de ses deux sous-groupes</w:t>
      </w:r>
      <w:r>
        <w:rPr>
          <w:rFonts w:ascii="Times New Roman" w:hAnsi="Times New Roman"/>
          <w:noProof/>
        </w:rPr>
        <w:t>.</w:t>
      </w:r>
    </w:p>
    <w:p w14:paraId="585B47F8" w14:textId="7652E3FB" w:rsidR="00D35050" w:rsidRPr="00512EF0" w:rsidRDefault="000907EF" w:rsidP="00DC0DF0">
      <w:pPr>
        <w:jc w:val="both"/>
        <w:rPr>
          <w:rFonts w:ascii="Times New Roman" w:hAnsi="Times New Roman" w:cs="Times New Roman"/>
          <w:noProof/>
        </w:rPr>
      </w:pPr>
      <w:r>
        <w:rPr>
          <w:rFonts w:ascii="Times New Roman" w:hAnsi="Times New Roman"/>
          <w:noProof/>
        </w:rPr>
        <w:t>Avant d’être adoptés, les projets d’actes ont été notifiés à l’Organisation mondiale du commerce (OMC) et publiés pour recueillir les contributions du public sur une période de quatre semaines afin de garantir la transparence et la participation des parties prenantes.</w:t>
      </w:r>
    </w:p>
    <w:p w14:paraId="26C683D1" w14:textId="77777777" w:rsidR="00D35050" w:rsidRPr="00512EF0" w:rsidRDefault="00D35050">
      <w:pPr>
        <w:rPr>
          <w:rFonts w:ascii="Times New Roman" w:hAnsi="Times New Roman" w:cs="Times New Roman"/>
          <w:noProof/>
        </w:rPr>
      </w:pPr>
    </w:p>
    <w:p w14:paraId="001047CB" w14:textId="6795C1CD" w:rsidR="00A36A78" w:rsidRPr="00512EF0" w:rsidRDefault="00AA1DB1" w:rsidP="00844553">
      <w:pPr>
        <w:rPr>
          <w:rFonts w:ascii="Times New Roman" w:hAnsi="Times New Roman" w:cs="Times New Roman"/>
          <w:b/>
          <w:bCs/>
          <w:noProof/>
        </w:rPr>
      </w:pPr>
      <w:r>
        <w:rPr>
          <w:rFonts w:ascii="Times New Roman" w:hAnsi="Times New Roman"/>
          <w:b/>
          <w:noProof/>
        </w:rPr>
        <w:t>5. EXERCICE DE LA DÉLÉGATION AU COURS DE LA PROCHAINE PÉRIODE</w:t>
      </w:r>
    </w:p>
    <w:p w14:paraId="282E4FE2" w14:textId="339E129B" w:rsidR="00A36A78" w:rsidRPr="00512EF0" w:rsidRDefault="000B36BD" w:rsidP="00844553">
      <w:pPr>
        <w:rPr>
          <w:rFonts w:ascii="Times New Roman" w:hAnsi="Times New Roman" w:cs="Times New Roman"/>
          <w:noProof/>
        </w:rPr>
      </w:pPr>
      <w:r>
        <w:rPr>
          <w:rFonts w:ascii="Times New Roman" w:hAnsi="Times New Roman"/>
          <w:noProof/>
        </w:rPr>
        <w:t>Il est jugé nécessaire d’utiliser la délégation de pouvoir mentionnée à l'article 4, paragraphe 3, et à l'article 20, paragraphe 2, de la directive, pour les raisons suivantes.</w:t>
      </w:r>
    </w:p>
    <w:p w14:paraId="6ACF702D" w14:textId="3B2BE81E" w:rsidR="00A36A78" w:rsidRPr="00512EF0" w:rsidRDefault="009E2E5D" w:rsidP="00DC0DF0">
      <w:pPr>
        <w:numPr>
          <w:ilvl w:val="0"/>
          <w:numId w:val="3"/>
        </w:numPr>
        <w:jc w:val="both"/>
        <w:rPr>
          <w:rFonts w:ascii="Times New Roman" w:hAnsi="Times New Roman" w:cs="Times New Roman"/>
          <w:noProof/>
        </w:rPr>
      </w:pPr>
      <w:r>
        <w:rPr>
          <w:rFonts w:ascii="Times New Roman" w:hAnsi="Times New Roman"/>
          <w:noProof/>
        </w:rPr>
        <w:t>Conformément à l’article 4, paragraphe 3, au plus tard le 12 janvier 2028, la Commission est tenue d’adopter un acte délégué fixant un seuil pour les niveaux de fuite d’eau dans la distribution en eau fondé sur l’IFS ou sur une autre méthode appropriée. L’acte délégué est rédigé à partir des évaluations effectuées par les États membres, dont celle du taux moyen de fuite au niveau de l’UE. Les États membres devaient communiquer les résultats de l’évaluation à la Commission avant le 12 janvier 2026. Ces résultats sont en cours d’évaluation par la Commission.</w:t>
      </w:r>
    </w:p>
    <w:p w14:paraId="53AEAD62" w14:textId="671B57A4" w:rsidR="009E2E5D" w:rsidRPr="00512EF0" w:rsidRDefault="009E2E5D" w:rsidP="009E2E5D">
      <w:pPr>
        <w:pStyle w:val="ListParagraph"/>
        <w:numPr>
          <w:ilvl w:val="0"/>
          <w:numId w:val="3"/>
        </w:numPr>
        <w:jc w:val="both"/>
        <w:rPr>
          <w:rFonts w:ascii="Times New Roman" w:hAnsi="Times New Roman" w:cs="Times New Roman"/>
          <w:noProof/>
        </w:rPr>
      </w:pPr>
      <w:r>
        <w:rPr>
          <w:rFonts w:ascii="Times New Roman" w:hAnsi="Times New Roman"/>
          <w:noProof/>
        </w:rPr>
        <w:t>Conformément à l’article 20, paragraphe 2, la Commission continuera de surveiller la possible nécessité de modifier l’annexe III ou la valeur paramétrique du bisphénol A pour les mettre à jour au fur et à mesure des progrès techniques et scientifiques, afin de décider si des actes délégués sont nécessaires.</w:t>
      </w:r>
    </w:p>
    <w:p w14:paraId="5A27C0D1" w14:textId="77777777" w:rsidR="007600F0" w:rsidRPr="00512EF0" w:rsidRDefault="007600F0" w:rsidP="00844553">
      <w:pPr>
        <w:rPr>
          <w:rFonts w:ascii="Times New Roman" w:hAnsi="Times New Roman" w:cs="Times New Roman"/>
          <w:noProof/>
        </w:rPr>
      </w:pPr>
    </w:p>
    <w:p w14:paraId="6433F320" w14:textId="38F0B69D" w:rsidR="00844553" w:rsidRPr="00512EF0" w:rsidRDefault="00CB1550" w:rsidP="00844553">
      <w:pPr>
        <w:rPr>
          <w:rFonts w:ascii="Times New Roman" w:hAnsi="Times New Roman" w:cs="Times New Roman"/>
          <w:b/>
          <w:bCs/>
          <w:noProof/>
        </w:rPr>
      </w:pPr>
      <w:r>
        <w:rPr>
          <w:rFonts w:ascii="Times New Roman" w:hAnsi="Times New Roman"/>
          <w:b/>
          <w:noProof/>
        </w:rPr>
        <w:t>6. CONCLUSION</w:t>
      </w:r>
    </w:p>
    <w:p w14:paraId="3802F1C9" w14:textId="7631D243" w:rsidR="00844553" w:rsidRPr="00512EF0" w:rsidRDefault="00A87FF4" w:rsidP="009E2E5D">
      <w:pPr>
        <w:jc w:val="both"/>
        <w:rPr>
          <w:rFonts w:ascii="Times New Roman" w:hAnsi="Times New Roman" w:cs="Times New Roman"/>
          <w:noProof/>
        </w:rPr>
      </w:pPr>
      <w:r>
        <w:rPr>
          <w:rFonts w:ascii="Times New Roman" w:hAnsi="Times New Roman"/>
          <w:noProof/>
        </w:rPr>
        <w:t>La Commission a exercé les pouvoirs délégués conférés en vertu de la directive relative à l’eau potable de manière appropriée et conformément aux dispositions relatives à son habilitation.</w:t>
      </w:r>
    </w:p>
    <w:p w14:paraId="640279B8" w14:textId="1D6E9C56" w:rsidR="00844553" w:rsidRPr="00512EF0" w:rsidRDefault="00844553" w:rsidP="009E2E5D">
      <w:pPr>
        <w:jc w:val="both"/>
        <w:rPr>
          <w:rFonts w:ascii="Times New Roman" w:hAnsi="Times New Roman" w:cs="Times New Roman"/>
          <w:noProof/>
        </w:rPr>
      </w:pPr>
      <w:r>
        <w:rPr>
          <w:rFonts w:ascii="Times New Roman" w:hAnsi="Times New Roman"/>
          <w:noProof/>
        </w:rPr>
        <w:t xml:space="preserve">Étant donné que la mise en œuvre de la directive est en cours, en particulier la définition d’un seuil pour les niveaux de fuite d’eau dans la chaîne d’approvisionnement en eau et la possible nécessité de modifier l’annexe III et/ou la valeur paramétrique pour le bisphénol A en raison des progrès techniques et scientifiques constants, la Commission estime que la </w:t>
      </w:r>
      <w:r>
        <w:rPr>
          <w:rFonts w:ascii="Times New Roman" w:hAnsi="Times New Roman"/>
          <w:b/>
          <w:noProof/>
        </w:rPr>
        <w:t>prorogation tacite</w:t>
      </w:r>
      <w:r>
        <w:rPr>
          <w:rFonts w:ascii="Times New Roman" w:hAnsi="Times New Roman"/>
          <w:noProof/>
        </w:rPr>
        <w:t xml:space="preserve"> de la délégation de pouvoir pour cinq années supplémentaires est clairement nécessaire.</w:t>
      </w:r>
    </w:p>
    <w:p w14:paraId="4E046F8B" w14:textId="77777777" w:rsidR="00844553" w:rsidRPr="00512EF0" w:rsidRDefault="00844553" w:rsidP="009E2E5D">
      <w:pPr>
        <w:jc w:val="both"/>
        <w:rPr>
          <w:rFonts w:ascii="Times New Roman" w:hAnsi="Times New Roman" w:cs="Times New Roman"/>
          <w:noProof/>
        </w:rPr>
      </w:pPr>
      <w:r>
        <w:rPr>
          <w:rFonts w:ascii="Times New Roman" w:hAnsi="Times New Roman"/>
          <w:noProof/>
        </w:rPr>
        <w:t>La Commission invite le Parlement européen et le Conseil à prendre acte du présent rapport.</w:t>
      </w:r>
    </w:p>
    <w:p w14:paraId="184E9967" w14:textId="77777777" w:rsidR="00844553" w:rsidRPr="00512EF0" w:rsidRDefault="00844553">
      <w:pPr>
        <w:rPr>
          <w:rFonts w:ascii="Times New Roman" w:hAnsi="Times New Roman" w:cs="Times New Roman"/>
          <w:noProof/>
        </w:rPr>
      </w:pPr>
    </w:p>
    <w:sectPr w:rsidR="00844553" w:rsidRPr="00512EF0" w:rsidSect="002D334A">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CDD76" w14:textId="77777777" w:rsidR="00F76919" w:rsidRPr="00512EF0" w:rsidRDefault="00F76919" w:rsidP="002D334A">
      <w:pPr>
        <w:spacing w:after="0" w:line="240" w:lineRule="auto"/>
      </w:pPr>
      <w:r>
        <w:separator/>
      </w:r>
    </w:p>
  </w:endnote>
  <w:endnote w:type="continuationSeparator" w:id="0">
    <w:p w14:paraId="5B87C7DA" w14:textId="77777777" w:rsidR="00F76919" w:rsidRPr="00512EF0" w:rsidRDefault="00F76919" w:rsidP="002D33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BBC94" w14:textId="5A5B5561" w:rsidR="005417D3" w:rsidRPr="005417D3" w:rsidRDefault="005417D3" w:rsidP="005417D3">
    <w:pPr>
      <w:pStyle w:val="FooterCoverPage"/>
      <w:rPr>
        <w:rFonts w:ascii="Arial" w:hAnsi="Arial" w:cs="Arial"/>
        <w:b/>
        <w:sz w:val="48"/>
      </w:rPr>
    </w:pPr>
    <w:r w:rsidRPr="005417D3">
      <w:rPr>
        <w:rFonts w:ascii="Arial" w:hAnsi="Arial" w:cs="Arial"/>
        <w:b/>
        <w:sz w:val="48"/>
      </w:rPr>
      <w:t>FR</w:t>
    </w:r>
    <w:r w:rsidRPr="005417D3">
      <w:rPr>
        <w:rFonts w:ascii="Arial" w:hAnsi="Arial" w:cs="Arial"/>
        <w:b/>
        <w:sz w:val="48"/>
      </w:rPr>
      <w:tab/>
    </w:r>
    <w:r w:rsidRPr="005417D3">
      <w:rPr>
        <w:rFonts w:ascii="Arial" w:hAnsi="Arial" w:cs="Arial"/>
        <w:b/>
        <w:sz w:val="48"/>
      </w:rPr>
      <w:tab/>
    </w:r>
    <w:r w:rsidRPr="005417D3">
      <w:tab/>
    </w:r>
    <w:r w:rsidRPr="005417D3">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AD077" w14:textId="0203DCF9" w:rsidR="005417D3" w:rsidRPr="005417D3" w:rsidRDefault="005417D3" w:rsidP="005417D3">
    <w:pPr>
      <w:pStyle w:val="FooterCoverPage"/>
      <w:rPr>
        <w:rFonts w:ascii="Arial" w:hAnsi="Arial" w:cs="Arial"/>
        <w:b/>
        <w:sz w:val="48"/>
      </w:rPr>
    </w:pPr>
    <w:r w:rsidRPr="005417D3">
      <w:rPr>
        <w:rFonts w:ascii="Arial" w:hAnsi="Arial" w:cs="Arial"/>
        <w:b/>
        <w:sz w:val="48"/>
      </w:rPr>
      <w:t>FR</w:t>
    </w:r>
    <w:r w:rsidRPr="005417D3">
      <w:rPr>
        <w:rFonts w:ascii="Arial" w:hAnsi="Arial" w:cs="Arial"/>
        <w:b/>
        <w:sz w:val="48"/>
      </w:rPr>
      <w:tab/>
    </w:r>
    <w:r w:rsidRPr="005417D3">
      <w:rPr>
        <w:rFonts w:ascii="Arial" w:hAnsi="Arial" w:cs="Arial"/>
        <w:b/>
        <w:sz w:val="48"/>
      </w:rPr>
      <w:tab/>
    </w:r>
    <w:r w:rsidRPr="005417D3">
      <w:tab/>
    </w:r>
    <w:r w:rsidRPr="005417D3">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202BA" w14:textId="77777777" w:rsidR="005417D3" w:rsidRPr="005417D3" w:rsidRDefault="005417D3" w:rsidP="005417D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C0E24" w14:textId="77777777" w:rsidR="002D334A" w:rsidRPr="00512EF0" w:rsidRDefault="002D334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7195396"/>
      <w:docPartObj>
        <w:docPartGallery w:val="Page Numbers (Bottom of Page)"/>
        <w:docPartUnique/>
      </w:docPartObj>
    </w:sdtPr>
    <w:sdtEndPr>
      <w:rPr>
        <w:rFonts w:ascii="Times New Roman" w:hAnsi="Times New Roman" w:cs="Times New Roman"/>
        <w:noProof/>
        <w:sz w:val="24"/>
        <w:szCs w:val="24"/>
      </w:rPr>
    </w:sdtEndPr>
    <w:sdtContent>
      <w:p w14:paraId="32554B2E" w14:textId="31B4B306" w:rsidR="00CB1550" w:rsidRPr="00D70710" w:rsidRDefault="00CB1550">
        <w:pPr>
          <w:pStyle w:val="Footer"/>
          <w:jc w:val="center"/>
          <w:rPr>
            <w:rFonts w:ascii="Times New Roman" w:hAnsi="Times New Roman" w:cs="Times New Roman"/>
            <w:sz w:val="24"/>
            <w:szCs w:val="24"/>
          </w:rPr>
        </w:pP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sidR="005417D3">
          <w:rPr>
            <w:rFonts w:ascii="Times New Roman" w:hAnsi="Times New Roman" w:cs="Times New Roman"/>
            <w:noProof/>
            <w:sz w:val="24"/>
          </w:rPr>
          <w:t>1</w:t>
        </w:r>
        <w:r>
          <w:rPr>
            <w:rFonts w:ascii="Times New Roman" w:hAnsi="Times New Roman" w:cs="Times New Roman"/>
            <w:sz w:val="24"/>
          </w:rPr>
          <w:fldChar w:fldCharType="end"/>
        </w:r>
      </w:p>
    </w:sdtContent>
  </w:sdt>
  <w:p w14:paraId="05C2E8B6" w14:textId="77777777" w:rsidR="002D334A" w:rsidRPr="00512EF0" w:rsidRDefault="002D334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672AE" w14:textId="77777777" w:rsidR="002D334A" w:rsidRPr="00512EF0" w:rsidRDefault="002D33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582F2" w14:textId="77777777" w:rsidR="00F76919" w:rsidRPr="00512EF0" w:rsidRDefault="00F76919" w:rsidP="002D334A">
      <w:pPr>
        <w:spacing w:after="0" w:line="240" w:lineRule="auto"/>
      </w:pPr>
      <w:r>
        <w:separator/>
      </w:r>
    </w:p>
  </w:footnote>
  <w:footnote w:type="continuationSeparator" w:id="0">
    <w:p w14:paraId="6A4740EE" w14:textId="77777777" w:rsidR="00F76919" w:rsidRPr="00512EF0" w:rsidRDefault="00F76919" w:rsidP="002D334A">
      <w:pPr>
        <w:spacing w:after="0" w:line="240" w:lineRule="auto"/>
      </w:pPr>
      <w:r>
        <w:continuationSeparator/>
      </w:r>
    </w:p>
  </w:footnote>
  <w:footnote w:id="1">
    <w:p w14:paraId="77A63D42" w14:textId="2356C798" w:rsidR="00A87FF4" w:rsidRPr="00512EF0" w:rsidRDefault="00A87FF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Groupe d’experts E03030</w:t>
      </w:r>
      <w:r>
        <w:rPr>
          <w:rFonts w:ascii="Times New Roman" w:hAnsi="Times New Roman"/>
          <w: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D71BF" w14:textId="77777777" w:rsidR="005417D3" w:rsidRPr="005417D3" w:rsidRDefault="005417D3" w:rsidP="005417D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4255D" w14:textId="77777777" w:rsidR="005417D3" w:rsidRPr="005417D3" w:rsidRDefault="005417D3" w:rsidP="005417D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F877A" w14:textId="77777777" w:rsidR="005417D3" w:rsidRPr="005417D3" w:rsidRDefault="005417D3" w:rsidP="005417D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064E1" w14:textId="77777777" w:rsidR="002D334A" w:rsidRPr="00512EF0" w:rsidRDefault="002D334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BBAE6" w14:textId="77777777" w:rsidR="002D334A" w:rsidRPr="00512EF0" w:rsidRDefault="002D334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A19C" w14:textId="77777777" w:rsidR="002D334A" w:rsidRPr="00512EF0" w:rsidRDefault="002D33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736B4"/>
    <w:multiLevelType w:val="hybridMultilevel"/>
    <w:tmpl w:val="F8F20594"/>
    <w:lvl w:ilvl="0" w:tplc="6F1C2850">
      <w:start w:val="3"/>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DC66BE2"/>
    <w:multiLevelType w:val="multilevel"/>
    <w:tmpl w:val="35E281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FA7CB6"/>
    <w:multiLevelType w:val="multilevel"/>
    <w:tmpl w:val="5A20D3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0931580">
    <w:abstractNumId w:val="1"/>
  </w:num>
  <w:num w:numId="2" w16cid:durableId="1107459362">
    <w:abstractNumId w:val="2"/>
  </w:num>
  <w:num w:numId="3" w16cid:durableId="7551287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D72CBF9D-A31E-410F-B8D0-F6E11C739921"/>
    <w:docVar w:name="LW_COVERPAGE_TYPE" w:val="1"/>
    <w:docVar w:name="LW_CROSSREFERENCE" w:val="&lt;UNUSED&gt;"/>
    <w:docVar w:name="LW_DocType" w:val="NORMAL"/>
    <w:docVar w:name="LW_EMISSION" w:val="20.5.2026"/>
    <w:docVar w:name="LW_EMISSION_ISODATE" w:val="2026-05-20"/>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23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u8217?exercice du pouvoir d\u8217?adopter des actes délégués conféré à la Commission conformément à la directive (UE) 2020/2184 du Parlement européen et du Conseil relative à la qualité des eaux destinées à la consommation humaine (refonte)"/>
    <w:docVar w:name="LW_TYPE.DOC.CP" w:val="RAPPORT DE LA COMMISSION AU PARLEMENT EUROPÉEN ET AU CONSEIL"/>
    <w:docVar w:name="LwApiVersions" w:val="LW4CoDe 1.24.5.0; LW 9.2, Build 20251112"/>
  </w:docVars>
  <w:rsids>
    <w:rsidRoot w:val="00844553"/>
    <w:rsid w:val="00002DEA"/>
    <w:rsid w:val="000368D1"/>
    <w:rsid w:val="000907EF"/>
    <w:rsid w:val="000B36BD"/>
    <w:rsid w:val="000F6048"/>
    <w:rsid w:val="001135DB"/>
    <w:rsid w:val="00121825"/>
    <w:rsid w:val="001263FA"/>
    <w:rsid w:val="001A0DDF"/>
    <w:rsid w:val="001E7F3C"/>
    <w:rsid w:val="00224E71"/>
    <w:rsid w:val="00227B04"/>
    <w:rsid w:val="002C2944"/>
    <w:rsid w:val="002D334A"/>
    <w:rsid w:val="002E447D"/>
    <w:rsid w:val="00301750"/>
    <w:rsid w:val="00316E48"/>
    <w:rsid w:val="00360C7D"/>
    <w:rsid w:val="00381199"/>
    <w:rsid w:val="003D2D31"/>
    <w:rsid w:val="003E0325"/>
    <w:rsid w:val="003F1A9C"/>
    <w:rsid w:val="00423197"/>
    <w:rsid w:val="0045376E"/>
    <w:rsid w:val="00454AF2"/>
    <w:rsid w:val="0045665F"/>
    <w:rsid w:val="00477716"/>
    <w:rsid w:val="004D3ED9"/>
    <w:rsid w:val="0050558D"/>
    <w:rsid w:val="00512EF0"/>
    <w:rsid w:val="005163EA"/>
    <w:rsid w:val="005220D8"/>
    <w:rsid w:val="005417D3"/>
    <w:rsid w:val="00571EA4"/>
    <w:rsid w:val="00587343"/>
    <w:rsid w:val="005A402D"/>
    <w:rsid w:val="00602C92"/>
    <w:rsid w:val="00626F88"/>
    <w:rsid w:val="0065456B"/>
    <w:rsid w:val="006610BB"/>
    <w:rsid w:val="00666DAC"/>
    <w:rsid w:val="00666FCF"/>
    <w:rsid w:val="00670AA2"/>
    <w:rsid w:val="00677727"/>
    <w:rsid w:val="007063B6"/>
    <w:rsid w:val="007600F0"/>
    <w:rsid w:val="007659A5"/>
    <w:rsid w:val="007841B2"/>
    <w:rsid w:val="007978D5"/>
    <w:rsid w:val="007B097A"/>
    <w:rsid w:val="007C4AAE"/>
    <w:rsid w:val="007D477A"/>
    <w:rsid w:val="00812A19"/>
    <w:rsid w:val="00827238"/>
    <w:rsid w:val="00833FAA"/>
    <w:rsid w:val="00841D52"/>
    <w:rsid w:val="00844553"/>
    <w:rsid w:val="00846FD9"/>
    <w:rsid w:val="008956E2"/>
    <w:rsid w:val="008A6FEE"/>
    <w:rsid w:val="008D1A1A"/>
    <w:rsid w:val="00937C9F"/>
    <w:rsid w:val="00970516"/>
    <w:rsid w:val="00981D87"/>
    <w:rsid w:val="009B48C4"/>
    <w:rsid w:val="009E2E5D"/>
    <w:rsid w:val="00A04FFD"/>
    <w:rsid w:val="00A06428"/>
    <w:rsid w:val="00A36A78"/>
    <w:rsid w:val="00A45A38"/>
    <w:rsid w:val="00A87FF4"/>
    <w:rsid w:val="00A97690"/>
    <w:rsid w:val="00AA1DB1"/>
    <w:rsid w:val="00AE1715"/>
    <w:rsid w:val="00B27A20"/>
    <w:rsid w:val="00B40F88"/>
    <w:rsid w:val="00B668E3"/>
    <w:rsid w:val="00B73A58"/>
    <w:rsid w:val="00B74D8A"/>
    <w:rsid w:val="00BA2316"/>
    <w:rsid w:val="00BA6DE8"/>
    <w:rsid w:val="00BD0380"/>
    <w:rsid w:val="00C276DD"/>
    <w:rsid w:val="00C4524E"/>
    <w:rsid w:val="00C66195"/>
    <w:rsid w:val="00CA141F"/>
    <w:rsid w:val="00CB1550"/>
    <w:rsid w:val="00CB2EFC"/>
    <w:rsid w:val="00CE046F"/>
    <w:rsid w:val="00CE50E5"/>
    <w:rsid w:val="00D1663B"/>
    <w:rsid w:val="00D20C10"/>
    <w:rsid w:val="00D35050"/>
    <w:rsid w:val="00D70115"/>
    <w:rsid w:val="00D70710"/>
    <w:rsid w:val="00D90207"/>
    <w:rsid w:val="00DB3FBD"/>
    <w:rsid w:val="00DC0DF0"/>
    <w:rsid w:val="00DC553B"/>
    <w:rsid w:val="00DE57F3"/>
    <w:rsid w:val="00DF7CCE"/>
    <w:rsid w:val="00E110BC"/>
    <w:rsid w:val="00E167EC"/>
    <w:rsid w:val="00E346F2"/>
    <w:rsid w:val="00E91824"/>
    <w:rsid w:val="00EB60CE"/>
    <w:rsid w:val="00EF43EB"/>
    <w:rsid w:val="00EF45CB"/>
    <w:rsid w:val="00F31372"/>
    <w:rsid w:val="00F31CCD"/>
    <w:rsid w:val="00F55A7B"/>
    <w:rsid w:val="00F613D4"/>
    <w:rsid w:val="00F67C4D"/>
    <w:rsid w:val="00F76919"/>
    <w:rsid w:val="00FB6138"/>
    <w:rsid w:val="00FC2684"/>
    <w:rsid w:val="00FC4C11"/>
    <w:rsid w:val="00FD3A11"/>
  </w:rsids>
  <m:mathPr>
    <m:mathFont m:val="Cambria Math"/>
    <m:brkBin m:val="before"/>
    <m:brkBinSub m:val="--"/>
    <m:smallFrac m:val="0"/>
    <m:dispDef/>
    <m:lMargin m:val="0"/>
    <m:rMargin m:val="0"/>
    <m:defJc m:val="centerGroup"/>
    <m:wrapIndent m:val="1440"/>
    <m:intLim m:val="subSup"/>
    <m:naryLim m:val="undOvr"/>
  </m:mathPr>
  <w:themeFontLang w:val="fr-BE"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2220516"/>
  <w15:chartTrackingRefBased/>
  <w15:docId w15:val="{4F02E730-C502-4546-87AE-E688EB080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45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45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45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45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45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45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45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45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45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45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45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45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45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45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45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45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45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4553"/>
    <w:rPr>
      <w:rFonts w:eastAsiaTheme="majorEastAsia" w:cstheme="majorBidi"/>
      <w:color w:val="272727" w:themeColor="text1" w:themeTint="D8"/>
    </w:rPr>
  </w:style>
  <w:style w:type="paragraph" w:styleId="Title">
    <w:name w:val="Title"/>
    <w:basedOn w:val="Normal"/>
    <w:next w:val="Normal"/>
    <w:link w:val="TitleChar"/>
    <w:uiPriority w:val="10"/>
    <w:qFormat/>
    <w:rsid w:val="008445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45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45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45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4553"/>
    <w:pPr>
      <w:spacing w:before="160"/>
      <w:jc w:val="center"/>
    </w:pPr>
    <w:rPr>
      <w:i/>
      <w:iCs/>
      <w:color w:val="404040" w:themeColor="text1" w:themeTint="BF"/>
    </w:rPr>
  </w:style>
  <w:style w:type="character" w:customStyle="1" w:styleId="QuoteChar">
    <w:name w:val="Quote Char"/>
    <w:basedOn w:val="DefaultParagraphFont"/>
    <w:link w:val="Quote"/>
    <w:uiPriority w:val="29"/>
    <w:rsid w:val="00844553"/>
    <w:rPr>
      <w:i/>
      <w:iCs/>
      <w:color w:val="404040" w:themeColor="text1" w:themeTint="BF"/>
    </w:rPr>
  </w:style>
  <w:style w:type="paragraph" w:styleId="ListParagraph">
    <w:name w:val="List Paragraph"/>
    <w:basedOn w:val="Normal"/>
    <w:uiPriority w:val="34"/>
    <w:qFormat/>
    <w:rsid w:val="00844553"/>
    <w:pPr>
      <w:ind w:left="720"/>
      <w:contextualSpacing/>
    </w:pPr>
  </w:style>
  <w:style w:type="character" w:styleId="IntenseEmphasis">
    <w:name w:val="Intense Emphasis"/>
    <w:basedOn w:val="DefaultParagraphFont"/>
    <w:uiPriority w:val="21"/>
    <w:qFormat/>
    <w:rsid w:val="00844553"/>
    <w:rPr>
      <w:i/>
      <w:iCs/>
      <w:color w:val="0F4761" w:themeColor="accent1" w:themeShade="BF"/>
    </w:rPr>
  </w:style>
  <w:style w:type="paragraph" w:styleId="IntenseQuote">
    <w:name w:val="Intense Quote"/>
    <w:basedOn w:val="Normal"/>
    <w:next w:val="Normal"/>
    <w:link w:val="IntenseQuoteChar"/>
    <w:uiPriority w:val="30"/>
    <w:qFormat/>
    <w:rsid w:val="008445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4553"/>
    <w:rPr>
      <w:i/>
      <w:iCs/>
      <w:color w:val="0F4761" w:themeColor="accent1" w:themeShade="BF"/>
    </w:rPr>
  </w:style>
  <w:style w:type="character" w:styleId="IntenseReference">
    <w:name w:val="Intense Reference"/>
    <w:basedOn w:val="DefaultParagraphFont"/>
    <w:uiPriority w:val="32"/>
    <w:qFormat/>
    <w:rsid w:val="00844553"/>
    <w:rPr>
      <w:b/>
      <w:bCs/>
      <w:smallCaps/>
      <w:color w:val="0F4761" w:themeColor="accent1" w:themeShade="BF"/>
      <w:spacing w:val="5"/>
    </w:rPr>
  </w:style>
  <w:style w:type="character" w:customStyle="1" w:styleId="Marker">
    <w:name w:val="Marker"/>
    <w:basedOn w:val="DefaultParagraphFont"/>
    <w:rsid w:val="002D334A"/>
    <w:rPr>
      <w:color w:val="0000FF"/>
      <w:shd w:val="clear" w:color="auto" w:fill="auto"/>
    </w:rPr>
  </w:style>
  <w:style w:type="paragraph" w:styleId="Header">
    <w:name w:val="header"/>
    <w:basedOn w:val="Normal"/>
    <w:link w:val="HeaderChar"/>
    <w:uiPriority w:val="99"/>
    <w:unhideWhenUsed/>
    <w:rsid w:val="002D33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334A"/>
  </w:style>
  <w:style w:type="paragraph" w:styleId="Footer">
    <w:name w:val="footer"/>
    <w:basedOn w:val="Normal"/>
    <w:link w:val="FooterChar"/>
    <w:uiPriority w:val="99"/>
    <w:unhideWhenUsed/>
    <w:rsid w:val="002D33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334A"/>
  </w:style>
  <w:style w:type="paragraph" w:customStyle="1" w:styleId="Pagedecouverture">
    <w:name w:val="Page de couverture"/>
    <w:basedOn w:val="Normal"/>
    <w:next w:val="Normal"/>
    <w:rsid w:val="002D334A"/>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2D334A"/>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2D334A"/>
    <w:rPr>
      <w:rFonts w:ascii="Times New Roman" w:hAnsi="Times New Roman" w:cs="Times New Roman"/>
      <w:sz w:val="24"/>
    </w:rPr>
  </w:style>
  <w:style w:type="paragraph" w:customStyle="1" w:styleId="FooterSensitivity">
    <w:name w:val="Footer Sensitivity"/>
    <w:basedOn w:val="Normal"/>
    <w:link w:val="FooterSensitivityChar"/>
    <w:rsid w:val="002D334A"/>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D334A"/>
    <w:rPr>
      <w:rFonts w:ascii="Times New Roman" w:hAnsi="Times New Roman" w:cs="Times New Roman"/>
      <w:b/>
      <w:sz w:val="32"/>
    </w:rPr>
  </w:style>
  <w:style w:type="paragraph" w:customStyle="1" w:styleId="HeaderCoverPage">
    <w:name w:val="Header Cover Page"/>
    <w:basedOn w:val="Normal"/>
    <w:link w:val="HeaderCoverPageChar"/>
    <w:rsid w:val="002D334A"/>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D334A"/>
    <w:rPr>
      <w:rFonts w:ascii="Times New Roman" w:hAnsi="Times New Roman" w:cs="Times New Roman"/>
      <w:sz w:val="24"/>
    </w:rPr>
  </w:style>
  <w:style w:type="paragraph" w:customStyle="1" w:styleId="HeaderSensitivity">
    <w:name w:val="Header Sensitivity"/>
    <w:basedOn w:val="Normal"/>
    <w:link w:val="HeaderSensitivityChar"/>
    <w:rsid w:val="002D334A"/>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D334A"/>
    <w:rPr>
      <w:rFonts w:ascii="Times New Roman" w:hAnsi="Times New Roman" w:cs="Times New Roman"/>
      <w:b/>
      <w:sz w:val="32"/>
    </w:rPr>
  </w:style>
  <w:style w:type="paragraph" w:customStyle="1" w:styleId="HeaderSensitivityRight">
    <w:name w:val="Header Sensitivity Right"/>
    <w:basedOn w:val="Normal"/>
    <w:link w:val="HeaderSensitivityRightChar"/>
    <w:rsid w:val="002D334A"/>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D334A"/>
    <w:rPr>
      <w:rFonts w:ascii="Times New Roman" w:hAnsi="Times New Roman" w:cs="Times New Roman"/>
      <w:sz w:val="28"/>
    </w:rPr>
  </w:style>
  <w:style w:type="paragraph" w:styleId="Revision">
    <w:name w:val="Revision"/>
    <w:hidden/>
    <w:uiPriority w:val="99"/>
    <w:semiHidden/>
    <w:rsid w:val="002D334A"/>
    <w:pPr>
      <w:spacing w:after="0" w:line="240" w:lineRule="auto"/>
    </w:pPr>
  </w:style>
  <w:style w:type="character" w:styleId="CommentReference">
    <w:name w:val="annotation reference"/>
    <w:basedOn w:val="DefaultParagraphFont"/>
    <w:uiPriority w:val="99"/>
    <w:semiHidden/>
    <w:unhideWhenUsed/>
    <w:rsid w:val="00DE57F3"/>
    <w:rPr>
      <w:sz w:val="16"/>
      <w:szCs w:val="16"/>
    </w:rPr>
  </w:style>
  <w:style w:type="paragraph" w:styleId="CommentText">
    <w:name w:val="annotation text"/>
    <w:basedOn w:val="Normal"/>
    <w:link w:val="CommentTextChar"/>
    <w:uiPriority w:val="99"/>
    <w:unhideWhenUsed/>
    <w:rsid w:val="00DE57F3"/>
    <w:pPr>
      <w:spacing w:line="240" w:lineRule="auto"/>
    </w:pPr>
    <w:rPr>
      <w:sz w:val="20"/>
      <w:szCs w:val="20"/>
    </w:rPr>
  </w:style>
  <w:style w:type="character" w:customStyle="1" w:styleId="CommentTextChar">
    <w:name w:val="Comment Text Char"/>
    <w:basedOn w:val="DefaultParagraphFont"/>
    <w:link w:val="CommentText"/>
    <w:uiPriority w:val="99"/>
    <w:rsid w:val="00DE57F3"/>
    <w:rPr>
      <w:sz w:val="20"/>
      <w:szCs w:val="20"/>
    </w:rPr>
  </w:style>
  <w:style w:type="paragraph" w:styleId="CommentSubject">
    <w:name w:val="annotation subject"/>
    <w:basedOn w:val="CommentText"/>
    <w:next w:val="CommentText"/>
    <w:link w:val="CommentSubjectChar"/>
    <w:uiPriority w:val="99"/>
    <w:semiHidden/>
    <w:unhideWhenUsed/>
    <w:rsid w:val="00DE57F3"/>
    <w:rPr>
      <w:b/>
      <w:bCs/>
    </w:rPr>
  </w:style>
  <w:style w:type="character" w:customStyle="1" w:styleId="CommentSubjectChar">
    <w:name w:val="Comment Subject Char"/>
    <w:basedOn w:val="CommentTextChar"/>
    <w:link w:val="CommentSubject"/>
    <w:uiPriority w:val="99"/>
    <w:semiHidden/>
    <w:rsid w:val="00DE57F3"/>
    <w:rPr>
      <w:b/>
      <w:bCs/>
      <w:sz w:val="20"/>
      <w:szCs w:val="20"/>
    </w:rPr>
  </w:style>
  <w:style w:type="paragraph" w:styleId="FootnoteText">
    <w:name w:val="footnote text"/>
    <w:basedOn w:val="Normal"/>
    <w:uiPriority w:val="99"/>
    <w:semiHidden/>
    <w:unhideWhenUsed/>
    <w:rsid w:val="00A87FF4"/>
    <w:pPr>
      <w:spacing w:after="0" w:line="240" w:lineRule="auto"/>
    </w:pPr>
    <w:rPr>
      <w:sz w:val="20"/>
      <w:szCs w:val="20"/>
    </w:rPr>
  </w:style>
  <w:style w:type="character" w:customStyle="1" w:styleId="FootnoteTextChar">
    <w:name w:val="Footnote Text Char"/>
    <w:basedOn w:val="DefaultParagraphFont"/>
    <w:uiPriority w:val="99"/>
    <w:semiHidden/>
    <w:rsid w:val="00A87FF4"/>
    <w:rPr>
      <w:sz w:val="20"/>
      <w:szCs w:val="20"/>
    </w:rPr>
  </w:style>
  <w:style w:type="character" w:styleId="FootnoteReference">
    <w:name w:val="footnote reference"/>
    <w:basedOn w:val="DefaultParagraphFont"/>
    <w:uiPriority w:val="99"/>
    <w:semiHidden/>
    <w:unhideWhenUsed/>
    <w:rsid w:val="00A87FF4"/>
    <w:rPr>
      <w:vertAlign w:val="superscript"/>
    </w:rPr>
  </w:style>
  <w:style w:type="character" w:styleId="Hyperlink">
    <w:name w:val="Hyperlink"/>
    <w:basedOn w:val="DefaultParagraphFont"/>
    <w:uiPriority w:val="99"/>
    <w:unhideWhenUsed/>
    <w:rsid w:val="00FC2684"/>
    <w:rPr>
      <w:color w:val="467886" w:themeColor="hyperlink"/>
      <w:u w:val="single"/>
    </w:rPr>
  </w:style>
  <w:style w:type="character" w:customStyle="1" w:styleId="UnresolvedMention1">
    <w:name w:val="Unresolved Mention1"/>
    <w:basedOn w:val="DefaultParagraphFont"/>
    <w:uiPriority w:val="99"/>
    <w:semiHidden/>
    <w:unhideWhenUsed/>
    <w:rsid w:val="00FC26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488579">
      <w:bodyDiv w:val="1"/>
      <w:marLeft w:val="0"/>
      <w:marRight w:val="0"/>
      <w:marTop w:val="0"/>
      <w:marBottom w:val="0"/>
      <w:divBdr>
        <w:top w:val="none" w:sz="0" w:space="0" w:color="auto"/>
        <w:left w:val="none" w:sz="0" w:space="0" w:color="auto"/>
        <w:bottom w:val="none" w:sz="0" w:space="0" w:color="auto"/>
        <w:right w:val="none" w:sz="0" w:space="0" w:color="auto"/>
      </w:divBdr>
      <w:divsChild>
        <w:div w:id="1724210443">
          <w:marLeft w:val="0"/>
          <w:marRight w:val="0"/>
          <w:marTop w:val="240"/>
          <w:marBottom w:val="240"/>
          <w:divBdr>
            <w:top w:val="none" w:sz="0" w:space="0" w:color="auto"/>
            <w:left w:val="none" w:sz="0" w:space="0" w:color="auto"/>
            <w:bottom w:val="none" w:sz="0" w:space="0" w:color="auto"/>
            <w:right w:val="none" w:sz="0" w:space="0" w:color="auto"/>
          </w:divBdr>
        </w:div>
        <w:div w:id="301078425">
          <w:marLeft w:val="0"/>
          <w:marRight w:val="0"/>
          <w:marTop w:val="450"/>
          <w:marBottom w:val="240"/>
          <w:divBdr>
            <w:top w:val="none" w:sz="0" w:space="0" w:color="auto"/>
            <w:left w:val="none" w:sz="0" w:space="0" w:color="auto"/>
            <w:bottom w:val="none" w:sz="0" w:space="0" w:color="auto"/>
            <w:right w:val="none" w:sz="0" w:space="0" w:color="auto"/>
          </w:divBdr>
        </w:div>
        <w:div w:id="1190145014">
          <w:marLeft w:val="0"/>
          <w:marRight w:val="0"/>
          <w:marTop w:val="240"/>
          <w:marBottom w:val="240"/>
          <w:divBdr>
            <w:top w:val="none" w:sz="0" w:space="0" w:color="auto"/>
            <w:left w:val="none" w:sz="0" w:space="0" w:color="auto"/>
            <w:bottom w:val="none" w:sz="0" w:space="0" w:color="auto"/>
            <w:right w:val="none" w:sz="0" w:space="0" w:color="auto"/>
          </w:divBdr>
        </w:div>
      </w:divsChild>
    </w:div>
    <w:div w:id="573779671">
      <w:bodyDiv w:val="1"/>
      <w:marLeft w:val="0"/>
      <w:marRight w:val="0"/>
      <w:marTop w:val="0"/>
      <w:marBottom w:val="0"/>
      <w:divBdr>
        <w:top w:val="none" w:sz="0" w:space="0" w:color="auto"/>
        <w:left w:val="none" w:sz="0" w:space="0" w:color="auto"/>
        <w:bottom w:val="none" w:sz="0" w:space="0" w:color="auto"/>
        <w:right w:val="none" w:sz="0" w:space="0" w:color="auto"/>
      </w:divBdr>
    </w:div>
    <w:div w:id="976491010">
      <w:bodyDiv w:val="1"/>
      <w:marLeft w:val="0"/>
      <w:marRight w:val="0"/>
      <w:marTop w:val="0"/>
      <w:marBottom w:val="0"/>
      <w:divBdr>
        <w:top w:val="none" w:sz="0" w:space="0" w:color="auto"/>
        <w:left w:val="none" w:sz="0" w:space="0" w:color="auto"/>
        <w:bottom w:val="none" w:sz="0" w:space="0" w:color="auto"/>
        <w:right w:val="none" w:sz="0" w:space="0" w:color="auto"/>
      </w:divBdr>
      <w:divsChild>
        <w:div w:id="1202282758">
          <w:marLeft w:val="0"/>
          <w:marRight w:val="0"/>
          <w:marTop w:val="450"/>
          <w:marBottom w:val="240"/>
          <w:divBdr>
            <w:top w:val="none" w:sz="0" w:space="0" w:color="auto"/>
            <w:left w:val="none" w:sz="0" w:space="0" w:color="auto"/>
            <w:bottom w:val="none" w:sz="0" w:space="0" w:color="auto"/>
            <w:right w:val="none" w:sz="0" w:space="0" w:color="auto"/>
          </w:divBdr>
        </w:div>
        <w:div w:id="1213730746">
          <w:marLeft w:val="0"/>
          <w:marRight w:val="0"/>
          <w:marTop w:val="240"/>
          <w:marBottom w:val="240"/>
          <w:divBdr>
            <w:top w:val="none" w:sz="0" w:space="0" w:color="auto"/>
            <w:left w:val="none" w:sz="0" w:space="0" w:color="auto"/>
            <w:bottom w:val="none" w:sz="0" w:space="0" w:color="auto"/>
            <w:right w:val="none" w:sz="0" w:space="0" w:color="auto"/>
          </w:divBdr>
        </w:div>
        <w:div w:id="1336835546">
          <w:marLeft w:val="0"/>
          <w:marRight w:val="0"/>
          <w:marTop w:val="240"/>
          <w:marBottom w:val="240"/>
          <w:divBdr>
            <w:top w:val="none" w:sz="0" w:space="0" w:color="auto"/>
            <w:left w:val="none" w:sz="0" w:space="0" w:color="auto"/>
            <w:bottom w:val="none" w:sz="0" w:space="0" w:color="auto"/>
            <w:right w:val="none" w:sz="0" w:space="0" w:color="auto"/>
          </w:divBdr>
        </w:div>
        <w:div w:id="1005404730">
          <w:marLeft w:val="0"/>
          <w:marRight w:val="0"/>
          <w:marTop w:val="240"/>
          <w:marBottom w:val="240"/>
          <w:divBdr>
            <w:top w:val="none" w:sz="0" w:space="0" w:color="auto"/>
            <w:left w:val="none" w:sz="0" w:space="0" w:color="auto"/>
            <w:bottom w:val="none" w:sz="0" w:space="0" w:color="auto"/>
            <w:right w:val="none" w:sz="0" w:space="0" w:color="auto"/>
          </w:divBdr>
        </w:div>
      </w:divsChild>
    </w:div>
    <w:div w:id="990476061">
      <w:bodyDiv w:val="1"/>
      <w:marLeft w:val="0"/>
      <w:marRight w:val="0"/>
      <w:marTop w:val="0"/>
      <w:marBottom w:val="0"/>
      <w:divBdr>
        <w:top w:val="none" w:sz="0" w:space="0" w:color="auto"/>
        <w:left w:val="none" w:sz="0" w:space="0" w:color="auto"/>
        <w:bottom w:val="none" w:sz="0" w:space="0" w:color="auto"/>
        <w:right w:val="none" w:sz="0" w:space="0" w:color="auto"/>
      </w:divBdr>
      <w:divsChild>
        <w:div w:id="1808627498">
          <w:marLeft w:val="0"/>
          <w:marRight w:val="0"/>
          <w:marTop w:val="240"/>
          <w:marBottom w:val="240"/>
          <w:divBdr>
            <w:top w:val="none" w:sz="0" w:space="0" w:color="auto"/>
            <w:left w:val="none" w:sz="0" w:space="0" w:color="auto"/>
            <w:bottom w:val="none" w:sz="0" w:space="0" w:color="auto"/>
            <w:right w:val="none" w:sz="0" w:space="0" w:color="auto"/>
          </w:divBdr>
        </w:div>
      </w:divsChild>
    </w:div>
    <w:div w:id="1004674740">
      <w:bodyDiv w:val="1"/>
      <w:marLeft w:val="0"/>
      <w:marRight w:val="0"/>
      <w:marTop w:val="0"/>
      <w:marBottom w:val="0"/>
      <w:divBdr>
        <w:top w:val="none" w:sz="0" w:space="0" w:color="auto"/>
        <w:left w:val="none" w:sz="0" w:space="0" w:color="auto"/>
        <w:bottom w:val="none" w:sz="0" w:space="0" w:color="auto"/>
        <w:right w:val="none" w:sz="0" w:space="0" w:color="auto"/>
      </w:divBdr>
      <w:divsChild>
        <w:div w:id="1356424313">
          <w:marLeft w:val="0"/>
          <w:marRight w:val="0"/>
          <w:marTop w:val="450"/>
          <w:marBottom w:val="240"/>
          <w:divBdr>
            <w:top w:val="none" w:sz="0" w:space="0" w:color="auto"/>
            <w:left w:val="none" w:sz="0" w:space="0" w:color="auto"/>
            <w:bottom w:val="none" w:sz="0" w:space="0" w:color="auto"/>
            <w:right w:val="none" w:sz="0" w:space="0" w:color="auto"/>
          </w:divBdr>
        </w:div>
        <w:div w:id="216624900">
          <w:marLeft w:val="0"/>
          <w:marRight w:val="0"/>
          <w:marTop w:val="240"/>
          <w:marBottom w:val="240"/>
          <w:divBdr>
            <w:top w:val="none" w:sz="0" w:space="0" w:color="auto"/>
            <w:left w:val="none" w:sz="0" w:space="0" w:color="auto"/>
            <w:bottom w:val="none" w:sz="0" w:space="0" w:color="auto"/>
            <w:right w:val="none" w:sz="0" w:space="0" w:color="auto"/>
          </w:divBdr>
        </w:div>
        <w:div w:id="339937004">
          <w:marLeft w:val="0"/>
          <w:marRight w:val="0"/>
          <w:marTop w:val="240"/>
          <w:marBottom w:val="240"/>
          <w:divBdr>
            <w:top w:val="none" w:sz="0" w:space="0" w:color="auto"/>
            <w:left w:val="none" w:sz="0" w:space="0" w:color="auto"/>
            <w:bottom w:val="none" w:sz="0" w:space="0" w:color="auto"/>
            <w:right w:val="none" w:sz="0" w:space="0" w:color="auto"/>
          </w:divBdr>
        </w:div>
        <w:div w:id="447238758">
          <w:marLeft w:val="0"/>
          <w:marRight w:val="0"/>
          <w:marTop w:val="240"/>
          <w:marBottom w:val="240"/>
          <w:divBdr>
            <w:top w:val="none" w:sz="0" w:space="0" w:color="auto"/>
            <w:left w:val="none" w:sz="0" w:space="0" w:color="auto"/>
            <w:bottom w:val="none" w:sz="0" w:space="0" w:color="auto"/>
            <w:right w:val="none" w:sz="0" w:space="0" w:color="auto"/>
          </w:divBdr>
        </w:div>
      </w:divsChild>
    </w:div>
    <w:div w:id="1214539524">
      <w:bodyDiv w:val="1"/>
      <w:marLeft w:val="0"/>
      <w:marRight w:val="0"/>
      <w:marTop w:val="0"/>
      <w:marBottom w:val="0"/>
      <w:divBdr>
        <w:top w:val="none" w:sz="0" w:space="0" w:color="auto"/>
        <w:left w:val="none" w:sz="0" w:space="0" w:color="auto"/>
        <w:bottom w:val="none" w:sz="0" w:space="0" w:color="auto"/>
        <w:right w:val="none" w:sz="0" w:space="0" w:color="auto"/>
      </w:divBdr>
      <w:divsChild>
        <w:div w:id="1081291134">
          <w:marLeft w:val="0"/>
          <w:marRight w:val="0"/>
          <w:marTop w:val="240"/>
          <w:marBottom w:val="240"/>
          <w:divBdr>
            <w:top w:val="none" w:sz="0" w:space="0" w:color="auto"/>
            <w:left w:val="none" w:sz="0" w:space="0" w:color="auto"/>
            <w:bottom w:val="none" w:sz="0" w:space="0" w:color="auto"/>
            <w:right w:val="none" w:sz="0" w:space="0" w:color="auto"/>
          </w:divBdr>
        </w:div>
      </w:divsChild>
    </w:div>
    <w:div w:id="1260793873">
      <w:bodyDiv w:val="1"/>
      <w:marLeft w:val="0"/>
      <w:marRight w:val="0"/>
      <w:marTop w:val="0"/>
      <w:marBottom w:val="0"/>
      <w:divBdr>
        <w:top w:val="none" w:sz="0" w:space="0" w:color="auto"/>
        <w:left w:val="none" w:sz="0" w:space="0" w:color="auto"/>
        <w:bottom w:val="none" w:sz="0" w:space="0" w:color="auto"/>
        <w:right w:val="none" w:sz="0" w:space="0" w:color="auto"/>
      </w:divBdr>
      <w:divsChild>
        <w:div w:id="962689296">
          <w:marLeft w:val="0"/>
          <w:marRight w:val="0"/>
          <w:marTop w:val="450"/>
          <w:marBottom w:val="240"/>
          <w:divBdr>
            <w:top w:val="none" w:sz="0" w:space="0" w:color="auto"/>
            <w:left w:val="none" w:sz="0" w:space="0" w:color="auto"/>
            <w:bottom w:val="none" w:sz="0" w:space="0" w:color="auto"/>
            <w:right w:val="none" w:sz="0" w:space="0" w:color="auto"/>
          </w:divBdr>
        </w:div>
        <w:div w:id="43799593">
          <w:marLeft w:val="0"/>
          <w:marRight w:val="0"/>
          <w:marTop w:val="240"/>
          <w:marBottom w:val="240"/>
          <w:divBdr>
            <w:top w:val="none" w:sz="0" w:space="0" w:color="auto"/>
            <w:left w:val="none" w:sz="0" w:space="0" w:color="auto"/>
            <w:bottom w:val="none" w:sz="0" w:space="0" w:color="auto"/>
            <w:right w:val="none" w:sz="0" w:space="0" w:color="auto"/>
          </w:divBdr>
        </w:div>
      </w:divsChild>
    </w:div>
    <w:div w:id="1413162888">
      <w:bodyDiv w:val="1"/>
      <w:marLeft w:val="0"/>
      <w:marRight w:val="0"/>
      <w:marTop w:val="0"/>
      <w:marBottom w:val="0"/>
      <w:divBdr>
        <w:top w:val="none" w:sz="0" w:space="0" w:color="auto"/>
        <w:left w:val="none" w:sz="0" w:space="0" w:color="auto"/>
        <w:bottom w:val="none" w:sz="0" w:space="0" w:color="auto"/>
        <w:right w:val="none" w:sz="0" w:space="0" w:color="auto"/>
      </w:divBdr>
      <w:divsChild>
        <w:div w:id="961767485">
          <w:marLeft w:val="0"/>
          <w:marRight w:val="0"/>
          <w:marTop w:val="450"/>
          <w:marBottom w:val="240"/>
          <w:divBdr>
            <w:top w:val="none" w:sz="0" w:space="0" w:color="auto"/>
            <w:left w:val="none" w:sz="0" w:space="0" w:color="auto"/>
            <w:bottom w:val="none" w:sz="0" w:space="0" w:color="auto"/>
            <w:right w:val="none" w:sz="0" w:space="0" w:color="auto"/>
          </w:divBdr>
        </w:div>
        <w:div w:id="47455563">
          <w:marLeft w:val="0"/>
          <w:marRight w:val="0"/>
          <w:marTop w:val="240"/>
          <w:marBottom w:val="240"/>
          <w:divBdr>
            <w:top w:val="none" w:sz="0" w:space="0" w:color="auto"/>
            <w:left w:val="none" w:sz="0" w:space="0" w:color="auto"/>
            <w:bottom w:val="none" w:sz="0" w:space="0" w:color="auto"/>
            <w:right w:val="none" w:sz="0" w:space="0" w:color="auto"/>
          </w:divBdr>
        </w:div>
      </w:divsChild>
    </w:div>
    <w:div w:id="1556892130">
      <w:bodyDiv w:val="1"/>
      <w:marLeft w:val="0"/>
      <w:marRight w:val="0"/>
      <w:marTop w:val="0"/>
      <w:marBottom w:val="0"/>
      <w:divBdr>
        <w:top w:val="none" w:sz="0" w:space="0" w:color="auto"/>
        <w:left w:val="none" w:sz="0" w:space="0" w:color="auto"/>
        <w:bottom w:val="none" w:sz="0" w:space="0" w:color="auto"/>
        <w:right w:val="none" w:sz="0" w:space="0" w:color="auto"/>
      </w:divBdr>
      <w:divsChild>
        <w:div w:id="1292902181">
          <w:marLeft w:val="0"/>
          <w:marRight w:val="0"/>
          <w:marTop w:val="450"/>
          <w:marBottom w:val="240"/>
          <w:divBdr>
            <w:top w:val="none" w:sz="0" w:space="0" w:color="auto"/>
            <w:left w:val="none" w:sz="0" w:space="0" w:color="auto"/>
            <w:bottom w:val="none" w:sz="0" w:space="0" w:color="auto"/>
            <w:right w:val="none" w:sz="0" w:space="0" w:color="auto"/>
          </w:divBdr>
        </w:div>
        <w:div w:id="1296791289">
          <w:marLeft w:val="0"/>
          <w:marRight w:val="0"/>
          <w:marTop w:val="240"/>
          <w:marBottom w:val="240"/>
          <w:divBdr>
            <w:top w:val="none" w:sz="0" w:space="0" w:color="auto"/>
            <w:left w:val="none" w:sz="0" w:space="0" w:color="auto"/>
            <w:bottom w:val="none" w:sz="0" w:space="0" w:color="auto"/>
            <w:right w:val="none" w:sz="0" w:space="0" w:color="auto"/>
          </w:divBdr>
        </w:div>
      </w:divsChild>
    </w:div>
    <w:div w:id="1561405199">
      <w:bodyDiv w:val="1"/>
      <w:marLeft w:val="0"/>
      <w:marRight w:val="0"/>
      <w:marTop w:val="0"/>
      <w:marBottom w:val="0"/>
      <w:divBdr>
        <w:top w:val="none" w:sz="0" w:space="0" w:color="auto"/>
        <w:left w:val="none" w:sz="0" w:space="0" w:color="auto"/>
        <w:bottom w:val="none" w:sz="0" w:space="0" w:color="auto"/>
        <w:right w:val="none" w:sz="0" w:space="0" w:color="auto"/>
      </w:divBdr>
      <w:divsChild>
        <w:div w:id="261425612">
          <w:marLeft w:val="0"/>
          <w:marRight w:val="0"/>
          <w:marTop w:val="450"/>
          <w:marBottom w:val="240"/>
          <w:divBdr>
            <w:top w:val="none" w:sz="0" w:space="0" w:color="auto"/>
            <w:left w:val="none" w:sz="0" w:space="0" w:color="auto"/>
            <w:bottom w:val="none" w:sz="0" w:space="0" w:color="auto"/>
            <w:right w:val="none" w:sz="0" w:space="0" w:color="auto"/>
          </w:divBdr>
        </w:div>
        <w:div w:id="1531840831">
          <w:marLeft w:val="0"/>
          <w:marRight w:val="0"/>
          <w:marTop w:val="240"/>
          <w:marBottom w:val="240"/>
          <w:divBdr>
            <w:top w:val="none" w:sz="0" w:space="0" w:color="auto"/>
            <w:left w:val="none" w:sz="0" w:space="0" w:color="auto"/>
            <w:bottom w:val="none" w:sz="0" w:space="0" w:color="auto"/>
            <w:right w:val="none" w:sz="0" w:space="0" w:color="auto"/>
          </w:divBdr>
        </w:div>
      </w:divsChild>
    </w:div>
    <w:div w:id="1777753826">
      <w:bodyDiv w:val="1"/>
      <w:marLeft w:val="0"/>
      <w:marRight w:val="0"/>
      <w:marTop w:val="0"/>
      <w:marBottom w:val="0"/>
      <w:divBdr>
        <w:top w:val="none" w:sz="0" w:space="0" w:color="auto"/>
        <w:left w:val="none" w:sz="0" w:space="0" w:color="auto"/>
        <w:bottom w:val="none" w:sz="0" w:space="0" w:color="auto"/>
        <w:right w:val="none" w:sz="0" w:space="0" w:color="auto"/>
      </w:divBdr>
      <w:divsChild>
        <w:div w:id="1300456390">
          <w:marLeft w:val="0"/>
          <w:marRight w:val="0"/>
          <w:marTop w:val="240"/>
          <w:marBottom w:val="240"/>
          <w:divBdr>
            <w:top w:val="none" w:sz="0" w:space="0" w:color="auto"/>
            <w:left w:val="none" w:sz="0" w:space="0" w:color="auto"/>
            <w:bottom w:val="none" w:sz="0" w:space="0" w:color="auto"/>
            <w:right w:val="none" w:sz="0" w:space="0" w:color="auto"/>
          </w:divBdr>
        </w:div>
        <w:div w:id="1103190870">
          <w:marLeft w:val="0"/>
          <w:marRight w:val="0"/>
          <w:marTop w:val="450"/>
          <w:marBottom w:val="240"/>
          <w:divBdr>
            <w:top w:val="none" w:sz="0" w:space="0" w:color="auto"/>
            <w:left w:val="none" w:sz="0" w:space="0" w:color="auto"/>
            <w:bottom w:val="none" w:sz="0" w:space="0" w:color="auto"/>
            <w:right w:val="none" w:sz="0" w:space="0" w:color="auto"/>
          </w:divBdr>
        </w:div>
        <w:div w:id="508833808">
          <w:marLeft w:val="0"/>
          <w:marRight w:val="0"/>
          <w:marTop w:val="240"/>
          <w:marBottom w:val="240"/>
          <w:divBdr>
            <w:top w:val="none" w:sz="0" w:space="0" w:color="auto"/>
            <w:left w:val="none" w:sz="0" w:space="0" w:color="auto"/>
            <w:bottom w:val="none" w:sz="0" w:space="0" w:color="auto"/>
            <w:right w:val="none" w:sz="0" w:space="0" w:color="auto"/>
          </w:divBdr>
        </w:div>
      </w:divsChild>
    </w:div>
    <w:div w:id="1976829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5011E2-9572-42EA-8F67-2BA4098A6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1301</Words>
  <Characters>6849</Characters>
  <Application>Microsoft Office Word</Application>
  <DocSecurity>0</DocSecurity>
  <Lines>116</Lines>
  <Paragraphs>42</Paragraphs>
  <ScaleCrop>false</ScaleCrop>
  <Manager/>
  <Company/>
  <LinksUpToDate>false</LinksUpToDate>
  <CharactersWithSpaces>8108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STASZAK Anna (SG)</cp:lastModifiedBy>
  <cp:revision>3</cp:revision>
  <dcterms:created xsi:type="dcterms:W3CDTF">2026-05-20T08:09:00Z</dcterms:created>
  <dcterms:modified xsi:type="dcterms:W3CDTF">2026-05-20T08:11:00Z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2026-03-13T12:49:47Z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20f16dfd-4a17-4dc6-856d-a29ae7387224</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CP-006</vt:lpwstr>
  </property>
</Properties>
</file>