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4E7" w:rsidRPr="00644FC1" w:rsidRDefault="003D7809" w:rsidP="003D780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144A388-C0BD-4758-A940-F220C4D87EED" style="width:455.25pt;height:426.75pt">
            <v:imagedata r:id="rId8" o:title=""/>
          </v:shape>
        </w:pict>
      </w:r>
    </w:p>
    <w:p w:rsidR="00590E5F" w:rsidRPr="00644FC1" w:rsidRDefault="00590E5F" w:rsidP="00590E5F">
      <w:pPr>
        <w:pStyle w:val="Pagedecouverture"/>
        <w:rPr>
          <w:noProof/>
        </w:rPr>
        <w:sectPr w:rsidR="00590E5F" w:rsidRPr="00644FC1" w:rsidSect="003D7809">
          <w:footerReference w:type="even" r:id="rId9"/>
          <w:footerReference w:type="default" r:id="rId10"/>
          <w:pgSz w:w="11907" w:h="16839"/>
          <w:pgMar w:top="1134" w:right="1417" w:bottom="1134" w:left="1417" w:header="709" w:footer="709" w:gutter="0"/>
          <w:pgNumType w:start="0"/>
          <w:cols w:space="720"/>
          <w:docGrid w:linePitch="360"/>
        </w:sectPr>
      </w:pPr>
    </w:p>
    <w:p w:rsidR="00CB1997" w:rsidRPr="00644FC1" w:rsidRDefault="00CB1997" w:rsidP="005B6ACF">
      <w:pPr>
        <w:pStyle w:val="Exposdesmotifstitre"/>
        <w:rPr>
          <w:noProof/>
        </w:rPr>
      </w:pPr>
      <w:bookmarkStart w:id="0" w:name="_GoBack"/>
      <w:bookmarkEnd w:id="0"/>
      <w:r w:rsidRPr="00644FC1">
        <w:rPr>
          <w:noProof/>
        </w:rPr>
        <w:lastRenderedPageBreak/>
        <w:t>EXPUNERE DE MOTIVE</w:t>
      </w:r>
    </w:p>
    <w:p w:rsidR="00CB1997" w:rsidRPr="00644FC1" w:rsidRDefault="00CB1997" w:rsidP="00D803CA">
      <w:pPr>
        <w:pStyle w:val="ManualHeading1"/>
        <w:rPr>
          <w:rFonts w:eastAsia="Arial Unicode MS"/>
          <w:noProof/>
        </w:rPr>
      </w:pPr>
      <w:r>
        <w:rPr>
          <w:noProof/>
        </w:rPr>
        <w:t>1.</w:t>
      </w:r>
      <w:r>
        <w:rPr>
          <w:noProof/>
        </w:rPr>
        <w:tab/>
      </w:r>
      <w:r w:rsidRPr="00644FC1">
        <w:rPr>
          <w:noProof/>
        </w:rPr>
        <w:t>Obiectul propunerii</w:t>
      </w:r>
    </w:p>
    <w:p w:rsidR="00CB1997" w:rsidRPr="00644FC1" w:rsidRDefault="00415C41" w:rsidP="005B6ACF">
      <w:pPr>
        <w:rPr>
          <w:rFonts w:eastAsia="Arial Unicode MS"/>
          <w:noProof/>
        </w:rPr>
      </w:pPr>
      <w:r w:rsidRPr="00644FC1">
        <w:rPr>
          <w:noProof/>
        </w:rPr>
        <w:t>Prezenta propunere se referă la decizia de stabilire a poziției care urmează să fie luată în numele Uniunii cu ocazia celei de a 20-a reuniuni a Comitetului părților (</w:t>
      </w:r>
      <w:r w:rsidRPr="00644FC1">
        <w:rPr>
          <w:i/>
          <w:iCs/>
          <w:noProof/>
        </w:rPr>
        <w:t>Committee of the Parties</w:t>
      </w:r>
      <w:r w:rsidRPr="00644FC1">
        <w:rPr>
          <w:noProof/>
        </w:rPr>
        <w:t xml:space="preserve"> – „CoP” sau „comitetul”) la Convenția Consiliului Europei privind prevenirea și combaterea violenței împotriva femeilor și a violenței domestice („Convenția de la Istanbul” sau „convenția”) din 2 iunie 2026. Poziția se referă la (1) adoptarea preconizată de către comitet a nouă proiecte de concluzii adresate unui număr de nouă părți cu privire la punerea în aplicare a convenției și la (2) alegerea preconizată a cinci membri ai Grupului de experți în intervenția contra violenței împotriva femeilor și a violenței domestice („GREVIO”). </w:t>
      </w:r>
    </w:p>
    <w:p w:rsidR="00CB1997" w:rsidRPr="00644FC1" w:rsidRDefault="00CB1997" w:rsidP="005B6ACF">
      <w:pPr>
        <w:pStyle w:val="ManualHeading1"/>
        <w:rPr>
          <w:noProof/>
        </w:rPr>
      </w:pPr>
      <w:r>
        <w:rPr>
          <w:noProof/>
        </w:rPr>
        <w:t>2.</w:t>
      </w:r>
      <w:r>
        <w:rPr>
          <w:noProof/>
        </w:rPr>
        <w:tab/>
      </w:r>
      <w:r w:rsidRPr="00644FC1">
        <w:rPr>
          <w:noProof/>
        </w:rPr>
        <w:t>Contextul propunerii</w:t>
      </w:r>
    </w:p>
    <w:p w:rsidR="00CB1997" w:rsidRPr="00644FC1" w:rsidRDefault="00CB1997" w:rsidP="005B6ACF">
      <w:pPr>
        <w:pStyle w:val="ManualHeading2"/>
        <w:rPr>
          <w:noProof/>
        </w:rPr>
      </w:pPr>
      <w:r>
        <w:rPr>
          <w:noProof/>
        </w:rPr>
        <w:t>2.1.</w:t>
      </w:r>
      <w:r>
        <w:rPr>
          <w:noProof/>
        </w:rPr>
        <w:tab/>
      </w:r>
      <w:r w:rsidRPr="00644FC1">
        <w:rPr>
          <w:noProof/>
        </w:rPr>
        <w:t>Convenția de la Istanbul</w:t>
      </w:r>
    </w:p>
    <w:p w:rsidR="00415C41" w:rsidRPr="00644FC1" w:rsidRDefault="00415C41" w:rsidP="00415C41">
      <w:pPr>
        <w:ind w:left="-5" w:right="84"/>
        <w:rPr>
          <w:noProof/>
        </w:rPr>
      </w:pPr>
      <w:r w:rsidRPr="00644FC1">
        <w:rPr>
          <w:noProof/>
        </w:rPr>
        <w:t xml:space="preserve">Convenția de la Istanbul stabilește un set cuprinzător și armonizat de norme pentru prevenirea și combaterea violenței împotriva femeilor și a violenței domestice în Europa și în afara acesteia. Convenția a intrat în vigoare la 1 august 2014. </w:t>
      </w:r>
    </w:p>
    <w:p w:rsidR="00415C41" w:rsidRPr="00644FC1" w:rsidRDefault="00415C41" w:rsidP="00415C41">
      <w:pPr>
        <w:ind w:left="-5" w:right="84"/>
        <w:rPr>
          <w:noProof/>
        </w:rPr>
      </w:pPr>
      <w:r w:rsidRPr="00644FC1">
        <w:rPr>
          <w:noProof/>
        </w:rPr>
        <w:t>UE a semnat convenția în iunie 2017 și a finalizat procedura de aderare prin depunerea a două instrumente de aprobare la 28 iunie 2023, determinând intrarea în vigoare a convenției pentru UE la 1 octombrie 2023. UE a aderat la convenție în ceea ce privește aspectele care intră în sfera sa de competență exclusivă, și anume aspectele legate de instituțiile Uniunii și administrația publică a acesteia</w:t>
      </w:r>
      <w:r w:rsidRPr="00644FC1">
        <w:rPr>
          <w:rStyle w:val="FootnoteReference"/>
          <w:noProof/>
        </w:rPr>
        <w:footnoteReference w:id="1"/>
      </w:r>
      <w:r w:rsidRPr="00644FC1">
        <w:rPr>
          <w:noProof/>
        </w:rPr>
        <w:t xml:space="preserve"> și aspectele legate de cooperarea judiciară în materie penală, precum și în ceea ce privește azilul și nereturnarea</w:t>
      </w:r>
      <w:r w:rsidRPr="00644FC1">
        <w:rPr>
          <w:rStyle w:val="FootnoteReference"/>
          <w:noProof/>
        </w:rPr>
        <w:footnoteReference w:id="2"/>
      </w:r>
      <w:r w:rsidRPr="00644FC1">
        <w:rPr>
          <w:noProof/>
        </w:rPr>
        <w:t>. Toate statele membre ale UE au semnat convenția, iar 22 dintre acestea au ratificat-o</w:t>
      </w:r>
      <w:r w:rsidRPr="00644FC1">
        <w:rPr>
          <w:rStyle w:val="FootnoteReference"/>
          <w:noProof/>
        </w:rPr>
        <w:footnoteReference w:id="3"/>
      </w:r>
      <w:r w:rsidRPr="00644FC1">
        <w:rPr>
          <w:noProof/>
        </w:rPr>
        <w:t>.</w:t>
      </w:r>
      <w:r w:rsidRPr="00644FC1">
        <w:rPr>
          <w:b/>
          <w:noProof/>
        </w:rPr>
        <w:t xml:space="preserve"> </w:t>
      </w:r>
    </w:p>
    <w:p w:rsidR="00CB1997" w:rsidRPr="00644FC1" w:rsidRDefault="00415C41" w:rsidP="005B6ACF">
      <w:pPr>
        <w:pStyle w:val="ManualHeading2"/>
        <w:rPr>
          <w:noProof/>
        </w:rPr>
      </w:pPr>
      <w:r>
        <w:rPr>
          <w:noProof/>
        </w:rPr>
        <w:t>2.2.</w:t>
      </w:r>
      <w:r>
        <w:rPr>
          <w:noProof/>
        </w:rPr>
        <w:tab/>
      </w:r>
      <w:r w:rsidRPr="00644FC1">
        <w:rPr>
          <w:noProof/>
        </w:rPr>
        <w:t xml:space="preserve">Comitetul părților </w:t>
      </w:r>
    </w:p>
    <w:p w:rsidR="00CB1997" w:rsidRPr="00644FC1" w:rsidRDefault="00415C41" w:rsidP="005B6ACF">
      <w:pPr>
        <w:rPr>
          <w:rFonts w:eastAsia="Arial Unicode MS"/>
          <w:noProof/>
        </w:rPr>
      </w:pPr>
      <w:r w:rsidRPr="00644FC1">
        <w:rPr>
          <w:noProof/>
        </w:rPr>
        <w:t>CoP</w:t>
      </w:r>
      <w:r w:rsidRPr="00644FC1">
        <w:rPr>
          <w:rStyle w:val="FootnoteReference"/>
          <w:noProof/>
        </w:rPr>
        <w:footnoteReference w:id="4"/>
      </w:r>
      <w:r w:rsidRPr="00644FC1">
        <w:rPr>
          <w:noProof/>
        </w:rPr>
        <w:t xml:space="preserve"> este alcătuit din reprezentanți ai părților la convenție. Părțile trebuie să depună eforturi pentru a numi, ca reprezentanți ai lor, experți de cel mai înalt rang posibil în domeniul prevenirii și al combaterii violenței împotriva femeilor și a violenței domestice</w:t>
      </w:r>
      <w:r w:rsidRPr="00644FC1">
        <w:rPr>
          <w:rStyle w:val="FootnoteReference"/>
          <w:noProof/>
        </w:rPr>
        <w:footnoteReference w:id="5"/>
      </w:r>
      <w:r w:rsidRPr="00644FC1">
        <w:rPr>
          <w:noProof/>
        </w:rPr>
        <w:t>. Sarcinile încredințate CoP sunt enumerate la regula 1 din Regulamentul său de procedură</w:t>
      </w:r>
      <w:r w:rsidRPr="00644FC1">
        <w:rPr>
          <w:noProof/>
          <w:vertAlign w:val="superscript"/>
        </w:rPr>
        <w:t>6</w:t>
      </w:r>
      <w:r w:rsidRPr="00644FC1">
        <w:rPr>
          <w:noProof/>
        </w:rPr>
        <w:t xml:space="preserve">. La </w:t>
      </w:r>
      <w:r w:rsidRPr="00644FC1">
        <w:rPr>
          <w:noProof/>
        </w:rPr>
        <w:lastRenderedPageBreak/>
        <w:t>1</w:t>
      </w:r>
      <w:r w:rsidR="000A2B60">
        <w:rPr>
          <w:noProof/>
        </w:rPr>
        <w:t> </w:t>
      </w:r>
      <w:r w:rsidRPr="00644FC1">
        <w:rPr>
          <w:noProof/>
        </w:rPr>
        <w:t>octombrie 2023, UE a devenit parte la convenție și, ca atare, membră a CoP [articolul 67 alineatul (1) din convenție].</w:t>
      </w:r>
    </w:p>
    <w:p w:rsidR="00CB1997" w:rsidRPr="00644FC1" w:rsidRDefault="00264006" w:rsidP="005B6ACF">
      <w:pPr>
        <w:pStyle w:val="ManualHeading2"/>
        <w:rPr>
          <w:noProof/>
        </w:rPr>
      </w:pPr>
      <w:r>
        <w:rPr>
          <w:noProof/>
        </w:rPr>
        <w:t>2.3.</w:t>
      </w:r>
      <w:r>
        <w:rPr>
          <w:noProof/>
        </w:rPr>
        <w:tab/>
      </w:r>
      <w:r w:rsidRPr="00644FC1">
        <w:rPr>
          <w:noProof/>
        </w:rPr>
        <w:t>Mecanismul de monitorizare instituit prin Convenția de la Istanbul</w:t>
      </w:r>
    </w:p>
    <w:p w:rsidR="00264006" w:rsidRPr="00644FC1" w:rsidRDefault="00264006" w:rsidP="00264006">
      <w:pPr>
        <w:ind w:left="-5" w:right="84"/>
        <w:rPr>
          <w:noProof/>
        </w:rPr>
      </w:pPr>
      <w:r w:rsidRPr="00644FC1">
        <w:rPr>
          <w:noProof/>
        </w:rPr>
        <w:t>Convenția de la Istanbul instituie un mecanism de monitorizare care să asigure punerea în aplicare eficace a convenției de către părți</w:t>
      </w:r>
      <w:r w:rsidRPr="00644FC1">
        <w:rPr>
          <w:rStyle w:val="FootnoteReference"/>
          <w:noProof/>
        </w:rPr>
        <w:footnoteReference w:id="6"/>
      </w:r>
      <w:r w:rsidRPr="00644FC1">
        <w:rPr>
          <w:noProof/>
        </w:rPr>
        <w:t xml:space="preserve">. Scopul este evaluarea modului în care este pusă în practică convenția și furnizarea de orientări părților. Mecanismul de monitorizare este alcătuit din două organisme distincte, dar care interacționează: un organism independent format din experți (Grupul de experți în intervenția contra violenței împotriva femeilor și a violenței domestice – „GREVIO”) și CoP. </w:t>
      </w:r>
    </w:p>
    <w:p w:rsidR="00264006" w:rsidRPr="00644FC1" w:rsidRDefault="00264006" w:rsidP="00264006">
      <w:pPr>
        <w:ind w:left="-5" w:right="84"/>
        <w:rPr>
          <w:noProof/>
        </w:rPr>
      </w:pPr>
      <w:r w:rsidRPr="00644FC1">
        <w:rPr>
          <w:noProof/>
        </w:rPr>
        <w:t>GREVIO este un grup independent de experți, însărcinat să monitorizeze punerea în aplicare a convenției de către fiecare țară în parte, în conformitate cu articolul 66 alineatul (1) din convenție. Procedura de monitorizare este prevăzută la articolul 68 din convenție. În conformitate cu articolul 68 alineatul (1) din convenție, părțile noi trebuie să depună, în baza unui chestionar elaborat de GREVIO, un raport în care să detalieze măsurile legislative și alte măsuri pe care le-au adoptat pentru a pune în aplicare convenția. GREVIO pregătește un raport privind măsurile luate de partea în cauză pentru a pune în aplicare convenția și prezintă sugestii și propuneri cu privire la modul în care partea respectivă poate aborda problemele identificate</w:t>
      </w:r>
      <w:r w:rsidRPr="00644FC1">
        <w:rPr>
          <w:rStyle w:val="FootnoteReference"/>
          <w:noProof/>
        </w:rPr>
        <w:footnoteReference w:id="7"/>
      </w:r>
      <w:r w:rsidRPr="00644FC1">
        <w:rPr>
          <w:noProof/>
        </w:rPr>
        <w:t xml:space="preserve">. </w:t>
      </w:r>
    </w:p>
    <w:p w:rsidR="00264006" w:rsidRPr="00644FC1" w:rsidRDefault="00264006" w:rsidP="00264006">
      <w:pPr>
        <w:ind w:left="-5" w:right="84"/>
        <w:rPr>
          <w:noProof/>
        </w:rPr>
      </w:pPr>
      <w:r w:rsidRPr="00644FC1">
        <w:rPr>
          <w:noProof/>
        </w:rPr>
        <w:t>Pe baza raportului elaborat de GREVIO și în conformitate cu articolul 68 alineatul (12) din convenție, CoP poate adopta recomandări adresate părții în cauză cu privire la punerea în aplicare a convenției și poate stabili un termen până la care partea în cauză trebuie să prezinte un răspuns în legătură cu modul în care a dat curs recomandărilor. Pe baza acestei dispoziții, CoP a adoptat recomandări adresate părților care fac distincție între acțiunile ce ar trebui întreprinse cât mai curând posibil, cu obligația de a prezenta un raport în termen de trei ani, și acțiunile care, deși importante, nu impun același grad de urgență. La sfârșitul perioadei de trei ani, partea trebuie să trimită CoP un raport cu privire la progresele înregistrate în punerea în practică a recomandărilor ce i-au fost adresate. Pe baza acestor informații și a oricăror alte informații suplimentare obținute, secretariatul comitetului</w:t>
      </w:r>
      <w:r w:rsidRPr="00644FC1">
        <w:rPr>
          <w:rStyle w:val="FootnoteReference"/>
          <w:noProof/>
        </w:rPr>
        <w:footnoteReference w:id="8"/>
      </w:r>
      <w:r w:rsidRPr="00644FC1">
        <w:rPr>
          <w:noProof/>
        </w:rPr>
        <w:t xml:space="preserve"> pregătește concluziile privind modul în care s-a dat curs recomandărilor referitoare la fiecare parte examinată, pe care CoP le adoptă. </w:t>
      </w:r>
    </w:p>
    <w:p w:rsidR="005B6ACF" w:rsidRPr="00644FC1" w:rsidRDefault="005B6ACF" w:rsidP="00BE0856">
      <w:pPr>
        <w:pStyle w:val="ManualHeading2"/>
        <w:rPr>
          <w:noProof/>
        </w:rPr>
      </w:pPr>
      <w:r>
        <w:rPr>
          <w:noProof/>
        </w:rPr>
        <w:t>2.4.</w:t>
      </w:r>
      <w:r>
        <w:rPr>
          <w:noProof/>
        </w:rPr>
        <w:tab/>
      </w:r>
      <w:r w:rsidRPr="00644FC1">
        <w:rPr>
          <w:noProof/>
        </w:rPr>
        <w:t>Alegerea membrilor GREVIO</w:t>
      </w:r>
    </w:p>
    <w:p w:rsidR="004D2BC7" w:rsidRPr="00644FC1" w:rsidRDefault="004D2BC7" w:rsidP="004D2BC7">
      <w:pPr>
        <w:ind w:left="-5" w:right="84"/>
        <w:rPr>
          <w:noProof/>
        </w:rPr>
      </w:pPr>
      <w:r w:rsidRPr="00644FC1">
        <w:rPr>
          <w:noProof/>
        </w:rPr>
        <w:t xml:space="preserve">În conformitate cu articolul 66 din convenție, GREVIO este compus din 15 membri. Membrii săi sunt aleși de CoP din rândul candidaților desemnați de părți pentru un mandat de patru ani, care poate fi reînnoit o singură dată. Membrii GREVIO sunt aleși din rândul resortisanților părților, ținând seama de echilibrul geografic și de gen, precum și de expertiza multidisciplinară. </w:t>
      </w:r>
    </w:p>
    <w:p w:rsidR="004D2BC7" w:rsidRPr="00644FC1" w:rsidRDefault="004D2BC7" w:rsidP="004D2BC7">
      <w:pPr>
        <w:ind w:left="-5" w:right="84"/>
        <w:rPr>
          <w:noProof/>
        </w:rPr>
      </w:pPr>
      <w:r w:rsidRPr="00644FC1">
        <w:rPr>
          <w:noProof/>
        </w:rPr>
        <w:t>Convenția de la Istanbul a încredințat Comitetului de Miniștri al Consiliului Europei (</w:t>
      </w:r>
      <w:r w:rsidRPr="00644FC1">
        <w:rPr>
          <w:i/>
          <w:iCs/>
          <w:noProof/>
        </w:rPr>
        <w:t>Committee of Ministers</w:t>
      </w:r>
      <w:r w:rsidRPr="00644FC1">
        <w:rPr>
          <w:noProof/>
        </w:rPr>
        <w:t xml:space="preserve"> – CoM) sarcina de a stabili procedura de alegere a membrilor GREVIO. La 19 noiembrie 2014, CoM a adoptat Rezoluția CM/Res (2014)43 privind normele referitoare la procedura de alegere a membrilor Grupului de experți în intervenția </w:t>
      </w:r>
      <w:r w:rsidRPr="00644FC1">
        <w:rPr>
          <w:noProof/>
        </w:rPr>
        <w:lastRenderedPageBreak/>
        <w:t>contra violenței împotriva femeilor și a violenței domestice (GREVIO)</w:t>
      </w:r>
      <w:r w:rsidRPr="00644FC1">
        <w:rPr>
          <w:rStyle w:val="FootnoteReference"/>
          <w:noProof/>
        </w:rPr>
        <w:footnoteReference w:id="9"/>
      </w:r>
      <w:r w:rsidRPr="00644FC1">
        <w:rPr>
          <w:noProof/>
        </w:rPr>
        <w:t xml:space="preserve"> („rezoluția CoM”). GREVIO și-a adoptat Regulamentul de procedură în 2015</w:t>
      </w:r>
      <w:r w:rsidRPr="00644FC1">
        <w:rPr>
          <w:rStyle w:val="FootnoteReference"/>
          <w:noProof/>
        </w:rPr>
        <w:footnoteReference w:id="10"/>
      </w:r>
      <w:r w:rsidRPr="00644FC1">
        <w:rPr>
          <w:noProof/>
        </w:rPr>
        <w:t xml:space="preserve">. </w:t>
      </w:r>
    </w:p>
    <w:p w:rsidR="005B6808" w:rsidRPr="00644FC1" w:rsidRDefault="005B6808" w:rsidP="005B6808">
      <w:pPr>
        <w:ind w:left="-5" w:right="84"/>
        <w:rPr>
          <w:noProof/>
        </w:rPr>
      </w:pPr>
      <w:r w:rsidRPr="00644FC1">
        <w:rPr>
          <w:noProof/>
        </w:rPr>
        <w:t xml:space="preserve">În cadrul reuniunii CoP din 2 iunie 2026, este prevăzută alegerea a cinci noi membri ai GREVIO. Aceștia își vor exercita mandatul de la 1 septembrie 2026 până la 31 august 2030. Alegerile vor fi organizate în runde succesive. Fiecare parte, inclusiv UE, va avea pentru fiecare rundă un număr de voturi egal cu numărul de locuri vacante în GREVIO. În consecință, în prima rundă, fiecare parte își poate exprima cinci voturi. În cazul în care un membru este ales în respectiva rundă, fiecare parte își poate exprima patru voturi în a doua rundă și așa mai departe. Rundele vor continua până când sunt aleși cinci membri ai GREVIO cu majoritatea voturilor valabil exprimate. </w:t>
      </w:r>
    </w:p>
    <w:p w:rsidR="005B6808" w:rsidRPr="00644FC1" w:rsidRDefault="005B6808" w:rsidP="005B6808">
      <w:pPr>
        <w:ind w:left="-5" w:right="84"/>
        <w:rPr>
          <w:noProof/>
        </w:rPr>
      </w:pPr>
      <w:r w:rsidRPr="00644FC1">
        <w:rPr>
          <w:noProof/>
        </w:rPr>
        <w:t xml:space="preserve"> La 21 aprilie 2026, secretariatul CoP a comunicat, în documentul IC-CP (2026)2, numele și curriculum vitae ale candidaților nominalizați de părți pentru alegerile prevăzute să aibă loc la 2 iunie 2026. Documentul indică faptul că 13 părți au nominalizat 15 candidați pentru cele 5 locuri disponibile. Dintre cele 13 țări care au făcut nominalizări, 11 sunt state membre ale UE. </w:t>
      </w:r>
    </w:p>
    <w:p w:rsidR="004D2BC7" w:rsidRPr="00644FC1" w:rsidRDefault="00237576" w:rsidP="00264006">
      <w:pPr>
        <w:ind w:left="-5" w:right="84"/>
        <w:rPr>
          <w:noProof/>
        </w:rPr>
      </w:pPr>
      <w:r>
        <w:rPr>
          <w:noProof/>
        </w:rPr>
        <w:t xml:space="preserve"> </w:t>
      </w:r>
    </w:p>
    <w:p w:rsidR="006E681A" w:rsidRPr="00644FC1" w:rsidRDefault="00264006" w:rsidP="006E681A">
      <w:pPr>
        <w:pStyle w:val="ManualHeading1"/>
        <w:rPr>
          <w:noProof/>
        </w:rPr>
      </w:pPr>
      <w:r>
        <w:rPr>
          <w:noProof/>
        </w:rPr>
        <w:t>3.</w:t>
      </w:r>
      <w:r>
        <w:rPr>
          <w:noProof/>
        </w:rPr>
        <w:tab/>
      </w:r>
      <w:r w:rsidRPr="00644FC1">
        <w:rPr>
          <w:noProof/>
        </w:rPr>
        <w:t xml:space="preserve">Actele avute în vedere spre adoptare de către Comitetul părților </w:t>
      </w:r>
    </w:p>
    <w:p w:rsidR="00264006" w:rsidRPr="00644FC1" w:rsidRDefault="006E681A" w:rsidP="006E681A">
      <w:pPr>
        <w:pStyle w:val="ManualHeading2"/>
        <w:rPr>
          <w:noProof/>
        </w:rPr>
      </w:pPr>
      <w:r>
        <w:rPr>
          <w:noProof/>
        </w:rPr>
        <w:t>3.1.</w:t>
      </w:r>
      <w:r>
        <w:rPr>
          <w:noProof/>
        </w:rPr>
        <w:tab/>
      </w:r>
      <w:r w:rsidRPr="00644FC1">
        <w:rPr>
          <w:noProof/>
        </w:rPr>
        <w:t>Cele nouă proiecte de concluzii</w:t>
      </w:r>
    </w:p>
    <w:p w:rsidR="001458A1" w:rsidRPr="00644FC1" w:rsidRDefault="00264006" w:rsidP="00264006">
      <w:pPr>
        <w:spacing w:after="37"/>
        <w:ind w:left="-5" w:right="84"/>
        <w:rPr>
          <w:noProof/>
        </w:rPr>
      </w:pPr>
      <w:r w:rsidRPr="00644FC1">
        <w:rPr>
          <w:noProof/>
        </w:rPr>
        <w:t xml:space="preserve">La 2 iunie 2026, în cadrul celei de a 20-a reuniuni, se prevede adoptarea de către CoP a următoarelor nouă proiecte de concluzii („proiectele de concluzii”): </w:t>
      </w:r>
    </w:p>
    <w:p w:rsidR="00834F02" w:rsidRPr="00644FC1" w:rsidRDefault="00834F02" w:rsidP="00264006">
      <w:pPr>
        <w:spacing w:after="37"/>
        <w:ind w:left="-5" w:right="84"/>
        <w:rPr>
          <w:noProof/>
        </w:rPr>
      </w:pPr>
    </w:p>
    <w:p w:rsidR="00293E14" w:rsidRPr="00644FC1" w:rsidRDefault="00264006" w:rsidP="00D803CA">
      <w:pPr>
        <w:pStyle w:val="Point0"/>
        <w:rPr>
          <w:noProof/>
        </w:rPr>
      </w:pPr>
      <w:r>
        <w:rPr>
          <w:noProof/>
        </w:rPr>
        <w:t>(1)</w:t>
      </w:r>
      <w:r>
        <w:rPr>
          <w:noProof/>
        </w:rPr>
        <w:tab/>
      </w:r>
      <w:r w:rsidRPr="00644FC1">
        <w:rPr>
          <w:noProof/>
        </w:rPr>
        <w:t xml:space="preserve">Concluzii privind punerea în aplicare a recomandărilor cu privire la Bosnia și Herțegovina adoptate de Comitetul părților, cuprinse în documentul IC-CP(2026)4-prov. </w:t>
      </w:r>
    </w:p>
    <w:p w:rsidR="001458A1" w:rsidRPr="00644FC1" w:rsidRDefault="001458A1" w:rsidP="00834F02">
      <w:pPr>
        <w:pStyle w:val="Point0"/>
        <w:rPr>
          <w:noProof/>
        </w:rPr>
      </w:pPr>
      <w:r>
        <w:rPr>
          <w:noProof/>
        </w:rPr>
        <w:t>(2)</w:t>
      </w:r>
      <w:r>
        <w:rPr>
          <w:noProof/>
        </w:rPr>
        <w:tab/>
      </w:r>
      <w:r w:rsidRPr="00644FC1">
        <w:rPr>
          <w:noProof/>
        </w:rPr>
        <w:t xml:space="preserve">Concluzii privind punerea în aplicare a recomandărilor cu privire la Cipru adoptate de Comitetul părților, conținute în documentul IC-CP(2026)5-prov. </w:t>
      </w:r>
    </w:p>
    <w:p w:rsidR="001458A1" w:rsidRPr="00644FC1" w:rsidRDefault="001458A1" w:rsidP="00834F02">
      <w:pPr>
        <w:pStyle w:val="Point0"/>
        <w:rPr>
          <w:noProof/>
        </w:rPr>
      </w:pPr>
      <w:r>
        <w:rPr>
          <w:noProof/>
        </w:rPr>
        <w:t>(3)</w:t>
      </w:r>
      <w:r>
        <w:rPr>
          <w:noProof/>
        </w:rPr>
        <w:tab/>
      </w:r>
      <w:r w:rsidRPr="00644FC1">
        <w:rPr>
          <w:noProof/>
        </w:rPr>
        <w:t>Concluzii privind punerea în aplicare a recomandărilor cu privire la Estonia adoptate de Comitetul părților, conținute în documentul IC-CP(2026)6-prov.</w:t>
      </w:r>
    </w:p>
    <w:p w:rsidR="001458A1" w:rsidRPr="00644FC1" w:rsidRDefault="001458A1" w:rsidP="00834F02">
      <w:pPr>
        <w:pStyle w:val="Point0"/>
        <w:rPr>
          <w:noProof/>
        </w:rPr>
      </w:pPr>
      <w:r>
        <w:rPr>
          <w:noProof/>
        </w:rPr>
        <w:t>(4)</w:t>
      </w:r>
      <w:r>
        <w:rPr>
          <w:noProof/>
        </w:rPr>
        <w:tab/>
      </w:r>
      <w:r w:rsidRPr="00644FC1">
        <w:rPr>
          <w:noProof/>
        </w:rPr>
        <w:t>Concluzii privind punerea în aplicare a recomandărilor cu privire la Georgia adoptate de Comitetul părților, conținute în documentul IC-CP(2026)7-prov.</w:t>
      </w:r>
    </w:p>
    <w:p w:rsidR="001458A1" w:rsidRPr="00644FC1" w:rsidRDefault="001458A1" w:rsidP="00834F02">
      <w:pPr>
        <w:pStyle w:val="Point0"/>
        <w:rPr>
          <w:noProof/>
        </w:rPr>
      </w:pPr>
      <w:r>
        <w:rPr>
          <w:noProof/>
        </w:rPr>
        <w:t>(5)</w:t>
      </w:r>
      <w:r>
        <w:rPr>
          <w:noProof/>
        </w:rPr>
        <w:tab/>
      </w:r>
      <w:r w:rsidRPr="00644FC1">
        <w:rPr>
          <w:noProof/>
        </w:rPr>
        <w:t>Concluzii privind punerea în aplicare a recomandărilor cu privire la Germania adoptate de Comitetul părților, conținute în documentul IC-CP(2026)8-prov.</w:t>
      </w:r>
    </w:p>
    <w:p w:rsidR="001458A1" w:rsidRPr="00644FC1" w:rsidRDefault="001458A1" w:rsidP="00834F02">
      <w:pPr>
        <w:pStyle w:val="Point0"/>
        <w:rPr>
          <w:noProof/>
        </w:rPr>
      </w:pPr>
      <w:r>
        <w:rPr>
          <w:noProof/>
        </w:rPr>
        <w:t>(6)</w:t>
      </w:r>
      <w:r>
        <w:rPr>
          <w:noProof/>
        </w:rPr>
        <w:tab/>
      </w:r>
      <w:r w:rsidRPr="00644FC1">
        <w:rPr>
          <w:noProof/>
        </w:rPr>
        <w:t>Concluzii privind punerea în aplicare a recomandărilor cu privire la Islanda adoptate de Comitetul părților, conținute în documentul IC-CP(2026)9-prov.</w:t>
      </w:r>
    </w:p>
    <w:p w:rsidR="001458A1" w:rsidRPr="00644FC1" w:rsidRDefault="001458A1" w:rsidP="00834F02">
      <w:pPr>
        <w:pStyle w:val="Point0"/>
        <w:rPr>
          <w:noProof/>
        </w:rPr>
      </w:pPr>
      <w:r>
        <w:rPr>
          <w:noProof/>
        </w:rPr>
        <w:t>(7)</w:t>
      </w:r>
      <w:r>
        <w:rPr>
          <w:noProof/>
        </w:rPr>
        <w:tab/>
      </w:r>
      <w:r w:rsidRPr="00644FC1">
        <w:rPr>
          <w:noProof/>
        </w:rPr>
        <w:t>Concluzii privind punerea în aplicare a recomandărilor cu privire la Norvegia adoptate de Comitetul părților, conținute în documentul IC-CP(2026)10-prov.</w:t>
      </w:r>
    </w:p>
    <w:p w:rsidR="001458A1" w:rsidRPr="00644FC1" w:rsidRDefault="001458A1" w:rsidP="00834F02">
      <w:pPr>
        <w:pStyle w:val="Point0"/>
        <w:rPr>
          <w:noProof/>
        </w:rPr>
      </w:pPr>
      <w:r>
        <w:rPr>
          <w:noProof/>
        </w:rPr>
        <w:t>(8)</w:t>
      </w:r>
      <w:r>
        <w:rPr>
          <w:noProof/>
        </w:rPr>
        <w:tab/>
      </w:r>
      <w:r w:rsidRPr="00644FC1">
        <w:rPr>
          <w:noProof/>
        </w:rPr>
        <w:t>Concluzii privind punerea în aplicare a recomandărilor cu privire la România adoptate de Comitetul părților, conținute în documentul IC-CP(2026)11-prov.</w:t>
      </w:r>
    </w:p>
    <w:p w:rsidR="001458A1" w:rsidRPr="00644FC1" w:rsidRDefault="001458A1" w:rsidP="00834F02">
      <w:pPr>
        <w:pStyle w:val="Point0"/>
        <w:rPr>
          <w:noProof/>
        </w:rPr>
      </w:pPr>
      <w:r>
        <w:rPr>
          <w:noProof/>
        </w:rPr>
        <w:lastRenderedPageBreak/>
        <w:t>(9)</w:t>
      </w:r>
      <w:r>
        <w:rPr>
          <w:noProof/>
        </w:rPr>
        <w:tab/>
      </w:r>
      <w:r w:rsidRPr="00644FC1">
        <w:rPr>
          <w:noProof/>
        </w:rPr>
        <w:t>Concluzii privind punerea în aplicare a recomandărilor cu privire la Elveția adoptate de Comitetul părților, conținute în documentul IC-CP(2026)12-prov.</w:t>
      </w:r>
    </w:p>
    <w:p w:rsidR="00CA47EC" w:rsidRPr="00644FC1" w:rsidRDefault="00CA47EC" w:rsidP="00CA47EC">
      <w:pPr>
        <w:pStyle w:val="ManualHeading2"/>
        <w:rPr>
          <w:noProof/>
        </w:rPr>
      </w:pPr>
      <w:r>
        <w:rPr>
          <w:noProof/>
        </w:rPr>
        <w:t>3.2.</w:t>
      </w:r>
      <w:r>
        <w:rPr>
          <w:noProof/>
        </w:rPr>
        <w:tab/>
      </w:r>
      <w:r w:rsidRPr="00644FC1">
        <w:rPr>
          <w:noProof/>
        </w:rPr>
        <w:t>Alegerea preconizată a unui număr de cinci membri ai GREVIO</w:t>
      </w:r>
    </w:p>
    <w:p w:rsidR="00CB1997" w:rsidRPr="00644FC1" w:rsidRDefault="007B6052" w:rsidP="00F27888">
      <w:pPr>
        <w:rPr>
          <w:noProof/>
        </w:rPr>
      </w:pPr>
      <w:r w:rsidRPr="00644FC1">
        <w:rPr>
          <w:noProof/>
        </w:rPr>
        <w:t xml:space="preserve">La 2 iunie 2026, în cadrul celei de a 20-a reuniuni, se prevede alegerea de către CoP a cinci membri GREVIO, care își vor prelua mandatul la 1 septembrie 2026 și și-l vor exercita până la 31 august 2030. </w:t>
      </w:r>
    </w:p>
    <w:p w:rsidR="007B6052" w:rsidRPr="00644FC1" w:rsidRDefault="007B6052" w:rsidP="007B6052">
      <w:pPr>
        <w:pStyle w:val="ManualHeading2"/>
        <w:rPr>
          <w:noProof/>
        </w:rPr>
      </w:pPr>
      <w:r>
        <w:rPr>
          <w:noProof/>
        </w:rPr>
        <w:t>3.3.</w:t>
      </w:r>
      <w:r>
        <w:rPr>
          <w:noProof/>
        </w:rPr>
        <w:tab/>
      </w:r>
      <w:r w:rsidRPr="00644FC1">
        <w:rPr>
          <w:noProof/>
        </w:rPr>
        <w:t xml:space="preserve">Cele nouă proiecte de concluzii ale CoP avute în vedere </w:t>
      </w:r>
    </w:p>
    <w:p w:rsidR="00C76833" w:rsidRPr="00644FC1" w:rsidRDefault="00264006" w:rsidP="00C76833">
      <w:pPr>
        <w:rPr>
          <w:noProof/>
        </w:rPr>
      </w:pPr>
      <w:r w:rsidRPr="00644FC1">
        <w:rPr>
          <w:noProof/>
        </w:rPr>
        <w:t>Proiectele de concluzii se adresează unui număr de nouă părți și includ concluzii privind punerea în aplicare de către acestea a recomandărilor anterioare. Proiectele de concluzii se referă la punerea în aplicare a dispozițiilor convenției de către instituțiile relevante și de către administrația publică. Uniunea a aderat la convenție în măsura în care aceasta se aplică instituțiilor sale și administrației sale publice și are competența exclusivă de a accepta obligațiile prevăzute în convenție cu privire la propriile sale instituții și la propria administrație publică, în sensul articolului 336 din Tratatul privind funcționarea Uniunii</w:t>
      </w:r>
      <w:r w:rsidR="000A2B60">
        <w:rPr>
          <w:noProof/>
        </w:rPr>
        <w:t> </w:t>
      </w:r>
      <w:r w:rsidRPr="00644FC1">
        <w:rPr>
          <w:noProof/>
        </w:rPr>
        <w:t xml:space="preserve">Europene (TFUE). Prin urmare, este oportun să se stabilească poziția care urmează să fie luată în numele Uniunii în cadrul CoP în ceea ce privește instituțiile Uniunii și administrația publică a acesteia, întrucât actele avute în vedere au vocația de a influența în mod decisiv conținutul dreptului Uniunii și ar putea avea un efect asupra interpretării viitoare a dispozițiilor relevante ale convenției. </w:t>
      </w:r>
    </w:p>
    <w:p w:rsidR="00C76833" w:rsidRPr="00644FC1" w:rsidRDefault="00C76833" w:rsidP="00C76833">
      <w:pPr>
        <w:rPr>
          <w:noProof/>
        </w:rPr>
      </w:pPr>
      <w:r w:rsidRPr="00644FC1">
        <w:rPr>
          <w:noProof/>
        </w:rPr>
        <w:t>Proiectele de concluzii privind aspectele care intră în sfera de competență a Uniunii, în ceea ce privește instituțiile sale și administrația sa publică, sunt conforme cu politicile și obiectivele Uniunii și nu ridică nicio problemă cu privire la dreptul Uniunii. Prin urmare, se propune ca Uniunea să nu se opună adoptării proiectelor de concluzii în cadrul celei de a 20-a reuniuni a CoP.</w:t>
      </w:r>
    </w:p>
    <w:p w:rsidR="007B6052" w:rsidRPr="00644FC1" w:rsidRDefault="007B6052" w:rsidP="007B6052">
      <w:pPr>
        <w:pStyle w:val="ManualHeading2"/>
        <w:rPr>
          <w:noProof/>
        </w:rPr>
      </w:pPr>
      <w:r>
        <w:rPr>
          <w:noProof/>
        </w:rPr>
        <w:t>3.4.</w:t>
      </w:r>
      <w:r>
        <w:rPr>
          <w:noProof/>
        </w:rPr>
        <w:tab/>
      </w:r>
      <w:bookmarkStart w:id="1" w:name="_Hlk227946052"/>
      <w:r w:rsidRPr="00644FC1">
        <w:rPr>
          <w:noProof/>
        </w:rPr>
        <w:t>Alegerea preconizată a unui număr de cinci membri ai GREVIO</w:t>
      </w:r>
    </w:p>
    <w:p w:rsidR="009F112E" w:rsidRPr="00644FC1" w:rsidRDefault="007B6052" w:rsidP="009F112E">
      <w:pPr>
        <w:rPr>
          <w:noProof/>
        </w:rPr>
      </w:pPr>
      <w:r w:rsidRPr="00644FC1">
        <w:rPr>
          <w:noProof/>
        </w:rPr>
        <w:t xml:space="preserve">În calitate de membru al CoP, UE deține cinci voturi în cadrul viitoarei alegeri a cinci membri ai GREVIO la reuniunea CoP din 2 iunie 2026. Membrii vor fi aleși de CoP din rândul celor 15 candidați care au fost nominalizați de un număr de 13 părți. </w:t>
      </w:r>
    </w:p>
    <w:p w:rsidR="00DE5922" w:rsidRPr="00644FC1" w:rsidRDefault="009F112E" w:rsidP="00BE0856">
      <w:pPr>
        <w:spacing w:after="453"/>
        <w:ind w:left="-5" w:right="84"/>
        <w:rPr>
          <w:b/>
          <w:noProof/>
        </w:rPr>
      </w:pPr>
      <w:r w:rsidRPr="00644FC1">
        <w:rPr>
          <w:noProof/>
        </w:rPr>
        <w:t>Dintre cele 13 părți, unsprezece sunt state membre ale UE. Toți candidații nominalizați fac dovada unei vaste experiențe multidisciplinare în domeniul combaterii violenței împotriva femeilor și a violenței domestice, astfel cum se subliniază în documentul IC-CP (2026)2. Se propune ca poziția UE să fie aceea de a se abține de la vot în cadrul alegerilor.</w:t>
      </w:r>
    </w:p>
    <w:bookmarkEnd w:id="1"/>
    <w:p w:rsidR="00CB1997" w:rsidRPr="00644FC1" w:rsidRDefault="00CB1997" w:rsidP="005B6ACF">
      <w:pPr>
        <w:pStyle w:val="ManualHeading1"/>
        <w:rPr>
          <w:noProof/>
        </w:rPr>
      </w:pPr>
      <w:r>
        <w:rPr>
          <w:noProof/>
        </w:rPr>
        <w:t>4.</w:t>
      </w:r>
      <w:r>
        <w:rPr>
          <w:noProof/>
        </w:rPr>
        <w:tab/>
      </w:r>
      <w:r w:rsidRPr="00644FC1">
        <w:rPr>
          <w:noProof/>
        </w:rPr>
        <w:t>Temeiul juridic</w:t>
      </w:r>
    </w:p>
    <w:p w:rsidR="00CB1997" w:rsidRPr="00644FC1" w:rsidRDefault="00CB1997" w:rsidP="005B6ACF">
      <w:pPr>
        <w:pStyle w:val="ManualHeading2"/>
        <w:rPr>
          <w:noProof/>
        </w:rPr>
      </w:pPr>
      <w:r>
        <w:rPr>
          <w:noProof/>
        </w:rPr>
        <w:t>4.1.</w:t>
      </w:r>
      <w:r>
        <w:rPr>
          <w:noProof/>
        </w:rPr>
        <w:tab/>
      </w:r>
      <w:r w:rsidRPr="00644FC1">
        <w:rPr>
          <w:noProof/>
        </w:rPr>
        <w:t>Temeiul juridic procedural</w:t>
      </w:r>
    </w:p>
    <w:p w:rsidR="00CB1997" w:rsidRPr="00644FC1" w:rsidRDefault="00CB1997" w:rsidP="00CB1997">
      <w:pPr>
        <w:pStyle w:val="ManualHeading3"/>
        <w:tabs>
          <w:tab w:val="clear" w:pos="850"/>
          <w:tab w:val="num" w:pos="1984"/>
        </w:tabs>
        <w:ind w:left="1984" w:hanging="567"/>
        <w:rPr>
          <w:noProof/>
        </w:rPr>
      </w:pPr>
      <w:r>
        <w:rPr>
          <w:noProof/>
        </w:rPr>
        <w:t>4.1.1.</w:t>
      </w:r>
      <w:r>
        <w:rPr>
          <w:noProof/>
        </w:rPr>
        <w:tab/>
      </w:r>
      <w:r w:rsidRPr="00644FC1">
        <w:rPr>
          <w:noProof/>
        </w:rPr>
        <w:t>Principii</w:t>
      </w:r>
    </w:p>
    <w:p w:rsidR="00CB1997" w:rsidRPr="00644FC1" w:rsidRDefault="00264006" w:rsidP="005B6ACF">
      <w:pPr>
        <w:rPr>
          <w:noProof/>
        </w:rPr>
      </w:pPr>
      <w:r w:rsidRPr="00644FC1">
        <w:rPr>
          <w:noProof/>
        </w:rPr>
        <w:t xml:space="preserve">Articolul 218 alineatul (9) din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 Conceptul de „acte cu efecte juridice” include actele care au efecte juridice în temeiul normelor de drept internațional aplicabile organismului în cauză. Sunt, de asemenea, incluse instrumentele care </w:t>
      </w:r>
      <w:r w:rsidRPr="00644FC1">
        <w:rPr>
          <w:noProof/>
        </w:rPr>
        <w:lastRenderedPageBreak/>
        <w:t>nu au un caracter obligatoriu în temeiul dreptului internațional, dar care „au vocația de a influența în mod decisiv conținutul reglementării adoptate de legiuitorul Uniunii”</w:t>
      </w:r>
      <w:r w:rsidRPr="00644FC1">
        <w:rPr>
          <w:rStyle w:val="FootnoteReference"/>
          <w:noProof/>
        </w:rPr>
        <w:footnoteReference w:id="11"/>
      </w:r>
      <w:r w:rsidRPr="00644FC1">
        <w:rPr>
          <w:noProof/>
        </w:rPr>
        <w:t>.</w:t>
      </w:r>
    </w:p>
    <w:p w:rsidR="00CB1997" w:rsidRPr="00644FC1" w:rsidRDefault="00CB1997" w:rsidP="00CB1997">
      <w:pPr>
        <w:pStyle w:val="ManualHeading3"/>
        <w:tabs>
          <w:tab w:val="clear" w:pos="850"/>
          <w:tab w:val="num" w:pos="1984"/>
        </w:tabs>
        <w:ind w:left="1984" w:hanging="567"/>
        <w:rPr>
          <w:noProof/>
        </w:rPr>
      </w:pPr>
      <w:r>
        <w:rPr>
          <w:noProof/>
        </w:rPr>
        <w:t>4.1.2.</w:t>
      </w:r>
      <w:r>
        <w:rPr>
          <w:noProof/>
        </w:rPr>
        <w:tab/>
      </w:r>
      <w:r w:rsidRPr="00644FC1">
        <w:rPr>
          <w:noProof/>
        </w:rPr>
        <w:t>Aplicarea la cazul în discuție</w:t>
      </w:r>
    </w:p>
    <w:p w:rsidR="00CB1997" w:rsidRPr="00644FC1" w:rsidRDefault="00264006" w:rsidP="005B6ACF">
      <w:pPr>
        <w:rPr>
          <w:noProof/>
        </w:rPr>
      </w:pPr>
      <w:r w:rsidRPr="00644FC1">
        <w:rPr>
          <w:noProof/>
        </w:rPr>
        <w:t>CoP este un organism instituit prin Convenția de la Istanbul. Concluziile avute în vedere pe care CoP este invitat să le adopte, precum și decizia de a se abține de la vot în cadrul alegerii membrilor GREVIO constituie acte cu efecte juridice. Actele avute în vedere au vocația de a influența în mod decisiv conținutul dreptului Uniunii, întrucât pot afecta interpretarea viitoare a dispozițiilor relevante ale Convenției de la Istanbul. Prin urmare, temeiul juridic procedural al propunerii de decizie este articolul 218 alineatul (9) din TFUE.</w:t>
      </w:r>
    </w:p>
    <w:p w:rsidR="00CB1997" w:rsidRPr="00644FC1" w:rsidRDefault="00CB1997" w:rsidP="005B6ACF">
      <w:pPr>
        <w:pStyle w:val="ManualHeading2"/>
        <w:rPr>
          <w:noProof/>
        </w:rPr>
      </w:pPr>
      <w:r>
        <w:rPr>
          <w:noProof/>
        </w:rPr>
        <w:t>4.2.</w:t>
      </w:r>
      <w:r>
        <w:rPr>
          <w:noProof/>
        </w:rPr>
        <w:tab/>
      </w:r>
      <w:r w:rsidRPr="00644FC1">
        <w:rPr>
          <w:noProof/>
        </w:rPr>
        <w:t>Temeiul juridic material</w:t>
      </w:r>
    </w:p>
    <w:p w:rsidR="00CB1997" w:rsidRPr="00644FC1" w:rsidRDefault="00CB1997" w:rsidP="00CB1997">
      <w:pPr>
        <w:pStyle w:val="ManualHeading3"/>
        <w:tabs>
          <w:tab w:val="clear" w:pos="850"/>
          <w:tab w:val="num" w:pos="1984"/>
        </w:tabs>
        <w:ind w:left="1984" w:hanging="567"/>
        <w:rPr>
          <w:noProof/>
        </w:rPr>
      </w:pPr>
      <w:r>
        <w:rPr>
          <w:noProof/>
        </w:rPr>
        <w:t>4.2.1.</w:t>
      </w:r>
      <w:r>
        <w:rPr>
          <w:noProof/>
        </w:rPr>
        <w:tab/>
      </w:r>
      <w:r w:rsidRPr="00644FC1">
        <w:rPr>
          <w:noProof/>
        </w:rPr>
        <w:t>Principii</w:t>
      </w:r>
    </w:p>
    <w:p w:rsidR="00264006" w:rsidRPr="00644FC1" w:rsidRDefault="00264006" w:rsidP="00264006">
      <w:pPr>
        <w:ind w:left="-5" w:right="84"/>
        <w:rPr>
          <w:noProof/>
        </w:rPr>
      </w:pPr>
      <w:r w:rsidRPr="00644FC1">
        <w:rPr>
          <w:noProof/>
        </w:rPr>
        <w:t xml:space="preserve">Temeiul juridic material al unei decizii adoptate în temeiul articolului 218 alineatul (9) din TFUE depinde în primul rând de obiectivul și de conținutul actului avut în vedere cu privire la care o poziție este luată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 </w:t>
      </w:r>
    </w:p>
    <w:p w:rsidR="00CB1997" w:rsidRPr="00644FC1" w:rsidRDefault="00264006" w:rsidP="00264006">
      <w:pPr>
        <w:rPr>
          <w:noProof/>
        </w:rPr>
      </w:pPr>
      <w:r w:rsidRPr="00644FC1">
        <w:rPr>
          <w:noProof/>
        </w:rPr>
        <w:t>În ceea ce privește un act avut în vedere care urmărește simultan mai multe obiective sau care include mai multe elemente care sunt legate între ele în mod inextricabil, fără ca vreunul să fie accesoriu în raport cu un altul, temeiul juridic material al unei decizii adoptate în temeiul articolului 218 alineatul (9) din TFUE va trebui să includă, în mod excepțional, diferitele temeiuri juridice relevante.</w:t>
      </w:r>
    </w:p>
    <w:p w:rsidR="00CB1997" w:rsidRPr="00644FC1" w:rsidRDefault="00CB1997" w:rsidP="00CB1997">
      <w:pPr>
        <w:pStyle w:val="ManualHeading3"/>
        <w:tabs>
          <w:tab w:val="clear" w:pos="850"/>
          <w:tab w:val="num" w:pos="1984"/>
        </w:tabs>
        <w:ind w:left="1984" w:hanging="567"/>
        <w:rPr>
          <w:noProof/>
        </w:rPr>
      </w:pPr>
      <w:r>
        <w:rPr>
          <w:noProof/>
        </w:rPr>
        <w:t>4.2.2.</w:t>
      </w:r>
      <w:r>
        <w:rPr>
          <w:noProof/>
        </w:rPr>
        <w:tab/>
      </w:r>
      <w:r w:rsidRPr="00644FC1">
        <w:rPr>
          <w:noProof/>
        </w:rPr>
        <w:t>Aplicarea la cazul în discuție</w:t>
      </w:r>
    </w:p>
    <w:p w:rsidR="00C76833" w:rsidRPr="00644FC1" w:rsidRDefault="00264006" w:rsidP="00C76833">
      <w:pPr>
        <w:ind w:left="-5" w:right="84"/>
        <w:rPr>
          <w:noProof/>
        </w:rPr>
      </w:pPr>
      <w:r w:rsidRPr="00644FC1">
        <w:rPr>
          <w:noProof/>
        </w:rPr>
        <w:t>Referitor la temeiul juridic material, UE a aderat la Convenția de la Istanbul în ceea ce privește aspectele care intră în sfera sa de competență exclusivă, și anume aspectele legate de instituțiile Uniunii și administrația publică a acesteia</w:t>
      </w:r>
      <w:r w:rsidRPr="00644FC1">
        <w:rPr>
          <w:rStyle w:val="FootnoteReference"/>
          <w:noProof/>
        </w:rPr>
        <w:footnoteReference w:id="12"/>
      </w:r>
      <w:r w:rsidRPr="00644FC1">
        <w:rPr>
          <w:noProof/>
        </w:rPr>
        <w:t xml:space="preserve"> și cele legate de cooperarea judiciară în materie penală, precum și în ceea ce privește azilul și nereturnarea</w:t>
      </w:r>
      <w:r w:rsidRPr="00644FC1">
        <w:rPr>
          <w:rStyle w:val="FootnoteReference"/>
          <w:noProof/>
        </w:rPr>
        <w:footnoteReference w:id="13"/>
      </w:r>
      <w:r w:rsidRPr="00644FC1">
        <w:rPr>
          <w:noProof/>
        </w:rPr>
        <w:t xml:space="preserve">. Aderarea UE la Convenția de la Istanbul a făcut obiectul a două decizii distincte ale Consiliului pentru a ține seama de poziția specială a Danemarcei și a Irlandei cu privire la titlul V din TFUE. În consecință, și decizia de stabilire a poziției care urmează să fie luată în numele Uniunii în cadrul CoP trebuie să facă obiectul a două decizii, atunci când concluziile relevante se referă la ambele aspecte. Propunerea de decizie vizează aspectele legate de instituțiile Uniunii și </w:t>
      </w:r>
      <w:r w:rsidRPr="00644FC1">
        <w:rPr>
          <w:noProof/>
        </w:rPr>
        <w:lastRenderedPageBreak/>
        <w:t>administrația publică a acesteia. Prin urmare, temeiul juridic material al prezentei decizii este articolul 336 din TFUE.</w:t>
      </w:r>
    </w:p>
    <w:p w:rsidR="00CB1997" w:rsidRPr="00644FC1" w:rsidRDefault="00CB1997" w:rsidP="00C76833">
      <w:pPr>
        <w:pStyle w:val="ManualHeading2"/>
        <w:rPr>
          <w:noProof/>
        </w:rPr>
      </w:pPr>
      <w:r>
        <w:rPr>
          <w:noProof/>
        </w:rPr>
        <w:t>4.3.</w:t>
      </w:r>
      <w:r>
        <w:rPr>
          <w:noProof/>
        </w:rPr>
        <w:tab/>
      </w:r>
      <w:r w:rsidRPr="00644FC1">
        <w:rPr>
          <w:noProof/>
        </w:rPr>
        <w:t>Concluzie</w:t>
      </w:r>
    </w:p>
    <w:p w:rsidR="00CB1997" w:rsidRPr="00644FC1" w:rsidRDefault="00C76833" w:rsidP="005B6ACF">
      <w:pPr>
        <w:rPr>
          <w:noProof/>
        </w:rPr>
      </w:pPr>
      <w:r w:rsidRPr="00644FC1">
        <w:rPr>
          <w:noProof/>
        </w:rPr>
        <w:t xml:space="preserve">Temeiul juridic al deciziei propuse ar trebui să fie articolul 336 din TFUE, coroborat cu articolul 218 alineatul (9) din TFUE. </w:t>
      </w:r>
    </w:p>
    <w:p w:rsidR="00CB1997" w:rsidRPr="00644FC1" w:rsidRDefault="00CB1997" w:rsidP="005B6ACF">
      <w:pPr>
        <w:rPr>
          <w:noProof/>
        </w:rPr>
        <w:sectPr w:rsidR="00CB1997" w:rsidRPr="00644FC1" w:rsidSect="003D780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A07D25" w:rsidRDefault="00AE3488">
      <w:pPr>
        <w:pStyle w:val="Rfrenceinterinstitutionnelle"/>
        <w:rPr>
          <w:noProof/>
        </w:rPr>
      </w:pPr>
      <w:r>
        <w:rPr>
          <w:noProof/>
        </w:rPr>
        <w:lastRenderedPageBreak/>
        <w:t>2026/0117 (NLE)</w:t>
      </w:r>
    </w:p>
    <w:p w:rsidR="00CB1997" w:rsidRPr="00644FC1" w:rsidRDefault="00644FC1" w:rsidP="00644FC1">
      <w:pPr>
        <w:pStyle w:val="Statut"/>
        <w:rPr>
          <w:noProof/>
        </w:rPr>
      </w:pPr>
      <w:r w:rsidRPr="00644FC1">
        <w:rPr>
          <w:noProof/>
        </w:rPr>
        <w:t>Propunere de</w:t>
      </w:r>
    </w:p>
    <w:p w:rsidR="00CB1997" w:rsidRPr="00644FC1" w:rsidRDefault="00644FC1" w:rsidP="00644FC1">
      <w:pPr>
        <w:pStyle w:val="Typedudocument"/>
        <w:rPr>
          <w:noProof/>
        </w:rPr>
      </w:pPr>
      <w:r w:rsidRPr="00644FC1">
        <w:rPr>
          <w:noProof/>
        </w:rPr>
        <w:t>DECIZIE A CONSILIULUI</w:t>
      </w:r>
    </w:p>
    <w:p w:rsidR="00CB1997" w:rsidRPr="00644FC1" w:rsidRDefault="00644FC1" w:rsidP="00644FC1">
      <w:pPr>
        <w:pStyle w:val="Titreobjet"/>
        <w:rPr>
          <w:noProof/>
        </w:rPr>
      </w:pPr>
      <w:r w:rsidRPr="00644FC1">
        <w:rPr>
          <w:noProof/>
        </w:rPr>
        <w:t xml:space="preserve">privind poziția care urmează să fie luată în numele Uniunii Europene în cadrul Comitetului părților la Convenția Consiliului Europei privind prevenirea și combaterea violenței împotriva femeilor și a violenței domestice, cu ocazia celei de a 20-a reuniuni, referitor la concluziile adresate unora dintre părți privind punerea în aplicare de către acestea a convenției menționate și la alegerea membrilor Grupului de experți în intervenția contra violenței împotriva femeilor și a violenței domestice, în ceea ce privește aspectele legate de instituțiile Uniunii și de administrația publică a acesteia </w:t>
      </w:r>
      <w:r w:rsidRPr="00644FC1">
        <w:rPr>
          <w:noProof/>
        </w:rPr>
        <w:br/>
      </w:r>
    </w:p>
    <w:p w:rsidR="00CB1997" w:rsidRPr="00644FC1" w:rsidRDefault="00CB1997" w:rsidP="005B6ACF">
      <w:pPr>
        <w:pStyle w:val="Institutionquiagit"/>
        <w:rPr>
          <w:noProof/>
        </w:rPr>
      </w:pPr>
      <w:r w:rsidRPr="00644FC1">
        <w:rPr>
          <w:noProof/>
        </w:rPr>
        <w:t>CONSILIUL UNIUNII EUROPENE,</w:t>
      </w:r>
    </w:p>
    <w:p w:rsidR="004A3074" w:rsidRPr="00644FC1" w:rsidRDefault="00C76833" w:rsidP="005B6ACF">
      <w:pPr>
        <w:rPr>
          <w:noProof/>
        </w:rPr>
      </w:pPr>
      <w:r w:rsidRPr="00644FC1">
        <w:rPr>
          <w:noProof/>
        </w:rPr>
        <w:t xml:space="preserve">având în vedere Tratatul privind funcționarea Uniunii Europene, în special articolul 336, coroborat cu articolul 218 alineatul (9), </w:t>
      </w:r>
    </w:p>
    <w:p w:rsidR="004A3074" w:rsidRPr="00644FC1" w:rsidRDefault="004A3074" w:rsidP="005B6ACF">
      <w:pPr>
        <w:rPr>
          <w:noProof/>
        </w:rPr>
      </w:pPr>
      <w:r w:rsidRPr="00644FC1">
        <w:rPr>
          <w:noProof/>
        </w:rPr>
        <w:t xml:space="preserve">având în vedere propunerea Comisiei Europene, </w:t>
      </w:r>
    </w:p>
    <w:p w:rsidR="00CB1997" w:rsidRPr="00644FC1" w:rsidRDefault="004A3074" w:rsidP="005B6ACF">
      <w:pPr>
        <w:rPr>
          <w:noProof/>
        </w:rPr>
      </w:pPr>
      <w:r w:rsidRPr="00644FC1">
        <w:rPr>
          <w:noProof/>
        </w:rPr>
        <w:t>întrucât:</w:t>
      </w:r>
    </w:p>
    <w:p w:rsidR="004A3074" w:rsidRPr="00644FC1" w:rsidRDefault="004A3074" w:rsidP="00D803CA">
      <w:pPr>
        <w:pStyle w:val="ManualConsidrant"/>
        <w:rPr>
          <w:noProof/>
        </w:rPr>
      </w:pPr>
      <w:r>
        <w:rPr>
          <w:noProof/>
        </w:rPr>
        <w:t>(1)</w:t>
      </w:r>
      <w:r>
        <w:rPr>
          <w:noProof/>
        </w:rPr>
        <w:tab/>
      </w:r>
      <w:r w:rsidRPr="00644FC1">
        <w:rPr>
          <w:noProof/>
        </w:rPr>
        <w:t>Convenția Consiliului Europei privind prevenirea și combaterea violenței împotriva femeilor și a violenței domestice („convenția”) a fost încheiată de Uniune prin Decizia</w:t>
      </w:r>
      <w:r w:rsidR="00681552">
        <w:rPr>
          <w:noProof/>
        </w:rPr>
        <w:t> </w:t>
      </w:r>
      <w:r w:rsidRPr="00644FC1">
        <w:rPr>
          <w:noProof/>
        </w:rPr>
        <w:t>(UE) 2023/1075 a Consiliului</w:t>
      </w:r>
      <w:r w:rsidRPr="00644FC1">
        <w:rPr>
          <w:rStyle w:val="FootnoteReference"/>
          <w:noProof/>
        </w:rPr>
        <w:footnoteReference w:id="14"/>
      </w:r>
      <w:r w:rsidRPr="00644FC1">
        <w:rPr>
          <w:noProof/>
        </w:rPr>
        <w:t xml:space="preserve"> în ceea ce privește instituțiile Uniunii și administrația publică a acesteia și prin Decizia (UE) 2023/1076 a Consiliului</w:t>
      </w:r>
      <w:r w:rsidRPr="00644FC1">
        <w:rPr>
          <w:rStyle w:val="FootnoteReference"/>
          <w:noProof/>
        </w:rPr>
        <w:footnoteReference w:id="15"/>
      </w:r>
      <w:r w:rsidRPr="00644FC1">
        <w:rPr>
          <w:noProof/>
        </w:rPr>
        <w:t xml:space="preserve"> în ceea ce privește aspectele legate de cooperarea judiciară în materie penală și în ceea ce privește azilul și nereturnarea, în măsura în care aceste aspecte intră în sfera de competență exclusivă a Uniunii, și a intrat în vigoare pentru Uniune la 1</w:t>
      </w:r>
      <w:r w:rsidR="00681552">
        <w:rPr>
          <w:noProof/>
        </w:rPr>
        <w:t> </w:t>
      </w:r>
      <w:r w:rsidRPr="00644FC1">
        <w:rPr>
          <w:noProof/>
        </w:rPr>
        <w:t>octombrie</w:t>
      </w:r>
      <w:r w:rsidR="00681552">
        <w:rPr>
          <w:noProof/>
        </w:rPr>
        <w:t> </w:t>
      </w:r>
      <w:r w:rsidRPr="00644FC1">
        <w:rPr>
          <w:noProof/>
        </w:rPr>
        <w:t>2023.</w:t>
      </w:r>
    </w:p>
    <w:p w:rsidR="00883E7B" w:rsidRPr="00644FC1" w:rsidRDefault="004A3074" w:rsidP="00883E7B">
      <w:pPr>
        <w:pStyle w:val="ManualConsidrant"/>
        <w:rPr>
          <w:noProof/>
        </w:rPr>
      </w:pPr>
      <w:r>
        <w:rPr>
          <w:noProof/>
        </w:rPr>
        <w:t>(2)</w:t>
      </w:r>
      <w:r>
        <w:rPr>
          <w:noProof/>
        </w:rPr>
        <w:tab/>
      </w:r>
      <w:r w:rsidRPr="00644FC1">
        <w:rPr>
          <w:noProof/>
        </w:rPr>
        <w:t xml:space="preserve">În temeiul articolului 66 alineatul (1) din convenție, Grupul de experți în intervenția contra violenței împotriva femeilor și a violenței domestice (denumit în continuare „GREVIO”) trebuie să monitorizeze punerea în aplicare a convenției de către părțile la convenție (denumite în continuare „părțile”). În conformitate cu articolul 68 alineatul (11) din convenție, GREVIO urmează să își adopte raportul și concluziile privind măsurile luate de partea în cauză pentru a pune în aplicare dispozițiile convenției. </w:t>
      </w:r>
    </w:p>
    <w:p w:rsidR="00CF6EFE" w:rsidRPr="00644FC1" w:rsidRDefault="004A3074" w:rsidP="009E6F2B">
      <w:pPr>
        <w:pStyle w:val="ManualConsidrant"/>
        <w:rPr>
          <w:noProof/>
        </w:rPr>
      </w:pPr>
      <w:r>
        <w:rPr>
          <w:noProof/>
        </w:rPr>
        <w:t>(3)</w:t>
      </w:r>
      <w:r>
        <w:rPr>
          <w:noProof/>
        </w:rPr>
        <w:tab/>
      </w:r>
      <w:r w:rsidRPr="00644FC1">
        <w:rPr>
          <w:noProof/>
        </w:rPr>
        <w:t xml:space="preserve">Comitetul părților („comitetul”) adoptă recomandări adresate părții în cauză, în conformitate cu articolul 68 alineatul (12) din convenție, pe baza raportului și </w:t>
      </w:r>
      <w:r w:rsidRPr="00644FC1">
        <w:rPr>
          <w:noProof/>
        </w:rPr>
        <w:lastRenderedPageBreak/>
        <w:t xml:space="preserve">a concluziilor GREVIO. Aceste recomandări fac distincție între măsurile care trebuie luate cât mai curând posibil, cu obligația de a-i prezenta comitetului un raport în termen de trei ani, și măsurile care, deși considerate importante, nu necesită același grad de urgență. La sfârșitul perioadei de trei ani, partea în cauză trebuie să prezinte comitetului un raport cu privire la măsurile luate, în 10 domenii specifice ale convenției. Pe baza respectivului raport și a oricăror alte informații suplimentare, comitetul urmează să adopte concluzii privind modul în care s-a dat curs recomandărilor, elaborate de secretariatul comitetului. </w:t>
      </w:r>
    </w:p>
    <w:p w:rsidR="009E6F2B" w:rsidRPr="00644FC1" w:rsidRDefault="009E6F2B" w:rsidP="009E6F2B">
      <w:pPr>
        <w:pStyle w:val="ManualConsidrant"/>
        <w:rPr>
          <w:noProof/>
        </w:rPr>
      </w:pPr>
      <w:r>
        <w:rPr>
          <w:noProof/>
        </w:rPr>
        <w:t>(4)</w:t>
      </w:r>
      <w:r>
        <w:rPr>
          <w:noProof/>
        </w:rPr>
        <w:tab/>
      </w:r>
      <w:r w:rsidRPr="00644FC1">
        <w:rPr>
          <w:noProof/>
        </w:rPr>
        <w:t>Se prevede că, în cadrul celei de a 20-a reuniuni, din 2 iunie 2026, comitetul va adopta următoarele proiecte de concluzii privind punerea în aplicare a convenției de către nouă părți („proiectele de concluzii”):</w:t>
      </w:r>
      <w:r w:rsidR="00237576">
        <w:rPr>
          <w:noProof/>
        </w:rPr>
        <w:t xml:space="preserve"> </w:t>
      </w:r>
    </w:p>
    <w:p w:rsidR="00217D89" w:rsidRPr="00644FC1" w:rsidRDefault="00217D89" w:rsidP="00B65A65">
      <w:pPr>
        <w:pStyle w:val="Point1"/>
        <w:rPr>
          <w:noProof/>
        </w:rPr>
      </w:pPr>
      <w:r>
        <w:rPr>
          <w:noProof/>
        </w:rPr>
        <w:t>(1)</w:t>
      </w:r>
      <w:r>
        <w:rPr>
          <w:noProof/>
        </w:rPr>
        <w:tab/>
      </w:r>
      <w:r w:rsidRPr="00644FC1">
        <w:rPr>
          <w:noProof/>
        </w:rPr>
        <w:t>Concluzii privind punerea în aplicare a recomandărilor cu privire la Bosnia și Herțegovina adoptate de Comitetul părților, conținute în documentul</w:t>
      </w:r>
      <w:r w:rsidR="00681552">
        <w:rPr>
          <w:noProof/>
        </w:rPr>
        <w:t> </w:t>
      </w:r>
      <w:r w:rsidRPr="00644FC1">
        <w:rPr>
          <w:noProof/>
        </w:rPr>
        <w:t>IC</w:t>
      </w:r>
      <w:r w:rsidR="00681552">
        <w:rPr>
          <w:noProof/>
        </w:rPr>
        <w:t>­</w:t>
      </w:r>
      <w:r w:rsidRPr="00644FC1">
        <w:rPr>
          <w:noProof/>
        </w:rPr>
        <w:t xml:space="preserve">CP(2026)4-prov. </w:t>
      </w:r>
      <w:r w:rsidRPr="00644FC1">
        <w:rPr>
          <w:noProof/>
        </w:rPr>
        <w:tab/>
      </w:r>
    </w:p>
    <w:p w:rsidR="00217D89" w:rsidRPr="00644FC1" w:rsidRDefault="00217D89" w:rsidP="00B65A65">
      <w:pPr>
        <w:pStyle w:val="Point1"/>
        <w:rPr>
          <w:noProof/>
        </w:rPr>
      </w:pPr>
      <w:r>
        <w:rPr>
          <w:noProof/>
        </w:rPr>
        <w:t>(2)</w:t>
      </w:r>
      <w:r>
        <w:rPr>
          <w:noProof/>
        </w:rPr>
        <w:tab/>
      </w:r>
      <w:r w:rsidRPr="00644FC1">
        <w:rPr>
          <w:noProof/>
        </w:rPr>
        <w:t xml:space="preserve">Concluzii privind punerea în aplicare a recomandărilor cu privire la Cipru adoptate de Comitetul părților, conținute în documentul IC-CP(2026)5-prov. </w:t>
      </w:r>
    </w:p>
    <w:p w:rsidR="00217D89" w:rsidRPr="00644FC1" w:rsidRDefault="00217D89" w:rsidP="00B65A65">
      <w:pPr>
        <w:pStyle w:val="Point1"/>
        <w:rPr>
          <w:noProof/>
        </w:rPr>
      </w:pPr>
      <w:r>
        <w:rPr>
          <w:noProof/>
        </w:rPr>
        <w:t>(3)</w:t>
      </w:r>
      <w:r>
        <w:rPr>
          <w:noProof/>
        </w:rPr>
        <w:tab/>
      </w:r>
      <w:r w:rsidRPr="00644FC1">
        <w:rPr>
          <w:noProof/>
        </w:rPr>
        <w:t>Concluzii privind punerea în aplicare a recomandărilor cu privire la Estonia adoptate de Comitetul părților, conținute în documentul IC-CP(2026)6-prov.</w:t>
      </w:r>
    </w:p>
    <w:p w:rsidR="00217D89" w:rsidRPr="00644FC1" w:rsidRDefault="00217D89" w:rsidP="00B65A65">
      <w:pPr>
        <w:pStyle w:val="Point1"/>
        <w:rPr>
          <w:noProof/>
        </w:rPr>
      </w:pPr>
      <w:r>
        <w:rPr>
          <w:noProof/>
        </w:rPr>
        <w:t>(4)</w:t>
      </w:r>
      <w:r>
        <w:rPr>
          <w:noProof/>
        </w:rPr>
        <w:tab/>
      </w:r>
      <w:r w:rsidRPr="00644FC1">
        <w:rPr>
          <w:noProof/>
        </w:rPr>
        <w:t>Concluzii privind punerea în aplicare a recomandărilor cu privire la Georgia adoptate de Comitetul părților, conținute în documentul IC-CP(2026)7-prov.</w:t>
      </w:r>
    </w:p>
    <w:p w:rsidR="00217D89" w:rsidRPr="00644FC1" w:rsidRDefault="00217D89" w:rsidP="00B65A65">
      <w:pPr>
        <w:pStyle w:val="Point1"/>
        <w:rPr>
          <w:noProof/>
        </w:rPr>
      </w:pPr>
      <w:r>
        <w:rPr>
          <w:noProof/>
        </w:rPr>
        <w:t>(5)</w:t>
      </w:r>
      <w:r>
        <w:rPr>
          <w:noProof/>
        </w:rPr>
        <w:tab/>
      </w:r>
      <w:r w:rsidRPr="00644FC1">
        <w:rPr>
          <w:noProof/>
        </w:rPr>
        <w:t>Concluzii privind punerea în aplicare a recomandărilor cu privire la Germania adoptate de Comitetul părților, conținute în documentul IC-CP(2026)8-prov.</w:t>
      </w:r>
    </w:p>
    <w:p w:rsidR="00217D89" w:rsidRPr="00644FC1" w:rsidRDefault="00217D89" w:rsidP="00B65A65">
      <w:pPr>
        <w:pStyle w:val="Point1"/>
        <w:rPr>
          <w:noProof/>
        </w:rPr>
      </w:pPr>
      <w:r>
        <w:rPr>
          <w:noProof/>
        </w:rPr>
        <w:t>(6)</w:t>
      </w:r>
      <w:r>
        <w:rPr>
          <w:noProof/>
        </w:rPr>
        <w:tab/>
      </w:r>
      <w:r w:rsidRPr="00644FC1">
        <w:rPr>
          <w:noProof/>
        </w:rPr>
        <w:t>Concluzii privind punerea în aplicare a recomandărilor cu privire la Islanda adoptate de Comitetul părților, conținute în documentul IC-CP(2026)9-prov.</w:t>
      </w:r>
    </w:p>
    <w:p w:rsidR="00217D89" w:rsidRPr="00644FC1" w:rsidRDefault="00217D89" w:rsidP="00B65A65">
      <w:pPr>
        <w:pStyle w:val="Point1"/>
        <w:rPr>
          <w:noProof/>
        </w:rPr>
      </w:pPr>
      <w:r>
        <w:rPr>
          <w:noProof/>
        </w:rPr>
        <w:t>(7)</w:t>
      </w:r>
      <w:r>
        <w:rPr>
          <w:noProof/>
        </w:rPr>
        <w:tab/>
      </w:r>
      <w:r w:rsidRPr="00644FC1">
        <w:rPr>
          <w:noProof/>
        </w:rPr>
        <w:t>Concluzii privind punerea în aplicare a recomandărilor cu privire la Norvegia adoptate de Comitetul părților, conținute în documentul IC-CP(2026)10-prov.</w:t>
      </w:r>
    </w:p>
    <w:p w:rsidR="00217D89" w:rsidRPr="00644FC1" w:rsidRDefault="00217D89" w:rsidP="00B65A65">
      <w:pPr>
        <w:pStyle w:val="Point1"/>
        <w:rPr>
          <w:noProof/>
        </w:rPr>
      </w:pPr>
      <w:r>
        <w:rPr>
          <w:noProof/>
        </w:rPr>
        <w:t>(8)</w:t>
      </w:r>
      <w:r>
        <w:rPr>
          <w:noProof/>
        </w:rPr>
        <w:tab/>
      </w:r>
      <w:r w:rsidRPr="00644FC1">
        <w:rPr>
          <w:noProof/>
        </w:rPr>
        <w:t>Concluzii privind punerea în aplicare a recomandărilor cu privire la România adoptate de Comitetul părților, conținute în documentul IC-CP(2026)11-prov.</w:t>
      </w:r>
    </w:p>
    <w:p w:rsidR="009E6F2B" w:rsidRPr="00644FC1" w:rsidRDefault="00217D89" w:rsidP="00B65A65">
      <w:pPr>
        <w:pStyle w:val="Point1"/>
        <w:rPr>
          <w:noProof/>
        </w:rPr>
      </w:pPr>
      <w:r>
        <w:rPr>
          <w:noProof/>
        </w:rPr>
        <w:t>(9)</w:t>
      </w:r>
      <w:r>
        <w:rPr>
          <w:noProof/>
        </w:rPr>
        <w:tab/>
      </w:r>
      <w:r w:rsidRPr="00644FC1">
        <w:rPr>
          <w:noProof/>
        </w:rPr>
        <w:t>Concluzii privind punerea în aplicare a recomandărilor cu privire la Elveția adoptate de Comitetul părților, conținute în documentul IC-CP(2026)12-prov.</w:t>
      </w:r>
    </w:p>
    <w:p w:rsidR="00C76833" w:rsidRPr="00644FC1" w:rsidRDefault="00C76833" w:rsidP="00187B62">
      <w:pPr>
        <w:pStyle w:val="ManualConsidrant"/>
        <w:rPr>
          <w:noProof/>
        </w:rPr>
      </w:pPr>
      <w:r>
        <w:rPr>
          <w:noProof/>
        </w:rPr>
        <w:t>(5)</w:t>
      </w:r>
      <w:r>
        <w:rPr>
          <w:noProof/>
        </w:rPr>
        <w:tab/>
      </w:r>
      <w:r w:rsidRPr="00644FC1">
        <w:rPr>
          <w:noProof/>
        </w:rPr>
        <w:t>Uniunea are competența exclusivă de a accepta obligațiile prevăzute în convenție cu privire la instituțiile sale și la administrația sa publică, în sensul articolului 336 din Tratatul privind funcționarea Uniunii Europene. La punctul 305 din Avizul 1/19 din 6 octombrie 2021, Convenția de la Istanbul</w:t>
      </w:r>
      <w:r w:rsidRPr="00644FC1">
        <w:rPr>
          <w:rStyle w:val="FootnoteReference"/>
          <w:noProof/>
        </w:rPr>
        <w:footnoteReference w:id="16"/>
      </w:r>
      <w:r w:rsidRPr="00644FC1">
        <w:rPr>
          <w:noProof/>
        </w:rPr>
        <w:t xml:space="preserve">, Curtea de Justiție a Uniunii Europene a confirmat că o mare parte din obligațiile convenției privind adoptarea de măsuri preventive și de protecție sunt, în esență, obligatorii pentru Uniune în ceea ce privește personalul din administrația sa și în ceea ce privește membrii publicului care vizitează sediile și clădirile instituțiilor, ale agențiilor și ale organelor sale. În plus, la punctul 307 din același aviz, Curtea a statuat că Uniunea nu ar trebui să se limiteze la stabilirea unor cerințe minime sau a unor măsuri de sprijin, ci ar trebui să se asigure ea însăși că aceste obligații sunt îndeplinite integral. În același timp, amploarea obligațiilor Uniunii ar trebui să fie interpretată ținând seama de natura și competențele sale specifice. În special, întrucât administrația publică a Uniunii nu dispune de competențe de asigurare </w:t>
      </w:r>
      <w:r w:rsidRPr="00644FC1">
        <w:rPr>
          <w:noProof/>
        </w:rPr>
        <w:lastRenderedPageBreak/>
        <w:t>a respectării legii, recomandările referitoare la chestiuni legate de asigurarea respectării legii, cum ar fi emiterea de ordine de interdicție de urgență, ar trebui interpretate ca impunând Uniunii garantarea siguranței victimei în limitele competențelor Uniunii, de exemplu prin refuzarea accesului presupușilor autori de acte de violență în clădirile instituțiilor.</w:t>
      </w:r>
    </w:p>
    <w:p w:rsidR="00AA6C0B" w:rsidRPr="00644FC1" w:rsidRDefault="00AA6C0B" w:rsidP="00187B62">
      <w:pPr>
        <w:pStyle w:val="ManualConsidrant"/>
        <w:rPr>
          <w:noProof/>
        </w:rPr>
      </w:pPr>
      <w:r>
        <w:rPr>
          <w:noProof/>
        </w:rPr>
        <w:t>(6)</w:t>
      </w:r>
      <w:r>
        <w:rPr>
          <w:noProof/>
        </w:rPr>
        <w:tab/>
      </w:r>
      <w:r w:rsidRPr="00644FC1">
        <w:rPr>
          <w:noProof/>
        </w:rPr>
        <w:t>Actele avute în vedere se referă la punerea în aplicare a dispozițiilor convenției care se aplică și Uniunii în ceea ce privește propriile sale instituții și propria sa administrație publică. Prin urmare, este oportun să se stabilească poziția care urmează să fie luată în numele Uniunii în cadrul comitetului în ceea ce privește aspectele legate de instituțiile Uniunii și administrația publică a acesteia, întrucât actele avute în vedere au vocația de a influența în mod decisiv conținutul dreptului Uniunii, în sensul că ar putea avea un efect asupra interpretării viitoare a dispozițiilor relevante ale convenției.</w:t>
      </w:r>
    </w:p>
    <w:p w:rsidR="00217D89" w:rsidRPr="00644FC1" w:rsidRDefault="00217D89" w:rsidP="00217D89">
      <w:pPr>
        <w:pStyle w:val="ManualConsidrant"/>
        <w:rPr>
          <w:noProof/>
        </w:rPr>
      </w:pPr>
      <w:r>
        <w:rPr>
          <w:noProof/>
        </w:rPr>
        <w:t>(7)</w:t>
      </w:r>
      <w:r>
        <w:rPr>
          <w:noProof/>
        </w:rPr>
        <w:tab/>
      </w:r>
      <w:r w:rsidRPr="00644FC1">
        <w:rPr>
          <w:noProof/>
        </w:rPr>
        <w:t xml:space="preserve">În ceea ce privește Bosnia și Herțegovina, proiectul de concluzii privind punerea în aplicare de către aceasta a convenției include necesitatea: de a armoniza politicile și măsurile luate pentru punerea în aplicare a convenției, asigurându-se faptul că acestea acoperă toate formele de violență împotriva femeilor și că sunt monitorizate și evaluate în mod independent (articolul 7 din convenție); de a reduce numărul organismelor de coordonare existente și de a asigura resurse financiare suficiente (articolul 10 din convenție); de a continua eforturile de colectare de date sistematice, comparabile și dezagregate din toate resursele relevante (articolul 11 din convenție) și de a asigura faptul că ordinele de interdicție de urgență pot fi emise fără întârziere în caz de pericol iminent (articolele 52 și 53 din convenție). Întrucât proiectul de concluzii este în concordanță cu politicile și obiectivele Uniunii și nu ridică nicio problemă cu privire la dreptul Uniunii, poziția Uniunii ar trebui să fie aceea de a nu se opune adoptării acestuia. </w:t>
      </w:r>
    </w:p>
    <w:p w:rsidR="00A37BCD" w:rsidRPr="00644FC1" w:rsidRDefault="000604F0" w:rsidP="00CB571A">
      <w:pPr>
        <w:pStyle w:val="ManualConsidrant"/>
        <w:rPr>
          <w:noProof/>
        </w:rPr>
      </w:pPr>
      <w:r>
        <w:rPr>
          <w:noProof/>
        </w:rPr>
        <w:t>(8)</w:t>
      </w:r>
      <w:r>
        <w:rPr>
          <w:noProof/>
        </w:rPr>
        <w:tab/>
      </w:r>
      <w:r w:rsidRPr="00644FC1">
        <w:rPr>
          <w:noProof/>
        </w:rPr>
        <w:t xml:space="preserve">În ceea ce privește Cipru, proiectul de concluzii privind punerea în aplicare de către acesta a convenției include necesitatea: de a continua eforturile de colectare de date sistematice, comparabile și dezagregate din toate resursele relevante (articolul 11 din convenție); de a asigura faptul că autoritățile relevante pot emite imediat ordine de restricție și de interdicție de urgență în caz de pericol iminent și de a asigura faptul că aceste ordine sunt monitorizate și puse în aplicare (articolele 52 și 53 din convenție). Întrucât proiectul de concluzii este în concordanță cu politicile și obiectivele Uniunii și nu ridică nicio problemă cu privire la dreptul Uniunii, poziția Uniunii ar trebui să fie aceea de a nu se opune adoptării acestuia. </w:t>
      </w:r>
    </w:p>
    <w:p w:rsidR="00A37BCD" w:rsidRPr="00644FC1" w:rsidRDefault="00A37BCD" w:rsidP="005A08D4">
      <w:pPr>
        <w:pStyle w:val="ManualConsidrant"/>
        <w:rPr>
          <w:noProof/>
        </w:rPr>
      </w:pPr>
      <w:r>
        <w:rPr>
          <w:noProof/>
        </w:rPr>
        <w:t>(9)</w:t>
      </w:r>
      <w:r>
        <w:rPr>
          <w:noProof/>
        </w:rPr>
        <w:tab/>
      </w:r>
      <w:r w:rsidRPr="00644FC1">
        <w:rPr>
          <w:noProof/>
        </w:rPr>
        <w:t>În ceea ce privește Estonia, proiectul de concluzii privind punerea în aplicare de către aceasta a convenției include necesitatea: de a asigura faptul că politicile și măsurile relevante abordează toate formele de violență împotriva femeilor care intră sub incidența convenției și sunt puse în aplicare ținând seama de o înțelegere bazată pe gen a violenței și că impactul acestora este evaluat (articolul 7 din convenție); și de a se asigura faptul că practica privind ordinele de interdicție de urgență este în concordanță cu convenția (articolul 52 din convenție).</w:t>
      </w:r>
      <w:r w:rsidR="00237576">
        <w:rPr>
          <w:noProof/>
        </w:rPr>
        <w:t xml:space="preserve"> </w:t>
      </w:r>
      <w:r w:rsidRPr="00644FC1">
        <w:rPr>
          <w:noProof/>
        </w:rPr>
        <w:t>Întrucât proiectul de concluzii este în concordanță cu politicile și obiectivele Uniunii și nu ridică nicio problemă cu privire la dreptul Uniunii, poziția Uniunii ar trebui să fie aceea de a nu se opune adoptării acestuia.</w:t>
      </w:r>
    </w:p>
    <w:p w:rsidR="00A37BCD" w:rsidRPr="00644FC1" w:rsidRDefault="00A37BCD" w:rsidP="003A1976">
      <w:pPr>
        <w:pStyle w:val="ManualConsidrant"/>
        <w:rPr>
          <w:noProof/>
        </w:rPr>
      </w:pPr>
      <w:r>
        <w:rPr>
          <w:noProof/>
        </w:rPr>
        <w:t>(10)</w:t>
      </w:r>
      <w:r>
        <w:rPr>
          <w:noProof/>
        </w:rPr>
        <w:tab/>
      </w:r>
      <w:r w:rsidRPr="00644FC1">
        <w:rPr>
          <w:noProof/>
        </w:rPr>
        <w:t xml:space="preserve">În ceea ce privește Georgia, proiectul de concluzii privind punerea în aplicare de către aceasta a convenției include necesitatea: de a asigura faptul că toate politicile și măsurile relevante pun în aplicare o înțelegere bazată pe gen a violenței și că impactul acestora face obiectul unei evaluări sistematice (articolul 7 din convenție); de a asigura </w:t>
      </w:r>
      <w:r w:rsidRPr="00644FC1">
        <w:rPr>
          <w:noProof/>
        </w:rPr>
        <w:lastRenderedPageBreak/>
        <w:t>faptul că există structuri instituționalizate pentru coordonarea și cooperarea dintre actorii relevanți pentru a asigura un răspuns interinstituțional coordonat la toate formele de violență care intră sub incidența convenției (articolul 18 din convenție);</w:t>
      </w:r>
      <w:r w:rsidR="00237576">
        <w:rPr>
          <w:noProof/>
        </w:rPr>
        <w:t xml:space="preserve"> </w:t>
      </w:r>
      <w:r w:rsidRPr="00644FC1">
        <w:rPr>
          <w:noProof/>
        </w:rPr>
        <w:t xml:space="preserve">de a asigura disponibilitatea adăposturilor (articolul 23 din convenție) și de a evita procedurile sau practicile inutile care pot provoca o nouă traumă victimelor (articolele 49 și 50 din convenție). Întrucât proiectul de concluzii este în concordanță cu politicile și obiectivele Uniunii și nu ridică nicio problemă cu privire la dreptul Uniunii, poziția Uniunii ar trebui să fie aceea de a nu se opune adoptării acestuia. </w:t>
      </w:r>
    </w:p>
    <w:p w:rsidR="003A1976" w:rsidRPr="00644FC1" w:rsidRDefault="003A1976" w:rsidP="008D640C">
      <w:pPr>
        <w:pStyle w:val="ManualConsidrant"/>
        <w:rPr>
          <w:noProof/>
        </w:rPr>
      </w:pPr>
      <w:r>
        <w:rPr>
          <w:noProof/>
        </w:rPr>
        <w:t>(11)</w:t>
      </w:r>
      <w:r>
        <w:rPr>
          <w:noProof/>
        </w:rPr>
        <w:tab/>
      </w:r>
      <w:r w:rsidRPr="00644FC1">
        <w:rPr>
          <w:noProof/>
        </w:rPr>
        <w:t xml:space="preserve">În ceea ce privește Germania, proiectul de concluzii privind punerea în aplicare de către aceasta a convenției include necesitatea: de a asigura coordonarea și cooperarea între toți actorii relevanți în ceea ce privește punerea în aplicare a politicilor și a măsurilor de prevenire și de combatere a tuturor formelor de violență împotriva femeilor și de violență domestică și de a oferi un răspuns interinstituțional coordonat, fără discriminări (articolul 7 din convenție); și de a asigura faptul că toți actorii relevanți colectează date dezagregate (articolul 11 din convenție). Întrucât proiectul de concluzii este în concordanță cu politicile și obiectivele Uniunii în domeniul cooperării judiciare în materie penală și nu ridică nicio problemă cu privire la dreptul Uniunii, poziția Uniunii ar trebui să fie aceea de a nu se opune adoptării acestuia. </w:t>
      </w:r>
    </w:p>
    <w:p w:rsidR="003A1976" w:rsidRPr="00644FC1" w:rsidRDefault="00317CB3" w:rsidP="005B6ACF">
      <w:pPr>
        <w:pStyle w:val="ManualConsidrant"/>
        <w:rPr>
          <w:noProof/>
        </w:rPr>
      </w:pPr>
      <w:r>
        <w:rPr>
          <w:noProof/>
        </w:rPr>
        <w:t>(12)</w:t>
      </w:r>
      <w:r>
        <w:rPr>
          <w:noProof/>
        </w:rPr>
        <w:tab/>
      </w:r>
      <w:r w:rsidRPr="00644FC1">
        <w:rPr>
          <w:noProof/>
        </w:rPr>
        <w:t>În ceea ce privește Islanda, proiectul de concluzii privind punerea în aplicare de către aceasta a convenției include necesitatea: de a asigura faptul că organismului național de coordonare i se dă un mandat clar pentru a-și îndeplini funcțiile și i se pun la dispoziție resurse specifice (articolul 10 din convenție); și de a asigura o evaluare sistematică și în funcție de gen a riscurilor (articolele 49, 50 și 51 din convenție). Întrucât proiectul de concluzii este în concordanță cu politicile și obiectivele Uniunii și nu ridică nicio problemă cu privire la dreptul Uniunii, poziția Uniunii ar trebui să fie aceea de a nu se opune adoptării acestuia.</w:t>
      </w:r>
    </w:p>
    <w:p w:rsidR="00115268" w:rsidRPr="00644FC1" w:rsidRDefault="002C323B" w:rsidP="00F74334">
      <w:pPr>
        <w:pStyle w:val="ManualConsidrant"/>
        <w:rPr>
          <w:noProof/>
        </w:rPr>
      </w:pPr>
      <w:r>
        <w:rPr>
          <w:noProof/>
        </w:rPr>
        <w:t>(13)</w:t>
      </w:r>
      <w:r>
        <w:rPr>
          <w:noProof/>
        </w:rPr>
        <w:tab/>
      </w:r>
      <w:r w:rsidRPr="00644FC1">
        <w:rPr>
          <w:noProof/>
        </w:rPr>
        <w:t>În ceea ce privește Norvegia, proiectul de concluzii privind punerea în aplicare de către aceasta a convenției include necesitatea: de a asigura faptul că documentele de politică naționale sunt bine coordonate și oferă un răspuns holistic la toate formele de violență împotriva femeilor și de violență domestică (articolul 7 din convenție); de a asigura colectarea de date dezagregate (articolul 11 din convenție) și de a asigura faptul că autoritățile relevante pot emite ordine de interdicție de urgență în caz de pericol iminent (articolul 52 din convenție). Întrucât proiectul de concluzii este în concordanță cu politicile și obiectivele Uniunii și nu ridică nicio problemă cu privire la dreptul Uniunii, poziția Uniunii ar trebui să fie aceea de a nu se opune adoptării acestuia.</w:t>
      </w:r>
    </w:p>
    <w:p w:rsidR="00757D37" w:rsidRPr="00644FC1" w:rsidRDefault="00AE10E2" w:rsidP="00F74334">
      <w:pPr>
        <w:pStyle w:val="ManualConsidrant"/>
        <w:rPr>
          <w:noProof/>
        </w:rPr>
      </w:pPr>
      <w:r>
        <w:rPr>
          <w:noProof/>
        </w:rPr>
        <w:t>(14)</w:t>
      </w:r>
      <w:r>
        <w:rPr>
          <w:noProof/>
        </w:rPr>
        <w:tab/>
      </w:r>
      <w:r w:rsidRPr="00644FC1">
        <w:rPr>
          <w:noProof/>
        </w:rPr>
        <w:t>În ceea ce privește România, proiectul de concluzii privind punerea în aplicare de către aceasta a convenției include necesitatea: de a asigura coordonarea și cooperarea între toți actorii relevanți în ceea ce privește punerea în aplicare a politicilor și a măsurilor de prevenire și de combatere a violenței împotriva femeilor și a violenței domestice (articolul 7 din convenție); de a asigura resurse financiare adecvate pentru punerea în aplicare a politicilor și a măsurilor relevante, precum și a unei finanțări stabile și durabile pentru ONG-urile specializate în drepturile femeilor care acordă sprijin victimelor (articolul 8 din convenție); și de a asigura colectarea de date dezagregate (articolul 11 din convenție).</w:t>
      </w:r>
      <w:r w:rsidR="00237576">
        <w:rPr>
          <w:noProof/>
        </w:rPr>
        <w:t xml:space="preserve"> </w:t>
      </w:r>
      <w:r w:rsidRPr="00644FC1">
        <w:rPr>
          <w:noProof/>
        </w:rPr>
        <w:t>Întrucât proiectul de concluzii este în concordanță cu politicile și obiectivele Uniunii și nu ridică nicio problemă cu privire la dreptul Uniunii, poziția Uniunii ar trebui să fie aceea de a nu se opune adoptării acestuia.</w:t>
      </w:r>
    </w:p>
    <w:p w:rsidR="004F2E69" w:rsidRPr="00644FC1" w:rsidRDefault="00757D37" w:rsidP="00141F4A">
      <w:pPr>
        <w:pStyle w:val="ManualConsidrant"/>
        <w:rPr>
          <w:noProof/>
        </w:rPr>
      </w:pPr>
      <w:r>
        <w:rPr>
          <w:noProof/>
        </w:rPr>
        <w:lastRenderedPageBreak/>
        <w:t>(15)</w:t>
      </w:r>
      <w:r>
        <w:rPr>
          <w:noProof/>
        </w:rPr>
        <w:tab/>
      </w:r>
      <w:r w:rsidRPr="00644FC1">
        <w:rPr>
          <w:noProof/>
        </w:rPr>
        <w:t>În ceea ce privește Elveția, proiectul de concluzii privind punerea în aplicare de către aceasta a convenției include necesitatea: de a asigura o finanțare adecvată pentru politicile și măsurile relevante și o finanțare durabilă pentru organizațiile care oferă servicii specializate de sprijinire a femeilor care sunt victime ale violenței (articolul 8 din convenție); de a continua eforturile de îmbunătățire a colectării de date dezagregate (articolul 11 din convenție); și de a asigura faptul că victimele și copiii acestora au acces la adăposturi specializate în întreaga țară (articolele</w:t>
      </w:r>
      <w:r w:rsidR="00237576">
        <w:rPr>
          <w:noProof/>
        </w:rPr>
        <w:t xml:space="preserve"> </w:t>
      </w:r>
      <w:r w:rsidRPr="00644FC1">
        <w:rPr>
          <w:noProof/>
        </w:rPr>
        <w:t>22 și 23). Întrucât proiectul de concluzii este în concordanță cu politicile și obiectivele Uniunii și nu ridică nicio problemă cu privire la dreptul Uniunii, poziția Uniunii ar trebui să fie aceea de a nu se opune adoptării acestuia.</w:t>
      </w:r>
    </w:p>
    <w:p w:rsidR="00D46E7A" w:rsidRPr="00644FC1" w:rsidRDefault="00D46E7A" w:rsidP="000164BA">
      <w:pPr>
        <w:pStyle w:val="ManualConsidrant"/>
        <w:rPr>
          <w:noProof/>
        </w:rPr>
      </w:pPr>
      <w:r>
        <w:rPr>
          <w:noProof/>
        </w:rPr>
        <w:t>(16)</w:t>
      </w:r>
      <w:r>
        <w:rPr>
          <w:noProof/>
        </w:rPr>
        <w:tab/>
      </w:r>
      <w:r w:rsidRPr="00644FC1">
        <w:rPr>
          <w:noProof/>
        </w:rPr>
        <w:t>În cadrul reuniunii comitetului din 2 iunie 2026, este prevăzută alegerea a cinci membri ai GREVIO. Aceștia își vor exercita mandatul de la 1 septembrie 2026 până la 31 august 2030. . În temeiul articolului 66 din convenție, GREVIO este compus din 15</w:t>
      </w:r>
      <w:r w:rsidR="000A2B60">
        <w:rPr>
          <w:noProof/>
        </w:rPr>
        <w:t> </w:t>
      </w:r>
      <w:r w:rsidRPr="00644FC1">
        <w:rPr>
          <w:noProof/>
        </w:rPr>
        <w:t xml:space="preserve">membri. Membrii săi trebuie aleși de comitet din rândul candidaților nominalizați de părți pentru un mandat de patru ani, care poate fi reînnoit o singură dată. Membrii GREVIO trebuie aleși din rândul resortisanților părților, ținând seama de echilibrul geografic și de gen, precum și de expertiza multidisciplinară. </w:t>
      </w:r>
    </w:p>
    <w:p w:rsidR="009D1869" w:rsidRPr="00644FC1" w:rsidRDefault="009D1869" w:rsidP="00251634">
      <w:pPr>
        <w:pStyle w:val="ManualConsidrant"/>
        <w:rPr>
          <w:noProof/>
        </w:rPr>
      </w:pPr>
      <w:r>
        <w:rPr>
          <w:noProof/>
        </w:rPr>
        <w:t>(17)</w:t>
      </w:r>
      <w:r>
        <w:rPr>
          <w:noProof/>
        </w:rPr>
        <w:tab/>
      </w:r>
      <w:r w:rsidRPr="00644FC1">
        <w:rPr>
          <w:noProof/>
        </w:rPr>
        <w:t>În calitate de membru al comitetului, Uniunea are dreptul la cinci voturi în cadrul alegerii preconizate a cinci membri. Cei cinci membri trebuie aleși de comitet din rândul celor 15 candidați care au fost nominalizați de un număr de 13 părți. Dintre cele 13 țări care au făcut nominalizări, 11 sunt state membre ale UE. Întrucât toți candidații</w:t>
      </w:r>
      <w:r w:rsidR="000A2B60">
        <w:rPr>
          <w:noProof/>
        </w:rPr>
        <w:t> </w:t>
      </w:r>
      <w:r w:rsidRPr="00644FC1">
        <w:rPr>
          <w:noProof/>
        </w:rPr>
        <w:t xml:space="preserve">nominalizați au o vastă experiență multidisciplinară în domeniul combaterii violenței împotriva femeilor și a violenței domestice, astfel cum se subliniază în documentul IC-CP (2026)2, poziția UE ar trebui să fie aceea de a se abține de la vot în cadrul alegerilor respective, </w:t>
      </w:r>
    </w:p>
    <w:p w:rsidR="00CB1997" w:rsidRPr="00644FC1" w:rsidRDefault="00CB1997" w:rsidP="005B6ACF">
      <w:pPr>
        <w:pStyle w:val="Formuledadoption"/>
        <w:rPr>
          <w:noProof/>
        </w:rPr>
      </w:pPr>
      <w:r w:rsidRPr="00644FC1">
        <w:rPr>
          <w:noProof/>
        </w:rPr>
        <w:t>ADOPTĂ PREZENTA DECIZIE:</w:t>
      </w:r>
    </w:p>
    <w:p w:rsidR="00CB1997" w:rsidRPr="00644FC1" w:rsidRDefault="00CB1997" w:rsidP="005B6ACF">
      <w:pPr>
        <w:pStyle w:val="Titrearticle"/>
        <w:rPr>
          <w:noProof/>
        </w:rPr>
      </w:pPr>
      <w:r w:rsidRPr="00644FC1">
        <w:rPr>
          <w:noProof/>
        </w:rPr>
        <w:t>Articolul 1</w:t>
      </w:r>
    </w:p>
    <w:p w:rsidR="00777155" w:rsidRPr="00644FC1" w:rsidRDefault="009E6F2B" w:rsidP="00F27888">
      <w:pPr>
        <w:rPr>
          <w:noProof/>
        </w:rPr>
      </w:pPr>
      <w:r w:rsidRPr="00644FC1">
        <w:rPr>
          <w:noProof/>
        </w:rPr>
        <w:t>Poziția care urmează să fie luată în numele Uniunii în cadrul Comitetului părților, instituit în temeiul articolului 67 din Convenția Consiliului Europei privind prevenirea și combaterea violenței împotriva femeilor și a violenței domestice, cu ocazia celei de a 20-a reuniuni, este:</w:t>
      </w:r>
    </w:p>
    <w:p w:rsidR="00CB1997" w:rsidRPr="00644FC1" w:rsidRDefault="001E4E55" w:rsidP="001E4E55">
      <w:pPr>
        <w:pStyle w:val="Point0"/>
        <w:ind w:left="0" w:firstLine="0"/>
        <w:rPr>
          <w:noProof/>
        </w:rPr>
      </w:pPr>
      <w:r w:rsidRPr="00644FC1">
        <w:rPr>
          <w:noProof/>
        </w:rPr>
        <w:t>1.</w:t>
      </w:r>
      <w:r w:rsidRPr="00644FC1">
        <w:rPr>
          <w:noProof/>
        </w:rPr>
        <w:tab/>
        <w:t>De a nu se opune adoptării următoarelor acte:</w:t>
      </w:r>
      <w:r w:rsidR="00237576">
        <w:rPr>
          <w:noProof/>
        </w:rPr>
        <w:t xml:space="preserve"> </w:t>
      </w:r>
    </w:p>
    <w:p w:rsidR="00141F4A" w:rsidRPr="00644FC1" w:rsidRDefault="00141F4A" w:rsidP="00D803CA">
      <w:pPr>
        <w:pStyle w:val="Point1"/>
        <w:rPr>
          <w:noProof/>
        </w:rPr>
      </w:pPr>
      <w:r>
        <w:rPr>
          <w:noProof/>
        </w:rPr>
        <w:t>(1)</w:t>
      </w:r>
      <w:r>
        <w:rPr>
          <w:noProof/>
        </w:rPr>
        <w:tab/>
      </w:r>
      <w:r w:rsidRPr="00644FC1">
        <w:rPr>
          <w:noProof/>
        </w:rPr>
        <w:t>Concluzii privind punerea în aplicare a recomandărilor cu privire la Bosnia și Herțegovina adoptate de Comitetul părților, conținute în documentul</w:t>
      </w:r>
      <w:r w:rsidR="000A2B60">
        <w:rPr>
          <w:noProof/>
        </w:rPr>
        <w:t> </w:t>
      </w:r>
      <w:r w:rsidRPr="00644FC1">
        <w:rPr>
          <w:noProof/>
        </w:rPr>
        <w:t>IC</w:t>
      </w:r>
      <w:r w:rsidR="000A2B60">
        <w:rPr>
          <w:noProof/>
        </w:rPr>
        <w:t>­</w:t>
      </w:r>
      <w:r w:rsidRPr="00644FC1">
        <w:rPr>
          <w:noProof/>
        </w:rPr>
        <w:t xml:space="preserve">CP(2026)4-prov. </w:t>
      </w:r>
      <w:r w:rsidRPr="00644FC1">
        <w:rPr>
          <w:noProof/>
        </w:rPr>
        <w:tab/>
      </w:r>
    </w:p>
    <w:p w:rsidR="00141F4A" w:rsidRPr="00644FC1" w:rsidRDefault="00141F4A" w:rsidP="00D803CA">
      <w:pPr>
        <w:pStyle w:val="Point1"/>
        <w:rPr>
          <w:noProof/>
        </w:rPr>
      </w:pPr>
      <w:r>
        <w:rPr>
          <w:noProof/>
        </w:rPr>
        <w:t>(2)</w:t>
      </w:r>
      <w:r>
        <w:rPr>
          <w:noProof/>
        </w:rPr>
        <w:tab/>
      </w:r>
      <w:r w:rsidRPr="00644FC1">
        <w:rPr>
          <w:noProof/>
        </w:rPr>
        <w:t xml:space="preserve">Concluzii privind punerea în aplicare a recomandărilor cu privire la Cipru adoptate de Comitetul părților, conținute în documentul IC-CP(2026)5-prov. </w:t>
      </w:r>
    </w:p>
    <w:p w:rsidR="00141F4A" w:rsidRPr="00644FC1" w:rsidRDefault="00141F4A" w:rsidP="00D803CA">
      <w:pPr>
        <w:pStyle w:val="Point1"/>
        <w:rPr>
          <w:noProof/>
        </w:rPr>
      </w:pPr>
      <w:r>
        <w:rPr>
          <w:noProof/>
        </w:rPr>
        <w:t>(3)</w:t>
      </w:r>
      <w:r>
        <w:rPr>
          <w:noProof/>
        </w:rPr>
        <w:tab/>
      </w:r>
      <w:r w:rsidRPr="00644FC1">
        <w:rPr>
          <w:noProof/>
        </w:rPr>
        <w:t>Concluzii privind punerea în aplicare a recomandărilor cu privire la Estonia adoptate de Comitetul părților, conținute în documentul IC-CP(2026)6-prov.</w:t>
      </w:r>
    </w:p>
    <w:p w:rsidR="00141F4A" w:rsidRPr="00644FC1" w:rsidRDefault="00141F4A" w:rsidP="00D803CA">
      <w:pPr>
        <w:pStyle w:val="Point1"/>
        <w:rPr>
          <w:noProof/>
        </w:rPr>
      </w:pPr>
      <w:r>
        <w:rPr>
          <w:noProof/>
        </w:rPr>
        <w:t>(4)</w:t>
      </w:r>
      <w:r>
        <w:rPr>
          <w:noProof/>
        </w:rPr>
        <w:tab/>
      </w:r>
      <w:r w:rsidRPr="00644FC1">
        <w:rPr>
          <w:noProof/>
        </w:rPr>
        <w:t>Concluzii privind punerea în aplicare a recomandărilor cu privire la Georgia adoptate de Comitetul părților, conținute în documentul IC-CP(2026)7-prov.</w:t>
      </w:r>
    </w:p>
    <w:p w:rsidR="00141F4A" w:rsidRPr="00644FC1" w:rsidRDefault="00141F4A" w:rsidP="00D803CA">
      <w:pPr>
        <w:pStyle w:val="Point1"/>
        <w:rPr>
          <w:noProof/>
        </w:rPr>
      </w:pPr>
      <w:r>
        <w:rPr>
          <w:noProof/>
        </w:rPr>
        <w:t>(5)</w:t>
      </w:r>
      <w:r>
        <w:rPr>
          <w:noProof/>
        </w:rPr>
        <w:tab/>
      </w:r>
      <w:r w:rsidRPr="00644FC1">
        <w:rPr>
          <w:noProof/>
        </w:rPr>
        <w:t>Concluzii privind punerea în aplicare a recomandărilor cu privire la Germania adoptate de Comitetul părților, conținute în documentul IC-CP(2026)8-prov.</w:t>
      </w:r>
    </w:p>
    <w:p w:rsidR="00141F4A" w:rsidRPr="00644FC1" w:rsidRDefault="00141F4A" w:rsidP="00D803CA">
      <w:pPr>
        <w:pStyle w:val="Point1"/>
        <w:rPr>
          <w:noProof/>
        </w:rPr>
      </w:pPr>
      <w:r>
        <w:rPr>
          <w:noProof/>
        </w:rPr>
        <w:t>(6)</w:t>
      </w:r>
      <w:r>
        <w:rPr>
          <w:noProof/>
        </w:rPr>
        <w:tab/>
      </w:r>
      <w:r w:rsidRPr="00644FC1">
        <w:rPr>
          <w:noProof/>
        </w:rPr>
        <w:t>Concluzii privind punerea în aplicare a recomandărilor cu privire la Islanda adoptate de Comitetul părților, conținute în documentul IC-CP(2026)9-prov.</w:t>
      </w:r>
    </w:p>
    <w:p w:rsidR="00141F4A" w:rsidRPr="00644FC1" w:rsidRDefault="00141F4A" w:rsidP="00D803CA">
      <w:pPr>
        <w:pStyle w:val="Point1"/>
        <w:rPr>
          <w:noProof/>
        </w:rPr>
      </w:pPr>
      <w:r>
        <w:rPr>
          <w:noProof/>
        </w:rPr>
        <w:lastRenderedPageBreak/>
        <w:t>(7)</w:t>
      </w:r>
      <w:r>
        <w:rPr>
          <w:noProof/>
        </w:rPr>
        <w:tab/>
      </w:r>
      <w:r w:rsidRPr="00644FC1">
        <w:rPr>
          <w:noProof/>
        </w:rPr>
        <w:t>Concluzii privind punerea în aplicare a recomandărilor cu privire la Norvegia adoptate de Comitetul părților, conținute în documentul IC-CP(2026)10-prov.</w:t>
      </w:r>
    </w:p>
    <w:p w:rsidR="00141F4A" w:rsidRPr="00644FC1" w:rsidRDefault="00141F4A" w:rsidP="00D803CA">
      <w:pPr>
        <w:pStyle w:val="Point1"/>
        <w:rPr>
          <w:noProof/>
        </w:rPr>
      </w:pPr>
      <w:r>
        <w:rPr>
          <w:noProof/>
        </w:rPr>
        <w:t>(8)</w:t>
      </w:r>
      <w:r>
        <w:rPr>
          <w:noProof/>
        </w:rPr>
        <w:tab/>
      </w:r>
      <w:r w:rsidRPr="00644FC1">
        <w:rPr>
          <w:noProof/>
        </w:rPr>
        <w:t>Concluzii privind punerea în aplicare a recomandărilor cu privire la România adoptate de Comitetul părților, conținute în documentul IC-CP(2026)11-prov.</w:t>
      </w:r>
    </w:p>
    <w:p w:rsidR="00141F4A" w:rsidRPr="00644FC1" w:rsidRDefault="00141F4A" w:rsidP="00D803CA">
      <w:pPr>
        <w:pStyle w:val="Point1"/>
        <w:rPr>
          <w:noProof/>
        </w:rPr>
      </w:pPr>
      <w:r>
        <w:rPr>
          <w:noProof/>
        </w:rPr>
        <w:t>(9)</w:t>
      </w:r>
      <w:r>
        <w:rPr>
          <w:noProof/>
        </w:rPr>
        <w:tab/>
      </w:r>
      <w:r w:rsidRPr="00644FC1">
        <w:rPr>
          <w:noProof/>
        </w:rPr>
        <w:t>Concluzii privind punerea în aplicare a recomandărilor cu privire la Elveția adoptate de Comitetul părților, conținute în documentul IC-CP(2026)12-prov.</w:t>
      </w:r>
    </w:p>
    <w:p w:rsidR="008A28A2" w:rsidRPr="00644FC1" w:rsidRDefault="001E4E55" w:rsidP="001E4E55">
      <w:pPr>
        <w:pStyle w:val="Point0"/>
        <w:rPr>
          <w:noProof/>
        </w:rPr>
      </w:pPr>
      <w:r w:rsidRPr="00644FC1">
        <w:rPr>
          <w:noProof/>
        </w:rPr>
        <w:t>2.</w:t>
      </w:r>
      <w:r w:rsidRPr="00644FC1">
        <w:rPr>
          <w:noProof/>
        </w:rPr>
        <w:tab/>
        <w:t>De a se abține de la vot în cadrul alegerii a cinci membri ai Grupului de experți în intervenția contra violenței împotriva femeilor și a violenței domestice.</w:t>
      </w:r>
      <w:r w:rsidR="00237576">
        <w:rPr>
          <w:noProof/>
        </w:rPr>
        <w:t xml:space="preserve"> </w:t>
      </w:r>
    </w:p>
    <w:p w:rsidR="00CB1997" w:rsidRPr="00644FC1" w:rsidRDefault="00CB1997" w:rsidP="00AA2658">
      <w:pPr>
        <w:pStyle w:val="Titrearticle"/>
        <w:rPr>
          <w:noProof/>
        </w:rPr>
      </w:pPr>
      <w:r w:rsidRPr="00644FC1">
        <w:rPr>
          <w:noProof/>
        </w:rPr>
        <w:t>Articolul 2</w:t>
      </w:r>
    </w:p>
    <w:p w:rsidR="00CB1997" w:rsidRPr="00644FC1" w:rsidRDefault="00CB1997" w:rsidP="005B6ACF">
      <w:pPr>
        <w:rPr>
          <w:noProof/>
        </w:rPr>
      </w:pPr>
      <w:r w:rsidRPr="00644FC1">
        <w:rPr>
          <w:noProof/>
        </w:rPr>
        <w:t>Prezenta decizie intră în vigoare la data adoptării.</w:t>
      </w:r>
    </w:p>
    <w:p w:rsidR="00CB1997" w:rsidRPr="00644FC1" w:rsidRDefault="00644FC1" w:rsidP="00AA2658">
      <w:pPr>
        <w:pStyle w:val="Fait"/>
        <w:rPr>
          <w:noProof/>
        </w:rPr>
      </w:pPr>
      <w:r>
        <w:rPr>
          <w:noProof/>
        </w:rPr>
        <w:t>Adoptată la Bruxelles,</w:t>
      </w:r>
    </w:p>
    <w:p w:rsidR="00CB1997" w:rsidRPr="00644FC1" w:rsidRDefault="00CB1997" w:rsidP="00AA2658">
      <w:pPr>
        <w:pStyle w:val="Institutionquisigne"/>
        <w:rPr>
          <w:noProof/>
        </w:rPr>
      </w:pPr>
      <w:r w:rsidRPr="00644FC1">
        <w:rPr>
          <w:noProof/>
        </w:rPr>
        <w:tab/>
        <w:t>Pentru Consiliu</w:t>
      </w:r>
    </w:p>
    <w:p w:rsidR="00CB1997" w:rsidRPr="00644FC1" w:rsidRDefault="00CB1997" w:rsidP="00CB1997">
      <w:pPr>
        <w:pStyle w:val="Personnequisigne"/>
        <w:rPr>
          <w:noProof/>
        </w:rPr>
      </w:pPr>
      <w:r w:rsidRPr="00644FC1">
        <w:rPr>
          <w:noProof/>
        </w:rPr>
        <w:tab/>
        <w:t>Președintele</w:t>
      </w:r>
    </w:p>
    <w:sectPr w:rsidR="00CB1997" w:rsidRPr="00644FC1" w:rsidSect="003D780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997" w:rsidRDefault="00CB1997" w:rsidP="00CB1997">
      <w:pPr>
        <w:spacing w:before="0" w:after="0"/>
      </w:pPr>
      <w:r>
        <w:separator/>
      </w:r>
    </w:p>
  </w:endnote>
  <w:endnote w:type="continuationSeparator" w:id="0">
    <w:p w:rsidR="00CB1997" w:rsidRDefault="00CB1997" w:rsidP="00CB19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809" w:rsidRPr="003D7809" w:rsidRDefault="003D7809" w:rsidP="003D7809">
    <w:pPr>
      <w:pStyle w:val="Footer"/>
      <w:rPr>
        <w:rFonts w:ascii="Arial" w:hAnsi="Arial" w:cs="Arial"/>
        <w:b/>
        <w:sz w:val="48"/>
      </w:rPr>
    </w:pPr>
    <w:r w:rsidRPr="003D7809">
      <w:rPr>
        <w:rFonts w:ascii="Arial" w:hAnsi="Arial" w:cs="Arial"/>
        <w:b/>
        <w:sz w:val="48"/>
      </w:rPr>
      <w:t>RO</w:t>
    </w:r>
    <w:r w:rsidRPr="003D7809">
      <w:rPr>
        <w:rFonts w:ascii="Arial" w:hAnsi="Arial" w:cs="Arial"/>
        <w:b/>
        <w:sz w:val="48"/>
      </w:rPr>
      <w:tab/>
    </w:r>
    <w:r w:rsidRPr="003D7809">
      <w:rPr>
        <w:rFonts w:ascii="Arial" w:hAnsi="Arial" w:cs="Arial"/>
        <w:b/>
        <w:sz w:val="48"/>
      </w:rPr>
      <w:tab/>
    </w:r>
    <w:r w:rsidRPr="003D7809">
      <w:tab/>
    </w:r>
    <w:r w:rsidRPr="003D780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809" w:rsidRPr="003D7809" w:rsidRDefault="003D7809" w:rsidP="003D7809">
    <w:pPr>
      <w:pStyle w:val="Footer"/>
      <w:rPr>
        <w:rFonts w:ascii="Arial" w:hAnsi="Arial" w:cs="Arial"/>
        <w:b/>
        <w:sz w:val="48"/>
      </w:rPr>
    </w:pPr>
    <w:r w:rsidRPr="003D7809">
      <w:rPr>
        <w:rFonts w:ascii="Arial" w:hAnsi="Arial" w:cs="Arial"/>
        <w:b/>
        <w:sz w:val="48"/>
      </w:rPr>
      <w:t>RO</w:t>
    </w:r>
    <w:r w:rsidRPr="003D7809">
      <w:rPr>
        <w:rFonts w:ascii="Arial" w:hAnsi="Arial" w:cs="Arial"/>
        <w:b/>
        <w:sz w:val="48"/>
      </w:rPr>
      <w:tab/>
    </w:r>
    <w:r w:rsidRPr="003D7809">
      <w:rPr>
        <w:rFonts w:ascii="Arial" w:hAnsi="Arial" w:cs="Arial"/>
        <w:b/>
        <w:sz w:val="48"/>
      </w:rPr>
      <w:tab/>
    </w:r>
    <w:r w:rsidRPr="003D7809">
      <w:tab/>
    </w:r>
    <w:r w:rsidRPr="003D780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809" w:rsidRDefault="003D78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809" w:rsidRPr="003D7809" w:rsidRDefault="003D7809" w:rsidP="003D7809">
    <w:pPr>
      <w:pStyle w:val="Footer"/>
      <w:rPr>
        <w:rFonts w:ascii="Arial" w:hAnsi="Arial" w:cs="Arial"/>
        <w:b/>
        <w:sz w:val="48"/>
      </w:rPr>
    </w:pPr>
    <w:r w:rsidRPr="003D7809">
      <w:rPr>
        <w:rFonts w:ascii="Arial" w:hAnsi="Arial" w:cs="Arial"/>
        <w:b/>
        <w:sz w:val="48"/>
      </w:rPr>
      <w:t>RO</w:t>
    </w:r>
    <w:r w:rsidRPr="003D7809">
      <w:rPr>
        <w:rFonts w:ascii="Arial" w:hAnsi="Arial" w:cs="Arial"/>
        <w:b/>
        <w:sz w:val="48"/>
      </w:rPr>
      <w:tab/>
    </w:r>
    <w:r>
      <w:fldChar w:fldCharType="begin"/>
    </w:r>
    <w:r>
      <w:instrText xml:space="preserve"> PAGE  \* MERGEFORMAT </w:instrText>
    </w:r>
    <w:r>
      <w:fldChar w:fldCharType="separate"/>
    </w:r>
    <w:r w:rsidR="00AA2658">
      <w:rPr>
        <w:noProof/>
      </w:rPr>
      <w:t>12</w:t>
    </w:r>
    <w:r>
      <w:fldChar w:fldCharType="end"/>
    </w:r>
    <w:r>
      <w:tab/>
    </w:r>
    <w:r w:rsidRPr="003D7809">
      <w:tab/>
    </w:r>
    <w:r w:rsidRPr="003D780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809" w:rsidRDefault="003D7809" w:rsidP="003D7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997" w:rsidRDefault="00CB1997" w:rsidP="00CB1997">
      <w:pPr>
        <w:spacing w:before="0" w:after="0"/>
      </w:pPr>
      <w:r>
        <w:separator/>
      </w:r>
    </w:p>
  </w:footnote>
  <w:footnote w:type="continuationSeparator" w:id="0">
    <w:p w:rsidR="00CB1997" w:rsidRDefault="00CB1997" w:rsidP="00CB1997">
      <w:pPr>
        <w:spacing w:before="0" w:after="0"/>
      </w:pPr>
      <w:r>
        <w:continuationSeparator/>
      </w:r>
    </w:p>
  </w:footnote>
  <w:footnote w:id="1">
    <w:p w:rsidR="00415C41" w:rsidRPr="00F4688C" w:rsidRDefault="00415C41" w:rsidP="00F4688C">
      <w:pPr>
        <w:rPr>
          <w:rStyle w:val="FootnoteReference"/>
        </w:rPr>
      </w:pPr>
      <w:r>
        <w:rPr>
          <w:rStyle w:val="FootnoteReference"/>
        </w:rPr>
        <w:footnoteRef/>
      </w:r>
      <w:r>
        <w:tab/>
      </w:r>
      <w:r>
        <w:rPr>
          <w:rStyle w:val="FootnoteReference"/>
        </w:rPr>
        <w:t xml:space="preserve">Decizia (UE) 2023/1075 a Consiliului din 1 iunie 2023 privind încheierea, în numele Uniunii Europene, a Convenției Consiliului Europei privind prevenirea și combaterea violenței împotriva femeilor și a violenței domestice, în ceea ce privește instituțiile Uniunii și administrația publică a acesteia, JO L 143 I, 2.6.2023, p. 1, ELI: </w:t>
      </w:r>
      <w:hyperlink r:id="rId1">
        <w:r>
          <w:rPr>
            <w:rStyle w:val="FootnoteReference"/>
          </w:rPr>
          <w:t>http://data.europa.eu/eli/dec/2023/1075/oj.</w:t>
        </w:r>
      </w:hyperlink>
      <w:hyperlink r:id="rId2">
        <w:r>
          <w:rPr>
            <w:rStyle w:val="FootnoteReference"/>
          </w:rPr>
          <w:t>.</w:t>
        </w:r>
      </w:hyperlink>
    </w:p>
  </w:footnote>
  <w:footnote w:id="2">
    <w:p w:rsidR="00415C41" w:rsidRPr="00F4688C" w:rsidRDefault="00415C41" w:rsidP="00F4688C">
      <w:pPr>
        <w:rPr>
          <w:rStyle w:val="FootnoteReference"/>
        </w:rPr>
      </w:pPr>
      <w:r>
        <w:rPr>
          <w:rStyle w:val="FootnoteReference"/>
        </w:rPr>
        <w:footnoteRef/>
      </w:r>
      <w:r>
        <w:tab/>
      </w:r>
      <w:r>
        <w:rPr>
          <w:rStyle w:val="FootnoteReference"/>
        </w:rPr>
        <w:t xml:space="preserve">Decizia (UE) 2023/1076 a Consiliului din 1 iunie 2023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143 I, 2.6.2023, p. 4, ELI: </w:t>
      </w:r>
      <w:hyperlink r:id="rId3">
        <w:r>
          <w:rPr>
            <w:rStyle w:val="FootnoteReference"/>
          </w:rPr>
          <w:t>http://data.europa.eu/eli/dec/2023/1076/oj.</w:t>
        </w:r>
      </w:hyperlink>
      <w:hyperlink r:id="rId4">
        <w:r>
          <w:rPr>
            <w:rStyle w:val="FootnoteReference"/>
          </w:rPr>
          <w:t>)</w:t>
        </w:r>
      </w:hyperlink>
    </w:p>
  </w:footnote>
  <w:footnote w:id="3">
    <w:p w:rsidR="00415C41" w:rsidRPr="00F4688C" w:rsidRDefault="00415C41" w:rsidP="00F4688C">
      <w:pPr>
        <w:rPr>
          <w:rStyle w:val="FootnoteReference"/>
        </w:rPr>
      </w:pPr>
      <w:r>
        <w:rPr>
          <w:rStyle w:val="FootnoteReference"/>
        </w:rPr>
        <w:footnoteRef/>
      </w:r>
      <w:r>
        <w:tab/>
      </w:r>
      <w:r>
        <w:rPr>
          <w:rStyle w:val="FootnoteReference"/>
        </w:rPr>
        <w:t>Situația ratificărilor la 27 aprilie 2026: AT (2013); BE (2016); CY (2017); DE (2017); DK (2014); IE (2019); EL (2018); ES (2014); EE (2017); FI (2015); FR (2014); HR (2018); IT (2013); LU (2018); MT (2014); NL (2015); PL (2015); PT (2013); RO (2016); SI (2015); SV (2014), LV (2023).</w:t>
      </w:r>
    </w:p>
  </w:footnote>
  <w:footnote w:id="4">
    <w:p w:rsidR="00415C41" w:rsidRPr="00F4688C" w:rsidRDefault="00415C41" w:rsidP="00F4688C">
      <w:pPr>
        <w:rPr>
          <w:rStyle w:val="FootnoteReference"/>
        </w:rPr>
      </w:pPr>
      <w:r>
        <w:rPr>
          <w:rStyle w:val="FootnoteReference"/>
        </w:rPr>
        <w:footnoteRef/>
      </w:r>
      <w:r>
        <w:tab/>
      </w:r>
      <w:hyperlink r:id="rId5">
        <w:r>
          <w:rPr>
            <w:rStyle w:val="FootnoteReference"/>
          </w:rPr>
          <w:t xml:space="preserve">Comitetul părților </w:t>
        </w:r>
      </w:hyperlink>
      <w:hyperlink r:id="rId6">
        <w:r>
          <w:rPr>
            <w:rStyle w:val="FootnoteReference"/>
          </w:rPr>
          <w:t xml:space="preserve">- </w:t>
        </w:r>
      </w:hyperlink>
      <w:hyperlink r:id="rId7">
        <w:r>
          <w:rPr>
            <w:rStyle w:val="FootnoteReference"/>
          </w:rPr>
          <w:t xml:space="preserve"> Convenția de la Istanbul, Combaterea violenței împotriva femeilor și a violenței domestice</w:t>
        </w:r>
      </w:hyperlink>
      <w:hyperlink r:id="rId8">
        <w:r>
          <w:rPr>
            <w:rStyle w:val="FootnoteReference"/>
          </w:rPr>
          <w:t xml:space="preserve"> </w:t>
        </w:r>
      </w:hyperlink>
      <w:hyperlink r:id="rId9">
        <w:r>
          <w:rPr>
            <w:rStyle w:val="FootnoteReference"/>
          </w:rPr>
          <w:t xml:space="preserve"> (coe.int).</w:t>
        </w:r>
      </w:hyperlink>
      <w:hyperlink r:id="rId10">
        <w:r>
          <w:rPr>
            <w:rStyle w:val="FootnoteReference"/>
          </w:rPr>
          <w:t xml:space="preserve"> </w:t>
        </w:r>
      </w:hyperlink>
    </w:p>
  </w:footnote>
  <w:footnote w:id="5">
    <w:p w:rsidR="00415C41" w:rsidRPr="00F4688C" w:rsidRDefault="00415C41" w:rsidP="00F4688C">
      <w:pPr>
        <w:rPr>
          <w:rStyle w:val="FootnoteReference"/>
        </w:rPr>
      </w:pPr>
      <w:r>
        <w:rPr>
          <w:rStyle w:val="FootnoteReference"/>
        </w:rPr>
        <w:footnoteRef/>
      </w:r>
      <w:r>
        <w:tab/>
      </w:r>
      <w:r>
        <w:rPr>
          <w:rStyle w:val="FootnoteReference"/>
        </w:rPr>
        <w:t>Regula 2 punctul 1 litera (b) din Regulamentul de procedură al Comitetului părților. Documentul IC-CP(2015)2, adoptat la 4</w:t>
      </w:r>
      <w:r w:rsidR="000A2B60">
        <w:rPr>
          <w:rStyle w:val="FootnoteReference"/>
        </w:rPr>
        <w:t> </w:t>
      </w:r>
      <w:r>
        <w:rPr>
          <w:rStyle w:val="FootnoteReference"/>
        </w:rPr>
        <w:t>mai</w:t>
      </w:r>
      <w:r w:rsidR="000A2B60">
        <w:rPr>
          <w:rStyle w:val="FootnoteReference"/>
        </w:rPr>
        <w:t> </w:t>
      </w:r>
      <w:r>
        <w:rPr>
          <w:rStyle w:val="FootnoteReference"/>
        </w:rPr>
        <w:t>2015.</w:t>
      </w:r>
    </w:p>
  </w:footnote>
  <w:footnote w:id="6">
    <w:p w:rsidR="00264006" w:rsidRPr="00F4688C" w:rsidRDefault="00264006" w:rsidP="00F4688C">
      <w:pPr>
        <w:rPr>
          <w:rStyle w:val="FootnoteReference"/>
        </w:rPr>
      </w:pPr>
      <w:r>
        <w:rPr>
          <w:rStyle w:val="FootnoteReference"/>
        </w:rPr>
        <w:footnoteRef/>
      </w:r>
      <w:r>
        <w:tab/>
      </w:r>
      <w:r>
        <w:rPr>
          <w:rStyle w:val="FootnoteReference"/>
        </w:rPr>
        <w:t>Articolul 1 alineatul (2) din Convenția de la Istanbul.</w:t>
      </w:r>
    </w:p>
  </w:footnote>
  <w:footnote w:id="7">
    <w:p w:rsidR="00264006" w:rsidRPr="00F4688C" w:rsidRDefault="00264006" w:rsidP="00F4688C">
      <w:pPr>
        <w:rPr>
          <w:rStyle w:val="FootnoteReference"/>
        </w:rPr>
      </w:pPr>
      <w:r>
        <w:rPr>
          <w:rStyle w:val="FootnoteReference"/>
        </w:rPr>
        <w:footnoteRef/>
      </w:r>
      <w:r>
        <w:tab/>
      </w:r>
      <w:r>
        <w:rPr>
          <w:rStyle w:val="FootnoteReference"/>
        </w:rPr>
        <w:t xml:space="preserve">Articolul 68 alineatul (10) din Convenția de la Istanbul. </w:t>
      </w:r>
    </w:p>
  </w:footnote>
  <w:footnote w:id="8">
    <w:p w:rsidR="00264006" w:rsidRPr="00F4688C" w:rsidRDefault="00264006" w:rsidP="00F4688C">
      <w:pPr>
        <w:rPr>
          <w:rStyle w:val="FootnoteReference"/>
        </w:rPr>
      </w:pPr>
      <w:r>
        <w:rPr>
          <w:rStyle w:val="FootnoteReference"/>
        </w:rPr>
        <w:footnoteRef/>
      </w:r>
      <w:r>
        <w:tab/>
      </w:r>
      <w:r>
        <w:rPr>
          <w:rStyle w:val="FootnoteReference"/>
        </w:rPr>
        <w:t xml:space="preserve">Procedura aplicabilă în materie de supraveghere a punerii în aplicare și a raportării este definită în „Cadrul pentru supravegherea punerii în aplicare a recomandărilor adresate statelor părți”, adoptat de CoP la 13 aprilie 2021, IC-CP/Inf(2021)2. 10 Inclusă în documentul IC-CP(2024)10 rev. </w:t>
      </w:r>
    </w:p>
  </w:footnote>
  <w:footnote w:id="9">
    <w:p w:rsidR="00FA2829" w:rsidRPr="00F4688C" w:rsidRDefault="00FA2829" w:rsidP="00F4688C">
      <w:pPr>
        <w:rPr>
          <w:rStyle w:val="FootnoteReference"/>
        </w:rPr>
      </w:pPr>
      <w:r>
        <w:rPr>
          <w:rStyle w:val="FootnoteReference"/>
        </w:rPr>
        <w:footnoteRef/>
      </w:r>
      <w:r>
        <w:tab/>
      </w:r>
      <w:hyperlink r:id="rId11" w:anchor="{%22CoEIdentifier%22:[%2209125948801db7f7%22],%22sort%22:[%22CoEValidationDate%20Descending%22]}" w:history="1">
        <w:r>
          <w:rPr>
            <w:rStyle w:val="FootnoteReference"/>
          </w:rPr>
          <w:t>CM/Res(2014)43.</w:t>
        </w:r>
      </w:hyperlink>
      <w:r>
        <w:tab/>
      </w:r>
    </w:p>
  </w:footnote>
  <w:footnote w:id="10">
    <w:p w:rsidR="00FA2829" w:rsidRPr="00F4688C" w:rsidRDefault="00FA2829" w:rsidP="00F4688C">
      <w:pPr>
        <w:rPr>
          <w:rStyle w:val="FootnoteReference"/>
        </w:rPr>
      </w:pPr>
      <w:r>
        <w:rPr>
          <w:rStyle w:val="FootnoteReference"/>
        </w:rPr>
        <w:footnoteRef/>
      </w:r>
      <w:r>
        <w:tab/>
      </w:r>
      <w:hyperlink r:id="rId12" w:history="1">
        <w:r>
          <w:rPr>
            <w:rStyle w:val="FootnoteReference"/>
          </w:rPr>
          <w:t>Regulamentul de procedură (modificat).</w:t>
        </w:r>
      </w:hyperlink>
    </w:p>
  </w:footnote>
  <w:footnote w:id="11">
    <w:p w:rsidR="00264006" w:rsidRPr="00F4688C" w:rsidRDefault="00264006" w:rsidP="00F4688C">
      <w:pPr>
        <w:rPr>
          <w:rStyle w:val="FootnoteReference"/>
        </w:rPr>
      </w:pPr>
      <w:r>
        <w:rPr>
          <w:rStyle w:val="FootnoteReference"/>
        </w:rPr>
        <w:footnoteRef/>
      </w:r>
      <w:r>
        <w:tab/>
      </w:r>
      <w:r>
        <w:rPr>
          <w:rStyle w:val="FootnoteReference"/>
        </w:rPr>
        <w:t xml:space="preserve">Hotărârea Curții de Justiție din 7 octombrie 2014, Germania/Consiliul, C-399/12, </w:t>
      </w:r>
    </w:p>
    <w:p w:rsidR="00264006" w:rsidRPr="00F4688C" w:rsidRDefault="00264006" w:rsidP="00F4688C">
      <w:pPr>
        <w:rPr>
          <w:rStyle w:val="FootnoteReference"/>
        </w:rPr>
      </w:pPr>
      <w:r>
        <w:rPr>
          <w:rStyle w:val="FootnoteReference"/>
        </w:rPr>
        <w:t xml:space="preserve">ECLI:EU:C:2014:2258, punctele 61-64. </w:t>
      </w:r>
    </w:p>
  </w:footnote>
  <w:footnote w:id="12">
    <w:p w:rsidR="00264006" w:rsidRPr="00F4688C" w:rsidRDefault="00264006" w:rsidP="00F4688C">
      <w:pPr>
        <w:rPr>
          <w:rStyle w:val="FootnoteReference"/>
        </w:rPr>
      </w:pPr>
      <w:r>
        <w:rPr>
          <w:rStyle w:val="FootnoteReference"/>
        </w:rPr>
        <w:footnoteRef/>
      </w:r>
      <w:r>
        <w:tab/>
      </w:r>
      <w:r>
        <w:rPr>
          <w:rStyle w:val="FootnoteReference"/>
        </w:rPr>
        <w:t xml:space="preserve">Decizia (UE) 2023/1075 a Consiliului din 1 iunie 2023 privind încheierea, în numele Uniunii Europene, a Convenției Consiliului Europei privind prevenirea și combaterea violenței împotriva femeilor și a violenței domestice, în ceea ce privește instituțiile Uniunii și administrația publică a acesteia (JO L 143 I, 2.6.2023, p. 1, ELI: http://data.europa.eu/eli/dec/2023/1075/OJ). </w:t>
      </w:r>
    </w:p>
  </w:footnote>
  <w:footnote w:id="13">
    <w:p w:rsidR="00264006" w:rsidRPr="00F4688C" w:rsidRDefault="00264006" w:rsidP="00F4688C">
      <w:pPr>
        <w:rPr>
          <w:rStyle w:val="FootnoteReference"/>
        </w:rPr>
      </w:pPr>
      <w:r>
        <w:rPr>
          <w:rStyle w:val="FootnoteReference"/>
        </w:rPr>
        <w:footnoteRef/>
      </w:r>
      <w:r>
        <w:tab/>
      </w:r>
      <w:r>
        <w:rPr>
          <w:rStyle w:val="FootnoteReference"/>
        </w:rPr>
        <w:t>Decizia (UE) 2023/1076 a Consiliului din 1 iunie 2023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143 I, 2.6.2023, p. 4, ELI:</w:t>
      </w:r>
      <w:r w:rsidR="00681552">
        <w:rPr>
          <w:rStyle w:val="FootnoteReference"/>
        </w:rPr>
        <w:t xml:space="preserve"> </w:t>
      </w:r>
      <w:r>
        <w:rPr>
          <w:rStyle w:val="FootnoteReference"/>
        </w:rPr>
        <w:t xml:space="preserve">http://data.europa.eu/eli/dec/2023/1076/OJ). </w:t>
      </w:r>
    </w:p>
  </w:footnote>
  <w:footnote w:id="14">
    <w:p w:rsidR="004A3074" w:rsidRPr="00F4688C" w:rsidRDefault="004A3074" w:rsidP="00F4688C">
      <w:pPr>
        <w:rPr>
          <w:rStyle w:val="FootnoteReference"/>
        </w:rPr>
      </w:pPr>
      <w:r>
        <w:rPr>
          <w:rStyle w:val="FootnoteReference"/>
        </w:rPr>
        <w:footnoteRef/>
      </w:r>
      <w:r>
        <w:tab/>
      </w:r>
      <w:r>
        <w:rPr>
          <w:rStyle w:val="FootnoteReference"/>
        </w:rPr>
        <w:t>Decizia (UE) 2023/1075 a Consiliului din 1 iunie 2023 privind încheierea, în numele Uniunii Europene, a Convenției Consiliului</w:t>
      </w:r>
      <w:r w:rsidR="00681552">
        <w:rPr>
          <w:rStyle w:val="FootnoteReference"/>
        </w:rPr>
        <w:t> </w:t>
      </w:r>
      <w:r>
        <w:rPr>
          <w:rStyle w:val="FootnoteReference"/>
        </w:rPr>
        <w:t xml:space="preserve">Europei privind prevenirea și combaterea violenței împotriva femeilor și a violenței domestice, în ceea ce privește instituțiile Uniunii și administrația publică a acesteia (JO L 143 I, 2.6.2023, p. 1), </w:t>
      </w:r>
      <w:hyperlink r:id="rId13">
        <w:r>
          <w:rPr>
            <w:rStyle w:val="FootnoteReference"/>
          </w:rPr>
          <w:t>Decizia</w:t>
        </w:r>
      </w:hyperlink>
      <w:hyperlink r:id="rId14">
        <w:r>
          <w:rPr>
            <w:rStyle w:val="FootnoteReference"/>
          </w:rPr>
          <w:t xml:space="preserve"> </w:t>
        </w:r>
      </w:hyperlink>
      <w:hyperlink r:id="rId15">
        <w:r>
          <w:rPr>
            <w:rStyle w:val="FootnoteReference"/>
          </w:rPr>
          <w:t>–</w:t>
        </w:r>
      </w:hyperlink>
      <w:hyperlink r:id="rId16">
        <w:r>
          <w:rPr>
            <w:rStyle w:val="FootnoteReference"/>
          </w:rPr>
          <w:t xml:space="preserve"> </w:t>
        </w:r>
      </w:hyperlink>
      <w:hyperlink r:id="rId17">
        <w:r>
          <w:rPr>
            <w:rStyle w:val="FootnoteReference"/>
          </w:rPr>
          <w:t>2023/1075</w:t>
        </w:r>
      </w:hyperlink>
      <w:hyperlink r:id="rId18">
        <w:r>
          <w:rPr>
            <w:rStyle w:val="FootnoteReference"/>
          </w:rPr>
          <w:t xml:space="preserve"> </w:t>
        </w:r>
      </w:hyperlink>
      <w:hyperlink r:id="rId19">
        <w:r>
          <w:rPr>
            <w:rStyle w:val="FootnoteReference"/>
          </w:rPr>
          <w:t>–</w:t>
        </w:r>
      </w:hyperlink>
      <w:hyperlink r:id="rId20">
        <w:r>
          <w:rPr>
            <w:rStyle w:val="FootnoteReference"/>
          </w:rPr>
          <w:t xml:space="preserve"> </w:t>
        </w:r>
      </w:hyperlink>
      <w:hyperlink r:id="rId21">
        <w:r>
          <w:rPr>
            <w:rStyle w:val="FootnoteReference"/>
          </w:rPr>
          <w:t>RO</w:t>
        </w:r>
      </w:hyperlink>
      <w:hyperlink r:id="rId22">
        <w:r>
          <w:rPr>
            <w:rStyle w:val="FootnoteReference"/>
          </w:rPr>
          <w:t xml:space="preserve"> </w:t>
        </w:r>
      </w:hyperlink>
      <w:hyperlink r:id="rId23">
        <w:r>
          <w:rPr>
            <w:rStyle w:val="FootnoteReference"/>
          </w:rPr>
          <w:t>–</w:t>
        </w:r>
      </w:hyperlink>
      <w:hyperlink r:id="rId24">
        <w:r>
          <w:rPr>
            <w:rStyle w:val="FootnoteReference"/>
          </w:rPr>
          <w:t xml:space="preserve"> </w:t>
        </w:r>
      </w:hyperlink>
      <w:hyperlink r:id="rId25">
        <w:r>
          <w:rPr>
            <w:rStyle w:val="FootnoteReference"/>
          </w:rPr>
          <w:t>EU</w:t>
        </w:r>
      </w:hyperlink>
      <w:hyperlink r:id="rId26">
        <w:r>
          <w:rPr>
            <w:rStyle w:val="FootnoteReference"/>
          </w:rPr>
          <w:t>R</w:t>
        </w:r>
      </w:hyperlink>
      <w:hyperlink r:id="rId27">
        <w:r>
          <w:rPr>
            <w:rStyle w:val="FootnoteReference"/>
          </w:rPr>
          <w:t>-</w:t>
        </w:r>
      </w:hyperlink>
      <w:hyperlink r:id="rId28">
        <w:r>
          <w:rPr>
            <w:rStyle w:val="FootnoteReference"/>
          </w:rPr>
          <w:t>Le</w:t>
        </w:r>
      </w:hyperlink>
      <w:hyperlink r:id="rId29">
        <w:r>
          <w:rPr>
            <w:rStyle w:val="FootnoteReference"/>
          </w:rPr>
          <w:t>x</w:t>
        </w:r>
      </w:hyperlink>
      <w:hyperlink r:id="rId30">
        <w:r>
          <w:rPr>
            <w:rStyle w:val="FootnoteReference"/>
          </w:rPr>
          <w:t>.</w:t>
        </w:r>
      </w:hyperlink>
      <w:hyperlink r:id="rId31">
        <w:r>
          <w:rPr>
            <w:rStyle w:val="FootnoteReference"/>
          </w:rPr>
          <w:t xml:space="preserve"> </w:t>
        </w:r>
      </w:hyperlink>
    </w:p>
  </w:footnote>
  <w:footnote w:id="15">
    <w:p w:rsidR="004A3074" w:rsidRPr="00F4688C" w:rsidRDefault="004A3074" w:rsidP="00F4688C">
      <w:pPr>
        <w:rPr>
          <w:rStyle w:val="FootnoteReference"/>
        </w:rPr>
      </w:pPr>
      <w:r>
        <w:rPr>
          <w:rStyle w:val="FootnoteReference"/>
        </w:rPr>
        <w:footnoteRef/>
      </w:r>
      <w:r>
        <w:tab/>
      </w:r>
      <w:r>
        <w:rPr>
          <w:rStyle w:val="FootnoteReference"/>
        </w:rPr>
        <w:t>Decizia (UE) 2023/1076 a Consiliului din 1 iunie 2023 privind încheierea, în numele Uniunii Europene, a Convenției Consiliului</w:t>
      </w:r>
      <w:r w:rsidR="00681552">
        <w:rPr>
          <w:rStyle w:val="FootnoteReference"/>
        </w:rPr>
        <w:t> </w:t>
      </w:r>
      <w:r>
        <w:rPr>
          <w:rStyle w:val="FootnoteReference"/>
        </w:rPr>
        <w:t xml:space="preserve">Europei privind prevenirea și combaterea violenței împotriva femeilor și a violenței domestice, în ceea ce privește aspectele legate de cooperarea judiciară în materie penală și în ceea ce privește azilul și nereturnarea (JO L 143 I, 2.6.2023 p. 4), </w:t>
      </w:r>
      <w:hyperlink r:id="rId32">
        <w:r>
          <w:rPr>
            <w:rStyle w:val="FootnoteReference"/>
          </w:rPr>
          <w:t>Decizia</w:t>
        </w:r>
      </w:hyperlink>
      <w:hyperlink r:id="rId33">
        <w:r>
          <w:rPr>
            <w:rStyle w:val="FootnoteReference"/>
          </w:rPr>
          <w:t xml:space="preserve"> </w:t>
        </w:r>
      </w:hyperlink>
      <w:hyperlink r:id="rId34">
        <w:r>
          <w:rPr>
            <w:rStyle w:val="FootnoteReference"/>
          </w:rPr>
          <w:t>-</w:t>
        </w:r>
      </w:hyperlink>
      <w:hyperlink r:id="rId35">
        <w:r>
          <w:rPr>
            <w:rStyle w:val="FootnoteReference"/>
          </w:rPr>
          <w:t xml:space="preserve"> </w:t>
        </w:r>
      </w:hyperlink>
      <w:hyperlink r:id="rId36">
        <w:r>
          <w:rPr>
            <w:rStyle w:val="FootnoteReference"/>
          </w:rPr>
          <w:t>2023/1076</w:t>
        </w:r>
      </w:hyperlink>
      <w:hyperlink r:id="rId37">
        <w:r>
          <w:rPr>
            <w:rStyle w:val="FootnoteReference"/>
          </w:rPr>
          <w:t xml:space="preserve"> </w:t>
        </w:r>
      </w:hyperlink>
      <w:hyperlink r:id="rId38">
        <w:r>
          <w:rPr>
            <w:rStyle w:val="FootnoteReference"/>
          </w:rPr>
          <w:t>-</w:t>
        </w:r>
      </w:hyperlink>
      <w:hyperlink r:id="rId39">
        <w:r>
          <w:rPr>
            <w:rStyle w:val="FootnoteReference"/>
          </w:rPr>
          <w:t xml:space="preserve"> </w:t>
        </w:r>
      </w:hyperlink>
      <w:hyperlink r:id="rId40">
        <w:r>
          <w:rPr>
            <w:rStyle w:val="FootnoteReference"/>
          </w:rPr>
          <w:t>RO</w:t>
        </w:r>
      </w:hyperlink>
      <w:hyperlink r:id="rId41">
        <w:r>
          <w:rPr>
            <w:rStyle w:val="FootnoteReference"/>
          </w:rPr>
          <w:t xml:space="preserve"> </w:t>
        </w:r>
      </w:hyperlink>
      <w:hyperlink r:id="rId42">
        <w:r>
          <w:rPr>
            <w:rStyle w:val="FootnoteReference"/>
          </w:rPr>
          <w:t>-</w:t>
        </w:r>
      </w:hyperlink>
      <w:hyperlink r:id="rId43">
        <w:r>
          <w:rPr>
            <w:rStyle w:val="FootnoteReference"/>
          </w:rPr>
          <w:t xml:space="preserve"> </w:t>
        </w:r>
      </w:hyperlink>
      <w:hyperlink r:id="rId44">
        <w:r>
          <w:rPr>
            <w:rStyle w:val="FootnoteReference"/>
          </w:rPr>
          <w:t>EU</w:t>
        </w:r>
      </w:hyperlink>
      <w:hyperlink r:id="rId45">
        <w:r>
          <w:rPr>
            <w:rStyle w:val="FootnoteReference"/>
          </w:rPr>
          <w:t>R</w:t>
        </w:r>
      </w:hyperlink>
      <w:hyperlink r:id="rId46">
        <w:r>
          <w:rPr>
            <w:rStyle w:val="FootnoteReference"/>
          </w:rPr>
          <w:t>-</w:t>
        </w:r>
      </w:hyperlink>
      <w:hyperlink r:id="rId47">
        <w:r>
          <w:rPr>
            <w:rStyle w:val="FootnoteReference"/>
          </w:rPr>
          <w:t>Le</w:t>
        </w:r>
      </w:hyperlink>
      <w:hyperlink r:id="rId48">
        <w:r>
          <w:rPr>
            <w:rStyle w:val="FootnoteReference"/>
          </w:rPr>
          <w:t>x</w:t>
        </w:r>
      </w:hyperlink>
      <w:hyperlink r:id="rId49">
        <w:r>
          <w:rPr>
            <w:rStyle w:val="FootnoteReference"/>
          </w:rPr>
          <w:t>.</w:t>
        </w:r>
      </w:hyperlink>
      <w:hyperlink r:id="rId50">
        <w:r>
          <w:rPr>
            <w:rStyle w:val="FootnoteReference"/>
          </w:rPr>
          <w:t xml:space="preserve"> </w:t>
        </w:r>
      </w:hyperlink>
    </w:p>
  </w:footnote>
  <w:footnote w:id="16">
    <w:p w:rsidR="00AA6C0B" w:rsidRPr="00385011" w:rsidRDefault="00AA6C0B" w:rsidP="00F4688C">
      <w:pPr>
        <w:rPr>
          <w:rStyle w:val="FootnoteReference"/>
        </w:rPr>
      </w:pPr>
      <w:r>
        <w:rPr>
          <w:rStyle w:val="FootnoteReference"/>
        </w:rPr>
        <w:footnoteRef/>
      </w:r>
      <w:r>
        <w:tab/>
      </w:r>
      <w:r>
        <w:rPr>
          <w:rStyle w:val="FootnoteReference"/>
        </w:rPr>
        <w:t xml:space="preserve">Avizul Curții de Justiție 1/19 din 6 octombrie 2021, Convenția de la Istanbul, ECLI:EU:C:2021:832.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809" w:rsidRDefault="003D7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809" w:rsidRDefault="003D7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C5051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EEF6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FF0A68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2089E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5-20 15:59: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144A388-C0BD-4758-A940-F220C4D87EED"/>
    <w:docVar w:name="LW_COVERPAGE_TYPE" w:val="1"/>
    <w:docVar w:name="LW_CreatedUtc" w:val="2026-04-22T08:36:52.2521096Z"/>
    <w:docVar w:name="LW_CROSSREFERENCE" w:val="&lt;UNUSED&gt;"/>
    <w:docVar w:name="LW_DocType" w:val="COM"/>
    <w:docVar w:name="LW_EMISSION" w:val="12.5.2026"/>
    <w:docVar w:name="LW_EMISSION_ISODATE" w:val="2026-05-1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17"/>
    <w:docVar w:name="LW_REF.II.NEW.CP_YEAR" w:val="2026"/>
    <w:docVar w:name="LW_REF.INST.NEW" w:val="COM"/>
    <w:docVar w:name="LW_REF.INST.NEW_ADOPTED" w:val="final"/>
    <w:docVar w:name="LW_REF.INST.NEW_TEXT" w:val="(2026) 2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p\u259?r\u539?ilor la Conven\u539?ia Consiliului Europei privind prevenirea \u537?i combaterea violen\u539?ei împotriva femeilor \u537?i a violen\u539?ei domestice, cu ocazia celei de a 20-a reuniuni, referitor la concluziile adresate unora dintre p\u259?r\u539?i privind punerea în aplicare de c\u259?tre acestea a conven\u539?iei men\u539?ionate \u537?i la alegerea membrilor Grupului de exper\u539?i în interven\u539?ia contra violen\u539?ei împotriva femeilor \u537?i a violen\u539?ei domestice, în ceea ce prive\u537?te aspectele legate de institu\u539?iile Uniunii \u537?i de administra\u539?ia public\u259? a acesteia _x000b_"/>
    <w:docVar w:name="LW_TYPE.DOC.CP" w:val="DECIZIE A CONSILIULUI"/>
    <w:docVar w:name="LwApiVersions" w:val="LW4CoDe 1.24.5.0; LW 9.2, Build 20251112"/>
  </w:docVars>
  <w:rsids>
    <w:rsidRoot w:val="00CB1997"/>
    <w:rsid w:val="00023B20"/>
    <w:rsid w:val="0003044D"/>
    <w:rsid w:val="00035D34"/>
    <w:rsid w:val="00041A3C"/>
    <w:rsid w:val="00043C71"/>
    <w:rsid w:val="00044F39"/>
    <w:rsid w:val="00047D7A"/>
    <w:rsid w:val="000542E3"/>
    <w:rsid w:val="000604F0"/>
    <w:rsid w:val="000706EF"/>
    <w:rsid w:val="00091BFC"/>
    <w:rsid w:val="00094DEC"/>
    <w:rsid w:val="000A00B2"/>
    <w:rsid w:val="000A2B60"/>
    <w:rsid w:val="000B206B"/>
    <w:rsid w:val="000B620C"/>
    <w:rsid w:val="000F70D5"/>
    <w:rsid w:val="0010443B"/>
    <w:rsid w:val="001065F5"/>
    <w:rsid w:val="00115268"/>
    <w:rsid w:val="00120326"/>
    <w:rsid w:val="001238EF"/>
    <w:rsid w:val="001315C2"/>
    <w:rsid w:val="00141377"/>
    <w:rsid w:val="00141F4A"/>
    <w:rsid w:val="00144A66"/>
    <w:rsid w:val="001458A1"/>
    <w:rsid w:val="0014664E"/>
    <w:rsid w:val="00154DA8"/>
    <w:rsid w:val="0016708F"/>
    <w:rsid w:val="00183AD5"/>
    <w:rsid w:val="00197613"/>
    <w:rsid w:val="001A7E57"/>
    <w:rsid w:val="001C4A15"/>
    <w:rsid w:val="001D3EB9"/>
    <w:rsid w:val="001E2AE1"/>
    <w:rsid w:val="001E4E55"/>
    <w:rsid w:val="001E73FE"/>
    <w:rsid w:val="001F062B"/>
    <w:rsid w:val="001F3BF5"/>
    <w:rsid w:val="00203E88"/>
    <w:rsid w:val="00217D89"/>
    <w:rsid w:val="00223A1A"/>
    <w:rsid w:val="00230BD4"/>
    <w:rsid w:val="00233DC7"/>
    <w:rsid w:val="00237576"/>
    <w:rsid w:val="002427B0"/>
    <w:rsid w:val="002467DA"/>
    <w:rsid w:val="00247779"/>
    <w:rsid w:val="0025519D"/>
    <w:rsid w:val="002554AF"/>
    <w:rsid w:val="00257994"/>
    <w:rsid w:val="00262269"/>
    <w:rsid w:val="00262447"/>
    <w:rsid w:val="00264006"/>
    <w:rsid w:val="00285BEE"/>
    <w:rsid w:val="002919D3"/>
    <w:rsid w:val="00293E14"/>
    <w:rsid w:val="0029533F"/>
    <w:rsid w:val="002A253F"/>
    <w:rsid w:val="002A7B35"/>
    <w:rsid w:val="002B30AF"/>
    <w:rsid w:val="002B58F1"/>
    <w:rsid w:val="002B7A8C"/>
    <w:rsid w:val="002C323B"/>
    <w:rsid w:val="002C6F9E"/>
    <w:rsid w:val="002D0C1F"/>
    <w:rsid w:val="002D4EC3"/>
    <w:rsid w:val="002E11E1"/>
    <w:rsid w:val="002F7CA4"/>
    <w:rsid w:val="00301B55"/>
    <w:rsid w:val="00303E4B"/>
    <w:rsid w:val="003075C1"/>
    <w:rsid w:val="00317CB3"/>
    <w:rsid w:val="00323BA1"/>
    <w:rsid w:val="00324ED3"/>
    <w:rsid w:val="0033344A"/>
    <w:rsid w:val="00337C09"/>
    <w:rsid w:val="003405F6"/>
    <w:rsid w:val="003425D1"/>
    <w:rsid w:val="00351100"/>
    <w:rsid w:val="00365CA4"/>
    <w:rsid w:val="0037744F"/>
    <w:rsid w:val="00383BF1"/>
    <w:rsid w:val="00385011"/>
    <w:rsid w:val="00394609"/>
    <w:rsid w:val="003A1976"/>
    <w:rsid w:val="003A46C0"/>
    <w:rsid w:val="003A68EB"/>
    <w:rsid w:val="003C10A5"/>
    <w:rsid w:val="003D0161"/>
    <w:rsid w:val="003D7809"/>
    <w:rsid w:val="003E61FA"/>
    <w:rsid w:val="003F3C0B"/>
    <w:rsid w:val="003F6D31"/>
    <w:rsid w:val="004019A5"/>
    <w:rsid w:val="00412B75"/>
    <w:rsid w:val="00414699"/>
    <w:rsid w:val="00415C41"/>
    <w:rsid w:val="0042648E"/>
    <w:rsid w:val="004275F6"/>
    <w:rsid w:val="00427749"/>
    <w:rsid w:val="004328EA"/>
    <w:rsid w:val="0043384B"/>
    <w:rsid w:val="00436142"/>
    <w:rsid w:val="004368D4"/>
    <w:rsid w:val="00442979"/>
    <w:rsid w:val="00450F9D"/>
    <w:rsid w:val="0045108D"/>
    <w:rsid w:val="00464238"/>
    <w:rsid w:val="00480965"/>
    <w:rsid w:val="004846F4"/>
    <w:rsid w:val="004936D2"/>
    <w:rsid w:val="004A3074"/>
    <w:rsid w:val="004B35A7"/>
    <w:rsid w:val="004B7BA7"/>
    <w:rsid w:val="004D2BC7"/>
    <w:rsid w:val="004D2C4D"/>
    <w:rsid w:val="004D39E2"/>
    <w:rsid w:val="004E4FDD"/>
    <w:rsid w:val="004F2E69"/>
    <w:rsid w:val="00513B46"/>
    <w:rsid w:val="00533E40"/>
    <w:rsid w:val="005555A7"/>
    <w:rsid w:val="005600F7"/>
    <w:rsid w:val="0056435F"/>
    <w:rsid w:val="00566D40"/>
    <w:rsid w:val="00576F79"/>
    <w:rsid w:val="00587830"/>
    <w:rsid w:val="00590E5F"/>
    <w:rsid w:val="00596F3B"/>
    <w:rsid w:val="005A08D4"/>
    <w:rsid w:val="005B1EB6"/>
    <w:rsid w:val="005B6808"/>
    <w:rsid w:val="005B6ACF"/>
    <w:rsid w:val="005B7C38"/>
    <w:rsid w:val="005D1F90"/>
    <w:rsid w:val="005D5F5E"/>
    <w:rsid w:val="005D66EA"/>
    <w:rsid w:val="005E51F1"/>
    <w:rsid w:val="005F53A8"/>
    <w:rsid w:val="006056E6"/>
    <w:rsid w:val="006058DB"/>
    <w:rsid w:val="006065F3"/>
    <w:rsid w:val="006068DD"/>
    <w:rsid w:val="0060749C"/>
    <w:rsid w:val="00610C1D"/>
    <w:rsid w:val="00615000"/>
    <w:rsid w:val="006229D3"/>
    <w:rsid w:val="00623151"/>
    <w:rsid w:val="00626AFF"/>
    <w:rsid w:val="00626B13"/>
    <w:rsid w:val="00644FC1"/>
    <w:rsid w:val="00654AD3"/>
    <w:rsid w:val="00663287"/>
    <w:rsid w:val="00665232"/>
    <w:rsid w:val="00680AA9"/>
    <w:rsid w:val="00681552"/>
    <w:rsid w:val="00681D55"/>
    <w:rsid w:val="00697DBF"/>
    <w:rsid w:val="006A50CD"/>
    <w:rsid w:val="006A51DF"/>
    <w:rsid w:val="006B1F44"/>
    <w:rsid w:val="006B7230"/>
    <w:rsid w:val="006C6B61"/>
    <w:rsid w:val="006D0C53"/>
    <w:rsid w:val="006D3C73"/>
    <w:rsid w:val="006E5A42"/>
    <w:rsid w:val="006E681A"/>
    <w:rsid w:val="00712D44"/>
    <w:rsid w:val="00726FDB"/>
    <w:rsid w:val="00745A3C"/>
    <w:rsid w:val="00751288"/>
    <w:rsid w:val="00757D37"/>
    <w:rsid w:val="00773331"/>
    <w:rsid w:val="00777155"/>
    <w:rsid w:val="00790958"/>
    <w:rsid w:val="007932EF"/>
    <w:rsid w:val="007967FE"/>
    <w:rsid w:val="007A5E38"/>
    <w:rsid w:val="007A6A35"/>
    <w:rsid w:val="007B5DE2"/>
    <w:rsid w:val="007B6052"/>
    <w:rsid w:val="007B696B"/>
    <w:rsid w:val="007C77B1"/>
    <w:rsid w:val="007D138D"/>
    <w:rsid w:val="007E05B0"/>
    <w:rsid w:val="007E53C8"/>
    <w:rsid w:val="007E5A24"/>
    <w:rsid w:val="008129D7"/>
    <w:rsid w:val="00812CB5"/>
    <w:rsid w:val="00826174"/>
    <w:rsid w:val="00834DF4"/>
    <w:rsid w:val="00834F02"/>
    <w:rsid w:val="00874CF3"/>
    <w:rsid w:val="00874D22"/>
    <w:rsid w:val="00883E7B"/>
    <w:rsid w:val="008904D6"/>
    <w:rsid w:val="00896A09"/>
    <w:rsid w:val="008A025E"/>
    <w:rsid w:val="008A28A2"/>
    <w:rsid w:val="008A2914"/>
    <w:rsid w:val="008B3326"/>
    <w:rsid w:val="008C1FE1"/>
    <w:rsid w:val="008D1B44"/>
    <w:rsid w:val="008D4FB7"/>
    <w:rsid w:val="008D640C"/>
    <w:rsid w:val="008D7778"/>
    <w:rsid w:val="008E4D8E"/>
    <w:rsid w:val="008F1EFB"/>
    <w:rsid w:val="008F5C8F"/>
    <w:rsid w:val="008F5D0F"/>
    <w:rsid w:val="0090061F"/>
    <w:rsid w:val="00900AD9"/>
    <w:rsid w:val="00902CA1"/>
    <w:rsid w:val="00910D1A"/>
    <w:rsid w:val="00923D3F"/>
    <w:rsid w:val="00924F42"/>
    <w:rsid w:val="00930802"/>
    <w:rsid w:val="00931B49"/>
    <w:rsid w:val="009444E7"/>
    <w:rsid w:val="00953BFA"/>
    <w:rsid w:val="00956396"/>
    <w:rsid w:val="009660D8"/>
    <w:rsid w:val="00974F32"/>
    <w:rsid w:val="0099671D"/>
    <w:rsid w:val="009A1AAA"/>
    <w:rsid w:val="009B016D"/>
    <w:rsid w:val="009B3065"/>
    <w:rsid w:val="009C2923"/>
    <w:rsid w:val="009D1869"/>
    <w:rsid w:val="009E6F2B"/>
    <w:rsid w:val="009E71EB"/>
    <w:rsid w:val="009F112E"/>
    <w:rsid w:val="00A07D25"/>
    <w:rsid w:val="00A146DF"/>
    <w:rsid w:val="00A15782"/>
    <w:rsid w:val="00A30DC5"/>
    <w:rsid w:val="00A36F4D"/>
    <w:rsid w:val="00A3714C"/>
    <w:rsid w:val="00A3764E"/>
    <w:rsid w:val="00A37BCD"/>
    <w:rsid w:val="00A44936"/>
    <w:rsid w:val="00A52025"/>
    <w:rsid w:val="00A61F4C"/>
    <w:rsid w:val="00A74A70"/>
    <w:rsid w:val="00AA2658"/>
    <w:rsid w:val="00AA6C0B"/>
    <w:rsid w:val="00AB1DDA"/>
    <w:rsid w:val="00AB3D14"/>
    <w:rsid w:val="00AC5498"/>
    <w:rsid w:val="00AD1CA5"/>
    <w:rsid w:val="00AD43EB"/>
    <w:rsid w:val="00AD7D4C"/>
    <w:rsid w:val="00AE10E2"/>
    <w:rsid w:val="00AF452D"/>
    <w:rsid w:val="00B11DC2"/>
    <w:rsid w:val="00B2190D"/>
    <w:rsid w:val="00B2272D"/>
    <w:rsid w:val="00B30DF4"/>
    <w:rsid w:val="00B33838"/>
    <w:rsid w:val="00B404FD"/>
    <w:rsid w:val="00B40A38"/>
    <w:rsid w:val="00B41BB4"/>
    <w:rsid w:val="00B41C0B"/>
    <w:rsid w:val="00B47325"/>
    <w:rsid w:val="00B47F92"/>
    <w:rsid w:val="00B560FF"/>
    <w:rsid w:val="00B65488"/>
    <w:rsid w:val="00B65A65"/>
    <w:rsid w:val="00B76969"/>
    <w:rsid w:val="00B80E5B"/>
    <w:rsid w:val="00B97447"/>
    <w:rsid w:val="00BA740B"/>
    <w:rsid w:val="00BA745F"/>
    <w:rsid w:val="00BD0198"/>
    <w:rsid w:val="00BD0A3F"/>
    <w:rsid w:val="00BD7967"/>
    <w:rsid w:val="00BE0856"/>
    <w:rsid w:val="00BF1534"/>
    <w:rsid w:val="00BF16FB"/>
    <w:rsid w:val="00BF4BEB"/>
    <w:rsid w:val="00BF5EE2"/>
    <w:rsid w:val="00BF64BB"/>
    <w:rsid w:val="00C01F25"/>
    <w:rsid w:val="00C03E51"/>
    <w:rsid w:val="00C116EE"/>
    <w:rsid w:val="00C12301"/>
    <w:rsid w:val="00C22F64"/>
    <w:rsid w:val="00C260DA"/>
    <w:rsid w:val="00C3175A"/>
    <w:rsid w:val="00C45252"/>
    <w:rsid w:val="00C45BAA"/>
    <w:rsid w:val="00C54A47"/>
    <w:rsid w:val="00C60EE4"/>
    <w:rsid w:val="00C61787"/>
    <w:rsid w:val="00C62009"/>
    <w:rsid w:val="00C63839"/>
    <w:rsid w:val="00C65745"/>
    <w:rsid w:val="00C754CD"/>
    <w:rsid w:val="00C76833"/>
    <w:rsid w:val="00C7687C"/>
    <w:rsid w:val="00C769F0"/>
    <w:rsid w:val="00C815B6"/>
    <w:rsid w:val="00C83270"/>
    <w:rsid w:val="00C9167F"/>
    <w:rsid w:val="00CA47EC"/>
    <w:rsid w:val="00CB1997"/>
    <w:rsid w:val="00CC1693"/>
    <w:rsid w:val="00CD3C4B"/>
    <w:rsid w:val="00CD6353"/>
    <w:rsid w:val="00CF6EFE"/>
    <w:rsid w:val="00D0234A"/>
    <w:rsid w:val="00D0281C"/>
    <w:rsid w:val="00D06C9D"/>
    <w:rsid w:val="00D20381"/>
    <w:rsid w:val="00D27AD4"/>
    <w:rsid w:val="00D46E7A"/>
    <w:rsid w:val="00D6009B"/>
    <w:rsid w:val="00D60271"/>
    <w:rsid w:val="00D616F4"/>
    <w:rsid w:val="00D661A5"/>
    <w:rsid w:val="00D803CA"/>
    <w:rsid w:val="00D93F39"/>
    <w:rsid w:val="00DA2C9C"/>
    <w:rsid w:val="00DC10B9"/>
    <w:rsid w:val="00DC417D"/>
    <w:rsid w:val="00DD5158"/>
    <w:rsid w:val="00DE097B"/>
    <w:rsid w:val="00DE5922"/>
    <w:rsid w:val="00E0115A"/>
    <w:rsid w:val="00E0633B"/>
    <w:rsid w:val="00E117FD"/>
    <w:rsid w:val="00E26E63"/>
    <w:rsid w:val="00E31BFB"/>
    <w:rsid w:val="00E33CF5"/>
    <w:rsid w:val="00E42BE4"/>
    <w:rsid w:val="00E43233"/>
    <w:rsid w:val="00E448B9"/>
    <w:rsid w:val="00E523FB"/>
    <w:rsid w:val="00E524CF"/>
    <w:rsid w:val="00E537E9"/>
    <w:rsid w:val="00E570E4"/>
    <w:rsid w:val="00E664ED"/>
    <w:rsid w:val="00E6688D"/>
    <w:rsid w:val="00E94415"/>
    <w:rsid w:val="00E95C01"/>
    <w:rsid w:val="00E9756B"/>
    <w:rsid w:val="00EA0234"/>
    <w:rsid w:val="00EC5820"/>
    <w:rsid w:val="00EE2334"/>
    <w:rsid w:val="00EF274C"/>
    <w:rsid w:val="00F245D7"/>
    <w:rsid w:val="00F27888"/>
    <w:rsid w:val="00F42EEF"/>
    <w:rsid w:val="00F4688C"/>
    <w:rsid w:val="00F53890"/>
    <w:rsid w:val="00F62B28"/>
    <w:rsid w:val="00F70A7C"/>
    <w:rsid w:val="00F80E2A"/>
    <w:rsid w:val="00F86E73"/>
    <w:rsid w:val="00FA121A"/>
    <w:rsid w:val="00FA2829"/>
    <w:rsid w:val="00FC2211"/>
    <w:rsid w:val="00FC38F8"/>
    <w:rsid w:val="00FE110F"/>
    <w:rsid w:val="00FF0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D78B46A6-44C6-4789-A37D-DA043F76A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415C41"/>
    <w:pPr>
      <w:spacing w:after="0" w:line="247" w:lineRule="auto"/>
      <w:ind w:left="720" w:right="89" w:hanging="720"/>
      <w:jc w:val="both"/>
    </w:pPr>
    <w:rPr>
      <w:rFonts w:ascii="Times New Roman" w:eastAsia="Times New Roman" w:hAnsi="Times New Roman" w:cs="Times New Roman"/>
      <w:color w:val="000000"/>
      <w:kern w:val="2"/>
      <w:sz w:val="20"/>
      <w:szCs w:val="24"/>
      <w:lang w:eastAsia="en-IE"/>
      <w14:ligatures w14:val="standardContextual"/>
    </w:rPr>
  </w:style>
  <w:style w:type="character" w:customStyle="1" w:styleId="footnotedescriptionChar">
    <w:name w:val="footnote description Char"/>
    <w:link w:val="footnotedescription"/>
    <w:rsid w:val="00415C41"/>
    <w:rPr>
      <w:rFonts w:ascii="Times New Roman" w:eastAsia="Times New Roman" w:hAnsi="Times New Roman" w:cs="Times New Roman"/>
      <w:color w:val="000000"/>
      <w:kern w:val="2"/>
      <w:sz w:val="20"/>
      <w:szCs w:val="24"/>
      <w:lang w:val="ro-RO" w:eastAsia="en-IE"/>
      <w14:ligatures w14:val="standardContextual"/>
    </w:rPr>
  </w:style>
  <w:style w:type="character" w:customStyle="1" w:styleId="footnotemark">
    <w:name w:val="footnote mark"/>
    <w:hidden/>
    <w:rsid w:val="00415C41"/>
    <w:rPr>
      <w:rFonts w:ascii="Times New Roman" w:eastAsia="Times New Roman" w:hAnsi="Times New Roman" w:cs="Times New Roman"/>
      <w:color w:val="000000"/>
      <w:sz w:val="20"/>
      <w:vertAlign w:val="superscript"/>
    </w:rPr>
  </w:style>
  <w:style w:type="character" w:styleId="Hyperlink">
    <w:name w:val="Hyperlink"/>
    <w:basedOn w:val="DefaultParagraphFont"/>
    <w:uiPriority w:val="99"/>
    <w:unhideWhenUsed/>
    <w:rsid w:val="001458A1"/>
    <w:rPr>
      <w:color w:val="0000FF" w:themeColor="hyperlink"/>
      <w:u w:val="single"/>
    </w:rPr>
  </w:style>
  <w:style w:type="character" w:customStyle="1" w:styleId="UnresolvedMention">
    <w:name w:val="Unresolved Mention"/>
    <w:basedOn w:val="DefaultParagraphFont"/>
    <w:uiPriority w:val="99"/>
    <w:semiHidden/>
    <w:unhideWhenUsed/>
    <w:rsid w:val="001458A1"/>
    <w:rPr>
      <w:color w:val="605E5C"/>
      <w:shd w:val="clear" w:color="auto" w:fill="E1DFDD"/>
    </w:rPr>
  </w:style>
  <w:style w:type="paragraph" w:styleId="ListParagraph">
    <w:name w:val="List Paragraph"/>
    <w:aliases w:val="Akapit z listą BS,Colorful List - Accent 11,Listenabsatz"/>
    <w:basedOn w:val="Normal"/>
    <w:link w:val="ListParagraphChar"/>
    <w:uiPriority w:val="34"/>
    <w:qFormat/>
    <w:rsid w:val="00436142"/>
    <w:pPr>
      <w:spacing w:before="0" w:after="0"/>
      <w:ind w:left="720"/>
      <w:contextualSpacing/>
      <w:jc w:val="left"/>
    </w:pPr>
    <w:rPr>
      <w:rFonts w:ascii="Arial" w:eastAsia="Times New Roman" w:hAnsi="Arial" w:cs="Arial"/>
      <w:sz w:val="22"/>
      <w:lang w:eastAsia="en-GB"/>
    </w:rPr>
  </w:style>
  <w:style w:type="character" w:customStyle="1" w:styleId="ListParagraphChar">
    <w:name w:val="List Paragraph Char"/>
    <w:aliases w:val="Akapit z listą BS Char,Colorful List - Accent 11 Char,Listenabsatz Char"/>
    <w:link w:val="ListParagraph"/>
    <w:uiPriority w:val="34"/>
    <w:locked/>
    <w:rsid w:val="00436142"/>
    <w:rPr>
      <w:rFonts w:ascii="Arial" w:eastAsia="Times New Roman" w:hAnsi="Arial" w:cs="Arial"/>
      <w:lang w:val="ro-RO" w:eastAsia="en-GB"/>
    </w:rPr>
  </w:style>
  <w:style w:type="paragraph" w:styleId="ListBullet">
    <w:name w:val="List Bullet"/>
    <w:basedOn w:val="Normal"/>
    <w:uiPriority w:val="99"/>
    <w:semiHidden/>
    <w:unhideWhenUsed/>
    <w:rsid w:val="00C60EE4"/>
    <w:pPr>
      <w:numPr>
        <w:numId w:val="1"/>
      </w:numPr>
      <w:contextualSpacing/>
    </w:pPr>
  </w:style>
  <w:style w:type="paragraph" w:styleId="ListBullet2">
    <w:name w:val="List Bullet 2"/>
    <w:basedOn w:val="Normal"/>
    <w:uiPriority w:val="99"/>
    <w:semiHidden/>
    <w:unhideWhenUsed/>
    <w:rsid w:val="00C60EE4"/>
    <w:pPr>
      <w:numPr>
        <w:numId w:val="2"/>
      </w:numPr>
      <w:contextualSpacing/>
    </w:pPr>
  </w:style>
  <w:style w:type="paragraph" w:styleId="ListBullet3">
    <w:name w:val="List Bullet 3"/>
    <w:basedOn w:val="Normal"/>
    <w:uiPriority w:val="99"/>
    <w:semiHidden/>
    <w:unhideWhenUsed/>
    <w:rsid w:val="00C60EE4"/>
    <w:pPr>
      <w:numPr>
        <w:numId w:val="3"/>
      </w:numPr>
      <w:contextualSpacing/>
    </w:pPr>
  </w:style>
  <w:style w:type="paragraph" w:styleId="ListBullet4">
    <w:name w:val="List Bullet 4"/>
    <w:basedOn w:val="Normal"/>
    <w:uiPriority w:val="99"/>
    <w:semiHidden/>
    <w:unhideWhenUsed/>
    <w:rsid w:val="00C60EE4"/>
    <w:pPr>
      <w:numPr>
        <w:numId w:val="4"/>
      </w:numPr>
      <w:contextualSpacing/>
    </w:pPr>
  </w:style>
  <w:style w:type="paragraph" w:styleId="Revision">
    <w:name w:val="Revision"/>
    <w:hidden/>
    <w:uiPriority w:val="99"/>
    <w:semiHidden/>
    <w:rsid w:val="003405F6"/>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3405F6"/>
    <w:rPr>
      <w:sz w:val="16"/>
      <w:szCs w:val="16"/>
    </w:rPr>
  </w:style>
  <w:style w:type="paragraph" w:styleId="CommentText">
    <w:name w:val="annotation text"/>
    <w:basedOn w:val="Normal"/>
    <w:link w:val="CommentTextChar"/>
    <w:uiPriority w:val="99"/>
    <w:unhideWhenUsed/>
    <w:rsid w:val="003405F6"/>
    <w:rPr>
      <w:sz w:val="20"/>
      <w:szCs w:val="20"/>
    </w:rPr>
  </w:style>
  <w:style w:type="character" w:customStyle="1" w:styleId="CommentTextChar">
    <w:name w:val="Comment Text Char"/>
    <w:basedOn w:val="DefaultParagraphFont"/>
    <w:link w:val="CommentText"/>
    <w:uiPriority w:val="99"/>
    <w:rsid w:val="003405F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405F6"/>
    <w:rPr>
      <w:b/>
      <w:bCs/>
    </w:rPr>
  </w:style>
  <w:style w:type="character" w:customStyle="1" w:styleId="CommentSubjectChar">
    <w:name w:val="Comment Subject Char"/>
    <w:basedOn w:val="CommentTextChar"/>
    <w:link w:val="CommentSubject"/>
    <w:uiPriority w:val="99"/>
    <w:semiHidden/>
    <w:rsid w:val="003405F6"/>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7967FE"/>
    <w:rPr>
      <w:color w:val="800080" w:themeColor="followedHyperlink"/>
      <w:u w:val="single"/>
    </w:rPr>
  </w:style>
  <w:style w:type="character" w:styleId="Strong">
    <w:name w:val="Strong"/>
    <w:basedOn w:val="DefaultParagraphFont"/>
    <w:uiPriority w:val="22"/>
    <w:qFormat/>
    <w:rsid w:val="00AD7D4C"/>
    <w:rPr>
      <w:b/>
      <w:bCs/>
    </w:rPr>
  </w:style>
  <w:style w:type="character" w:customStyle="1" w:styleId="HeaderChar">
    <w:name w:val="Header Char"/>
    <w:basedOn w:val="DefaultParagraphFont"/>
    <w:link w:val="Header"/>
    <w:uiPriority w:val="99"/>
    <w:rsid w:val="003D7809"/>
    <w:rPr>
      <w:rFonts w:ascii="Times New Roman" w:hAnsi="Times New Roman" w:cs="Times New Roman"/>
      <w:sz w:val="24"/>
      <w:lang w:val="ro-RO"/>
    </w:rPr>
  </w:style>
  <w:style w:type="character" w:customStyle="1" w:styleId="FooterChar">
    <w:name w:val="Footer Char"/>
    <w:basedOn w:val="DefaultParagraphFont"/>
    <w:link w:val="Footer"/>
    <w:uiPriority w:val="99"/>
    <w:rsid w:val="003D780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D780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D7809"/>
    <w:pPr>
      <w:spacing w:before="0"/>
      <w:jc w:val="right"/>
    </w:pPr>
    <w:rPr>
      <w:sz w:val="28"/>
    </w:rPr>
  </w:style>
  <w:style w:type="paragraph" w:customStyle="1" w:styleId="FooterSensitivity">
    <w:name w:val="Footer Sensitivity"/>
    <w:basedOn w:val="Normal"/>
    <w:rsid w:val="003D780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D7809"/>
    <w:pPr>
      <w:tabs>
        <w:tab w:val="center" w:pos="4535"/>
        <w:tab w:val="right" w:pos="9071"/>
      </w:tabs>
      <w:spacing w:before="0"/>
    </w:pPr>
  </w:style>
  <w:style w:type="paragraph" w:customStyle="1" w:styleId="HeaderLandscape">
    <w:name w:val="HeaderLandscape"/>
    <w:basedOn w:val="Normal"/>
    <w:rsid w:val="003D7809"/>
    <w:pPr>
      <w:tabs>
        <w:tab w:val="center" w:pos="7285"/>
        <w:tab w:val="right" w:pos="14003"/>
      </w:tabs>
      <w:spacing w:before="0"/>
    </w:pPr>
  </w:style>
  <w:style w:type="paragraph" w:styleId="Footer">
    <w:name w:val="footer"/>
    <w:basedOn w:val="Normal"/>
    <w:link w:val="FooterChar"/>
    <w:uiPriority w:val="99"/>
    <w:unhideWhenUsed/>
    <w:rsid w:val="003D780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D780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3410">
      <w:bodyDiv w:val="1"/>
      <w:marLeft w:val="0"/>
      <w:marRight w:val="0"/>
      <w:marTop w:val="0"/>
      <w:marBottom w:val="0"/>
      <w:divBdr>
        <w:top w:val="none" w:sz="0" w:space="0" w:color="auto"/>
        <w:left w:val="none" w:sz="0" w:space="0" w:color="auto"/>
        <w:bottom w:val="none" w:sz="0" w:space="0" w:color="auto"/>
        <w:right w:val="none" w:sz="0" w:space="0" w:color="auto"/>
      </w:divBdr>
    </w:div>
    <w:div w:id="100344837">
      <w:bodyDiv w:val="1"/>
      <w:marLeft w:val="0"/>
      <w:marRight w:val="0"/>
      <w:marTop w:val="0"/>
      <w:marBottom w:val="0"/>
      <w:divBdr>
        <w:top w:val="none" w:sz="0" w:space="0" w:color="auto"/>
        <w:left w:val="none" w:sz="0" w:space="0" w:color="auto"/>
        <w:bottom w:val="none" w:sz="0" w:space="0" w:color="auto"/>
        <w:right w:val="none" w:sz="0" w:space="0" w:color="auto"/>
      </w:divBdr>
    </w:div>
    <w:div w:id="166021642">
      <w:bodyDiv w:val="1"/>
      <w:marLeft w:val="0"/>
      <w:marRight w:val="0"/>
      <w:marTop w:val="0"/>
      <w:marBottom w:val="0"/>
      <w:divBdr>
        <w:top w:val="none" w:sz="0" w:space="0" w:color="auto"/>
        <w:left w:val="none" w:sz="0" w:space="0" w:color="auto"/>
        <w:bottom w:val="none" w:sz="0" w:space="0" w:color="auto"/>
        <w:right w:val="none" w:sz="0" w:space="0" w:color="auto"/>
      </w:divBdr>
    </w:div>
    <w:div w:id="412508186">
      <w:bodyDiv w:val="1"/>
      <w:marLeft w:val="0"/>
      <w:marRight w:val="0"/>
      <w:marTop w:val="0"/>
      <w:marBottom w:val="0"/>
      <w:divBdr>
        <w:top w:val="none" w:sz="0" w:space="0" w:color="auto"/>
        <w:left w:val="none" w:sz="0" w:space="0" w:color="auto"/>
        <w:bottom w:val="none" w:sz="0" w:space="0" w:color="auto"/>
        <w:right w:val="none" w:sz="0" w:space="0" w:color="auto"/>
      </w:divBdr>
    </w:div>
    <w:div w:id="609319180">
      <w:bodyDiv w:val="1"/>
      <w:marLeft w:val="0"/>
      <w:marRight w:val="0"/>
      <w:marTop w:val="0"/>
      <w:marBottom w:val="0"/>
      <w:divBdr>
        <w:top w:val="none" w:sz="0" w:space="0" w:color="auto"/>
        <w:left w:val="none" w:sz="0" w:space="0" w:color="auto"/>
        <w:bottom w:val="none" w:sz="0" w:space="0" w:color="auto"/>
        <w:right w:val="none" w:sz="0" w:space="0" w:color="auto"/>
      </w:divBdr>
    </w:div>
    <w:div w:id="622157002">
      <w:bodyDiv w:val="1"/>
      <w:marLeft w:val="0"/>
      <w:marRight w:val="0"/>
      <w:marTop w:val="0"/>
      <w:marBottom w:val="0"/>
      <w:divBdr>
        <w:top w:val="none" w:sz="0" w:space="0" w:color="auto"/>
        <w:left w:val="none" w:sz="0" w:space="0" w:color="auto"/>
        <w:bottom w:val="none" w:sz="0" w:space="0" w:color="auto"/>
        <w:right w:val="none" w:sz="0" w:space="0" w:color="auto"/>
      </w:divBdr>
    </w:div>
    <w:div w:id="795954429">
      <w:bodyDiv w:val="1"/>
      <w:marLeft w:val="0"/>
      <w:marRight w:val="0"/>
      <w:marTop w:val="0"/>
      <w:marBottom w:val="0"/>
      <w:divBdr>
        <w:top w:val="none" w:sz="0" w:space="0" w:color="auto"/>
        <w:left w:val="none" w:sz="0" w:space="0" w:color="auto"/>
        <w:bottom w:val="none" w:sz="0" w:space="0" w:color="auto"/>
        <w:right w:val="none" w:sz="0" w:space="0" w:color="auto"/>
      </w:divBdr>
    </w:div>
    <w:div w:id="802650876">
      <w:bodyDiv w:val="1"/>
      <w:marLeft w:val="0"/>
      <w:marRight w:val="0"/>
      <w:marTop w:val="0"/>
      <w:marBottom w:val="0"/>
      <w:divBdr>
        <w:top w:val="none" w:sz="0" w:space="0" w:color="auto"/>
        <w:left w:val="none" w:sz="0" w:space="0" w:color="auto"/>
        <w:bottom w:val="none" w:sz="0" w:space="0" w:color="auto"/>
        <w:right w:val="none" w:sz="0" w:space="0" w:color="auto"/>
      </w:divBdr>
    </w:div>
    <w:div w:id="816996051">
      <w:bodyDiv w:val="1"/>
      <w:marLeft w:val="0"/>
      <w:marRight w:val="0"/>
      <w:marTop w:val="0"/>
      <w:marBottom w:val="0"/>
      <w:divBdr>
        <w:top w:val="none" w:sz="0" w:space="0" w:color="auto"/>
        <w:left w:val="none" w:sz="0" w:space="0" w:color="auto"/>
        <w:bottom w:val="none" w:sz="0" w:space="0" w:color="auto"/>
        <w:right w:val="none" w:sz="0" w:space="0" w:color="auto"/>
      </w:divBdr>
    </w:div>
    <w:div w:id="941113619">
      <w:bodyDiv w:val="1"/>
      <w:marLeft w:val="0"/>
      <w:marRight w:val="0"/>
      <w:marTop w:val="0"/>
      <w:marBottom w:val="0"/>
      <w:divBdr>
        <w:top w:val="none" w:sz="0" w:space="0" w:color="auto"/>
        <w:left w:val="none" w:sz="0" w:space="0" w:color="auto"/>
        <w:bottom w:val="none" w:sz="0" w:space="0" w:color="auto"/>
        <w:right w:val="none" w:sz="0" w:space="0" w:color="auto"/>
      </w:divBdr>
    </w:div>
    <w:div w:id="965742671">
      <w:bodyDiv w:val="1"/>
      <w:marLeft w:val="0"/>
      <w:marRight w:val="0"/>
      <w:marTop w:val="0"/>
      <w:marBottom w:val="0"/>
      <w:divBdr>
        <w:top w:val="none" w:sz="0" w:space="0" w:color="auto"/>
        <w:left w:val="none" w:sz="0" w:space="0" w:color="auto"/>
        <w:bottom w:val="none" w:sz="0" w:space="0" w:color="auto"/>
        <w:right w:val="none" w:sz="0" w:space="0" w:color="auto"/>
      </w:divBdr>
    </w:div>
    <w:div w:id="994142312">
      <w:bodyDiv w:val="1"/>
      <w:marLeft w:val="0"/>
      <w:marRight w:val="0"/>
      <w:marTop w:val="0"/>
      <w:marBottom w:val="0"/>
      <w:divBdr>
        <w:top w:val="none" w:sz="0" w:space="0" w:color="auto"/>
        <w:left w:val="none" w:sz="0" w:space="0" w:color="auto"/>
        <w:bottom w:val="none" w:sz="0" w:space="0" w:color="auto"/>
        <w:right w:val="none" w:sz="0" w:space="0" w:color="auto"/>
      </w:divBdr>
    </w:div>
    <w:div w:id="1315184192">
      <w:bodyDiv w:val="1"/>
      <w:marLeft w:val="0"/>
      <w:marRight w:val="0"/>
      <w:marTop w:val="0"/>
      <w:marBottom w:val="0"/>
      <w:divBdr>
        <w:top w:val="none" w:sz="0" w:space="0" w:color="auto"/>
        <w:left w:val="none" w:sz="0" w:space="0" w:color="auto"/>
        <w:bottom w:val="none" w:sz="0" w:space="0" w:color="auto"/>
        <w:right w:val="none" w:sz="0" w:space="0" w:color="auto"/>
      </w:divBdr>
    </w:div>
    <w:div w:id="1337077195">
      <w:bodyDiv w:val="1"/>
      <w:marLeft w:val="0"/>
      <w:marRight w:val="0"/>
      <w:marTop w:val="0"/>
      <w:marBottom w:val="0"/>
      <w:divBdr>
        <w:top w:val="none" w:sz="0" w:space="0" w:color="auto"/>
        <w:left w:val="none" w:sz="0" w:space="0" w:color="auto"/>
        <w:bottom w:val="none" w:sz="0" w:space="0" w:color="auto"/>
        <w:right w:val="none" w:sz="0" w:space="0" w:color="auto"/>
      </w:divBdr>
    </w:div>
    <w:div w:id="1370833340">
      <w:bodyDiv w:val="1"/>
      <w:marLeft w:val="0"/>
      <w:marRight w:val="0"/>
      <w:marTop w:val="0"/>
      <w:marBottom w:val="0"/>
      <w:divBdr>
        <w:top w:val="none" w:sz="0" w:space="0" w:color="auto"/>
        <w:left w:val="none" w:sz="0" w:space="0" w:color="auto"/>
        <w:bottom w:val="none" w:sz="0" w:space="0" w:color="auto"/>
        <w:right w:val="none" w:sz="0" w:space="0" w:color="auto"/>
      </w:divBdr>
    </w:div>
    <w:div w:id="1405032089">
      <w:bodyDiv w:val="1"/>
      <w:marLeft w:val="0"/>
      <w:marRight w:val="0"/>
      <w:marTop w:val="0"/>
      <w:marBottom w:val="0"/>
      <w:divBdr>
        <w:top w:val="none" w:sz="0" w:space="0" w:color="auto"/>
        <w:left w:val="none" w:sz="0" w:space="0" w:color="auto"/>
        <w:bottom w:val="none" w:sz="0" w:space="0" w:color="auto"/>
        <w:right w:val="none" w:sz="0" w:space="0" w:color="auto"/>
      </w:divBdr>
    </w:div>
    <w:div w:id="1601447824">
      <w:bodyDiv w:val="1"/>
      <w:marLeft w:val="0"/>
      <w:marRight w:val="0"/>
      <w:marTop w:val="0"/>
      <w:marBottom w:val="0"/>
      <w:divBdr>
        <w:top w:val="none" w:sz="0" w:space="0" w:color="auto"/>
        <w:left w:val="none" w:sz="0" w:space="0" w:color="auto"/>
        <w:bottom w:val="none" w:sz="0" w:space="0" w:color="auto"/>
        <w:right w:val="none" w:sz="0" w:space="0" w:color="auto"/>
      </w:divBdr>
    </w:div>
    <w:div w:id="1625194100">
      <w:bodyDiv w:val="1"/>
      <w:marLeft w:val="0"/>
      <w:marRight w:val="0"/>
      <w:marTop w:val="0"/>
      <w:marBottom w:val="0"/>
      <w:divBdr>
        <w:top w:val="none" w:sz="0" w:space="0" w:color="auto"/>
        <w:left w:val="none" w:sz="0" w:space="0" w:color="auto"/>
        <w:bottom w:val="none" w:sz="0" w:space="0" w:color="auto"/>
        <w:right w:val="none" w:sz="0" w:space="0" w:color="auto"/>
      </w:divBdr>
    </w:div>
    <w:div w:id="1662081658">
      <w:bodyDiv w:val="1"/>
      <w:marLeft w:val="0"/>
      <w:marRight w:val="0"/>
      <w:marTop w:val="0"/>
      <w:marBottom w:val="0"/>
      <w:divBdr>
        <w:top w:val="none" w:sz="0" w:space="0" w:color="auto"/>
        <w:left w:val="none" w:sz="0" w:space="0" w:color="auto"/>
        <w:bottom w:val="none" w:sz="0" w:space="0" w:color="auto"/>
        <w:right w:val="none" w:sz="0" w:space="0" w:color="auto"/>
      </w:divBdr>
    </w:div>
    <w:div w:id="1705905264">
      <w:bodyDiv w:val="1"/>
      <w:marLeft w:val="0"/>
      <w:marRight w:val="0"/>
      <w:marTop w:val="0"/>
      <w:marBottom w:val="0"/>
      <w:divBdr>
        <w:top w:val="none" w:sz="0" w:space="0" w:color="auto"/>
        <w:left w:val="none" w:sz="0" w:space="0" w:color="auto"/>
        <w:bottom w:val="none" w:sz="0" w:space="0" w:color="auto"/>
        <w:right w:val="none" w:sz="0" w:space="0" w:color="auto"/>
      </w:divBdr>
    </w:div>
    <w:div w:id="1745760016">
      <w:bodyDiv w:val="1"/>
      <w:marLeft w:val="0"/>
      <w:marRight w:val="0"/>
      <w:marTop w:val="0"/>
      <w:marBottom w:val="0"/>
      <w:divBdr>
        <w:top w:val="none" w:sz="0" w:space="0" w:color="auto"/>
        <w:left w:val="none" w:sz="0" w:space="0" w:color="auto"/>
        <w:bottom w:val="none" w:sz="0" w:space="0" w:color="auto"/>
        <w:right w:val="none" w:sz="0" w:space="0" w:color="auto"/>
      </w:divBdr>
    </w:div>
    <w:div w:id="1746150139">
      <w:bodyDiv w:val="1"/>
      <w:marLeft w:val="0"/>
      <w:marRight w:val="0"/>
      <w:marTop w:val="0"/>
      <w:marBottom w:val="0"/>
      <w:divBdr>
        <w:top w:val="none" w:sz="0" w:space="0" w:color="auto"/>
        <w:left w:val="none" w:sz="0" w:space="0" w:color="auto"/>
        <w:bottom w:val="none" w:sz="0" w:space="0" w:color="auto"/>
        <w:right w:val="none" w:sz="0" w:space="0" w:color="auto"/>
      </w:divBdr>
    </w:div>
    <w:div w:id="1747190139">
      <w:bodyDiv w:val="1"/>
      <w:marLeft w:val="0"/>
      <w:marRight w:val="0"/>
      <w:marTop w:val="0"/>
      <w:marBottom w:val="0"/>
      <w:divBdr>
        <w:top w:val="none" w:sz="0" w:space="0" w:color="auto"/>
        <w:left w:val="none" w:sz="0" w:space="0" w:color="auto"/>
        <w:bottom w:val="none" w:sz="0" w:space="0" w:color="auto"/>
        <w:right w:val="none" w:sz="0" w:space="0" w:color="auto"/>
      </w:divBdr>
    </w:div>
    <w:div w:id="1909995141">
      <w:bodyDiv w:val="1"/>
      <w:marLeft w:val="0"/>
      <w:marRight w:val="0"/>
      <w:marTop w:val="0"/>
      <w:marBottom w:val="0"/>
      <w:divBdr>
        <w:top w:val="none" w:sz="0" w:space="0" w:color="auto"/>
        <w:left w:val="none" w:sz="0" w:space="0" w:color="auto"/>
        <w:bottom w:val="none" w:sz="0" w:space="0" w:color="auto"/>
        <w:right w:val="none" w:sz="0" w:space="0" w:color="auto"/>
      </w:divBdr>
    </w:div>
    <w:div w:id="1937592829">
      <w:bodyDiv w:val="1"/>
      <w:marLeft w:val="0"/>
      <w:marRight w:val="0"/>
      <w:marTop w:val="0"/>
      <w:marBottom w:val="0"/>
      <w:divBdr>
        <w:top w:val="none" w:sz="0" w:space="0" w:color="auto"/>
        <w:left w:val="none" w:sz="0" w:space="0" w:color="auto"/>
        <w:bottom w:val="none" w:sz="0" w:space="0" w:color="auto"/>
        <w:right w:val="none" w:sz="0" w:space="0" w:color="auto"/>
      </w:divBdr>
    </w:div>
    <w:div w:id="2061442674">
      <w:bodyDiv w:val="1"/>
      <w:marLeft w:val="0"/>
      <w:marRight w:val="0"/>
      <w:marTop w:val="0"/>
      <w:marBottom w:val="0"/>
      <w:divBdr>
        <w:top w:val="none" w:sz="0" w:space="0" w:color="auto"/>
        <w:left w:val="none" w:sz="0" w:space="0" w:color="auto"/>
        <w:bottom w:val="none" w:sz="0" w:space="0" w:color="auto"/>
        <w:right w:val="none" w:sz="0" w:space="0" w:color="auto"/>
      </w:divBdr>
    </w:div>
    <w:div w:id="207284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RO/TXT/?uri=CELEX%3A32023D1075" TargetMode="External"/><Relationship Id="rId18" Type="http://schemas.openxmlformats.org/officeDocument/2006/relationships/hyperlink" Target="https://eur-lex.europa.eu/legal-content/RO/TXT/?uri=CELEX%3A32023D1075" TargetMode="External"/><Relationship Id="rId26" Type="http://schemas.openxmlformats.org/officeDocument/2006/relationships/hyperlink" Target="https://eur-lex.europa.eu/legal-content/RO/TXT/?uri=CELEX%3A32023D1075" TargetMode="External"/><Relationship Id="rId39" Type="http://schemas.openxmlformats.org/officeDocument/2006/relationships/hyperlink" Target="https://eur-lex.europa.eu/eli/dec/2023/1076/oj/ron" TargetMode="External"/><Relationship Id="rId3" Type="http://schemas.openxmlformats.org/officeDocument/2006/relationships/hyperlink" Target="http://data.europa.eu/eli/dec/2023/1076/oj" TargetMode="External"/><Relationship Id="rId21" Type="http://schemas.openxmlformats.org/officeDocument/2006/relationships/hyperlink" Target="https://eur-lex.europa.eu/legal-content/RO/TXT/?uri=CELEX%3A32023D1075" TargetMode="External"/><Relationship Id="rId34" Type="http://schemas.openxmlformats.org/officeDocument/2006/relationships/hyperlink" Target="https://eur-lex.europa.eu/eli/dec/2023/1076/oj/ron" TargetMode="External"/><Relationship Id="rId42" Type="http://schemas.openxmlformats.org/officeDocument/2006/relationships/hyperlink" Target="https://eur-lex.europa.eu/eli/dec/2023/1076/oj/ron" TargetMode="External"/><Relationship Id="rId47" Type="http://schemas.openxmlformats.org/officeDocument/2006/relationships/hyperlink" Target="https://eur-lex.europa.eu/eli/dec/2023/1076/oj/ron" TargetMode="External"/><Relationship Id="rId50" Type="http://schemas.openxmlformats.org/officeDocument/2006/relationships/hyperlink" Target="https://eur-lex.europa.eu/eli/dec/2023/1076/oj/ron" TargetMode="External"/><Relationship Id="rId7" Type="http://schemas.openxmlformats.org/officeDocument/2006/relationships/hyperlink" Target="https://www.coe.int/en/web/istanbul-convention/committee-of-the-parties" TargetMode="External"/><Relationship Id="rId12" Type="http://schemas.openxmlformats.org/officeDocument/2006/relationships/hyperlink" Target="https://rm.coe.int/grevio-inf-2015-rop-amdt-3-eng/16807932e7" TargetMode="External"/><Relationship Id="rId17" Type="http://schemas.openxmlformats.org/officeDocument/2006/relationships/hyperlink" Target="https://eur-lex.europa.eu/legal-content/RO/TXT/?uri=CELEX%3A32023D1075" TargetMode="External"/><Relationship Id="rId25" Type="http://schemas.openxmlformats.org/officeDocument/2006/relationships/hyperlink" Target="https://eur-lex.europa.eu/legal-content/RO/TXT/?uri=CELEX%3A32023D1075" TargetMode="External"/><Relationship Id="rId33" Type="http://schemas.openxmlformats.org/officeDocument/2006/relationships/hyperlink" Target="https://eur-lex.europa.eu/eli/dec/2023/1076/oj/ron" TargetMode="External"/><Relationship Id="rId38" Type="http://schemas.openxmlformats.org/officeDocument/2006/relationships/hyperlink" Target="https://eur-lex.europa.eu/eli/dec/2023/1076/oj/ron" TargetMode="External"/><Relationship Id="rId46" Type="http://schemas.openxmlformats.org/officeDocument/2006/relationships/hyperlink" Target="https://eur-lex.europa.eu/eli/dec/2023/1076/oj/ron" TargetMode="External"/><Relationship Id="rId2" Type="http://schemas.openxmlformats.org/officeDocument/2006/relationships/hyperlink" Target="http://data.europa.eu/eli/dec/2023/1075/oj" TargetMode="External"/><Relationship Id="rId16" Type="http://schemas.openxmlformats.org/officeDocument/2006/relationships/hyperlink" Target="https://eur-lex.europa.eu/legal-content/RO/TXT/?uri=CELEX%3A32023D1075" TargetMode="External"/><Relationship Id="rId20" Type="http://schemas.openxmlformats.org/officeDocument/2006/relationships/hyperlink" Target="https://eur-lex.europa.eu/legal-content/RO/TXT/?uri=CELEX%3A32023D1075" TargetMode="External"/><Relationship Id="rId29" Type="http://schemas.openxmlformats.org/officeDocument/2006/relationships/hyperlink" Target="https://eur-lex.europa.eu/legal-content/RO/TXT/?uri=CELEX%3A32023D1075" TargetMode="External"/><Relationship Id="rId41" Type="http://schemas.openxmlformats.org/officeDocument/2006/relationships/hyperlink" Target="https://eur-lex.europa.eu/eli/dec/2023/1076/oj/ron" TargetMode="External"/><Relationship Id="rId1" Type="http://schemas.openxmlformats.org/officeDocument/2006/relationships/hyperlink" Target="http://data.europa.eu/eli/dec/2023/1075/oj" TargetMode="External"/><Relationship Id="rId6" Type="http://schemas.openxmlformats.org/officeDocument/2006/relationships/hyperlink" Target="https://www.coe.int/en/web/istanbul-convention/committee-of-the-parties" TargetMode="External"/><Relationship Id="rId11" Type="http://schemas.openxmlformats.org/officeDocument/2006/relationships/hyperlink" Target="https://search.coe.int/cm" TargetMode="External"/><Relationship Id="rId24" Type="http://schemas.openxmlformats.org/officeDocument/2006/relationships/hyperlink" Target="https://eur-lex.europa.eu/legal-content/RO/TXT/?uri=CELEX%3A32023D1075" TargetMode="External"/><Relationship Id="rId32" Type="http://schemas.openxmlformats.org/officeDocument/2006/relationships/hyperlink" Target="https://eur-lex.europa.eu/eli/dec/2023/1076/oj/ron" TargetMode="External"/><Relationship Id="rId37" Type="http://schemas.openxmlformats.org/officeDocument/2006/relationships/hyperlink" Target="https://eur-lex.europa.eu/eli/dec/2023/1076/oj/ron" TargetMode="External"/><Relationship Id="rId40" Type="http://schemas.openxmlformats.org/officeDocument/2006/relationships/hyperlink" Target="https://eur-lex.europa.eu/eli/dec/2023/1076/oj/ron" TargetMode="External"/><Relationship Id="rId45" Type="http://schemas.openxmlformats.org/officeDocument/2006/relationships/hyperlink" Target="https://eur-lex.europa.eu/eli/dec/2023/1076/oj/ron" TargetMode="External"/><Relationship Id="rId5" Type="http://schemas.openxmlformats.org/officeDocument/2006/relationships/hyperlink" Target="https://www.coe.int/en/web/istanbul-convention/committee-of-the-parties" TargetMode="External"/><Relationship Id="rId15" Type="http://schemas.openxmlformats.org/officeDocument/2006/relationships/hyperlink" Target="https://eur-lex.europa.eu/legal-content/RO/TXT/?uri=CELEX%3A32023D1075" TargetMode="External"/><Relationship Id="rId23" Type="http://schemas.openxmlformats.org/officeDocument/2006/relationships/hyperlink" Target="https://eur-lex.europa.eu/legal-content/RO/TXT/?uri=CELEX%3A32023D1075" TargetMode="External"/><Relationship Id="rId28" Type="http://schemas.openxmlformats.org/officeDocument/2006/relationships/hyperlink" Target="https://eur-lex.europa.eu/legal-content/RO/TXT/?uri=CELEX%3A32023D1075" TargetMode="External"/><Relationship Id="rId36" Type="http://schemas.openxmlformats.org/officeDocument/2006/relationships/hyperlink" Target="https://eur-lex.europa.eu/eli/dec/2023/1076/oj/ron" TargetMode="External"/><Relationship Id="rId49" Type="http://schemas.openxmlformats.org/officeDocument/2006/relationships/hyperlink" Target="https://eur-lex.europa.eu/eli/dec/2023/1076/oj/ron" TargetMode="External"/><Relationship Id="rId10" Type="http://schemas.openxmlformats.org/officeDocument/2006/relationships/hyperlink" Target="https://www.coe.int/en/web/istanbul-convention/committee-of-the-parties" TargetMode="External"/><Relationship Id="rId19" Type="http://schemas.openxmlformats.org/officeDocument/2006/relationships/hyperlink" Target="https://eur-lex.europa.eu/legal-content/RO/TXT/?uri=CELEX%3A32023D1075" TargetMode="External"/><Relationship Id="rId31" Type="http://schemas.openxmlformats.org/officeDocument/2006/relationships/hyperlink" Target="https://eur-lex.europa.eu/legal-content/RO/TXT/?uri=CELEX%3A32023D1075" TargetMode="External"/><Relationship Id="rId44" Type="http://schemas.openxmlformats.org/officeDocument/2006/relationships/hyperlink" Target="https://eur-lex.europa.eu/eli/dec/2023/1076/oj/ron" TargetMode="External"/><Relationship Id="rId4" Type="http://schemas.openxmlformats.org/officeDocument/2006/relationships/hyperlink" Target="http://data.europa.eu/eli/dec/2023/1076/oj" TargetMode="External"/><Relationship Id="rId9" Type="http://schemas.openxmlformats.org/officeDocument/2006/relationships/hyperlink" Target="https://www.coe.int/en/web/istanbul-convention/committee-of-the-parties" TargetMode="External"/><Relationship Id="rId14" Type="http://schemas.openxmlformats.org/officeDocument/2006/relationships/hyperlink" Target="https://eur-lex.europa.eu/legal-content/RO/TXT/?uri=CELEX%3A32023D1075" TargetMode="External"/><Relationship Id="rId22" Type="http://schemas.openxmlformats.org/officeDocument/2006/relationships/hyperlink" Target="https://eur-lex.europa.eu/legal-content/RO/TXT/?uri=CELEX%3A32023D1075" TargetMode="External"/><Relationship Id="rId27" Type="http://schemas.openxmlformats.org/officeDocument/2006/relationships/hyperlink" Target="https://eur-lex.europa.eu/legal-content/RO/TXT/?uri=CELEX%3A32023D1075" TargetMode="External"/><Relationship Id="rId30" Type="http://schemas.openxmlformats.org/officeDocument/2006/relationships/hyperlink" Target="https://eur-lex.europa.eu/legal-content/RO/TXT/?uri=CELEX%3A32023D1075" TargetMode="External"/><Relationship Id="rId35" Type="http://schemas.openxmlformats.org/officeDocument/2006/relationships/hyperlink" Target="https://eur-lex.europa.eu/eli/dec/2023/1076/oj/ron" TargetMode="External"/><Relationship Id="rId43" Type="http://schemas.openxmlformats.org/officeDocument/2006/relationships/hyperlink" Target="https://eur-lex.europa.eu/eli/dec/2023/1076/oj/ron" TargetMode="External"/><Relationship Id="rId48" Type="http://schemas.openxmlformats.org/officeDocument/2006/relationships/hyperlink" Target="https://eur-lex.europa.eu/eli/dec/2023/1076/oj/ron" TargetMode="External"/><Relationship Id="rId8" Type="http://schemas.openxmlformats.org/officeDocument/2006/relationships/hyperlink" Target="https://www.coe.int/en/web/istanbul-convention/committee-of-the-par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6D659-55D7-4A3D-B74C-FA37E646F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36</TotalTime>
  <Pages>12</Pages>
  <Words>4773</Words>
  <Characters>27211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cp:lastPrinted>2026-04-27T11:45:00Z</cp:lastPrinted>
  <dcterms:created xsi:type="dcterms:W3CDTF">2026-05-05T10:50:00Z</dcterms:created>
  <dcterms:modified xsi:type="dcterms:W3CDTF">2026-05-20T13:59:00Z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2026-04-22T08:37:03Z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bc4d48c6-f1ec-45a7-ab45-4139777213dd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