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5D75" w14:textId="0CEAE320" w:rsidR="00695C44" w:rsidRPr="00411747" w:rsidRDefault="00FC7C40" w:rsidP="00FC7C40">
      <w:pPr>
        <w:pStyle w:val="Pagedecouverture"/>
        <w:rPr>
          <w:noProof/>
        </w:rPr>
      </w:pPr>
      <w:bookmarkStart w:id="0" w:name="LW_BM_COVERPAGE"/>
      <w:r>
        <w:rPr>
          <w:noProof/>
        </w:rPr>
        <w:pict w14:anchorId="5A8CA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3B9E1D-23B6-427E-A9DF-371B700545D8" style="width:455.25pt;height:313.5pt">
            <v:imagedata r:id="rId8" o:title=""/>
          </v:shape>
        </w:pict>
      </w:r>
    </w:p>
    <w:bookmarkEnd w:id="0"/>
    <w:p w14:paraId="18A1FBD7" w14:textId="77777777" w:rsidR="00695C44" w:rsidRPr="00411747" w:rsidRDefault="00695C44" w:rsidP="00ED5FCF">
      <w:pPr>
        <w:rPr>
          <w:noProof/>
        </w:rPr>
        <w:sectPr w:rsidR="00695C44" w:rsidRPr="00411747" w:rsidSect="00FC7C4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A8E785B" w14:textId="77777777" w:rsidR="00B76C1B" w:rsidRPr="00411747" w:rsidRDefault="00903D5C">
      <w:pPr>
        <w:spacing w:before="360" w:after="0" w:line="240" w:lineRule="auto"/>
        <w:jc w:val="center"/>
        <w:rPr>
          <w:rFonts w:ascii="Times New Roman" w:hAnsi="Times New Roman"/>
          <w:b/>
          <w:noProof/>
          <w:sz w:val="24"/>
          <w:lang w:eastAsia="en-GB"/>
        </w:rPr>
      </w:pPr>
      <w:bookmarkStart w:id="1" w:name="_GoBack"/>
      <w:bookmarkEnd w:id="1"/>
      <w:r w:rsidRPr="00411747">
        <w:rPr>
          <w:rFonts w:ascii="Times New Roman" w:hAnsi="Times New Roman"/>
          <w:b/>
          <w:noProof/>
          <w:sz w:val="24"/>
          <w:lang w:eastAsia="en-GB"/>
        </w:rPr>
        <w:lastRenderedPageBreak/>
        <w:t>REPORT FROM THE COMMISSION TO THE EUROPEAN PARLIAMENT AND THE COUNCIL</w:t>
      </w:r>
    </w:p>
    <w:p w14:paraId="16ABFDD3" w14:textId="06128CAC" w:rsidR="00B76C1B" w:rsidRPr="00411747" w:rsidRDefault="00903D5C" w:rsidP="000F6199">
      <w:pPr>
        <w:spacing w:before="240" w:after="0" w:line="240" w:lineRule="auto"/>
        <w:jc w:val="center"/>
        <w:rPr>
          <w:rFonts w:ascii="Times New Roman" w:hAnsi="Times New Roman"/>
          <w:b/>
          <w:noProof/>
          <w:sz w:val="24"/>
          <w:lang w:eastAsia="en-GB"/>
        </w:rPr>
      </w:pPr>
      <w:r w:rsidRPr="00411747">
        <w:rPr>
          <w:rFonts w:ascii="Times New Roman" w:hAnsi="Times New Roman"/>
          <w:b/>
          <w:noProof/>
          <w:sz w:val="24"/>
          <w:lang w:eastAsia="en-GB"/>
        </w:rPr>
        <w:t>on exercis</w:t>
      </w:r>
      <w:r w:rsidR="007624E5">
        <w:rPr>
          <w:rFonts w:ascii="Times New Roman" w:hAnsi="Times New Roman"/>
          <w:b/>
          <w:noProof/>
          <w:sz w:val="24"/>
          <w:lang w:eastAsia="en-GB"/>
        </w:rPr>
        <w:t>ing</w:t>
      </w:r>
      <w:r w:rsidRPr="00411747">
        <w:rPr>
          <w:rFonts w:ascii="Times New Roman" w:hAnsi="Times New Roman"/>
          <w:b/>
          <w:noProof/>
          <w:sz w:val="24"/>
          <w:lang w:eastAsia="en-GB"/>
        </w:rPr>
        <w:t xml:space="preserve"> the power to adopt delegated acts conferred on the Commission pursuant to Regulation (EU) No</w:t>
      </w:r>
      <w:r w:rsidR="00411747">
        <w:rPr>
          <w:rFonts w:ascii="Times New Roman" w:hAnsi="Times New Roman"/>
          <w:b/>
          <w:noProof/>
          <w:sz w:val="24"/>
          <w:lang w:eastAsia="en-GB"/>
        </w:rPr>
        <w:t> </w:t>
      </w:r>
      <w:r w:rsidRPr="00411747">
        <w:rPr>
          <w:rFonts w:ascii="Times New Roman" w:hAnsi="Times New Roman"/>
          <w:b/>
          <w:noProof/>
          <w:sz w:val="24"/>
          <w:lang w:eastAsia="en-GB"/>
        </w:rPr>
        <w:t xml:space="preserve">70/2012 </w:t>
      </w:r>
      <w:r w:rsidRPr="00411747">
        <w:rPr>
          <w:rFonts w:ascii="Times New Roman" w:eastAsia="Times New Roman" w:hAnsi="Times New Roman" w:cs="Times New Roman"/>
          <w:b/>
          <w:noProof/>
          <w:sz w:val="24"/>
          <w:szCs w:val="24"/>
          <w:lang w:eastAsia="fr-BE"/>
        </w:rPr>
        <w:t>of the European Parliament and of the Council</w:t>
      </w:r>
      <w:r w:rsidRPr="00411747">
        <w:rPr>
          <w:rFonts w:ascii="Times New Roman" w:eastAsia="Times New Roman" w:hAnsi="Times New Roman" w:cs="Times New Roman"/>
          <w:noProof/>
          <w:sz w:val="24"/>
          <w:szCs w:val="24"/>
          <w:lang w:eastAsia="fr-BE"/>
        </w:rPr>
        <w:t xml:space="preserve"> </w:t>
      </w:r>
      <w:r w:rsidRPr="00411747">
        <w:rPr>
          <w:rFonts w:ascii="Times New Roman" w:eastAsia="Times New Roman" w:hAnsi="Times New Roman" w:cs="Times New Roman"/>
          <w:b/>
          <w:noProof/>
          <w:sz w:val="24"/>
          <w:szCs w:val="24"/>
          <w:lang w:eastAsia="fr-BE"/>
        </w:rPr>
        <w:t>of 18</w:t>
      </w:r>
      <w:r w:rsidR="00411747">
        <w:rPr>
          <w:rFonts w:ascii="Times New Roman" w:eastAsia="Times New Roman" w:hAnsi="Times New Roman" w:cs="Times New Roman"/>
          <w:b/>
          <w:noProof/>
          <w:sz w:val="24"/>
          <w:szCs w:val="24"/>
          <w:lang w:eastAsia="fr-BE"/>
        </w:rPr>
        <w:t> </w:t>
      </w:r>
      <w:r w:rsidRPr="00411747">
        <w:rPr>
          <w:rFonts w:ascii="Times New Roman" w:eastAsia="Times New Roman" w:hAnsi="Times New Roman" w:cs="Times New Roman"/>
          <w:b/>
          <w:noProof/>
          <w:sz w:val="24"/>
          <w:szCs w:val="24"/>
          <w:lang w:eastAsia="fr-BE"/>
        </w:rPr>
        <w:t xml:space="preserve">January 2012 </w:t>
      </w:r>
      <w:r w:rsidRPr="00411747">
        <w:rPr>
          <w:rFonts w:ascii="Times New Roman" w:hAnsi="Times New Roman"/>
          <w:b/>
          <w:noProof/>
          <w:sz w:val="24"/>
          <w:lang w:eastAsia="en-GB"/>
        </w:rPr>
        <w:t>on statistical returns in respect of the carriage of goods by road</w:t>
      </w:r>
    </w:p>
    <w:p w14:paraId="5F35350F"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sidRPr="00411747">
        <w:rPr>
          <w:rFonts w:ascii="Times New Roman Bold" w:hAnsi="Times New Roman Bold"/>
          <w:b/>
          <w:bCs/>
          <w:caps/>
          <w:noProof/>
          <w:sz w:val="24"/>
          <w:szCs w:val="28"/>
        </w:rPr>
        <w:t>Introduction</w:t>
      </w:r>
    </w:p>
    <w:p w14:paraId="17415D23" w14:textId="069FCADD" w:rsidR="00B76C1B" w:rsidRPr="00411747" w:rsidRDefault="00903D5C" w:rsidP="000F6199">
      <w:pPr>
        <w:spacing w:after="0" w:line="276" w:lineRule="auto"/>
        <w:jc w:val="both"/>
        <w:rPr>
          <w:rFonts w:ascii="Times New Roman" w:hAnsi="Times New Roman"/>
          <w:noProof/>
          <w:sz w:val="24"/>
          <w:lang w:eastAsia="en-GB"/>
        </w:rPr>
      </w:pPr>
      <w:r w:rsidRPr="00411747">
        <w:rPr>
          <w:rFonts w:ascii="Times New Roman" w:hAnsi="Times New Roman"/>
          <w:noProof/>
          <w:sz w:val="24"/>
          <w:lang w:eastAsia="en-GB"/>
        </w:rPr>
        <w:t>Article</w:t>
      </w:r>
      <w:r w:rsidR="00411747">
        <w:rPr>
          <w:rFonts w:ascii="Times New Roman" w:hAnsi="Times New Roman"/>
          <w:noProof/>
          <w:sz w:val="24"/>
          <w:lang w:eastAsia="en-GB"/>
        </w:rPr>
        <w:t> </w:t>
      </w:r>
      <w:r w:rsidRPr="00411747">
        <w:rPr>
          <w:rFonts w:ascii="Times New Roman" w:hAnsi="Times New Roman"/>
          <w:noProof/>
          <w:sz w:val="24"/>
          <w:lang w:eastAsia="en-GB"/>
        </w:rPr>
        <w:t xml:space="preserve">3(4) of Regulation (EU) No 70/2012 </w:t>
      </w:r>
      <w:r w:rsidRPr="00411747">
        <w:rPr>
          <w:rFonts w:ascii="Times New Roman" w:eastAsia="Calibri" w:hAnsi="Times New Roman" w:cs="Times New Roman"/>
          <w:noProof/>
          <w:sz w:val="24"/>
          <w:szCs w:val="24"/>
          <w:lang w:eastAsia="en-US"/>
        </w:rPr>
        <w:t>of the European Parliament and of the Council</w:t>
      </w:r>
      <w:r w:rsidR="00411747">
        <w:rPr>
          <w:rFonts w:ascii="Times New Roman" w:eastAsia="Calibri" w:hAnsi="Times New Roman" w:cs="Times New Roman"/>
          <w:noProof/>
          <w:sz w:val="24"/>
          <w:szCs w:val="24"/>
          <w:lang w:eastAsia="en-US"/>
        </w:rPr>
        <w:t> </w:t>
      </w:r>
      <w:r w:rsidR="0005735E" w:rsidRPr="00411747">
        <w:rPr>
          <w:rFonts w:ascii="Times New Roman" w:eastAsia="Calibri" w:hAnsi="Times New Roman" w:cs="Times New Roman"/>
          <w:noProof/>
          <w:sz w:val="24"/>
          <w:szCs w:val="24"/>
          <w:lang w:eastAsia="en-US"/>
        </w:rPr>
        <w:t>(</w:t>
      </w:r>
      <w:r w:rsidRPr="00411747">
        <w:rPr>
          <w:rStyle w:val="FootnoteReference"/>
          <w:rFonts w:ascii="Times New Roman" w:hAnsi="Times New Roman"/>
          <w:noProof/>
          <w:sz w:val="24"/>
          <w:lang w:eastAsia="en-GB"/>
        </w:rPr>
        <w:footnoteReference w:id="1"/>
      </w:r>
      <w:r w:rsidR="0005735E" w:rsidRPr="00411747">
        <w:rPr>
          <w:rFonts w:ascii="Times New Roman" w:hAnsi="Times New Roman"/>
          <w:noProof/>
          <w:sz w:val="24"/>
          <w:lang w:eastAsia="en-GB"/>
        </w:rPr>
        <w:t xml:space="preserve">) </w:t>
      </w:r>
      <w:r w:rsidRPr="00411747">
        <w:rPr>
          <w:rFonts w:ascii="Times New Roman" w:hAnsi="Times New Roman"/>
          <w:noProof/>
          <w:sz w:val="24"/>
          <w:lang w:eastAsia="en-GB"/>
        </w:rPr>
        <w:t>empowers the Commission to adopt, where necessary, delegated acts in accordance with Article</w:t>
      </w:r>
      <w:r w:rsidR="00411747">
        <w:rPr>
          <w:rFonts w:ascii="Times New Roman" w:hAnsi="Times New Roman"/>
          <w:noProof/>
          <w:sz w:val="24"/>
          <w:lang w:eastAsia="en-GB"/>
        </w:rPr>
        <w:t> </w:t>
      </w:r>
      <w:r w:rsidRPr="00411747">
        <w:rPr>
          <w:rFonts w:ascii="Times New Roman" w:hAnsi="Times New Roman"/>
          <w:noProof/>
          <w:sz w:val="24"/>
          <w:lang w:eastAsia="en-GB"/>
        </w:rPr>
        <w:t>8</w:t>
      </w:r>
      <w:r w:rsidR="00411747">
        <w:rPr>
          <w:rFonts w:ascii="Times New Roman" w:hAnsi="Times New Roman"/>
          <w:noProof/>
          <w:sz w:val="24"/>
          <w:lang w:eastAsia="en-GB"/>
        </w:rPr>
        <w:t xml:space="preserve"> of that Regulation,</w:t>
      </w:r>
      <w:r w:rsidRPr="00411747">
        <w:rPr>
          <w:rFonts w:ascii="Times New Roman" w:hAnsi="Times New Roman"/>
          <w:noProof/>
          <w:sz w:val="24"/>
          <w:lang w:eastAsia="en-GB"/>
        </w:rPr>
        <w:t xml:space="preserve"> to:</w:t>
      </w:r>
    </w:p>
    <w:p w14:paraId="419ED5A4" w14:textId="2C3B312F" w:rsidR="00B76C1B" w:rsidRPr="00411747" w:rsidRDefault="00903D5C" w:rsidP="008079D9">
      <w:pPr>
        <w:pStyle w:val="ListParagraph"/>
        <w:numPr>
          <w:ilvl w:val="0"/>
          <w:numId w:val="9"/>
        </w:numPr>
        <w:spacing w:before="120" w:after="0" w:line="276" w:lineRule="auto"/>
        <w:ind w:left="681" w:hanging="397"/>
        <w:jc w:val="both"/>
        <w:rPr>
          <w:rFonts w:ascii="Times New Roman" w:hAnsi="Times New Roman"/>
          <w:noProof/>
          <w:sz w:val="24"/>
          <w:lang w:eastAsia="en-GB"/>
        </w:rPr>
      </w:pPr>
      <w:r w:rsidRPr="00411747">
        <w:rPr>
          <w:rFonts w:ascii="Times New Roman" w:hAnsi="Times New Roman"/>
          <w:noProof/>
          <w:sz w:val="24"/>
          <w:lang w:eastAsia="en-GB"/>
        </w:rPr>
        <w:t>update Part</w:t>
      </w:r>
      <w:r w:rsidR="00411747">
        <w:rPr>
          <w:rFonts w:ascii="Times New Roman" w:hAnsi="Times New Roman"/>
          <w:noProof/>
          <w:sz w:val="24"/>
          <w:lang w:eastAsia="en-GB"/>
        </w:rPr>
        <w:t> </w:t>
      </w:r>
      <w:r w:rsidRPr="00411747">
        <w:rPr>
          <w:rFonts w:ascii="Times New Roman" w:hAnsi="Times New Roman"/>
          <w:noProof/>
          <w:sz w:val="24"/>
          <w:lang w:eastAsia="en-GB"/>
        </w:rPr>
        <w:t>1 of Annex</w:t>
      </w:r>
      <w:r w:rsidR="00411747">
        <w:rPr>
          <w:rFonts w:ascii="Times New Roman" w:hAnsi="Times New Roman"/>
          <w:noProof/>
          <w:sz w:val="24"/>
          <w:lang w:eastAsia="en-GB"/>
        </w:rPr>
        <w:t> </w:t>
      </w:r>
      <w:r w:rsidRPr="00411747">
        <w:rPr>
          <w:rFonts w:ascii="Times New Roman" w:hAnsi="Times New Roman"/>
          <w:noProof/>
          <w:sz w:val="24"/>
          <w:lang w:eastAsia="en-GB"/>
        </w:rPr>
        <w:t>I, solely in order to take account of economic and technical developments, except for any modifications to the optional nature of the required information;</w:t>
      </w:r>
    </w:p>
    <w:p w14:paraId="0576CAD3" w14:textId="75DA90A4" w:rsidR="00B76C1B" w:rsidRPr="00411747" w:rsidRDefault="00903D5C" w:rsidP="008079D9">
      <w:pPr>
        <w:pStyle w:val="ListParagraph"/>
        <w:numPr>
          <w:ilvl w:val="0"/>
          <w:numId w:val="9"/>
        </w:numPr>
        <w:spacing w:before="120" w:after="0" w:line="276" w:lineRule="auto"/>
        <w:ind w:left="681" w:hanging="397"/>
        <w:contextualSpacing w:val="0"/>
        <w:jc w:val="both"/>
        <w:rPr>
          <w:rFonts w:ascii="Times New Roman" w:hAnsi="Times New Roman"/>
          <w:noProof/>
          <w:sz w:val="24"/>
          <w:lang w:eastAsia="en-GB"/>
        </w:rPr>
      </w:pPr>
      <w:r w:rsidRPr="00411747">
        <w:rPr>
          <w:rFonts w:ascii="Times New Roman" w:hAnsi="Times New Roman"/>
          <w:noProof/>
          <w:sz w:val="24"/>
          <w:lang w:eastAsia="en-GB"/>
        </w:rPr>
        <w:t>adapt Annexes II to VII to take account of economic and technical developments.</w:t>
      </w:r>
    </w:p>
    <w:p w14:paraId="394FB6C0" w14:textId="5CEBE919" w:rsidR="00B76C1B" w:rsidRPr="00411747" w:rsidRDefault="00903D5C">
      <w:pPr>
        <w:spacing w:before="240" w:after="0" w:line="276" w:lineRule="auto"/>
        <w:jc w:val="both"/>
        <w:rPr>
          <w:rFonts w:ascii="Times New Roman" w:hAnsi="Times New Roman"/>
          <w:noProof/>
          <w:sz w:val="24"/>
          <w:lang w:eastAsia="en-GB"/>
        </w:rPr>
      </w:pPr>
      <w:r w:rsidRPr="00411747">
        <w:rPr>
          <w:rFonts w:ascii="Times New Roman" w:hAnsi="Times New Roman"/>
          <w:noProof/>
          <w:sz w:val="24"/>
          <w:lang w:eastAsia="en-GB"/>
        </w:rPr>
        <w:t>Under Article</w:t>
      </w:r>
      <w:r w:rsidR="00411747">
        <w:rPr>
          <w:rFonts w:ascii="Times New Roman" w:hAnsi="Times New Roman"/>
          <w:noProof/>
          <w:sz w:val="24"/>
          <w:lang w:eastAsia="en-GB"/>
        </w:rPr>
        <w:t> </w:t>
      </w:r>
      <w:r w:rsidRPr="00411747">
        <w:rPr>
          <w:rFonts w:ascii="Times New Roman" w:hAnsi="Times New Roman"/>
          <w:noProof/>
          <w:sz w:val="24"/>
          <w:lang w:eastAsia="en-GB"/>
        </w:rPr>
        <w:t>3(4) of the same Regulation, when exercising that power, the Commission must ensure that any delegated acts it adopts do not impose significant additional administrative burdens on the Member States or respondents.</w:t>
      </w:r>
    </w:p>
    <w:p w14:paraId="4222C322"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sidRPr="00411747">
        <w:rPr>
          <w:rFonts w:ascii="Times New Roman Bold" w:hAnsi="Times New Roman Bold"/>
          <w:b/>
          <w:bCs/>
          <w:caps/>
          <w:noProof/>
          <w:sz w:val="24"/>
          <w:szCs w:val="28"/>
        </w:rPr>
        <w:t>Legal Basis</w:t>
      </w:r>
    </w:p>
    <w:p w14:paraId="4AA4D1F5" w14:textId="5FC31895" w:rsidR="00B76C1B" w:rsidRPr="00411747" w:rsidRDefault="00903D5C" w:rsidP="000F6199">
      <w:pPr>
        <w:spacing w:after="0" w:line="276" w:lineRule="auto"/>
        <w:jc w:val="both"/>
        <w:rPr>
          <w:rFonts w:ascii="Times New Roman" w:hAnsi="Times New Roman"/>
          <w:noProof/>
          <w:sz w:val="24"/>
          <w:lang w:eastAsia="en-GB"/>
        </w:rPr>
      </w:pPr>
      <w:r w:rsidRPr="00411747">
        <w:rPr>
          <w:rFonts w:ascii="Times New Roman" w:hAnsi="Times New Roman"/>
          <w:noProof/>
          <w:sz w:val="24"/>
          <w:lang w:eastAsia="en-GB"/>
        </w:rPr>
        <w:t>Under Article 8(2) of Regulation (EU) No 70/2012, the power to adopt delegated acts referred to in Article</w:t>
      </w:r>
      <w:r w:rsidR="00411747">
        <w:rPr>
          <w:rFonts w:ascii="Times New Roman" w:hAnsi="Times New Roman"/>
          <w:noProof/>
          <w:sz w:val="24"/>
          <w:lang w:eastAsia="en-GB"/>
        </w:rPr>
        <w:t> </w:t>
      </w:r>
      <w:r w:rsidRPr="00411747">
        <w:rPr>
          <w:rFonts w:ascii="Times New Roman" w:hAnsi="Times New Roman"/>
          <w:noProof/>
          <w:sz w:val="24"/>
          <w:lang w:eastAsia="en-GB"/>
        </w:rPr>
        <w:t>3(4)</w:t>
      </w:r>
      <w:r w:rsidR="00411747">
        <w:rPr>
          <w:rFonts w:ascii="Times New Roman" w:hAnsi="Times New Roman"/>
          <w:noProof/>
          <w:sz w:val="24"/>
          <w:lang w:eastAsia="en-GB"/>
        </w:rPr>
        <w:t xml:space="preserve"> of that Regulation</w:t>
      </w:r>
      <w:r w:rsidRPr="00411747">
        <w:rPr>
          <w:rFonts w:ascii="Times New Roman" w:hAnsi="Times New Roman"/>
          <w:noProof/>
          <w:sz w:val="24"/>
          <w:lang w:eastAsia="en-GB"/>
        </w:rPr>
        <w:t xml:space="preserve"> is conferred on the Commission for a period of </w:t>
      </w:r>
      <w:r w:rsidR="00411747">
        <w:rPr>
          <w:rFonts w:ascii="Times New Roman" w:hAnsi="Times New Roman"/>
          <w:noProof/>
          <w:sz w:val="24"/>
          <w:lang w:eastAsia="en-GB"/>
        </w:rPr>
        <w:t>five</w:t>
      </w:r>
      <w:r w:rsidRPr="00411747">
        <w:rPr>
          <w:rFonts w:ascii="Times New Roman" w:hAnsi="Times New Roman"/>
          <w:noProof/>
          <w:sz w:val="24"/>
          <w:lang w:eastAsia="en-GB"/>
        </w:rPr>
        <w:t xml:space="preserve"> years from 23 February 2012. The delegation of power is to be tacitly extended for periods of </w:t>
      </w:r>
      <w:r w:rsidR="00411747">
        <w:rPr>
          <w:rFonts w:ascii="Times New Roman" w:hAnsi="Times New Roman"/>
          <w:noProof/>
          <w:sz w:val="24"/>
          <w:lang w:eastAsia="en-GB"/>
        </w:rPr>
        <w:t>five</w:t>
      </w:r>
      <w:r w:rsidRPr="00411747">
        <w:rPr>
          <w:rFonts w:ascii="Times New Roman" w:hAnsi="Times New Roman"/>
          <w:noProof/>
          <w:sz w:val="24"/>
          <w:lang w:eastAsia="en-GB"/>
        </w:rPr>
        <w:t xml:space="preserve"> years, unless the European Parliament or the Council opposes such extension.</w:t>
      </w:r>
    </w:p>
    <w:p w14:paraId="30177F58" w14:textId="78170AA9" w:rsidR="00B76C1B" w:rsidRPr="00411747" w:rsidRDefault="00903D5C">
      <w:pPr>
        <w:spacing w:before="240" w:after="0" w:line="276" w:lineRule="auto"/>
        <w:jc w:val="both"/>
        <w:rPr>
          <w:rFonts w:ascii="Times New Roman" w:hAnsi="Times New Roman"/>
          <w:noProof/>
          <w:sz w:val="24"/>
          <w:lang w:eastAsia="en-GB"/>
        </w:rPr>
      </w:pPr>
      <w:r w:rsidRPr="00411747">
        <w:rPr>
          <w:rFonts w:ascii="Times New Roman" w:hAnsi="Times New Roman"/>
          <w:noProof/>
          <w:sz w:val="24"/>
          <w:lang w:eastAsia="en-GB"/>
        </w:rPr>
        <w:t xml:space="preserve">The Commission must draw up a report in respect of the delegation of power not later than </w:t>
      </w:r>
      <w:r w:rsidR="00411747">
        <w:rPr>
          <w:rFonts w:ascii="Times New Roman" w:hAnsi="Times New Roman"/>
          <w:noProof/>
          <w:sz w:val="24"/>
          <w:lang w:eastAsia="en-GB"/>
        </w:rPr>
        <w:t>nine</w:t>
      </w:r>
      <w:r w:rsidRPr="00411747">
        <w:rPr>
          <w:rFonts w:ascii="Times New Roman" w:hAnsi="Times New Roman"/>
          <w:noProof/>
          <w:sz w:val="24"/>
          <w:lang w:eastAsia="en-GB"/>
        </w:rPr>
        <w:t xml:space="preserve"> months before the end of the </w:t>
      </w:r>
      <w:r w:rsidR="00411747">
        <w:rPr>
          <w:rFonts w:ascii="Times New Roman" w:hAnsi="Times New Roman"/>
          <w:noProof/>
          <w:sz w:val="24"/>
          <w:lang w:eastAsia="en-GB"/>
        </w:rPr>
        <w:t>five</w:t>
      </w:r>
      <w:r w:rsidRPr="00411747">
        <w:rPr>
          <w:rFonts w:ascii="Times New Roman" w:hAnsi="Times New Roman"/>
          <w:noProof/>
          <w:sz w:val="24"/>
          <w:lang w:eastAsia="en-GB"/>
        </w:rPr>
        <w:t>-year period.</w:t>
      </w:r>
    </w:p>
    <w:p w14:paraId="107D168F" w14:textId="63530AB6" w:rsidR="00B76C1B" w:rsidRPr="00411747" w:rsidRDefault="00903D5C">
      <w:pPr>
        <w:spacing w:before="240" w:after="0" w:line="276" w:lineRule="auto"/>
        <w:jc w:val="both"/>
        <w:rPr>
          <w:rFonts w:ascii="Times New Roman" w:hAnsi="Times New Roman"/>
          <w:noProof/>
          <w:sz w:val="24"/>
          <w:lang w:eastAsia="en-GB"/>
        </w:rPr>
      </w:pPr>
      <w:r w:rsidRPr="00411747">
        <w:rPr>
          <w:rFonts w:ascii="Times New Roman" w:hAnsi="Times New Roman"/>
          <w:noProof/>
          <w:sz w:val="24"/>
          <w:lang w:eastAsia="en-GB"/>
        </w:rPr>
        <w:t xml:space="preserve">The Commission submitted </w:t>
      </w:r>
      <w:r w:rsidR="00E263EE" w:rsidRPr="00411747">
        <w:rPr>
          <w:rFonts w:ascii="Times New Roman" w:hAnsi="Times New Roman"/>
          <w:noProof/>
          <w:sz w:val="24"/>
          <w:lang w:eastAsia="en-GB"/>
        </w:rPr>
        <w:t>previous</w:t>
      </w:r>
      <w:r w:rsidRPr="00411747">
        <w:rPr>
          <w:rFonts w:ascii="Times New Roman" w:hAnsi="Times New Roman"/>
          <w:noProof/>
          <w:sz w:val="24"/>
          <w:lang w:eastAsia="en-GB"/>
        </w:rPr>
        <w:t xml:space="preserve"> report</w:t>
      </w:r>
      <w:r w:rsidR="00E263EE" w:rsidRPr="00411747">
        <w:rPr>
          <w:rFonts w:ascii="Times New Roman" w:hAnsi="Times New Roman"/>
          <w:noProof/>
          <w:sz w:val="24"/>
          <w:lang w:eastAsia="en-GB"/>
        </w:rPr>
        <w:t>s</w:t>
      </w:r>
      <w:r w:rsidRPr="00411747">
        <w:rPr>
          <w:rFonts w:ascii="Times New Roman" w:hAnsi="Times New Roman"/>
          <w:noProof/>
          <w:sz w:val="24"/>
          <w:lang w:eastAsia="en-GB"/>
        </w:rPr>
        <w:t xml:space="preserve"> in 2016</w:t>
      </w:r>
      <w:r w:rsidR="0005735E" w:rsidRPr="00411747">
        <w:rPr>
          <w:rFonts w:ascii="Times New Roman" w:hAnsi="Times New Roman"/>
          <w:noProof/>
          <w:sz w:val="24"/>
          <w:lang w:eastAsia="en-GB"/>
        </w:rPr>
        <w:t xml:space="preserve"> (</w:t>
      </w:r>
      <w:r w:rsidRPr="00411747">
        <w:rPr>
          <w:rStyle w:val="FootnoteReference"/>
          <w:rFonts w:ascii="Times New Roman" w:hAnsi="Times New Roman"/>
          <w:noProof/>
          <w:sz w:val="24"/>
          <w:lang w:eastAsia="en-GB"/>
        </w:rPr>
        <w:footnoteReference w:id="2"/>
      </w:r>
      <w:r w:rsidR="0005735E" w:rsidRPr="00411747">
        <w:rPr>
          <w:rFonts w:ascii="Times New Roman" w:hAnsi="Times New Roman"/>
          <w:noProof/>
          <w:sz w:val="24"/>
          <w:lang w:eastAsia="en-GB"/>
        </w:rPr>
        <w:t>)</w:t>
      </w:r>
      <w:r w:rsidR="00E263EE" w:rsidRPr="00411747">
        <w:rPr>
          <w:rFonts w:ascii="Times New Roman" w:hAnsi="Times New Roman"/>
          <w:noProof/>
          <w:sz w:val="24"/>
          <w:lang w:eastAsia="en-GB"/>
        </w:rPr>
        <w:t xml:space="preserve"> and 2021</w:t>
      </w:r>
      <w:r w:rsidR="0005735E" w:rsidRPr="00411747">
        <w:rPr>
          <w:rFonts w:ascii="Times New Roman" w:hAnsi="Times New Roman"/>
          <w:noProof/>
          <w:sz w:val="24"/>
          <w:lang w:eastAsia="en-GB"/>
        </w:rPr>
        <w:t xml:space="preserve"> (</w:t>
      </w:r>
      <w:r w:rsidR="00145097" w:rsidRPr="00411747">
        <w:rPr>
          <w:rStyle w:val="FootnoteReference"/>
          <w:rFonts w:ascii="Times New Roman" w:hAnsi="Times New Roman"/>
          <w:noProof/>
          <w:sz w:val="24"/>
          <w:lang w:eastAsia="en-GB"/>
        </w:rPr>
        <w:footnoteReference w:id="3"/>
      </w:r>
      <w:r w:rsidR="0005735E" w:rsidRPr="00411747">
        <w:rPr>
          <w:rFonts w:ascii="Times New Roman" w:hAnsi="Times New Roman"/>
          <w:noProof/>
          <w:sz w:val="24"/>
          <w:lang w:eastAsia="en-GB"/>
        </w:rPr>
        <w:t>)</w:t>
      </w:r>
      <w:r w:rsidRPr="00411747">
        <w:rPr>
          <w:rFonts w:ascii="Times New Roman" w:hAnsi="Times New Roman"/>
          <w:noProof/>
          <w:sz w:val="24"/>
          <w:lang w:eastAsia="en-GB"/>
        </w:rPr>
        <w:t xml:space="preserve">. The delegation of power was automatically extended for another </w:t>
      </w:r>
      <w:r w:rsidR="00B370CB">
        <w:rPr>
          <w:rFonts w:ascii="Times New Roman" w:hAnsi="Times New Roman"/>
          <w:noProof/>
          <w:sz w:val="24"/>
          <w:lang w:eastAsia="en-GB"/>
        </w:rPr>
        <w:t>five</w:t>
      </w:r>
      <w:r w:rsidRPr="00411747">
        <w:rPr>
          <w:rFonts w:ascii="Times New Roman" w:hAnsi="Times New Roman"/>
          <w:noProof/>
          <w:sz w:val="24"/>
          <w:lang w:eastAsia="en-GB"/>
        </w:rPr>
        <w:t xml:space="preserve"> years from February</w:t>
      </w:r>
      <w:r w:rsidR="00B370CB">
        <w:rPr>
          <w:rFonts w:ascii="Times New Roman" w:hAnsi="Times New Roman"/>
          <w:noProof/>
          <w:sz w:val="24"/>
          <w:lang w:eastAsia="en-GB"/>
        </w:rPr>
        <w:t> </w:t>
      </w:r>
      <w:r w:rsidRPr="00411747">
        <w:rPr>
          <w:rFonts w:ascii="Times New Roman" w:hAnsi="Times New Roman"/>
          <w:noProof/>
          <w:sz w:val="24"/>
          <w:lang w:eastAsia="en-GB"/>
        </w:rPr>
        <w:t>2017 to February</w:t>
      </w:r>
      <w:r w:rsidR="00B370CB">
        <w:rPr>
          <w:rFonts w:ascii="Times New Roman" w:hAnsi="Times New Roman"/>
          <w:noProof/>
          <w:sz w:val="24"/>
          <w:lang w:eastAsia="en-GB"/>
        </w:rPr>
        <w:t> </w:t>
      </w:r>
      <w:r w:rsidRPr="00411747">
        <w:rPr>
          <w:rFonts w:ascii="Times New Roman" w:hAnsi="Times New Roman"/>
          <w:noProof/>
          <w:sz w:val="24"/>
          <w:lang w:eastAsia="en-GB"/>
        </w:rPr>
        <w:t xml:space="preserve">2022, </w:t>
      </w:r>
      <w:r w:rsidR="00017E37" w:rsidRPr="00411747">
        <w:rPr>
          <w:rFonts w:ascii="Times New Roman" w:hAnsi="Times New Roman"/>
          <w:noProof/>
          <w:sz w:val="24"/>
          <w:lang w:eastAsia="en-GB"/>
        </w:rPr>
        <w:t xml:space="preserve">and then, after the second report, for a further </w:t>
      </w:r>
      <w:r w:rsidR="00B370CB">
        <w:rPr>
          <w:rFonts w:ascii="Times New Roman" w:hAnsi="Times New Roman"/>
          <w:noProof/>
          <w:sz w:val="24"/>
          <w:lang w:eastAsia="en-GB"/>
        </w:rPr>
        <w:t>five</w:t>
      </w:r>
      <w:r w:rsidR="00017E37" w:rsidRPr="00411747">
        <w:rPr>
          <w:rFonts w:ascii="Times New Roman" w:hAnsi="Times New Roman"/>
          <w:noProof/>
          <w:sz w:val="24"/>
          <w:lang w:eastAsia="en-GB"/>
        </w:rPr>
        <w:t xml:space="preserve"> years from February</w:t>
      </w:r>
      <w:r w:rsidR="00B370CB">
        <w:rPr>
          <w:rFonts w:ascii="Times New Roman" w:hAnsi="Times New Roman"/>
          <w:noProof/>
          <w:sz w:val="24"/>
          <w:lang w:eastAsia="en-GB"/>
        </w:rPr>
        <w:t> </w:t>
      </w:r>
      <w:r w:rsidR="00017E37" w:rsidRPr="00411747">
        <w:rPr>
          <w:rFonts w:ascii="Times New Roman" w:hAnsi="Times New Roman"/>
          <w:noProof/>
          <w:sz w:val="24"/>
          <w:lang w:eastAsia="en-GB"/>
        </w:rPr>
        <w:t>2022 to February</w:t>
      </w:r>
      <w:r w:rsidR="00B370CB">
        <w:rPr>
          <w:rFonts w:ascii="Times New Roman" w:hAnsi="Times New Roman"/>
          <w:noProof/>
          <w:sz w:val="24"/>
          <w:lang w:eastAsia="en-GB"/>
        </w:rPr>
        <w:t> </w:t>
      </w:r>
      <w:r w:rsidR="00017E37" w:rsidRPr="00411747">
        <w:rPr>
          <w:rFonts w:ascii="Times New Roman" w:hAnsi="Times New Roman"/>
          <w:noProof/>
          <w:sz w:val="24"/>
          <w:lang w:eastAsia="en-GB"/>
        </w:rPr>
        <w:t xml:space="preserve">2027, </w:t>
      </w:r>
      <w:r w:rsidRPr="00411747">
        <w:rPr>
          <w:rFonts w:ascii="Times New Roman" w:hAnsi="Times New Roman"/>
          <w:noProof/>
          <w:sz w:val="24"/>
          <w:lang w:eastAsia="en-GB"/>
        </w:rPr>
        <w:t xml:space="preserve">as </w:t>
      </w:r>
      <w:r w:rsidR="00017E37" w:rsidRPr="00411747">
        <w:rPr>
          <w:rFonts w:ascii="Times New Roman" w:hAnsi="Times New Roman"/>
          <w:noProof/>
          <w:sz w:val="24"/>
          <w:lang w:eastAsia="en-GB"/>
        </w:rPr>
        <w:t xml:space="preserve">neither </w:t>
      </w:r>
      <w:r w:rsidR="00B370CB">
        <w:rPr>
          <w:rFonts w:ascii="Times New Roman" w:hAnsi="Times New Roman"/>
          <w:noProof/>
          <w:sz w:val="24"/>
          <w:lang w:eastAsia="en-GB"/>
        </w:rPr>
        <w:t>Parliament</w:t>
      </w:r>
      <w:r w:rsidRPr="00411747">
        <w:rPr>
          <w:rFonts w:ascii="Times New Roman" w:hAnsi="Times New Roman"/>
          <w:noProof/>
          <w:sz w:val="24"/>
          <w:lang w:eastAsia="en-GB"/>
        </w:rPr>
        <w:t xml:space="preserve"> </w:t>
      </w:r>
      <w:r w:rsidR="00017E37" w:rsidRPr="00411747">
        <w:rPr>
          <w:rFonts w:ascii="Times New Roman" w:hAnsi="Times New Roman"/>
          <w:noProof/>
          <w:sz w:val="24"/>
          <w:lang w:eastAsia="en-GB"/>
        </w:rPr>
        <w:t>n</w:t>
      </w:r>
      <w:r w:rsidRPr="00411747">
        <w:rPr>
          <w:rFonts w:ascii="Times New Roman" w:hAnsi="Times New Roman"/>
          <w:noProof/>
          <w:sz w:val="24"/>
          <w:lang w:eastAsia="en-GB"/>
        </w:rPr>
        <w:t>or the Council revoke</w:t>
      </w:r>
      <w:r w:rsidR="00017E37" w:rsidRPr="00411747">
        <w:rPr>
          <w:rFonts w:ascii="Times New Roman" w:hAnsi="Times New Roman"/>
          <w:noProof/>
          <w:sz w:val="24"/>
          <w:lang w:eastAsia="en-GB"/>
        </w:rPr>
        <w:t>d</w:t>
      </w:r>
      <w:r w:rsidRPr="00411747">
        <w:rPr>
          <w:rFonts w:ascii="Times New Roman" w:hAnsi="Times New Roman"/>
          <w:noProof/>
          <w:sz w:val="24"/>
          <w:lang w:eastAsia="en-GB"/>
        </w:rPr>
        <w:t xml:space="preserve"> it pursuant to Article</w:t>
      </w:r>
      <w:r w:rsidR="00411747">
        <w:rPr>
          <w:rFonts w:ascii="Times New Roman" w:hAnsi="Times New Roman"/>
          <w:noProof/>
          <w:sz w:val="24"/>
          <w:lang w:eastAsia="en-GB"/>
        </w:rPr>
        <w:t> </w:t>
      </w:r>
      <w:r w:rsidRPr="00411747">
        <w:rPr>
          <w:rFonts w:ascii="Times New Roman" w:hAnsi="Times New Roman"/>
          <w:noProof/>
          <w:sz w:val="24"/>
          <w:lang w:eastAsia="en-GB"/>
        </w:rPr>
        <w:t>8(3).</w:t>
      </w:r>
    </w:p>
    <w:p w14:paraId="29D71948" w14:textId="326C034E" w:rsidR="00B76C1B" w:rsidRPr="00411747" w:rsidRDefault="00903D5C">
      <w:pPr>
        <w:spacing w:before="240" w:after="0" w:line="276" w:lineRule="auto"/>
        <w:jc w:val="both"/>
        <w:rPr>
          <w:rFonts w:ascii="Times New Roman" w:hAnsi="Times New Roman"/>
          <w:noProof/>
          <w:sz w:val="24"/>
          <w:lang w:eastAsia="en-GB"/>
        </w:rPr>
      </w:pPr>
      <w:r w:rsidRPr="00411747">
        <w:rPr>
          <w:rFonts w:ascii="Times New Roman" w:hAnsi="Times New Roman"/>
          <w:noProof/>
          <w:sz w:val="24"/>
          <w:lang w:eastAsia="en-GB"/>
        </w:rPr>
        <w:t xml:space="preserve">This </w:t>
      </w:r>
      <w:r w:rsidR="00B370CB">
        <w:rPr>
          <w:rFonts w:ascii="Times New Roman" w:hAnsi="Times New Roman"/>
          <w:noProof/>
          <w:sz w:val="24"/>
          <w:lang w:eastAsia="en-GB"/>
        </w:rPr>
        <w:t>is the</w:t>
      </w:r>
      <w:r w:rsidRPr="00411747">
        <w:rPr>
          <w:rFonts w:ascii="Times New Roman" w:hAnsi="Times New Roman"/>
          <w:noProof/>
          <w:sz w:val="24"/>
          <w:lang w:eastAsia="en-GB"/>
        </w:rPr>
        <w:t xml:space="preserve"> Commission’s </w:t>
      </w:r>
      <w:r w:rsidR="00C16A5F" w:rsidRPr="00411747">
        <w:rPr>
          <w:rFonts w:ascii="Times New Roman" w:hAnsi="Times New Roman"/>
          <w:noProof/>
          <w:sz w:val="24"/>
          <w:lang w:eastAsia="en-GB"/>
        </w:rPr>
        <w:t xml:space="preserve">third </w:t>
      </w:r>
      <w:r w:rsidRPr="00411747">
        <w:rPr>
          <w:rFonts w:ascii="Times New Roman" w:hAnsi="Times New Roman"/>
          <w:noProof/>
          <w:sz w:val="24"/>
          <w:lang w:eastAsia="en-GB"/>
        </w:rPr>
        <w:t>report on exercis</w:t>
      </w:r>
      <w:r w:rsidR="00B370CB">
        <w:rPr>
          <w:rFonts w:ascii="Times New Roman" w:hAnsi="Times New Roman"/>
          <w:noProof/>
          <w:sz w:val="24"/>
          <w:lang w:eastAsia="en-GB"/>
        </w:rPr>
        <w:t>ing</w:t>
      </w:r>
      <w:r w:rsidRPr="00411747">
        <w:rPr>
          <w:rFonts w:ascii="Times New Roman" w:hAnsi="Times New Roman"/>
          <w:noProof/>
          <w:sz w:val="24"/>
          <w:lang w:eastAsia="en-GB"/>
        </w:rPr>
        <w:t xml:space="preserve"> its power to adopt delegated acts.</w:t>
      </w:r>
    </w:p>
    <w:p w14:paraId="3BF1B4E0"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eastAsia="Times New Roman" w:hAnsi="Times New Roman Bold"/>
          <w:b/>
          <w:bCs/>
          <w:caps/>
          <w:noProof/>
          <w:sz w:val="24"/>
          <w:szCs w:val="28"/>
          <w:lang w:eastAsia="en-GB"/>
        </w:rPr>
      </w:pPr>
      <w:r w:rsidRPr="00411747">
        <w:rPr>
          <w:rFonts w:ascii="Times New Roman Bold" w:hAnsi="Times New Roman Bold"/>
          <w:b/>
          <w:bCs/>
          <w:caps/>
          <w:noProof/>
          <w:sz w:val="24"/>
          <w:szCs w:val="28"/>
        </w:rPr>
        <w:t>Exercise of the Delegation</w:t>
      </w:r>
    </w:p>
    <w:p w14:paraId="42B4C76C" w14:textId="74C78CB7" w:rsidR="00B76C1B" w:rsidRPr="00411747" w:rsidRDefault="00903D5C">
      <w:pPr>
        <w:spacing w:before="240" w:after="0" w:line="276" w:lineRule="auto"/>
        <w:jc w:val="both"/>
        <w:rPr>
          <w:rFonts w:ascii="Times New Roman" w:hAnsi="Times New Roman"/>
          <w:noProof/>
          <w:sz w:val="24"/>
          <w:lang w:eastAsia="en-GB"/>
        </w:rPr>
      </w:pPr>
      <w:r w:rsidRPr="00411747">
        <w:rPr>
          <w:rFonts w:ascii="Times New Roman" w:hAnsi="Times New Roman"/>
          <w:noProof/>
          <w:sz w:val="24"/>
          <w:lang w:eastAsia="en-GB"/>
        </w:rPr>
        <w:t>The Commission has not yet exercised the power to adopt delegated acts conferred on it by Regulation (EU) No</w:t>
      </w:r>
      <w:r w:rsidR="00411747">
        <w:rPr>
          <w:rFonts w:ascii="Times New Roman" w:hAnsi="Times New Roman"/>
          <w:noProof/>
          <w:sz w:val="24"/>
          <w:lang w:eastAsia="en-GB"/>
        </w:rPr>
        <w:t> </w:t>
      </w:r>
      <w:r w:rsidRPr="00411747">
        <w:rPr>
          <w:rFonts w:ascii="Times New Roman" w:hAnsi="Times New Roman"/>
          <w:noProof/>
          <w:sz w:val="24"/>
          <w:lang w:eastAsia="en-GB"/>
        </w:rPr>
        <w:t>70/2012.</w:t>
      </w:r>
    </w:p>
    <w:p w14:paraId="2C53501B" w14:textId="77777777" w:rsidR="00B76C1B" w:rsidRPr="00411747" w:rsidRDefault="00903D5C">
      <w:pPr>
        <w:spacing w:before="240" w:after="240" w:line="276" w:lineRule="auto"/>
        <w:jc w:val="both"/>
        <w:rPr>
          <w:rFonts w:ascii="Times New Roman" w:hAnsi="Times New Roman"/>
          <w:noProof/>
          <w:sz w:val="24"/>
          <w:lang w:eastAsia="en-GB"/>
        </w:rPr>
      </w:pPr>
      <w:r w:rsidRPr="00411747">
        <w:rPr>
          <w:rFonts w:ascii="Times New Roman" w:hAnsi="Times New Roman"/>
          <w:noProof/>
          <w:sz w:val="24"/>
          <w:lang w:eastAsia="en-GB"/>
        </w:rPr>
        <w:t xml:space="preserve">The Commission regularly discusses possible improvements to road freight transport statistics with the Member States, in the context of technical developments and new economic, environmental and societal requirements. The Commission, together with the Expert Group on Road Freight Transport Statistics and the </w:t>
      </w:r>
      <w:r w:rsidRPr="00411747">
        <w:rPr>
          <w:rFonts w:ascii="Times New Roman" w:hAnsi="Times New Roman"/>
          <w:noProof/>
          <w:sz w:val="24"/>
          <w:szCs w:val="24"/>
          <w:lang w:eastAsia="de-DE"/>
        </w:rPr>
        <w:t xml:space="preserve">Coordinating Group for Statistics on Transport, consider improvements to </w:t>
      </w:r>
      <w:r w:rsidRPr="00411747">
        <w:rPr>
          <w:rFonts w:ascii="Times New Roman" w:hAnsi="Times New Roman"/>
          <w:noProof/>
          <w:sz w:val="24"/>
          <w:lang w:eastAsia="en-GB"/>
        </w:rPr>
        <w:t>road freight transport statistics, while taking into account potential costs and burdens on countries and respondents.</w:t>
      </w:r>
    </w:p>
    <w:p w14:paraId="1334D56E" w14:textId="22C37223" w:rsidR="00B76C1B" w:rsidRPr="00411747" w:rsidRDefault="00903D5C" w:rsidP="008B6096">
      <w:pPr>
        <w:spacing w:after="0" w:line="276" w:lineRule="auto"/>
        <w:jc w:val="both"/>
        <w:rPr>
          <w:rFonts w:ascii="Times New Roman" w:hAnsi="Times New Roman"/>
          <w:noProof/>
          <w:sz w:val="24"/>
          <w:szCs w:val="24"/>
          <w:lang w:eastAsia="de-DE"/>
        </w:rPr>
      </w:pPr>
      <w:r w:rsidRPr="00411747">
        <w:rPr>
          <w:rFonts w:ascii="Times New Roman" w:hAnsi="Times New Roman"/>
          <w:noProof/>
          <w:sz w:val="24"/>
          <w:szCs w:val="24"/>
          <w:lang w:eastAsia="de-DE"/>
        </w:rPr>
        <w:t>Statistic</w:t>
      </w:r>
      <w:r w:rsidR="000323B0" w:rsidRPr="00411747">
        <w:rPr>
          <w:rFonts w:ascii="Times New Roman" w:hAnsi="Times New Roman"/>
          <w:noProof/>
          <w:sz w:val="24"/>
          <w:szCs w:val="24"/>
          <w:lang w:eastAsia="de-DE"/>
        </w:rPr>
        <w:t>s are</w:t>
      </w:r>
      <w:r w:rsidRPr="00411747">
        <w:rPr>
          <w:rFonts w:ascii="Times New Roman" w:hAnsi="Times New Roman"/>
          <w:noProof/>
          <w:sz w:val="24"/>
          <w:szCs w:val="24"/>
          <w:lang w:eastAsia="de-DE"/>
        </w:rPr>
        <w:t xml:space="preserve"> need</w:t>
      </w:r>
      <w:r w:rsidR="000323B0" w:rsidRPr="00411747">
        <w:rPr>
          <w:rFonts w:ascii="Times New Roman" w:hAnsi="Times New Roman"/>
          <w:noProof/>
          <w:sz w:val="24"/>
          <w:szCs w:val="24"/>
          <w:lang w:eastAsia="de-DE"/>
        </w:rPr>
        <w:t>ed</w:t>
      </w:r>
      <w:r w:rsidRPr="00411747">
        <w:rPr>
          <w:rFonts w:ascii="Times New Roman" w:hAnsi="Times New Roman"/>
          <w:noProof/>
          <w:sz w:val="24"/>
          <w:szCs w:val="24"/>
          <w:lang w:eastAsia="de-DE"/>
        </w:rPr>
        <w:t xml:space="preserve"> </w:t>
      </w:r>
      <w:r w:rsidR="00B370CB">
        <w:rPr>
          <w:rFonts w:ascii="Times New Roman" w:hAnsi="Times New Roman"/>
          <w:noProof/>
          <w:sz w:val="24"/>
          <w:szCs w:val="24"/>
          <w:lang w:eastAsia="de-DE"/>
        </w:rPr>
        <w:t>to</w:t>
      </w:r>
      <w:r w:rsidR="00F0557F" w:rsidRPr="00411747">
        <w:rPr>
          <w:rFonts w:ascii="Times New Roman" w:hAnsi="Times New Roman"/>
          <w:noProof/>
          <w:sz w:val="24"/>
          <w:szCs w:val="24"/>
          <w:lang w:eastAsia="de-DE"/>
        </w:rPr>
        <w:t xml:space="preserve"> monitor the </w:t>
      </w:r>
      <w:r w:rsidR="001E3A8B" w:rsidRPr="00411747">
        <w:rPr>
          <w:rFonts w:ascii="Times New Roman" w:hAnsi="Times New Roman"/>
          <w:noProof/>
          <w:sz w:val="24"/>
          <w:szCs w:val="24"/>
          <w:lang w:eastAsia="de-DE"/>
        </w:rPr>
        <w:t>implementation</w:t>
      </w:r>
      <w:r w:rsidR="00F0557F" w:rsidRPr="00411747">
        <w:rPr>
          <w:rFonts w:ascii="Times New Roman" w:hAnsi="Times New Roman"/>
          <w:noProof/>
          <w:sz w:val="24"/>
          <w:szCs w:val="24"/>
          <w:lang w:eastAsia="de-DE"/>
        </w:rPr>
        <w:t xml:space="preserve"> of </w:t>
      </w:r>
      <w:r w:rsidRPr="00411747">
        <w:rPr>
          <w:rFonts w:ascii="Times New Roman" w:hAnsi="Times New Roman"/>
          <w:noProof/>
          <w:sz w:val="24"/>
          <w:szCs w:val="24"/>
          <w:lang w:eastAsia="de-DE"/>
        </w:rPr>
        <w:t>the Sustainable and Smart Mobility Strategy</w:t>
      </w:r>
      <w:r w:rsidR="002E7AC9" w:rsidRPr="00411747">
        <w:rPr>
          <w:rFonts w:ascii="Times New Roman" w:hAnsi="Times New Roman"/>
          <w:noProof/>
          <w:sz w:val="24"/>
          <w:szCs w:val="24"/>
          <w:lang w:eastAsia="de-DE"/>
        </w:rPr>
        <w:t xml:space="preserve"> </w:t>
      </w:r>
      <w:bookmarkStart w:id="2" w:name="_Hlk221880980"/>
      <w:r w:rsidR="00AC5D0B" w:rsidRPr="00411747">
        <w:rPr>
          <w:rFonts w:ascii="Times New Roman" w:hAnsi="Times New Roman"/>
          <w:noProof/>
          <w:sz w:val="24"/>
          <w:szCs w:val="24"/>
          <w:lang w:eastAsia="de-DE"/>
        </w:rPr>
        <w:t>(2020</w:t>
      </w:r>
      <w:r w:rsidR="00B370CB">
        <w:rPr>
          <w:rFonts w:ascii="Times New Roman" w:hAnsi="Times New Roman"/>
          <w:noProof/>
          <w:sz w:val="24"/>
          <w:szCs w:val="24"/>
          <w:lang w:eastAsia="de-DE"/>
        </w:rPr>
        <w:t>-</w:t>
      </w:r>
      <w:r w:rsidR="00AC5D0B" w:rsidRPr="00411747">
        <w:rPr>
          <w:rFonts w:ascii="Times New Roman" w:hAnsi="Times New Roman"/>
          <w:noProof/>
          <w:sz w:val="24"/>
          <w:szCs w:val="24"/>
          <w:lang w:eastAsia="de-DE"/>
        </w:rPr>
        <w:t xml:space="preserve">2050 targets) </w:t>
      </w:r>
      <w:bookmarkEnd w:id="2"/>
      <w:r w:rsidR="002E7AC9" w:rsidRPr="00411747">
        <w:rPr>
          <w:rFonts w:ascii="Times New Roman" w:hAnsi="Times New Roman"/>
          <w:noProof/>
          <w:sz w:val="24"/>
          <w:szCs w:val="24"/>
          <w:lang w:eastAsia="de-DE"/>
        </w:rPr>
        <w:t>(</w:t>
      </w:r>
      <w:r w:rsidRPr="00411747">
        <w:rPr>
          <w:rStyle w:val="FootnoteReference"/>
          <w:rFonts w:ascii="Times New Roman" w:hAnsi="Times New Roman"/>
          <w:noProof/>
          <w:sz w:val="24"/>
          <w:szCs w:val="24"/>
          <w:lang w:eastAsia="de-DE"/>
        </w:rPr>
        <w:footnoteReference w:id="4"/>
      </w:r>
      <w:r w:rsidR="002E7AC9" w:rsidRPr="00411747">
        <w:rPr>
          <w:rFonts w:ascii="Times New Roman" w:hAnsi="Times New Roman"/>
          <w:noProof/>
          <w:sz w:val="24"/>
          <w:szCs w:val="24"/>
          <w:lang w:eastAsia="de-DE"/>
        </w:rPr>
        <w:t>)</w:t>
      </w:r>
      <w:r w:rsidRPr="00411747">
        <w:rPr>
          <w:rFonts w:ascii="Times New Roman" w:hAnsi="Times New Roman"/>
          <w:noProof/>
          <w:sz w:val="24"/>
          <w:szCs w:val="24"/>
          <w:lang w:eastAsia="de-DE"/>
        </w:rPr>
        <w:t xml:space="preserve"> </w:t>
      </w:r>
      <w:r w:rsidR="00BA0B7C" w:rsidRPr="00411747">
        <w:rPr>
          <w:rFonts w:ascii="Times New Roman" w:hAnsi="Times New Roman"/>
          <w:noProof/>
          <w:sz w:val="24"/>
          <w:szCs w:val="24"/>
          <w:lang w:eastAsia="de-DE"/>
        </w:rPr>
        <w:t xml:space="preserve">and </w:t>
      </w:r>
      <w:r w:rsidR="00B370CB">
        <w:rPr>
          <w:rFonts w:ascii="Times New Roman" w:hAnsi="Times New Roman"/>
          <w:noProof/>
          <w:sz w:val="24"/>
          <w:szCs w:val="24"/>
          <w:lang w:eastAsia="de-DE"/>
        </w:rPr>
        <w:t>to</w:t>
      </w:r>
      <w:r w:rsidR="00B370CB" w:rsidRPr="00411747">
        <w:rPr>
          <w:rFonts w:ascii="Times New Roman" w:hAnsi="Times New Roman"/>
          <w:noProof/>
          <w:sz w:val="24"/>
          <w:szCs w:val="24"/>
          <w:lang w:eastAsia="de-DE"/>
        </w:rPr>
        <w:t xml:space="preserve"> </w:t>
      </w:r>
      <w:r w:rsidR="00BA0B7C" w:rsidRPr="00411747">
        <w:rPr>
          <w:rFonts w:ascii="Times New Roman" w:hAnsi="Times New Roman"/>
          <w:noProof/>
          <w:sz w:val="24"/>
          <w:szCs w:val="24"/>
          <w:lang w:eastAsia="de-DE"/>
        </w:rPr>
        <w:t xml:space="preserve">support actions </w:t>
      </w:r>
      <w:r w:rsidR="00B370CB">
        <w:rPr>
          <w:rFonts w:ascii="Times New Roman" w:hAnsi="Times New Roman"/>
          <w:noProof/>
          <w:sz w:val="24"/>
          <w:szCs w:val="24"/>
          <w:lang w:eastAsia="de-DE"/>
        </w:rPr>
        <w:t xml:space="preserve">that </w:t>
      </w:r>
      <w:r w:rsidR="00BA0B7C" w:rsidRPr="00411747">
        <w:rPr>
          <w:rFonts w:ascii="Times New Roman" w:hAnsi="Times New Roman"/>
          <w:noProof/>
          <w:sz w:val="24"/>
          <w:szCs w:val="24"/>
          <w:lang w:eastAsia="de-DE"/>
        </w:rPr>
        <w:t>compleme</w:t>
      </w:r>
      <w:r w:rsidR="00B370CB">
        <w:rPr>
          <w:rFonts w:ascii="Times New Roman" w:hAnsi="Times New Roman"/>
          <w:noProof/>
          <w:sz w:val="24"/>
          <w:szCs w:val="24"/>
          <w:lang w:eastAsia="de-DE"/>
        </w:rPr>
        <w:t>n</w:t>
      </w:r>
      <w:r w:rsidR="00BA0B7C" w:rsidRPr="00411747">
        <w:rPr>
          <w:rFonts w:ascii="Times New Roman" w:hAnsi="Times New Roman"/>
          <w:noProof/>
          <w:sz w:val="24"/>
          <w:szCs w:val="24"/>
          <w:lang w:eastAsia="de-DE"/>
        </w:rPr>
        <w:t>t this flagship strategy</w:t>
      </w:r>
      <w:r w:rsidR="00B370CB">
        <w:rPr>
          <w:rFonts w:ascii="Times New Roman" w:hAnsi="Times New Roman"/>
          <w:noProof/>
          <w:sz w:val="24"/>
          <w:szCs w:val="24"/>
          <w:lang w:eastAsia="de-DE"/>
        </w:rPr>
        <w:t>,</w:t>
      </w:r>
      <w:r w:rsidR="00BA0B7C" w:rsidRPr="00411747">
        <w:rPr>
          <w:rFonts w:ascii="Times New Roman" w:hAnsi="Times New Roman"/>
          <w:noProof/>
          <w:sz w:val="24"/>
          <w:szCs w:val="24"/>
          <w:lang w:eastAsia="de-DE"/>
        </w:rPr>
        <w:t xml:space="preserve"> such as </w:t>
      </w:r>
      <w:r w:rsidR="00727D1B" w:rsidRPr="00411747">
        <w:rPr>
          <w:rFonts w:ascii="Times New Roman" w:hAnsi="Times New Roman"/>
          <w:noProof/>
          <w:sz w:val="24"/>
          <w:szCs w:val="24"/>
          <w:lang w:eastAsia="de-DE"/>
        </w:rPr>
        <w:t xml:space="preserve">the Intelligent Transport Systems (ITS) </w:t>
      </w:r>
      <w:r w:rsidR="00BA0B7C" w:rsidRPr="00411747">
        <w:rPr>
          <w:rFonts w:ascii="Times New Roman" w:hAnsi="Times New Roman"/>
          <w:noProof/>
          <w:sz w:val="24"/>
          <w:szCs w:val="24"/>
          <w:lang w:eastAsia="de-DE"/>
        </w:rPr>
        <w:t>Direc</w:t>
      </w:r>
      <w:r w:rsidR="00E201C5" w:rsidRPr="00411747">
        <w:rPr>
          <w:rFonts w:ascii="Times New Roman" w:hAnsi="Times New Roman"/>
          <w:noProof/>
          <w:sz w:val="24"/>
          <w:szCs w:val="24"/>
          <w:lang w:eastAsia="de-DE"/>
        </w:rPr>
        <w:t>t</w:t>
      </w:r>
      <w:r w:rsidR="00BA0B7C" w:rsidRPr="00411747">
        <w:rPr>
          <w:rFonts w:ascii="Times New Roman" w:hAnsi="Times New Roman"/>
          <w:noProof/>
          <w:sz w:val="24"/>
          <w:szCs w:val="24"/>
          <w:lang w:eastAsia="de-DE"/>
        </w:rPr>
        <w:t>ive</w:t>
      </w:r>
      <w:r w:rsidR="00727D1B" w:rsidRPr="00411747">
        <w:rPr>
          <w:rFonts w:ascii="Times New Roman" w:hAnsi="Times New Roman"/>
          <w:noProof/>
          <w:sz w:val="24"/>
          <w:szCs w:val="24"/>
          <w:lang w:eastAsia="de-DE"/>
        </w:rPr>
        <w:t xml:space="preserve"> </w:t>
      </w:r>
      <w:r w:rsidR="00BA0B7C" w:rsidRPr="00411747">
        <w:rPr>
          <w:rFonts w:ascii="Times New Roman" w:hAnsi="Times New Roman"/>
          <w:noProof/>
          <w:sz w:val="24"/>
          <w:szCs w:val="24"/>
          <w:lang w:eastAsia="de-DE"/>
        </w:rPr>
        <w:t>(</w:t>
      </w:r>
      <w:r w:rsidR="00727D1B" w:rsidRPr="00411747">
        <w:rPr>
          <w:rStyle w:val="FootnoteReference"/>
          <w:rFonts w:ascii="Times New Roman" w:hAnsi="Times New Roman"/>
          <w:noProof/>
          <w:sz w:val="24"/>
          <w:szCs w:val="24"/>
          <w:lang w:eastAsia="de-DE"/>
        </w:rPr>
        <w:footnoteReference w:id="5"/>
      </w:r>
      <w:r w:rsidR="00BA0B7C" w:rsidRPr="00411747">
        <w:rPr>
          <w:rFonts w:ascii="Times New Roman" w:hAnsi="Times New Roman"/>
          <w:noProof/>
          <w:sz w:val="24"/>
          <w:szCs w:val="24"/>
          <w:lang w:eastAsia="de-DE"/>
        </w:rPr>
        <w:t>),</w:t>
      </w:r>
      <w:r w:rsidR="005D267F">
        <w:rPr>
          <w:rFonts w:ascii="Times New Roman" w:hAnsi="Times New Roman"/>
          <w:noProof/>
          <w:sz w:val="24"/>
          <w:szCs w:val="24"/>
          <w:lang w:eastAsia="de-DE"/>
        </w:rPr>
        <w:t xml:space="preserve"> </w:t>
      </w:r>
      <w:bookmarkStart w:id="3" w:name="_Hlk221880333"/>
      <w:r w:rsidR="00E201C5" w:rsidRPr="00411747">
        <w:rPr>
          <w:rFonts w:ascii="Times New Roman" w:hAnsi="Times New Roman"/>
          <w:noProof/>
          <w:sz w:val="24"/>
          <w:szCs w:val="24"/>
          <w:lang w:eastAsia="de-DE"/>
        </w:rPr>
        <w:t xml:space="preserve">the EU’s trans-European transport network </w:t>
      </w:r>
      <w:r w:rsidR="000323B0" w:rsidRPr="00411747">
        <w:rPr>
          <w:rFonts w:ascii="Times New Roman" w:hAnsi="Times New Roman"/>
          <w:noProof/>
          <w:sz w:val="24"/>
          <w:szCs w:val="24"/>
          <w:lang w:eastAsia="de-DE"/>
        </w:rPr>
        <w:t xml:space="preserve">(TEN-T) </w:t>
      </w:r>
      <w:r w:rsidR="00E201C5" w:rsidRPr="00411747">
        <w:rPr>
          <w:rFonts w:ascii="Times New Roman" w:hAnsi="Times New Roman"/>
          <w:noProof/>
          <w:sz w:val="24"/>
          <w:szCs w:val="24"/>
          <w:lang w:eastAsia="de-DE"/>
        </w:rPr>
        <w:t>policy (</w:t>
      </w:r>
      <w:r w:rsidR="00E201C5" w:rsidRPr="00411747">
        <w:rPr>
          <w:rStyle w:val="FootnoteReference"/>
          <w:rFonts w:ascii="Times New Roman" w:hAnsi="Times New Roman"/>
          <w:noProof/>
          <w:sz w:val="24"/>
          <w:szCs w:val="24"/>
          <w:lang w:eastAsia="de-DE"/>
        </w:rPr>
        <w:footnoteReference w:id="6"/>
      </w:r>
      <w:r w:rsidR="00E201C5" w:rsidRPr="00411747">
        <w:rPr>
          <w:rFonts w:ascii="Times New Roman" w:hAnsi="Times New Roman"/>
          <w:noProof/>
          <w:sz w:val="24"/>
          <w:szCs w:val="24"/>
          <w:lang w:eastAsia="de-DE"/>
        </w:rPr>
        <w:t>)</w:t>
      </w:r>
      <w:bookmarkEnd w:id="3"/>
      <w:r w:rsidR="005D267F">
        <w:rPr>
          <w:rFonts w:ascii="Times New Roman" w:hAnsi="Times New Roman"/>
          <w:noProof/>
          <w:sz w:val="24"/>
          <w:szCs w:val="24"/>
          <w:lang w:eastAsia="de-DE"/>
        </w:rPr>
        <w:t xml:space="preserve"> </w:t>
      </w:r>
      <w:r w:rsidR="006522A0" w:rsidRPr="006522A0">
        <w:rPr>
          <w:rFonts w:ascii="Times New Roman" w:hAnsi="Times New Roman"/>
          <w:noProof/>
          <w:sz w:val="24"/>
          <w:szCs w:val="24"/>
          <w:lang w:eastAsia="de-DE"/>
        </w:rPr>
        <w:t xml:space="preserve">and the electronic </w:t>
      </w:r>
      <w:r w:rsidR="005D267F">
        <w:rPr>
          <w:rFonts w:ascii="Times New Roman" w:hAnsi="Times New Roman"/>
          <w:noProof/>
          <w:sz w:val="24"/>
          <w:szCs w:val="24"/>
          <w:lang w:eastAsia="de-DE"/>
        </w:rPr>
        <w:t>f</w:t>
      </w:r>
      <w:r w:rsidR="006522A0" w:rsidRPr="006522A0">
        <w:rPr>
          <w:rFonts w:ascii="Times New Roman" w:hAnsi="Times New Roman"/>
          <w:noProof/>
          <w:sz w:val="24"/>
          <w:szCs w:val="24"/>
          <w:lang w:eastAsia="de-DE"/>
        </w:rPr>
        <w:t xml:space="preserve">reight </w:t>
      </w:r>
      <w:r w:rsidR="005D267F">
        <w:rPr>
          <w:rFonts w:ascii="Times New Roman" w:hAnsi="Times New Roman"/>
          <w:noProof/>
          <w:sz w:val="24"/>
          <w:szCs w:val="24"/>
          <w:lang w:eastAsia="de-DE"/>
        </w:rPr>
        <w:t>t</w:t>
      </w:r>
      <w:r w:rsidR="006522A0" w:rsidRPr="006522A0">
        <w:rPr>
          <w:rFonts w:ascii="Times New Roman" w:hAnsi="Times New Roman"/>
          <w:noProof/>
          <w:sz w:val="24"/>
          <w:szCs w:val="24"/>
          <w:lang w:eastAsia="de-DE"/>
        </w:rPr>
        <w:t xml:space="preserve">ransport </w:t>
      </w:r>
      <w:r w:rsidR="005D267F">
        <w:rPr>
          <w:rFonts w:ascii="Times New Roman" w:hAnsi="Times New Roman"/>
          <w:noProof/>
          <w:sz w:val="24"/>
          <w:szCs w:val="24"/>
          <w:lang w:eastAsia="de-DE"/>
        </w:rPr>
        <w:t>i</w:t>
      </w:r>
      <w:r w:rsidR="006522A0" w:rsidRPr="006522A0">
        <w:rPr>
          <w:rFonts w:ascii="Times New Roman" w:hAnsi="Times New Roman"/>
          <w:noProof/>
          <w:sz w:val="24"/>
          <w:szCs w:val="24"/>
          <w:lang w:eastAsia="de-DE"/>
        </w:rPr>
        <w:t>nformation</w:t>
      </w:r>
      <w:r w:rsidR="006522A0">
        <w:rPr>
          <w:rFonts w:ascii="Times New Roman" w:hAnsi="Times New Roman"/>
          <w:noProof/>
          <w:sz w:val="24"/>
          <w:szCs w:val="24"/>
          <w:lang w:eastAsia="de-DE"/>
        </w:rPr>
        <w:t xml:space="preserve"> </w:t>
      </w:r>
      <w:r w:rsidR="006522A0" w:rsidRPr="006522A0">
        <w:rPr>
          <w:rFonts w:ascii="Times New Roman" w:hAnsi="Times New Roman"/>
          <w:noProof/>
          <w:sz w:val="24"/>
          <w:szCs w:val="24"/>
          <w:lang w:eastAsia="de-DE"/>
        </w:rPr>
        <w:t>(eFTI)</w:t>
      </w:r>
      <w:r w:rsidR="005D267F">
        <w:rPr>
          <w:rFonts w:ascii="Times New Roman" w:hAnsi="Times New Roman"/>
          <w:noProof/>
          <w:sz w:val="24"/>
          <w:szCs w:val="24"/>
          <w:lang w:eastAsia="de-DE"/>
        </w:rPr>
        <w:t xml:space="preserve"> Regulation (</w:t>
      </w:r>
      <w:r w:rsidR="006522A0">
        <w:rPr>
          <w:rStyle w:val="FootnoteReference"/>
          <w:rFonts w:ascii="Times New Roman" w:hAnsi="Times New Roman"/>
          <w:noProof/>
          <w:sz w:val="24"/>
          <w:szCs w:val="24"/>
          <w:lang w:eastAsia="de-DE"/>
        </w:rPr>
        <w:footnoteReference w:id="7"/>
      </w:r>
      <w:r w:rsidR="005D267F">
        <w:rPr>
          <w:rFonts w:ascii="Times New Roman" w:hAnsi="Times New Roman"/>
          <w:noProof/>
          <w:sz w:val="24"/>
          <w:szCs w:val="24"/>
          <w:lang w:eastAsia="de-DE"/>
        </w:rPr>
        <w:t>)</w:t>
      </w:r>
      <w:r w:rsidR="006522A0" w:rsidRPr="006522A0">
        <w:rPr>
          <w:rFonts w:ascii="Times New Roman" w:hAnsi="Times New Roman"/>
          <w:noProof/>
          <w:sz w:val="24"/>
          <w:szCs w:val="24"/>
          <w:lang w:eastAsia="de-DE"/>
        </w:rPr>
        <w:t>.</w:t>
      </w:r>
      <w:r w:rsidR="000323B0" w:rsidRPr="00411747">
        <w:rPr>
          <w:rFonts w:ascii="Times New Roman" w:hAnsi="Times New Roman"/>
          <w:noProof/>
          <w:sz w:val="24"/>
          <w:szCs w:val="24"/>
          <w:lang w:eastAsia="de-DE"/>
        </w:rPr>
        <w:t xml:space="preserve"> Such </w:t>
      </w:r>
      <w:r w:rsidR="00D5779A" w:rsidRPr="00411747">
        <w:rPr>
          <w:rFonts w:ascii="Times New Roman" w:hAnsi="Times New Roman"/>
          <w:noProof/>
          <w:sz w:val="24"/>
          <w:szCs w:val="24"/>
          <w:lang w:eastAsia="de-DE"/>
        </w:rPr>
        <w:t>actions</w:t>
      </w:r>
      <w:r w:rsidRPr="00411747">
        <w:rPr>
          <w:rFonts w:ascii="Times New Roman" w:hAnsi="Times New Roman"/>
          <w:noProof/>
          <w:sz w:val="24"/>
          <w:szCs w:val="24"/>
          <w:lang w:eastAsia="de-DE"/>
        </w:rPr>
        <w:t xml:space="preserve"> may require the Commission to adopt delegated acts </w:t>
      </w:r>
      <w:r w:rsidR="00300AA6">
        <w:rPr>
          <w:rFonts w:ascii="Times New Roman" w:hAnsi="Times New Roman"/>
          <w:noProof/>
          <w:sz w:val="24"/>
          <w:szCs w:val="24"/>
          <w:lang w:eastAsia="de-DE"/>
        </w:rPr>
        <w:t>adapting</w:t>
      </w:r>
      <w:r w:rsidRPr="00411747">
        <w:rPr>
          <w:rFonts w:ascii="Times New Roman" w:hAnsi="Times New Roman"/>
          <w:noProof/>
          <w:sz w:val="24"/>
          <w:szCs w:val="24"/>
          <w:lang w:eastAsia="de-DE"/>
        </w:rPr>
        <w:t xml:space="preserve"> the aforementioned Annexes to </w:t>
      </w:r>
      <w:r w:rsidRPr="00411747">
        <w:rPr>
          <w:rFonts w:ascii="Times New Roman" w:hAnsi="Times New Roman"/>
          <w:noProof/>
          <w:sz w:val="24"/>
          <w:lang w:eastAsia="en-GB"/>
        </w:rPr>
        <w:t>Regulation (EU) No 70/2012</w:t>
      </w:r>
      <w:r w:rsidRPr="00411747">
        <w:rPr>
          <w:rFonts w:ascii="Times New Roman" w:hAnsi="Times New Roman"/>
          <w:noProof/>
          <w:sz w:val="24"/>
          <w:szCs w:val="24"/>
          <w:lang w:eastAsia="de-DE"/>
        </w:rPr>
        <w:t xml:space="preserve"> to economic and technical developments</w:t>
      </w:r>
      <w:r w:rsidR="00300AA6">
        <w:rPr>
          <w:rFonts w:ascii="Times New Roman" w:hAnsi="Times New Roman"/>
          <w:noProof/>
          <w:sz w:val="24"/>
          <w:szCs w:val="24"/>
          <w:lang w:eastAsia="de-DE"/>
        </w:rPr>
        <w:t>, in order</w:t>
      </w:r>
      <w:r w:rsidRPr="00411747">
        <w:rPr>
          <w:rFonts w:ascii="Times New Roman" w:hAnsi="Times New Roman"/>
          <w:noProof/>
          <w:sz w:val="24"/>
          <w:szCs w:val="24"/>
          <w:lang w:eastAsia="de-DE"/>
        </w:rPr>
        <w:t xml:space="preserve"> </w:t>
      </w:r>
      <w:r w:rsidR="00B370CB">
        <w:rPr>
          <w:rFonts w:ascii="Times New Roman" w:hAnsi="Times New Roman"/>
          <w:noProof/>
          <w:sz w:val="24"/>
          <w:szCs w:val="24"/>
          <w:lang w:eastAsia="de-DE"/>
        </w:rPr>
        <w:t>to ensure</w:t>
      </w:r>
      <w:r w:rsidR="00D5779A" w:rsidRPr="00411747">
        <w:rPr>
          <w:rFonts w:ascii="Times New Roman" w:hAnsi="Times New Roman"/>
          <w:noProof/>
          <w:sz w:val="24"/>
          <w:szCs w:val="24"/>
          <w:lang w:eastAsia="de-DE"/>
        </w:rPr>
        <w:t xml:space="preserve"> the efficient</w:t>
      </w:r>
      <w:r w:rsidRPr="00411747">
        <w:rPr>
          <w:rFonts w:ascii="Times New Roman" w:hAnsi="Times New Roman"/>
          <w:noProof/>
          <w:sz w:val="24"/>
          <w:szCs w:val="24"/>
          <w:lang w:eastAsia="de-DE"/>
        </w:rPr>
        <w:t xml:space="preserve"> monitoring of policy targets and trends.</w:t>
      </w:r>
    </w:p>
    <w:p w14:paraId="12FFC46D" w14:textId="77777777" w:rsidR="00B76C1B" w:rsidRPr="00411747" w:rsidRDefault="00B76C1B">
      <w:pPr>
        <w:spacing w:before="240" w:after="0" w:line="276" w:lineRule="auto"/>
        <w:jc w:val="both"/>
        <w:rPr>
          <w:rFonts w:ascii="Times New Roman" w:hAnsi="Times New Roman"/>
          <w:noProof/>
          <w:sz w:val="24"/>
          <w:szCs w:val="24"/>
          <w:lang w:eastAsia="de-DE"/>
        </w:rPr>
      </w:pPr>
    </w:p>
    <w:sectPr w:rsidR="00B76C1B" w:rsidRPr="0041174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F3323" w14:textId="77777777" w:rsidR="000C0174" w:rsidRPr="00411747" w:rsidRDefault="000C0174">
      <w:pPr>
        <w:spacing w:after="0" w:line="240" w:lineRule="auto"/>
      </w:pPr>
      <w:r w:rsidRPr="00411747">
        <w:separator/>
      </w:r>
    </w:p>
  </w:endnote>
  <w:endnote w:type="continuationSeparator" w:id="0">
    <w:p w14:paraId="1F9BF620" w14:textId="77777777" w:rsidR="000C0174" w:rsidRPr="00411747" w:rsidRDefault="000C0174">
      <w:pPr>
        <w:spacing w:after="0" w:line="240" w:lineRule="auto"/>
      </w:pPr>
      <w:r w:rsidRPr="00411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7AC4" w14:textId="59009678" w:rsidR="00FC7C40" w:rsidRPr="00FC7C40" w:rsidRDefault="00FC7C40" w:rsidP="00FC7C40">
    <w:pPr>
      <w:pStyle w:val="FooterCoverPage"/>
      <w:rPr>
        <w:rFonts w:ascii="Arial" w:hAnsi="Arial" w:cs="Arial"/>
        <w:b/>
        <w:sz w:val="48"/>
      </w:rPr>
    </w:pPr>
    <w:r w:rsidRPr="00FC7C40">
      <w:rPr>
        <w:rFonts w:ascii="Arial" w:hAnsi="Arial" w:cs="Arial"/>
        <w:b/>
        <w:sz w:val="48"/>
      </w:rPr>
      <w:t>EN</w:t>
    </w:r>
    <w:r w:rsidRPr="00FC7C40">
      <w:rPr>
        <w:rFonts w:ascii="Arial" w:hAnsi="Arial" w:cs="Arial"/>
        <w:b/>
        <w:sz w:val="48"/>
      </w:rPr>
      <w:tab/>
    </w:r>
    <w:r w:rsidRPr="00FC7C40">
      <w:rPr>
        <w:rFonts w:ascii="Arial" w:hAnsi="Arial" w:cs="Arial"/>
        <w:b/>
        <w:sz w:val="48"/>
      </w:rPr>
      <w:tab/>
    </w:r>
    <w:r w:rsidRPr="00FC7C40">
      <w:tab/>
    </w:r>
    <w:r w:rsidRPr="00FC7C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5D88" w14:textId="780BE252" w:rsidR="00FC7C40" w:rsidRPr="00FC7C40" w:rsidRDefault="00FC7C40" w:rsidP="00FC7C40">
    <w:pPr>
      <w:pStyle w:val="FooterCoverPage"/>
      <w:rPr>
        <w:rFonts w:ascii="Arial" w:hAnsi="Arial" w:cs="Arial"/>
        <w:b/>
        <w:sz w:val="48"/>
      </w:rPr>
    </w:pPr>
    <w:r w:rsidRPr="00FC7C40">
      <w:rPr>
        <w:rFonts w:ascii="Arial" w:hAnsi="Arial" w:cs="Arial"/>
        <w:b/>
        <w:sz w:val="48"/>
      </w:rPr>
      <w:t>EN</w:t>
    </w:r>
    <w:r w:rsidRPr="00FC7C40">
      <w:rPr>
        <w:rFonts w:ascii="Arial" w:hAnsi="Arial" w:cs="Arial"/>
        <w:b/>
        <w:sz w:val="48"/>
      </w:rPr>
      <w:tab/>
    </w:r>
    <w:r w:rsidRPr="00FC7C40">
      <w:rPr>
        <w:rFonts w:ascii="Arial" w:hAnsi="Arial" w:cs="Arial"/>
        <w:b/>
        <w:sz w:val="48"/>
      </w:rPr>
      <w:tab/>
    </w:r>
    <w:r w:rsidRPr="00FC7C40">
      <w:tab/>
    </w:r>
    <w:r w:rsidRPr="00FC7C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988C3" w14:textId="77777777" w:rsidR="00FC7C40" w:rsidRPr="00FC7C40" w:rsidRDefault="00FC7C40" w:rsidP="00FC7C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7D6B2" w14:textId="77777777" w:rsidR="00B76C1B" w:rsidRPr="00411747" w:rsidRDefault="00B76C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860516"/>
      <w:docPartObj>
        <w:docPartGallery w:val="Page Numbers (Bottom of Page)"/>
        <w:docPartUnique/>
      </w:docPartObj>
    </w:sdtPr>
    <w:sdtEndPr>
      <w:rPr>
        <w:rFonts w:ascii="Times New Roman" w:hAnsi="Times New Roman" w:cs="Times New Roman"/>
      </w:rPr>
    </w:sdtEndPr>
    <w:sdtContent>
      <w:p w14:paraId="0A2E3298" w14:textId="128A9F50" w:rsidR="00B76C1B" w:rsidRPr="00411747" w:rsidRDefault="00903D5C" w:rsidP="00D4740C">
        <w:pPr>
          <w:pStyle w:val="Footer"/>
          <w:jc w:val="center"/>
          <w:rPr>
            <w:rFonts w:ascii="Times New Roman" w:hAnsi="Times New Roman" w:cs="Times New Roman"/>
          </w:rPr>
        </w:pPr>
        <w:r w:rsidRPr="00411747">
          <w:rPr>
            <w:rFonts w:ascii="Times New Roman" w:hAnsi="Times New Roman" w:cs="Times New Roman"/>
          </w:rPr>
          <w:fldChar w:fldCharType="begin"/>
        </w:r>
        <w:r w:rsidRPr="00411747">
          <w:rPr>
            <w:rFonts w:ascii="Times New Roman" w:hAnsi="Times New Roman" w:cs="Times New Roman"/>
          </w:rPr>
          <w:instrText xml:space="preserve"> PAGE   \* MERGEFORMAT </w:instrText>
        </w:r>
        <w:r w:rsidRPr="00411747">
          <w:rPr>
            <w:rFonts w:ascii="Times New Roman" w:hAnsi="Times New Roman" w:cs="Times New Roman"/>
          </w:rPr>
          <w:fldChar w:fldCharType="separate"/>
        </w:r>
        <w:r w:rsidR="00FC7C40">
          <w:rPr>
            <w:rFonts w:ascii="Times New Roman" w:hAnsi="Times New Roman" w:cs="Times New Roman"/>
            <w:noProof/>
          </w:rPr>
          <w:t>2</w:t>
        </w:r>
        <w:r w:rsidRPr="00411747">
          <w:rPr>
            <w:rFonts w:ascii="Times New Roman" w:hAnsi="Times New Roman" w:cs="Times New Roman"/>
          </w:rPr>
          <w:fldChar w:fldCharType="end"/>
        </w:r>
      </w:p>
    </w:sdtContent>
  </w:sdt>
  <w:p w14:paraId="2957A37F" w14:textId="77777777" w:rsidR="00B76C1B" w:rsidRPr="00411747" w:rsidRDefault="00B76C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356002"/>
      <w:docPartObj>
        <w:docPartGallery w:val="Page Numbers (Bottom of Page)"/>
        <w:docPartUnique/>
      </w:docPartObj>
    </w:sdtPr>
    <w:sdtEndPr/>
    <w:sdtContent>
      <w:p w14:paraId="5957EC1D" w14:textId="587843AE" w:rsidR="00B76C1B" w:rsidRPr="00411747" w:rsidRDefault="00903D5C">
        <w:pPr>
          <w:pStyle w:val="Footer"/>
          <w:jc w:val="center"/>
        </w:pPr>
        <w:r w:rsidRPr="00411747">
          <w:rPr>
            <w:rFonts w:ascii="Times New Roman" w:hAnsi="Times New Roman" w:cs="Times New Roman"/>
          </w:rPr>
          <w:fldChar w:fldCharType="begin"/>
        </w:r>
        <w:r w:rsidRPr="00411747">
          <w:rPr>
            <w:rFonts w:ascii="Times New Roman" w:hAnsi="Times New Roman" w:cs="Times New Roman"/>
          </w:rPr>
          <w:instrText xml:space="preserve"> PAGE   \* MERGEFORMAT </w:instrText>
        </w:r>
        <w:r w:rsidRPr="00411747">
          <w:rPr>
            <w:rFonts w:ascii="Times New Roman" w:hAnsi="Times New Roman" w:cs="Times New Roman"/>
          </w:rPr>
          <w:fldChar w:fldCharType="separate"/>
        </w:r>
        <w:r w:rsidR="00FC7C40">
          <w:rPr>
            <w:rFonts w:ascii="Times New Roman" w:hAnsi="Times New Roman" w:cs="Times New Roman"/>
            <w:noProof/>
          </w:rPr>
          <w:t>1</w:t>
        </w:r>
        <w:r w:rsidRPr="00411747">
          <w:rPr>
            <w:rFonts w:ascii="Times New Roman" w:hAnsi="Times New Roman" w:cs="Times New Roman"/>
          </w:rPr>
          <w:fldChar w:fldCharType="end"/>
        </w:r>
      </w:p>
    </w:sdtContent>
  </w:sdt>
  <w:p w14:paraId="1D09F75E" w14:textId="77777777" w:rsidR="00B76C1B" w:rsidRPr="00411747" w:rsidRDefault="00B76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491BB" w14:textId="77777777" w:rsidR="000C0174" w:rsidRPr="00411747" w:rsidRDefault="000C0174">
      <w:pPr>
        <w:spacing w:after="0" w:line="240" w:lineRule="auto"/>
      </w:pPr>
      <w:r w:rsidRPr="00411747">
        <w:separator/>
      </w:r>
    </w:p>
  </w:footnote>
  <w:footnote w:type="continuationSeparator" w:id="0">
    <w:p w14:paraId="654C7BE2" w14:textId="77777777" w:rsidR="000C0174" w:rsidRPr="00411747" w:rsidRDefault="000C0174">
      <w:pPr>
        <w:spacing w:after="0" w:line="240" w:lineRule="auto"/>
      </w:pPr>
      <w:r w:rsidRPr="00411747">
        <w:continuationSeparator/>
      </w:r>
    </w:p>
  </w:footnote>
  <w:footnote w:id="1">
    <w:p w14:paraId="2E7F7BCF" w14:textId="6DE0E86F" w:rsidR="00B76C1B" w:rsidRPr="00411747" w:rsidRDefault="00903D5C" w:rsidP="00465226">
      <w:pPr>
        <w:pStyle w:val="FootnoteText"/>
        <w:spacing w:after="60" w:line="240" w:lineRule="auto"/>
        <w:rPr>
          <w:rFonts w:ascii="Times New Roman" w:hAnsi="Times New Roman"/>
          <w:lang w:eastAsia="en-GB"/>
        </w:rPr>
      </w:pPr>
      <w:r w:rsidRPr="00411747">
        <w:rPr>
          <w:rStyle w:val="FootnoteReference"/>
          <w:rFonts w:asciiTheme="minorHAnsi" w:hAnsiTheme="minorHAnsi" w:cstheme="minorHAnsi"/>
        </w:rPr>
        <w:footnoteRef/>
      </w:r>
      <w:r w:rsidRPr="00411747">
        <w:rPr>
          <w:rFonts w:ascii="Times New Roman" w:hAnsi="Times New Roman"/>
          <w:sz w:val="24"/>
          <w:szCs w:val="24"/>
        </w:rPr>
        <w:t xml:space="preserve"> </w:t>
      </w:r>
      <w:r w:rsidRPr="00411747">
        <w:rPr>
          <w:rFonts w:ascii="Times New Roman" w:hAnsi="Times New Roman"/>
          <w:lang w:eastAsia="en-GB"/>
        </w:rPr>
        <w:t>Regulation (EU) No 70/2012 of the European Parliament and of the Council of 18</w:t>
      </w:r>
      <w:r w:rsidR="00411747">
        <w:rPr>
          <w:rFonts w:ascii="Times New Roman" w:hAnsi="Times New Roman"/>
          <w:lang w:eastAsia="en-GB"/>
        </w:rPr>
        <w:t> </w:t>
      </w:r>
      <w:r w:rsidRPr="00411747">
        <w:rPr>
          <w:rFonts w:ascii="Times New Roman" w:hAnsi="Times New Roman"/>
          <w:lang w:eastAsia="en-GB"/>
        </w:rPr>
        <w:t>January 2012 on statistical returns in respect of the carriage of goods by road (OJ L 32, 3.2.2012, p.</w:t>
      </w:r>
      <w:r w:rsidR="00411747">
        <w:rPr>
          <w:rFonts w:ascii="Times New Roman" w:hAnsi="Times New Roman"/>
          <w:lang w:eastAsia="en-GB"/>
        </w:rPr>
        <w:t> </w:t>
      </w:r>
      <w:r w:rsidRPr="00411747">
        <w:rPr>
          <w:rFonts w:ascii="Times New Roman" w:hAnsi="Times New Roman"/>
          <w:lang w:eastAsia="en-GB"/>
        </w:rPr>
        <w:t>1</w:t>
      </w:r>
      <w:r w:rsidR="00BF4920" w:rsidRPr="00411747">
        <w:rPr>
          <w:rFonts w:ascii="Times New Roman" w:hAnsi="Times New Roman"/>
          <w:lang w:eastAsia="en-GB"/>
        </w:rPr>
        <w:t>; ELI: </w:t>
      </w:r>
      <w:hyperlink r:id="rId1" w:tooltip="Gives access to this document through its ELI URI." w:history="1">
        <w:r w:rsidR="00BF4920" w:rsidRPr="00411747">
          <w:rPr>
            <w:rStyle w:val="Hyperlink"/>
            <w:rFonts w:ascii="Times New Roman" w:hAnsi="Times New Roman"/>
            <w:lang w:eastAsia="en-GB"/>
          </w:rPr>
          <w:t>http://data.europa.eu/eli/reg/2012/70/oj</w:t>
        </w:r>
      </w:hyperlink>
      <w:r w:rsidRPr="00411747">
        <w:rPr>
          <w:rFonts w:ascii="Times New Roman" w:hAnsi="Times New Roman"/>
          <w:lang w:eastAsia="en-GB"/>
        </w:rPr>
        <w:t>).</w:t>
      </w:r>
    </w:p>
  </w:footnote>
  <w:footnote w:id="2">
    <w:p w14:paraId="6BBD7F5A" w14:textId="43D7AE7A" w:rsidR="00B76C1B" w:rsidRPr="00411747" w:rsidRDefault="00903D5C" w:rsidP="00465226">
      <w:pPr>
        <w:pStyle w:val="FootnoteText"/>
        <w:spacing w:after="60" w:line="240" w:lineRule="auto"/>
        <w:rPr>
          <w:rFonts w:ascii="Times New Roman" w:hAnsi="Times New Roman"/>
        </w:rPr>
      </w:pPr>
      <w:r w:rsidRPr="00411747">
        <w:rPr>
          <w:rStyle w:val="FootnoteReference"/>
          <w:rFonts w:asciiTheme="minorHAnsi" w:hAnsiTheme="minorHAnsi" w:cstheme="minorHAnsi"/>
        </w:rPr>
        <w:footnoteRef/>
      </w:r>
      <w:r w:rsidRPr="00411747">
        <w:rPr>
          <w:rFonts w:ascii="Times New Roman" w:hAnsi="Times New Roman"/>
        </w:rPr>
        <w:t xml:space="preserve"> Report from the Commission to the European Parliament and the Council on the exercise of the power to adopt delegated acts conferred on the Commission under Regulation (EU) No</w:t>
      </w:r>
      <w:r w:rsidR="00411747">
        <w:rPr>
          <w:rFonts w:ascii="Times New Roman" w:hAnsi="Times New Roman"/>
        </w:rPr>
        <w:t> </w:t>
      </w:r>
      <w:r w:rsidRPr="00411747">
        <w:rPr>
          <w:rFonts w:ascii="Times New Roman" w:hAnsi="Times New Roman"/>
        </w:rPr>
        <w:t>70/2012 of 18</w:t>
      </w:r>
      <w:r w:rsidR="00411747">
        <w:rPr>
          <w:rFonts w:ascii="Times New Roman" w:hAnsi="Times New Roman"/>
        </w:rPr>
        <w:t> </w:t>
      </w:r>
      <w:r w:rsidRPr="00411747">
        <w:rPr>
          <w:rFonts w:ascii="Times New Roman" w:hAnsi="Times New Roman"/>
        </w:rPr>
        <w:t>January 2012 on statistical returns in respect of the carriage of goods by road (COM(2016) 562 final, 12.9.2016</w:t>
      </w:r>
      <w:r w:rsidR="002C7F4E" w:rsidRPr="00411747">
        <w:rPr>
          <w:rFonts w:ascii="Times New Roman" w:hAnsi="Times New Roman"/>
        </w:rPr>
        <w:t xml:space="preserve">; </w:t>
      </w:r>
      <w:r w:rsidR="006A1D0E" w:rsidRPr="00411747">
        <w:rPr>
          <w:rFonts w:ascii="Times New Roman" w:hAnsi="Times New Roman"/>
        </w:rPr>
        <w:br/>
      </w:r>
      <w:hyperlink r:id="rId2" w:history="1">
        <w:r w:rsidR="00C03C9C" w:rsidRPr="00411747">
          <w:rPr>
            <w:rStyle w:val="Hyperlink"/>
            <w:rFonts w:ascii="Times New Roman" w:hAnsi="Times New Roman"/>
          </w:rPr>
          <w:t>https://eur-lex.europa.eu/legal-content/TXT/?uri=CELEX%3A52016DC0562</w:t>
        </w:r>
      </w:hyperlink>
      <w:r w:rsidRPr="00411747">
        <w:rPr>
          <w:rFonts w:ascii="Times New Roman" w:hAnsi="Times New Roman"/>
        </w:rPr>
        <w:t>).</w:t>
      </w:r>
    </w:p>
  </w:footnote>
  <w:footnote w:id="3">
    <w:p w14:paraId="69962A3B" w14:textId="66670CA0" w:rsidR="00145097" w:rsidRPr="00411747" w:rsidRDefault="00145097" w:rsidP="00465226">
      <w:pPr>
        <w:pStyle w:val="FootnoteText"/>
        <w:spacing w:after="20"/>
      </w:pPr>
      <w:r w:rsidRPr="00411747">
        <w:rPr>
          <w:rStyle w:val="FootnoteReference"/>
        </w:rPr>
        <w:footnoteRef/>
      </w:r>
      <w:r w:rsidRPr="00411747">
        <w:t xml:space="preserve"> </w:t>
      </w:r>
      <w:r w:rsidRPr="00411747">
        <w:rPr>
          <w:rFonts w:ascii="Times New Roman" w:hAnsi="Times New Roman"/>
        </w:rPr>
        <w:t>Report from the Commission to the European Parliament and the Council on the exercise of the power to adopt delegated acts conferred on the Commission under Regulation (EU) No</w:t>
      </w:r>
      <w:r w:rsidR="00411747">
        <w:rPr>
          <w:rFonts w:ascii="Times New Roman" w:hAnsi="Times New Roman"/>
        </w:rPr>
        <w:t> </w:t>
      </w:r>
      <w:r w:rsidRPr="00411747">
        <w:rPr>
          <w:rFonts w:ascii="Times New Roman" w:hAnsi="Times New Roman"/>
        </w:rPr>
        <w:t>70/2012 of 18</w:t>
      </w:r>
      <w:r w:rsidR="00411747">
        <w:rPr>
          <w:rFonts w:ascii="Times New Roman" w:hAnsi="Times New Roman"/>
        </w:rPr>
        <w:t> </w:t>
      </w:r>
      <w:r w:rsidRPr="00411747">
        <w:rPr>
          <w:rFonts w:ascii="Times New Roman" w:hAnsi="Times New Roman"/>
        </w:rPr>
        <w:t>January 2012 on statistical returns in respect of the carriage of goods by road (COM(20</w:t>
      </w:r>
      <w:r w:rsidR="00F76683" w:rsidRPr="00411747">
        <w:rPr>
          <w:rFonts w:ascii="Times New Roman" w:hAnsi="Times New Roman"/>
        </w:rPr>
        <w:t>21</w:t>
      </w:r>
      <w:r w:rsidRPr="00411747">
        <w:rPr>
          <w:rFonts w:ascii="Times New Roman" w:hAnsi="Times New Roman"/>
        </w:rPr>
        <w:t xml:space="preserve">) </w:t>
      </w:r>
      <w:r w:rsidR="00F76683" w:rsidRPr="00411747">
        <w:rPr>
          <w:rFonts w:ascii="Times New Roman" w:hAnsi="Times New Roman"/>
        </w:rPr>
        <w:t>176</w:t>
      </w:r>
      <w:r w:rsidRPr="00411747">
        <w:rPr>
          <w:rFonts w:ascii="Times New Roman" w:hAnsi="Times New Roman"/>
        </w:rPr>
        <w:t xml:space="preserve"> final, 1</w:t>
      </w:r>
      <w:r w:rsidR="00F76683" w:rsidRPr="00411747">
        <w:rPr>
          <w:rFonts w:ascii="Times New Roman" w:hAnsi="Times New Roman"/>
        </w:rPr>
        <w:t>4</w:t>
      </w:r>
      <w:r w:rsidRPr="00411747">
        <w:rPr>
          <w:rFonts w:ascii="Times New Roman" w:hAnsi="Times New Roman"/>
        </w:rPr>
        <w:t>.</w:t>
      </w:r>
      <w:r w:rsidR="00F76683" w:rsidRPr="00411747">
        <w:rPr>
          <w:rFonts w:ascii="Times New Roman" w:hAnsi="Times New Roman"/>
        </w:rPr>
        <w:t>4</w:t>
      </w:r>
      <w:r w:rsidRPr="00411747">
        <w:rPr>
          <w:rFonts w:ascii="Times New Roman" w:hAnsi="Times New Roman"/>
        </w:rPr>
        <w:t>.20</w:t>
      </w:r>
      <w:r w:rsidR="00F76683" w:rsidRPr="00411747">
        <w:rPr>
          <w:rFonts w:ascii="Times New Roman" w:hAnsi="Times New Roman"/>
        </w:rPr>
        <w:t>21</w:t>
      </w:r>
      <w:r w:rsidR="002D3234" w:rsidRPr="00411747">
        <w:rPr>
          <w:rFonts w:ascii="Times New Roman" w:hAnsi="Times New Roman"/>
        </w:rPr>
        <w:t xml:space="preserve">; </w:t>
      </w:r>
      <w:r w:rsidR="002D3234" w:rsidRPr="00411747">
        <w:rPr>
          <w:rFonts w:ascii="Times New Roman" w:hAnsi="Times New Roman"/>
        </w:rPr>
        <w:br/>
      </w:r>
      <w:hyperlink r:id="rId3" w:history="1">
        <w:r w:rsidR="00C03C9C" w:rsidRPr="00411747">
          <w:rPr>
            <w:rStyle w:val="Hyperlink"/>
            <w:rFonts w:ascii="Times New Roman" w:hAnsi="Times New Roman"/>
          </w:rPr>
          <w:t>https://eur-lex.europa.eu/legal-content/TXT/?uri=CELEX%3A52021DC0176</w:t>
        </w:r>
      </w:hyperlink>
      <w:r w:rsidRPr="00411747">
        <w:rPr>
          <w:rFonts w:ascii="Times New Roman" w:hAnsi="Times New Roman"/>
        </w:rPr>
        <w:t>).</w:t>
      </w:r>
    </w:p>
  </w:footnote>
  <w:footnote w:id="4">
    <w:p w14:paraId="5FCB80A7" w14:textId="50FCC7FA" w:rsidR="00B76C1B" w:rsidRPr="00411747" w:rsidRDefault="00903D5C" w:rsidP="000323B0">
      <w:pPr>
        <w:pStyle w:val="FootnoteText"/>
        <w:spacing w:after="60"/>
      </w:pPr>
      <w:r w:rsidRPr="00411747">
        <w:rPr>
          <w:rStyle w:val="FootnoteReference"/>
          <w:rFonts w:asciiTheme="minorHAnsi" w:hAnsiTheme="minorHAnsi" w:cstheme="minorHAnsi"/>
        </w:rPr>
        <w:footnoteRef/>
      </w:r>
      <w:r w:rsidRPr="00411747">
        <w:rPr>
          <w:rFonts w:ascii="Times New Roman" w:hAnsi="Times New Roman"/>
        </w:rPr>
        <w:t xml:space="preserve"> COM(2020) 789 final</w:t>
      </w:r>
      <w:r w:rsidR="00C76AFA" w:rsidRPr="00411747">
        <w:rPr>
          <w:rFonts w:ascii="Times New Roman" w:hAnsi="Times New Roman"/>
        </w:rPr>
        <w:t>, 9.12.2020</w:t>
      </w:r>
      <w:r w:rsidR="00AD2470" w:rsidRPr="00411747">
        <w:rPr>
          <w:rFonts w:ascii="Times New Roman" w:hAnsi="Times New Roman"/>
        </w:rPr>
        <w:t xml:space="preserve">; </w:t>
      </w:r>
      <w:r w:rsidR="00AD2470" w:rsidRPr="00411747">
        <w:rPr>
          <w:rFonts w:ascii="Times New Roman" w:hAnsi="Times New Roman"/>
        </w:rPr>
        <w:br/>
      </w:r>
      <w:hyperlink r:id="rId4" w:history="1">
        <w:r w:rsidR="00C03C9C" w:rsidRPr="00411747">
          <w:rPr>
            <w:rStyle w:val="Hyperlink"/>
            <w:rFonts w:ascii="Times New Roman" w:hAnsi="Times New Roman"/>
          </w:rPr>
          <w:t>https://eur-lex.europa.eu/legal-content/TXT/?uri=CELEX%3A52020DC0789</w:t>
        </w:r>
      </w:hyperlink>
      <w:r w:rsidRPr="00411747">
        <w:rPr>
          <w:rFonts w:ascii="Times New Roman" w:hAnsi="Times New Roman"/>
        </w:rPr>
        <w:t>.</w:t>
      </w:r>
    </w:p>
  </w:footnote>
  <w:footnote w:id="5">
    <w:p w14:paraId="0A4CCAC0" w14:textId="677E7D6C" w:rsidR="00727D1B" w:rsidRPr="00411747" w:rsidRDefault="00727D1B" w:rsidP="001E3A8B">
      <w:pPr>
        <w:pStyle w:val="FootnoteText"/>
        <w:spacing w:after="60"/>
        <w:rPr>
          <w:rFonts w:ascii="Times New Roman" w:hAnsi="Times New Roman"/>
        </w:rPr>
      </w:pPr>
      <w:r w:rsidRPr="00411747">
        <w:rPr>
          <w:rStyle w:val="FootnoteReference"/>
        </w:rPr>
        <w:footnoteRef/>
      </w:r>
      <w:r w:rsidRPr="00411747">
        <w:t xml:space="preserve"> </w:t>
      </w:r>
      <w:r w:rsidRPr="00411747">
        <w:rPr>
          <w:rFonts w:ascii="Times New Roman" w:hAnsi="Times New Roman"/>
        </w:rPr>
        <w:t>Directive (EU) 2023/2661 of the European Parliament and of the Council of 22 November 2023 amending Directive 2010/40/EU on the framework for the deployment of Intelligent Transport Systems in the field of road transport and for interfaces with other modes of transport (OJ L, 2023/2661, 30.11.2023</w:t>
      </w:r>
      <w:r w:rsidR="00465226" w:rsidRPr="00411747">
        <w:rPr>
          <w:rFonts w:ascii="Times New Roman" w:hAnsi="Times New Roman"/>
        </w:rPr>
        <w:t xml:space="preserve">; </w:t>
      </w:r>
      <w:r w:rsidRPr="00411747">
        <w:rPr>
          <w:rFonts w:ascii="Times New Roman" w:hAnsi="Times New Roman"/>
        </w:rPr>
        <w:t>ELI:</w:t>
      </w:r>
      <w:r w:rsidRPr="00411747">
        <w:t> </w:t>
      </w:r>
      <w:hyperlink r:id="rId5" w:tgtFrame="_blank" w:tooltip="Gives access to this document through its ELI URI." w:history="1">
        <w:r w:rsidRPr="00411747">
          <w:rPr>
            <w:rStyle w:val="Hyperlink"/>
            <w:rFonts w:ascii="Times New Roman" w:hAnsi="Times New Roman"/>
          </w:rPr>
          <w:t>http://data.europa.eu/eli/dir/2023/2661/oj</w:t>
        </w:r>
      </w:hyperlink>
      <w:r w:rsidRPr="00411747">
        <w:rPr>
          <w:rFonts w:ascii="Times New Roman" w:hAnsi="Times New Roman"/>
        </w:rPr>
        <w:t>).</w:t>
      </w:r>
    </w:p>
  </w:footnote>
  <w:footnote w:id="6">
    <w:p w14:paraId="277452C4" w14:textId="56FE65B4" w:rsidR="00E201C5" w:rsidRPr="00411747" w:rsidRDefault="00E201C5" w:rsidP="001E3A8B">
      <w:pPr>
        <w:pStyle w:val="FootnoteText"/>
        <w:spacing w:after="60"/>
      </w:pPr>
      <w:r w:rsidRPr="00411747">
        <w:rPr>
          <w:rStyle w:val="FootnoteReference"/>
        </w:rPr>
        <w:footnoteRef/>
      </w:r>
      <w:r w:rsidRPr="00411747">
        <w:t xml:space="preserve"> </w:t>
      </w:r>
      <w:r w:rsidRPr="00411747">
        <w:rPr>
          <w:rFonts w:ascii="Times New Roman" w:hAnsi="Times New Roman"/>
        </w:rPr>
        <w:t>Regulation (EU) 2024/1679 of the European Parliament and of the Council of 13</w:t>
      </w:r>
      <w:r w:rsidR="00411747">
        <w:rPr>
          <w:rFonts w:ascii="Times New Roman" w:hAnsi="Times New Roman"/>
        </w:rPr>
        <w:t> </w:t>
      </w:r>
      <w:r w:rsidRPr="00411747">
        <w:rPr>
          <w:rFonts w:ascii="Times New Roman" w:hAnsi="Times New Roman"/>
        </w:rPr>
        <w:t>June 2024 on Union guidelines for the development of the trans-European transport network, amending Regulations (EU) 2021/1153 and (EU) No</w:t>
      </w:r>
      <w:r w:rsidR="00411747">
        <w:rPr>
          <w:rFonts w:ascii="Times New Roman" w:hAnsi="Times New Roman"/>
        </w:rPr>
        <w:t> </w:t>
      </w:r>
      <w:r w:rsidRPr="00411747">
        <w:rPr>
          <w:rFonts w:ascii="Times New Roman" w:hAnsi="Times New Roman"/>
        </w:rPr>
        <w:t>913/2010 and repealing Regulation (EU) No</w:t>
      </w:r>
      <w:r w:rsidR="00411747">
        <w:rPr>
          <w:rFonts w:ascii="Times New Roman" w:hAnsi="Times New Roman"/>
        </w:rPr>
        <w:t> </w:t>
      </w:r>
      <w:r w:rsidRPr="00411747">
        <w:rPr>
          <w:rFonts w:ascii="Times New Roman" w:hAnsi="Times New Roman"/>
        </w:rPr>
        <w:t>1315/2013 (OJ L, 2024/1679, 28.6.2024</w:t>
      </w:r>
      <w:r w:rsidR="00465226" w:rsidRPr="00411747">
        <w:rPr>
          <w:rFonts w:ascii="Times New Roman" w:hAnsi="Times New Roman"/>
        </w:rPr>
        <w:t>;</w:t>
      </w:r>
      <w:r w:rsidRPr="00411747">
        <w:rPr>
          <w:rFonts w:ascii="Times New Roman" w:hAnsi="Times New Roman"/>
        </w:rPr>
        <w:t xml:space="preserve"> ELI: </w:t>
      </w:r>
      <w:hyperlink r:id="rId6" w:tgtFrame="_blank" w:tooltip="Gives access to this document through its ELI URI." w:history="1">
        <w:r w:rsidRPr="00411747">
          <w:rPr>
            <w:rStyle w:val="Hyperlink"/>
            <w:rFonts w:ascii="Times New Roman" w:hAnsi="Times New Roman"/>
          </w:rPr>
          <w:t>http://data.europa.eu/eli/reg/2024/1679/oj</w:t>
        </w:r>
      </w:hyperlink>
      <w:r w:rsidRPr="00411747">
        <w:rPr>
          <w:rFonts w:ascii="Times New Roman" w:hAnsi="Times New Roman"/>
        </w:rPr>
        <w:t>)</w:t>
      </w:r>
      <w:r w:rsidR="00465226" w:rsidRPr="00411747">
        <w:rPr>
          <w:rFonts w:ascii="Times New Roman" w:hAnsi="Times New Roman"/>
        </w:rPr>
        <w:t>.</w:t>
      </w:r>
    </w:p>
  </w:footnote>
  <w:footnote w:id="7">
    <w:p w14:paraId="14D612E5" w14:textId="5AEBA8CC" w:rsidR="006522A0" w:rsidRPr="00D375F6" w:rsidRDefault="006522A0">
      <w:pPr>
        <w:pStyle w:val="FootnoteText"/>
        <w:rPr>
          <w:lang w:val="en-IE"/>
        </w:rPr>
      </w:pPr>
      <w:r>
        <w:rPr>
          <w:rStyle w:val="FootnoteReference"/>
        </w:rPr>
        <w:footnoteRef/>
      </w:r>
      <w:r>
        <w:t xml:space="preserve"> </w:t>
      </w:r>
      <w:r w:rsidRPr="00D375F6">
        <w:rPr>
          <w:rFonts w:ascii="Times New Roman" w:hAnsi="Times New Roman"/>
        </w:rPr>
        <w:t>Regulation (EU) 2020/1056 of the European Parliament and of the Council of 15 July 2020 on electronic freight transport information</w:t>
      </w:r>
      <w:r w:rsidRPr="006522A0">
        <w:rPr>
          <w:rFonts w:ascii="Times New Roman" w:hAnsi="Times New Roman"/>
        </w:rPr>
        <w:t xml:space="preserve"> </w:t>
      </w:r>
      <w:r w:rsidRPr="00D375F6">
        <w:rPr>
          <w:rFonts w:ascii="Times New Roman" w:hAnsi="Times New Roman"/>
        </w:rPr>
        <w:t>(OJ L 249, 31.7.2020, p. 33; ELI: </w:t>
      </w:r>
      <w:hyperlink r:id="rId7" w:tooltip="Gives access to this document through its ELI URI." w:history="1">
        <w:r w:rsidRPr="00D375F6">
          <w:rPr>
            <w:rStyle w:val="Hyperlink"/>
            <w:rFonts w:ascii="Times New Roman" w:hAnsi="Times New Roman"/>
          </w:rPr>
          <w:t>http://data.europa.eu/eli/reg/2020/1056/oj</w:t>
        </w:r>
      </w:hyperlink>
      <w:r w:rsidRPr="00D375F6">
        <w:rPr>
          <w:rFonts w:ascii="Times New Roman" w:hAnsi="Times New Roman"/>
        </w:rPr>
        <w:t>)</w:t>
      </w:r>
      <w:r w:rsidR="005D267F">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F0E7" w14:textId="77777777" w:rsidR="00FC7C40" w:rsidRPr="00FC7C40" w:rsidRDefault="00FC7C40" w:rsidP="00FC7C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12F6" w14:textId="77777777" w:rsidR="00FC7C40" w:rsidRPr="00FC7C40" w:rsidRDefault="00FC7C40" w:rsidP="00FC7C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B084A" w14:textId="77777777" w:rsidR="00FC7C40" w:rsidRPr="00FC7C40" w:rsidRDefault="00FC7C40" w:rsidP="00FC7C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13527" w14:textId="77777777" w:rsidR="00B76C1B" w:rsidRPr="00411747" w:rsidRDefault="00B76C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5AF0" w14:textId="77777777" w:rsidR="00B76C1B" w:rsidRPr="00411747" w:rsidRDefault="00B76C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A861" w14:textId="77777777" w:rsidR="00B76C1B" w:rsidRPr="00411747" w:rsidRDefault="00B76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94F83"/>
    <w:multiLevelType w:val="hybridMultilevel"/>
    <w:tmpl w:val="2FA07E52"/>
    <w:lvl w:ilvl="0" w:tplc="1809000B">
      <w:start w:val="1"/>
      <w:numFmt w:val="bullet"/>
      <w:lvlText w:val=""/>
      <w:lvlJc w:val="left"/>
      <w:pPr>
        <w:ind w:left="817" w:hanging="360"/>
      </w:pPr>
      <w:rPr>
        <w:rFonts w:ascii="Wingdings" w:hAnsi="Wingdings" w:hint="default"/>
      </w:rPr>
    </w:lvl>
    <w:lvl w:ilvl="1" w:tplc="FFFFFFFF" w:tentative="1">
      <w:start w:val="1"/>
      <w:numFmt w:val="bullet"/>
      <w:lvlText w:val="o"/>
      <w:lvlJc w:val="left"/>
      <w:pPr>
        <w:ind w:left="1537" w:hanging="360"/>
      </w:pPr>
      <w:rPr>
        <w:rFonts w:ascii="Courier New" w:hAnsi="Courier New" w:cs="Courier New" w:hint="default"/>
      </w:rPr>
    </w:lvl>
    <w:lvl w:ilvl="2" w:tplc="FFFFFFFF" w:tentative="1">
      <w:start w:val="1"/>
      <w:numFmt w:val="bullet"/>
      <w:lvlText w:val=""/>
      <w:lvlJc w:val="left"/>
      <w:pPr>
        <w:ind w:left="2257" w:hanging="360"/>
      </w:pPr>
      <w:rPr>
        <w:rFonts w:ascii="Wingdings" w:hAnsi="Wingdings" w:hint="default"/>
      </w:rPr>
    </w:lvl>
    <w:lvl w:ilvl="3" w:tplc="FFFFFFFF" w:tentative="1">
      <w:start w:val="1"/>
      <w:numFmt w:val="bullet"/>
      <w:lvlText w:val=""/>
      <w:lvlJc w:val="left"/>
      <w:pPr>
        <w:ind w:left="2977" w:hanging="360"/>
      </w:pPr>
      <w:rPr>
        <w:rFonts w:ascii="Symbol" w:hAnsi="Symbol" w:hint="default"/>
      </w:rPr>
    </w:lvl>
    <w:lvl w:ilvl="4" w:tplc="FFFFFFFF" w:tentative="1">
      <w:start w:val="1"/>
      <w:numFmt w:val="bullet"/>
      <w:lvlText w:val="o"/>
      <w:lvlJc w:val="left"/>
      <w:pPr>
        <w:ind w:left="3697" w:hanging="360"/>
      </w:pPr>
      <w:rPr>
        <w:rFonts w:ascii="Courier New" w:hAnsi="Courier New" w:cs="Courier New" w:hint="default"/>
      </w:rPr>
    </w:lvl>
    <w:lvl w:ilvl="5" w:tplc="FFFFFFFF" w:tentative="1">
      <w:start w:val="1"/>
      <w:numFmt w:val="bullet"/>
      <w:lvlText w:val=""/>
      <w:lvlJc w:val="left"/>
      <w:pPr>
        <w:ind w:left="4417" w:hanging="360"/>
      </w:pPr>
      <w:rPr>
        <w:rFonts w:ascii="Wingdings" w:hAnsi="Wingdings" w:hint="default"/>
      </w:rPr>
    </w:lvl>
    <w:lvl w:ilvl="6" w:tplc="FFFFFFFF" w:tentative="1">
      <w:start w:val="1"/>
      <w:numFmt w:val="bullet"/>
      <w:lvlText w:val=""/>
      <w:lvlJc w:val="left"/>
      <w:pPr>
        <w:ind w:left="5137" w:hanging="360"/>
      </w:pPr>
      <w:rPr>
        <w:rFonts w:ascii="Symbol" w:hAnsi="Symbol" w:hint="default"/>
      </w:rPr>
    </w:lvl>
    <w:lvl w:ilvl="7" w:tplc="FFFFFFFF" w:tentative="1">
      <w:start w:val="1"/>
      <w:numFmt w:val="bullet"/>
      <w:lvlText w:val="o"/>
      <w:lvlJc w:val="left"/>
      <w:pPr>
        <w:ind w:left="5857" w:hanging="360"/>
      </w:pPr>
      <w:rPr>
        <w:rFonts w:ascii="Courier New" w:hAnsi="Courier New" w:cs="Courier New" w:hint="default"/>
      </w:rPr>
    </w:lvl>
    <w:lvl w:ilvl="8" w:tplc="FFFFFFFF" w:tentative="1">
      <w:start w:val="1"/>
      <w:numFmt w:val="bullet"/>
      <w:lvlText w:val=""/>
      <w:lvlJc w:val="left"/>
      <w:pPr>
        <w:ind w:left="6577" w:hanging="360"/>
      </w:pPr>
      <w:rPr>
        <w:rFonts w:ascii="Wingdings" w:hAnsi="Wingdings" w:hint="default"/>
      </w:rPr>
    </w:lvl>
  </w:abstractNum>
  <w:abstractNum w:abstractNumId="1"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155F3"/>
    <w:multiLevelType w:val="hybridMultilevel"/>
    <w:tmpl w:val="2CA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063AF2"/>
    <w:multiLevelType w:val="hybridMultilevel"/>
    <w:tmpl w:val="23CCC4EE"/>
    <w:lvl w:ilvl="0" w:tplc="01EC09CE">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cs="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cs="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cs="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4" w15:restartNumberingAfterBreak="0">
    <w:nsid w:val="33172DD4"/>
    <w:multiLevelType w:val="hybridMultilevel"/>
    <w:tmpl w:val="B3B24934"/>
    <w:lvl w:ilvl="0" w:tplc="428A1060">
      <w:numFmt w:val="bullet"/>
      <w:lvlText w:val="-"/>
      <w:lvlJc w:val="left"/>
      <w:pPr>
        <w:ind w:left="1210" w:hanging="360"/>
      </w:pPr>
      <w:rPr>
        <w:rFonts w:ascii="Times New Roman" w:eastAsiaTheme="minorEastAsia"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 w15:restartNumberingAfterBreak="0">
    <w:nsid w:val="355F3A3C"/>
    <w:multiLevelType w:val="hybridMultilevel"/>
    <w:tmpl w:val="0B1CA37E"/>
    <w:lvl w:ilvl="0" w:tplc="08090017">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EC207B"/>
    <w:multiLevelType w:val="hybridMultilevel"/>
    <w:tmpl w:val="6BA88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7"/>
  </w:num>
  <w:num w:numId="3">
    <w:abstractNumId w:val="5"/>
  </w:num>
  <w:num w:numId="4">
    <w:abstractNumId w:val="8"/>
  </w:num>
  <w:num w:numId="5">
    <w:abstractNumId w:val="1"/>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03B9E1D-23B6-427E-A9DF-371B700545D8"/>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xercising the power to adopt delegated acts conferred on the Commission pursuant to Regulation (EU) No 70/2012 &lt;FMT:Bold&gt;of the European Parliament and of the Council &lt;/FMT&gt;of 18 January 2012 on statistical returns in respect of the carriage of goods by road"/>
    <w:docVar w:name="LW_TYPE.DOC.CP" w:val="REPORT FROM THE COMMISSION TO THE EUROPEAN PARLIAMENT AND THE COUNCIL"/>
    <w:docVar w:name="LwApiVersions" w:val="LW4CoDe 1.24.5.0; LW 9.2, Build 20251112"/>
  </w:docVars>
  <w:rsids>
    <w:rsidRoot w:val="00B76C1B"/>
    <w:rsid w:val="00007F65"/>
    <w:rsid w:val="00011E9E"/>
    <w:rsid w:val="00017E37"/>
    <w:rsid w:val="000323B0"/>
    <w:rsid w:val="0003547F"/>
    <w:rsid w:val="000368D1"/>
    <w:rsid w:val="0005735E"/>
    <w:rsid w:val="00092955"/>
    <w:rsid w:val="000A67CD"/>
    <w:rsid w:val="000C0174"/>
    <w:rsid w:val="000F6199"/>
    <w:rsid w:val="00116308"/>
    <w:rsid w:val="00145097"/>
    <w:rsid w:val="001E3A8B"/>
    <w:rsid w:val="00212B15"/>
    <w:rsid w:val="002245FF"/>
    <w:rsid w:val="00267481"/>
    <w:rsid w:val="002A3014"/>
    <w:rsid w:val="002A3225"/>
    <w:rsid w:val="002C7F4E"/>
    <w:rsid w:val="002D3234"/>
    <w:rsid w:val="002E7AC9"/>
    <w:rsid w:val="00300AA6"/>
    <w:rsid w:val="00301B22"/>
    <w:rsid w:val="00352740"/>
    <w:rsid w:val="003A0A39"/>
    <w:rsid w:val="00411747"/>
    <w:rsid w:val="0041400D"/>
    <w:rsid w:val="004301C4"/>
    <w:rsid w:val="00465226"/>
    <w:rsid w:val="004B1286"/>
    <w:rsid w:val="00585F1E"/>
    <w:rsid w:val="005871CC"/>
    <w:rsid w:val="005C423E"/>
    <w:rsid w:val="005C4639"/>
    <w:rsid w:val="005D267F"/>
    <w:rsid w:val="0060088F"/>
    <w:rsid w:val="006111C7"/>
    <w:rsid w:val="00613435"/>
    <w:rsid w:val="006409B0"/>
    <w:rsid w:val="006522A0"/>
    <w:rsid w:val="00686D24"/>
    <w:rsid w:val="00695C44"/>
    <w:rsid w:val="006A1119"/>
    <w:rsid w:val="006A1D0E"/>
    <w:rsid w:val="006B7AB5"/>
    <w:rsid w:val="006D379A"/>
    <w:rsid w:val="007168D9"/>
    <w:rsid w:val="00727D1B"/>
    <w:rsid w:val="007624E5"/>
    <w:rsid w:val="007806C1"/>
    <w:rsid w:val="007C5179"/>
    <w:rsid w:val="007C7F4A"/>
    <w:rsid w:val="007F0449"/>
    <w:rsid w:val="008079D9"/>
    <w:rsid w:val="0082489B"/>
    <w:rsid w:val="008516FA"/>
    <w:rsid w:val="008749EB"/>
    <w:rsid w:val="00881843"/>
    <w:rsid w:val="008925C2"/>
    <w:rsid w:val="008A0861"/>
    <w:rsid w:val="008B6096"/>
    <w:rsid w:val="008C5DC1"/>
    <w:rsid w:val="008D084F"/>
    <w:rsid w:val="008D0F5B"/>
    <w:rsid w:val="008D73B7"/>
    <w:rsid w:val="00903D5C"/>
    <w:rsid w:val="009126CF"/>
    <w:rsid w:val="0095743B"/>
    <w:rsid w:val="009C1AB6"/>
    <w:rsid w:val="009E26A0"/>
    <w:rsid w:val="009E5D6C"/>
    <w:rsid w:val="00A4336E"/>
    <w:rsid w:val="00A579F1"/>
    <w:rsid w:val="00AC5D0B"/>
    <w:rsid w:val="00AD2470"/>
    <w:rsid w:val="00B370CB"/>
    <w:rsid w:val="00B66C20"/>
    <w:rsid w:val="00B76C1B"/>
    <w:rsid w:val="00B76FAE"/>
    <w:rsid w:val="00BA0B7C"/>
    <w:rsid w:val="00BA2270"/>
    <w:rsid w:val="00BB3231"/>
    <w:rsid w:val="00BD476C"/>
    <w:rsid w:val="00BF4920"/>
    <w:rsid w:val="00C03C9C"/>
    <w:rsid w:val="00C16A5F"/>
    <w:rsid w:val="00C76AFA"/>
    <w:rsid w:val="00CA2283"/>
    <w:rsid w:val="00CC3E67"/>
    <w:rsid w:val="00CE30DC"/>
    <w:rsid w:val="00D11E9F"/>
    <w:rsid w:val="00D375F6"/>
    <w:rsid w:val="00D424F0"/>
    <w:rsid w:val="00D4740C"/>
    <w:rsid w:val="00D52071"/>
    <w:rsid w:val="00D5779A"/>
    <w:rsid w:val="00E05F98"/>
    <w:rsid w:val="00E201C5"/>
    <w:rsid w:val="00E263EE"/>
    <w:rsid w:val="00E27843"/>
    <w:rsid w:val="00E44EA8"/>
    <w:rsid w:val="00EB4DD7"/>
    <w:rsid w:val="00ED5FCF"/>
    <w:rsid w:val="00EF0469"/>
    <w:rsid w:val="00EF3D3D"/>
    <w:rsid w:val="00F0557F"/>
    <w:rsid w:val="00F51362"/>
    <w:rsid w:val="00F73D39"/>
    <w:rsid w:val="00F76683"/>
    <w:rsid w:val="00F87330"/>
    <w:rsid w:val="00F94253"/>
    <w:rsid w:val="00FC7C40"/>
    <w:rsid w:val="00FD0D94"/>
    <w:rsid w:val="00FE6B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4E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695C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semiHidden/>
    <w:unhideWhenUsed/>
    <w:pPr>
      <w:spacing w:after="200" w:line="276" w:lineRule="auto"/>
    </w:pPr>
    <w:rPr>
      <w:rFonts w:ascii="Calibri" w:eastAsia="Calibri" w:hAnsi="Calibri" w:cs="Times New Roman"/>
      <w:sz w:val="20"/>
      <w:szCs w:val="20"/>
      <w:lang w:eastAsia="en-US"/>
    </w:rPr>
  </w:style>
  <w:style w:type="character" w:customStyle="1" w:styleId="FootnoteTextChar">
    <w:name w:val="Footnote Text Char"/>
    <w:basedOn w:val="DefaultParagraphFont"/>
    <w:semiHidden/>
    <w:rPr>
      <w:rFonts w:ascii="Calibri" w:eastAsia="Calibri" w:hAnsi="Calibri" w:cs="Times New Roman"/>
      <w:sz w:val="20"/>
      <w:szCs w:val="20"/>
      <w:lang w:eastAsia="en-US"/>
    </w:rPr>
  </w:style>
  <w:style w:type="character" w:styleId="FootnoteReference">
    <w:name w:val="footnote reference"/>
    <w:semiHidden/>
    <w:rPr>
      <w:shd w:val="clear" w:color="auto" w:fill="auto"/>
      <w:vertAlign w:val="superscript"/>
    </w:rPr>
  </w:style>
  <w:style w:type="character" w:styleId="Hyperlink">
    <w:name w:val="Hyperlink"/>
    <w:uiPriority w:val="99"/>
    <w:unhideWhenUsed/>
    <w:rPr>
      <w:color w:val="0563C1"/>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rFonts w:eastAsiaTheme="minorHAnsi"/>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rsid w:val="00695C44"/>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Languesfaisantfoi">
    <w:name w:val="Langues faisant foi"/>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695C44"/>
    <w:pPr>
      <w:spacing w:after="0"/>
    </w:pPr>
  </w:style>
  <w:style w:type="paragraph" w:customStyle="1" w:styleId="IntrtEEEPagedecouverture">
    <w:name w:val="Intérêt EEE (Page de couverture)"/>
    <w:basedOn w:val="IntrtEEE"/>
    <w:next w:val="Normal"/>
    <w:rsid w:val="00695C44"/>
  </w:style>
  <w:style w:type="character" w:customStyle="1" w:styleId="UnresolvedMention">
    <w:name w:val="Unresolved Mention"/>
    <w:basedOn w:val="DefaultParagraphFont"/>
    <w:uiPriority w:val="99"/>
    <w:semiHidden/>
    <w:unhideWhenUsed/>
    <w:rsid w:val="00BF4920"/>
    <w:rPr>
      <w:color w:val="605E5C"/>
      <w:shd w:val="clear" w:color="auto" w:fill="E1DFDD"/>
    </w:rPr>
  </w:style>
  <w:style w:type="paragraph" w:styleId="NormalWeb">
    <w:name w:val="Normal (Web)"/>
    <w:basedOn w:val="Normal"/>
    <w:uiPriority w:val="99"/>
    <w:semiHidden/>
    <w:unhideWhenUsed/>
    <w:rsid w:val="00727D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13381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94283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TXT/?uri=CELEX%3A52021DC0176" TargetMode="External"/><Relationship Id="rId7" Type="http://schemas.openxmlformats.org/officeDocument/2006/relationships/hyperlink" Target="http://data.europa.eu/eli/reg/2020/1056/oj" TargetMode="External"/><Relationship Id="rId2" Type="http://schemas.openxmlformats.org/officeDocument/2006/relationships/hyperlink" Target="https://eur-lex.europa.eu/legal-content/TXT/?uri=CELEX%3A52016DC0562" TargetMode="External"/><Relationship Id="rId1" Type="http://schemas.openxmlformats.org/officeDocument/2006/relationships/hyperlink" Target="http://data.europa.eu/eli/reg/2012/70/oj" TargetMode="External"/><Relationship Id="rId6" Type="http://schemas.openxmlformats.org/officeDocument/2006/relationships/hyperlink" Target="http://data.europa.eu/eli/reg/2024/1679/oj" TargetMode="External"/><Relationship Id="rId5" Type="http://schemas.openxmlformats.org/officeDocument/2006/relationships/hyperlink" Target="http://data.europa.eu/eli/dir/2023/2661/oj" TargetMode="External"/><Relationship Id="rId4" Type="http://schemas.openxmlformats.org/officeDocument/2006/relationships/hyperlink" Target="https://eur-lex.europa.eu/legal-content/TXT/?uri=CELEX%3A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C5C85CE-58D5-4424-8CBE-53623E213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2026-04-07T11:53:00Z</dcterms:created>
  <dcterms:modified xsi:type="dcterms:W3CDTF">2026-05-21T06:38:00Z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2026-03-27T11:05:08Z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3d9a72fe-8d65-4baf-a9dc-bb769af24067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