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A45D75" w14:textId="37D49777" w:rsidR="00695C44" w:rsidRPr="00411747" w:rsidRDefault="003269CF" w:rsidP="003269CF">
      <w:pPr>
        <w:pStyle w:val="Pagedecouverture"/>
        <w:rPr>
          <w:noProof/>
        </w:rPr>
      </w:pPr>
      <w:bookmarkStart w:id="0" w:name="LW_BM_COVERPAGE"/>
      <w:r>
        <w:rPr>
          <w:noProof/>
        </w:rPr>
        <w:pict w14:anchorId="05B86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88E1B02-13C2-4E2E-9979-407FEE153A30" style="width:455.25pt;height:300pt">
            <v:imagedata r:id="rId8" o:title=""/>
          </v:shape>
        </w:pict>
      </w:r>
    </w:p>
    <w:bookmarkEnd w:id="0"/>
    <w:p w14:paraId="18A1FBD7" w14:textId="77777777" w:rsidR="00695C44" w:rsidRPr="00411747" w:rsidRDefault="00695C44" w:rsidP="00ED5FCF">
      <w:pPr>
        <w:rPr>
          <w:noProof/>
        </w:rPr>
        <w:sectPr w:rsidR="00695C44" w:rsidRPr="00411747" w:rsidSect="003269C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A8E785B" w14:textId="77777777" w:rsidR="00B76C1B" w:rsidRPr="00411747" w:rsidRDefault="00903D5C">
      <w:pPr>
        <w:spacing w:before="360" w:after="0" w:line="240" w:lineRule="auto"/>
        <w:jc w:val="center"/>
        <w:rPr>
          <w:rFonts w:ascii="Times New Roman" w:hAnsi="Times New Roman"/>
          <w:b/>
          <w:noProof/>
          <w:sz w:val="24"/>
        </w:rPr>
      </w:pPr>
      <w:bookmarkStart w:id="1" w:name="_GoBack"/>
      <w:bookmarkEnd w:id="1"/>
      <w:r>
        <w:rPr>
          <w:rFonts w:ascii="Times New Roman" w:hAnsi="Times New Roman"/>
          <w:b/>
          <w:noProof/>
          <w:sz w:val="24"/>
        </w:rPr>
        <w:lastRenderedPageBreak/>
        <w:t>RAPPORT DE LA COMMISSION AU PARLEMENT EUROPÉEN ET AU CONSEIL</w:t>
      </w:r>
    </w:p>
    <w:p w14:paraId="16ABFDD3" w14:textId="06128CAC" w:rsidR="00B76C1B" w:rsidRPr="00411747" w:rsidRDefault="00903D5C" w:rsidP="000F6199">
      <w:pPr>
        <w:spacing w:before="240" w:after="0" w:line="240" w:lineRule="auto"/>
        <w:jc w:val="center"/>
        <w:rPr>
          <w:rFonts w:ascii="Times New Roman" w:hAnsi="Times New Roman"/>
          <w:b/>
          <w:noProof/>
          <w:sz w:val="24"/>
        </w:rPr>
      </w:pPr>
      <w:r>
        <w:rPr>
          <w:rFonts w:ascii="Times New Roman" w:hAnsi="Times New Roman"/>
          <w:b/>
          <w:noProof/>
          <w:sz w:val="24"/>
        </w:rPr>
        <w:t>concernant l’exercice du pouvoir d’adopter des actes délégués conféré à la Commission en vertu du règlement (UE) nº 70/2012 du Parlement européen et du Conseil</w:t>
      </w:r>
      <w:r>
        <w:rPr>
          <w:rFonts w:ascii="Times New Roman" w:hAnsi="Times New Roman"/>
          <w:noProof/>
          <w:sz w:val="24"/>
        </w:rPr>
        <w:t xml:space="preserve"> </w:t>
      </w:r>
      <w:r>
        <w:rPr>
          <w:rFonts w:ascii="Times New Roman" w:hAnsi="Times New Roman"/>
          <w:b/>
          <w:noProof/>
          <w:sz w:val="24"/>
        </w:rPr>
        <w:t>du 18 janvier 2012 relatif au relevé statistique des transports de marchandises par route</w:t>
      </w:r>
    </w:p>
    <w:p w14:paraId="5F35350F" w14:textId="77777777" w:rsidR="00B76C1B" w:rsidRPr="00411747" w:rsidRDefault="00903D5C" w:rsidP="001E3A8B">
      <w:pPr>
        <w:keepNext/>
        <w:numPr>
          <w:ilvl w:val="0"/>
          <w:numId w:val="7"/>
        </w:numPr>
        <w:shd w:val="clear" w:color="auto" w:fill="FFFFFF"/>
        <w:spacing w:before="360" w:after="240" w:line="240" w:lineRule="auto"/>
        <w:jc w:val="both"/>
        <w:outlineLvl w:val="0"/>
        <w:rPr>
          <w:rFonts w:ascii="Times New Roman Bold" w:hAnsi="Times New Roman Bold" w:hint="eastAsia"/>
          <w:b/>
          <w:bCs/>
          <w:caps/>
          <w:noProof/>
          <w:sz w:val="24"/>
          <w:szCs w:val="28"/>
        </w:rPr>
      </w:pPr>
      <w:r>
        <w:rPr>
          <w:rFonts w:ascii="Times New Roman Bold" w:hAnsi="Times New Roman Bold"/>
          <w:b/>
          <w:caps/>
          <w:noProof/>
          <w:sz w:val="24"/>
        </w:rPr>
        <w:t>Introduction</w:t>
      </w:r>
    </w:p>
    <w:p w14:paraId="17415D23" w14:textId="069FCADD" w:rsidR="00B76C1B" w:rsidRPr="00411747" w:rsidRDefault="00903D5C" w:rsidP="000F6199">
      <w:pPr>
        <w:spacing w:after="0" w:line="276" w:lineRule="auto"/>
        <w:jc w:val="both"/>
        <w:rPr>
          <w:rFonts w:ascii="Times New Roman" w:hAnsi="Times New Roman"/>
          <w:noProof/>
          <w:sz w:val="24"/>
        </w:rPr>
      </w:pPr>
      <w:r>
        <w:rPr>
          <w:rFonts w:ascii="Times New Roman" w:hAnsi="Times New Roman"/>
          <w:noProof/>
          <w:sz w:val="24"/>
        </w:rPr>
        <w:t>L’article 3, paragraphe 4, du règlement (UE) nº 70/2012 du Parlement européen et du Conseil(</w:t>
      </w:r>
      <w:r>
        <w:rPr>
          <w:rStyle w:val="FootnoteReference"/>
          <w:rFonts w:ascii="Times New Roman" w:hAnsi="Times New Roman"/>
          <w:noProof/>
          <w:sz w:val="24"/>
          <w:lang w:eastAsia="en-GB"/>
        </w:rPr>
        <w:footnoteReference w:id="1"/>
      </w:r>
      <w:r>
        <w:rPr>
          <w:rFonts w:ascii="Times New Roman" w:hAnsi="Times New Roman"/>
          <w:noProof/>
          <w:sz w:val="24"/>
        </w:rPr>
        <w:t>) habilite la Commission à adopter, le cas échéant, des actes délégués en conformité avec l’article 8 dudit règlement, pour:</w:t>
      </w:r>
    </w:p>
    <w:p w14:paraId="419ED5A4" w14:textId="2C3B312F" w:rsidR="00B76C1B" w:rsidRPr="00411747" w:rsidRDefault="00903D5C" w:rsidP="008079D9">
      <w:pPr>
        <w:pStyle w:val="ListParagraph"/>
        <w:numPr>
          <w:ilvl w:val="0"/>
          <w:numId w:val="9"/>
        </w:numPr>
        <w:spacing w:before="120" w:after="0" w:line="276" w:lineRule="auto"/>
        <w:ind w:left="681" w:hanging="397"/>
        <w:jc w:val="both"/>
        <w:rPr>
          <w:rFonts w:ascii="Times New Roman" w:hAnsi="Times New Roman"/>
          <w:noProof/>
          <w:sz w:val="24"/>
        </w:rPr>
      </w:pPr>
      <w:r>
        <w:rPr>
          <w:rFonts w:ascii="Times New Roman" w:hAnsi="Times New Roman"/>
          <w:noProof/>
          <w:sz w:val="24"/>
        </w:rPr>
        <w:t>mettre à jour la partie 1 de l’annexe I, uniquement pour tenir compte d’évolutions économiques et techniques, à l’exclusion de toute modification du caractère facultatif des informations requises;</w:t>
      </w:r>
    </w:p>
    <w:p w14:paraId="0576CAD3" w14:textId="75DA90A4" w:rsidR="00B76C1B" w:rsidRPr="00411747" w:rsidRDefault="00903D5C" w:rsidP="008079D9">
      <w:pPr>
        <w:pStyle w:val="ListParagraph"/>
        <w:numPr>
          <w:ilvl w:val="0"/>
          <w:numId w:val="9"/>
        </w:numPr>
        <w:spacing w:before="120" w:after="0" w:line="276" w:lineRule="auto"/>
        <w:ind w:left="681" w:hanging="397"/>
        <w:contextualSpacing w:val="0"/>
        <w:jc w:val="both"/>
        <w:rPr>
          <w:rFonts w:ascii="Times New Roman" w:hAnsi="Times New Roman"/>
          <w:noProof/>
          <w:sz w:val="24"/>
        </w:rPr>
      </w:pPr>
      <w:r>
        <w:rPr>
          <w:rFonts w:ascii="Times New Roman" w:hAnsi="Times New Roman"/>
          <w:noProof/>
          <w:sz w:val="24"/>
        </w:rPr>
        <w:t>adapter les annexes II à VII pour tenir compte d’évolutions économiques et techniques.</w:t>
      </w:r>
    </w:p>
    <w:p w14:paraId="394FB6C0" w14:textId="5CEBE919" w:rsidR="00B76C1B" w:rsidRPr="00411747" w:rsidRDefault="00903D5C">
      <w:pPr>
        <w:spacing w:before="240" w:after="0" w:line="276" w:lineRule="auto"/>
        <w:jc w:val="both"/>
        <w:rPr>
          <w:rFonts w:ascii="Times New Roman" w:hAnsi="Times New Roman"/>
          <w:noProof/>
          <w:sz w:val="24"/>
        </w:rPr>
      </w:pPr>
      <w:r>
        <w:rPr>
          <w:rFonts w:ascii="Times New Roman" w:hAnsi="Times New Roman"/>
          <w:noProof/>
          <w:sz w:val="24"/>
        </w:rPr>
        <w:t>En vertu de l’article 3, paragraphe 4, dudit règlement, lorsqu’elle exerce cette compétence, la Commission doit veiller à ce que tout acte délégué qu’elle adopte n’impose pas un surcroît important de charge administrative aux États membres ou aux entités répondantes.</w:t>
      </w:r>
    </w:p>
    <w:p w14:paraId="4222C322" w14:textId="77777777" w:rsidR="00B76C1B" w:rsidRPr="00411747" w:rsidRDefault="00903D5C" w:rsidP="001E3A8B">
      <w:pPr>
        <w:keepNext/>
        <w:numPr>
          <w:ilvl w:val="0"/>
          <w:numId w:val="7"/>
        </w:numPr>
        <w:shd w:val="clear" w:color="auto" w:fill="FFFFFF"/>
        <w:spacing w:before="360" w:after="240" w:line="240" w:lineRule="auto"/>
        <w:jc w:val="both"/>
        <w:outlineLvl w:val="0"/>
        <w:rPr>
          <w:rFonts w:ascii="Times New Roman Bold" w:hAnsi="Times New Roman Bold" w:hint="eastAsia"/>
          <w:b/>
          <w:bCs/>
          <w:caps/>
          <w:noProof/>
          <w:sz w:val="24"/>
          <w:szCs w:val="28"/>
        </w:rPr>
      </w:pPr>
      <w:r>
        <w:rPr>
          <w:rFonts w:ascii="Times New Roman Bold" w:hAnsi="Times New Roman Bold"/>
          <w:b/>
          <w:caps/>
          <w:noProof/>
          <w:sz w:val="24"/>
        </w:rPr>
        <w:t>Base juridique</w:t>
      </w:r>
    </w:p>
    <w:p w14:paraId="4AA4D1F5" w14:textId="5FC31895" w:rsidR="00B76C1B" w:rsidRPr="00411747" w:rsidRDefault="00903D5C" w:rsidP="000F6199">
      <w:pPr>
        <w:spacing w:after="0" w:line="276" w:lineRule="auto"/>
        <w:jc w:val="both"/>
        <w:rPr>
          <w:rFonts w:ascii="Times New Roman" w:hAnsi="Times New Roman"/>
          <w:noProof/>
          <w:sz w:val="24"/>
        </w:rPr>
      </w:pPr>
      <w:r>
        <w:rPr>
          <w:rFonts w:ascii="Times New Roman" w:hAnsi="Times New Roman"/>
          <w:noProof/>
          <w:sz w:val="24"/>
        </w:rPr>
        <w:t>En vertu de l’article 8, paragraphe 2, du règlement (UE) nº 70/2012, le pouvoir d’adopter des actes délégués visés à l’article 3, paragraphe 4, dudit règlement, est conféré à la Commission pour une période de cinq ans à compter du 23 février 2012. La délégation de pouvoir est tacitement prorogée pour des périodes de cinq ans supplémentaires, sauf si le Parlement européen ou le Conseil s’oppose à cette prorogation.</w:t>
      </w:r>
    </w:p>
    <w:p w14:paraId="30177F58" w14:textId="78170AA9" w:rsidR="00B76C1B" w:rsidRPr="00411747" w:rsidRDefault="00903D5C">
      <w:pPr>
        <w:spacing w:before="240" w:after="0" w:line="276" w:lineRule="auto"/>
        <w:jc w:val="both"/>
        <w:rPr>
          <w:rFonts w:ascii="Times New Roman" w:hAnsi="Times New Roman"/>
          <w:noProof/>
          <w:sz w:val="24"/>
        </w:rPr>
      </w:pPr>
      <w:r>
        <w:rPr>
          <w:rFonts w:ascii="Times New Roman" w:hAnsi="Times New Roman"/>
          <w:noProof/>
          <w:sz w:val="24"/>
        </w:rPr>
        <w:t>La Commission élabore un rapport relatif à la délégation de pouvoir au plus tard neuf mois avant la fin de la période de cinq ans.</w:t>
      </w:r>
    </w:p>
    <w:p w14:paraId="107D168F" w14:textId="63530AB6" w:rsidR="00B76C1B" w:rsidRPr="00411747" w:rsidRDefault="00903D5C">
      <w:pPr>
        <w:spacing w:before="240" w:after="0" w:line="276" w:lineRule="auto"/>
        <w:jc w:val="both"/>
        <w:rPr>
          <w:rFonts w:ascii="Times New Roman" w:hAnsi="Times New Roman"/>
          <w:noProof/>
          <w:sz w:val="24"/>
        </w:rPr>
      </w:pPr>
      <w:r>
        <w:rPr>
          <w:rFonts w:ascii="Times New Roman" w:hAnsi="Times New Roman"/>
          <w:noProof/>
          <w:sz w:val="24"/>
        </w:rPr>
        <w:t>La Commission a précédemment présenté des rapports en 2016(</w:t>
      </w:r>
      <w:r>
        <w:rPr>
          <w:rStyle w:val="FootnoteReference"/>
          <w:rFonts w:ascii="Times New Roman" w:hAnsi="Times New Roman"/>
          <w:noProof/>
          <w:sz w:val="24"/>
          <w:lang w:eastAsia="en-GB"/>
        </w:rPr>
        <w:footnoteReference w:id="2"/>
      </w:r>
      <w:r>
        <w:rPr>
          <w:rFonts w:ascii="Times New Roman" w:hAnsi="Times New Roman"/>
          <w:noProof/>
          <w:sz w:val="24"/>
        </w:rPr>
        <w:t>) et en 2021(</w:t>
      </w:r>
      <w:r>
        <w:rPr>
          <w:rStyle w:val="FootnoteReference"/>
          <w:rFonts w:ascii="Times New Roman" w:hAnsi="Times New Roman"/>
          <w:noProof/>
          <w:sz w:val="24"/>
          <w:lang w:eastAsia="en-GB"/>
        </w:rPr>
        <w:footnoteReference w:id="3"/>
      </w:r>
      <w:r>
        <w:rPr>
          <w:rFonts w:ascii="Times New Roman" w:hAnsi="Times New Roman"/>
          <w:noProof/>
          <w:sz w:val="24"/>
        </w:rPr>
        <w:t>). La délégation de pouvoir a été automatiquement prorogée de cinq années supplémentaires, de février 2017 à février 2022, puis, après le deuxième rapport, de cinq années supplémentaires, de février 2022 à février 2027, étant donné que ni le Parlement ni le Conseil ne l’ont révoquée en vertu de l’article 8, paragraphe 3.</w:t>
      </w:r>
    </w:p>
    <w:p w14:paraId="29D71948" w14:textId="326C034E" w:rsidR="00B76C1B" w:rsidRPr="00411747" w:rsidRDefault="00903D5C">
      <w:pPr>
        <w:spacing w:before="240" w:after="0" w:line="276" w:lineRule="auto"/>
        <w:jc w:val="both"/>
        <w:rPr>
          <w:rFonts w:ascii="Times New Roman" w:hAnsi="Times New Roman"/>
          <w:noProof/>
          <w:sz w:val="24"/>
        </w:rPr>
      </w:pPr>
      <w:r>
        <w:rPr>
          <w:rFonts w:ascii="Times New Roman" w:hAnsi="Times New Roman"/>
          <w:noProof/>
          <w:sz w:val="24"/>
        </w:rPr>
        <w:t>Le présent document constitue le troisième rapport de la Commission sur l’exercice de son pouvoir d’adopter des actes délégués.</w:t>
      </w:r>
    </w:p>
    <w:p w14:paraId="3BF1B4E0" w14:textId="77777777" w:rsidR="00B76C1B" w:rsidRPr="00411747" w:rsidRDefault="00903D5C" w:rsidP="001E3A8B">
      <w:pPr>
        <w:keepNext/>
        <w:numPr>
          <w:ilvl w:val="0"/>
          <w:numId w:val="7"/>
        </w:numPr>
        <w:shd w:val="clear" w:color="auto" w:fill="FFFFFF"/>
        <w:spacing w:before="360" w:after="240" w:line="240" w:lineRule="auto"/>
        <w:jc w:val="both"/>
        <w:outlineLvl w:val="0"/>
        <w:rPr>
          <w:rFonts w:ascii="Times New Roman Bold" w:eastAsia="Times New Roman" w:hAnsi="Times New Roman Bold"/>
          <w:b/>
          <w:bCs/>
          <w:caps/>
          <w:noProof/>
          <w:sz w:val="24"/>
          <w:szCs w:val="28"/>
        </w:rPr>
      </w:pPr>
      <w:r>
        <w:rPr>
          <w:rFonts w:ascii="Times New Roman Bold" w:hAnsi="Times New Roman Bold"/>
          <w:b/>
          <w:caps/>
          <w:noProof/>
          <w:sz w:val="24"/>
        </w:rPr>
        <w:t>Exercice de la délégation</w:t>
      </w:r>
    </w:p>
    <w:p w14:paraId="42B4C76C" w14:textId="74C78CB7" w:rsidR="00B76C1B" w:rsidRPr="00411747" w:rsidRDefault="00903D5C">
      <w:pPr>
        <w:spacing w:before="240" w:after="0" w:line="276" w:lineRule="auto"/>
        <w:jc w:val="both"/>
        <w:rPr>
          <w:rFonts w:ascii="Times New Roman" w:hAnsi="Times New Roman"/>
          <w:noProof/>
          <w:sz w:val="24"/>
        </w:rPr>
      </w:pPr>
      <w:r>
        <w:rPr>
          <w:rFonts w:ascii="Times New Roman" w:hAnsi="Times New Roman"/>
          <w:noProof/>
          <w:sz w:val="24"/>
        </w:rPr>
        <w:t>La Commission n’a pas encore exercé le pouvoir d’adopter des actes délégués qui lui est conféré par le règlement (UE) nº 70/2012.</w:t>
      </w:r>
    </w:p>
    <w:p w14:paraId="2C53501B" w14:textId="77777777" w:rsidR="00B76C1B" w:rsidRPr="00411747" w:rsidRDefault="00903D5C">
      <w:pPr>
        <w:spacing w:before="240" w:after="240" w:line="276" w:lineRule="auto"/>
        <w:jc w:val="both"/>
        <w:rPr>
          <w:rFonts w:ascii="Times New Roman" w:hAnsi="Times New Roman"/>
          <w:noProof/>
          <w:sz w:val="24"/>
        </w:rPr>
      </w:pPr>
      <w:r>
        <w:rPr>
          <w:rFonts w:ascii="Times New Roman" w:hAnsi="Times New Roman"/>
          <w:noProof/>
          <w:sz w:val="24"/>
        </w:rPr>
        <w:t>La Commission examine constamment avec les États membres les possibilités d’amélioration des statistiques des transports de marchandises par route, à l’aune des évolutions techniques et des nouvelles exigences économiques, environnementales et sociétales. La Commission, en collaboration avec le groupe d’experts sur les statistiques des transports de marchandises par route et le groupe de coordination des statistiques des transports, envisage des améliorations à apporter aux statistiques des transports de marchandises par route, tout en tenant compte des coûts et charges susceptibles de peser sur les pays et sur les entités répondantes.</w:t>
      </w:r>
    </w:p>
    <w:p w14:paraId="1334D56E" w14:textId="22C37223" w:rsidR="00B76C1B" w:rsidRPr="00411747" w:rsidRDefault="00903D5C" w:rsidP="008B6096">
      <w:pPr>
        <w:spacing w:after="0" w:line="276" w:lineRule="auto"/>
        <w:jc w:val="both"/>
        <w:rPr>
          <w:rFonts w:ascii="Times New Roman" w:hAnsi="Times New Roman"/>
          <w:noProof/>
          <w:sz w:val="24"/>
          <w:szCs w:val="24"/>
        </w:rPr>
      </w:pPr>
      <w:r>
        <w:rPr>
          <w:rFonts w:ascii="Times New Roman" w:hAnsi="Times New Roman"/>
          <w:noProof/>
          <w:sz w:val="24"/>
        </w:rPr>
        <w:t xml:space="preserve">Des statistiques sont nécessaires afin de suivre la mise en œuvre de la stratégie de mobilité durable et intelligente </w:t>
      </w:r>
      <w:bookmarkStart w:id="2" w:name="_Hlk221880980"/>
      <w:r>
        <w:rPr>
          <w:rFonts w:ascii="Times New Roman" w:hAnsi="Times New Roman"/>
          <w:noProof/>
          <w:sz w:val="24"/>
        </w:rPr>
        <w:t>(objectifs 2020-2050)</w:t>
      </w:r>
      <w:bookmarkEnd w:id="2"/>
      <w:r>
        <w:rPr>
          <w:rFonts w:ascii="Times New Roman" w:hAnsi="Times New Roman"/>
          <w:noProof/>
          <w:sz w:val="24"/>
        </w:rPr>
        <w:t>(</w:t>
      </w:r>
      <w:r>
        <w:rPr>
          <w:rStyle w:val="FootnoteReference"/>
          <w:rFonts w:ascii="Times New Roman" w:hAnsi="Times New Roman"/>
          <w:noProof/>
          <w:sz w:val="24"/>
          <w:szCs w:val="24"/>
          <w:lang w:eastAsia="de-DE"/>
        </w:rPr>
        <w:footnoteReference w:id="4"/>
      </w:r>
      <w:r>
        <w:rPr>
          <w:rFonts w:ascii="Times New Roman" w:hAnsi="Times New Roman"/>
          <w:noProof/>
          <w:sz w:val="24"/>
        </w:rPr>
        <w:t>) et de soutenir les actions qui complètent cette initiative phare, telles que la directive sur les systèmes de transport intelligents(</w:t>
      </w:r>
      <w:r>
        <w:rPr>
          <w:rStyle w:val="FootnoteReference"/>
          <w:rFonts w:ascii="Times New Roman" w:hAnsi="Times New Roman"/>
          <w:noProof/>
          <w:sz w:val="24"/>
          <w:szCs w:val="24"/>
          <w:lang w:eastAsia="de-DE"/>
        </w:rPr>
        <w:footnoteReference w:id="5"/>
      </w:r>
      <w:r>
        <w:rPr>
          <w:rFonts w:ascii="Times New Roman" w:hAnsi="Times New Roman"/>
          <w:noProof/>
          <w:sz w:val="24"/>
        </w:rPr>
        <w:t xml:space="preserve">), </w:t>
      </w:r>
      <w:bookmarkStart w:id="3" w:name="_Hlk221880333"/>
      <w:r>
        <w:rPr>
          <w:rFonts w:ascii="Times New Roman" w:hAnsi="Times New Roman"/>
          <w:noProof/>
          <w:sz w:val="24"/>
        </w:rPr>
        <w:t>la politique de l’UE relative au réseau transeuropéen de transport(</w:t>
      </w:r>
      <w:r>
        <w:rPr>
          <w:rStyle w:val="FootnoteReference"/>
          <w:rFonts w:ascii="Times New Roman" w:hAnsi="Times New Roman"/>
          <w:noProof/>
          <w:sz w:val="24"/>
          <w:szCs w:val="24"/>
          <w:lang w:eastAsia="de-DE"/>
        </w:rPr>
        <w:footnoteReference w:id="6"/>
      </w:r>
      <w:r>
        <w:rPr>
          <w:rFonts w:ascii="Times New Roman" w:hAnsi="Times New Roman"/>
          <w:noProof/>
          <w:sz w:val="24"/>
        </w:rPr>
        <w:t xml:space="preserve">) </w:t>
      </w:r>
      <w:bookmarkEnd w:id="3"/>
      <w:r>
        <w:rPr>
          <w:rFonts w:ascii="Times New Roman" w:hAnsi="Times New Roman"/>
          <w:noProof/>
          <w:sz w:val="24"/>
        </w:rPr>
        <w:t xml:space="preserve"> et le règlement concernant les informations électroniques relatives au transport de marchandises (eFTI)(</w:t>
      </w:r>
      <w:r>
        <w:rPr>
          <w:rStyle w:val="FootnoteReference"/>
          <w:rFonts w:ascii="Times New Roman" w:hAnsi="Times New Roman"/>
          <w:noProof/>
          <w:sz w:val="24"/>
          <w:szCs w:val="24"/>
          <w:lang w:eastAsia="de-DE"/>
        </w:rPr>
        <w:footnoteReference w:id="7"/>
      </w:r>
      <w:r>
        <w:rPr>
          <w:rFonts w:ascii="Times New Roman" w:hAnsi="Times New Roman"/>
          <w:noProof/>
          <w:sz w:val="24"/>
        </w:rPr>
        <w:t>). Ces actions peuvent nécessiter que la Commission adopte des actes délégués qui adaptent les annexes susmentionnées du règlement (UE) nº 70/2012 à des évolutions économiques et techniques, en vue d’un suivi efficace des objectifs et tendances stratégiques.</w:t>
      </w:r>
    </w:p>
    <w:p w14:paraId="12FFC46D" w14:textId="77777777" w:rsidR="00B76C1B" w:rsidRPr="00411747" w:rsidRDefault="00B76C1B">
      <w:pPr>
        <w:spacing w:before="240" w:after="0" w:line="276" w:lineRule="auto"/>
        <w:jc w:val="both"/>
        <w:rPr>
          <w:rFonts w:ascii="Times New Roman" w:hAnsi="Times New Roman"/>
          <w:noProof/>
          <w:sz w:val="24"/>
          <w:szCs w:val="24"/>
          <w:lang w:eastAsia="de-DE"/>
        </w:rPr>
      </w:pPr>
    </w:p>
    <w:sectPr w:rsidR="00B76C1B" w:rsidRPr="00411747">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F3323" w14:textId="77777777" w:rsidR="000C0174" w:rsidRPr="00411747" w:rsidRDefault="000C0174">
      <w:pPr>
        <w:spacing w:after="0" w:line="240" w:lineRule="auto"/>
      </w:pPr>
      <w:r>
        <w:separator/>
      </w:r>
    </w:p>
  </w:endnote>
  <w:endnote w:type="continuationSeparator" w:id="0">
    <w:p w14:paraId="1F9BF620" w14:textId="77777777" w:rsidR="000C0174" w:rsidRPr="00411747" w:rsidRDefault="000C0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altName w:val="Yu Gothic UI"/>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AB85B" w14:textId="78310229" w:rsidR="003269CF" w:rsidRPr="003269CF" w:rsidRDefault="003269CF" w:rsidP="003269CF">
    <w:pPr>
      <w:pStyle w:val="FooterCoverPage"/>
      <w:rPr>
        <w:rFonts w:ascii="Arial" w:hAnsi="Arial" w:cs="Arial"/>
        <w:b/>
        <w:sz w:val="48"/>
      </w:rPr>
    </w:pPr>
    <w:r w:rsidRPr="003269CF">
      <w:rPr>
        <w:rFonts w:ascii="Arial" w:hAnsi="Arial" w:cs="Arial"/>
        <w:b/>
        <w:sz w:val="48"/>
      </w:rPr>
      <w:t>FR</w:t>
    </w:r>
    <w:r w:rsidRPr="003269CF">
      <w:rPr>
        <w:rFonts w:ascii="Arial" w:hAnsi="Arial" w:cs="Arial"/>
        <w:b/>
        <w:sz w:val="48"/>
      </w:rPr>
      <w:tab/>
    </w:r>
    <w:r w:rsidRPr="003269CF">
      <w:rPr>
        <w:rFonts w:ascii="Arial" w:hAnsi="Arial" w:cs="Arial"/>
        <w:b/>
        <w:sz w:val="48"/>
      </w:rPr>
      <w:tab/>
    </w:r>
    <w:r w:rsidRPr="003269CF">
      <w:tab/>
    </w:r>
    <w:r w:rsidRPr="003269C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FF374" w14:textId="0747EDA5" w:rsidR="003269CF" w:rsidRPr="003269CF" w:rsidRDefault="003269CF" w:rsidP="003269CF">
    <w:pPr>
      <w:pStyle w:val="FooterCoverPage"/>
      <w:rPr>
        <w:rFonts w:ascii="Arial" w:hAnsi="Arial" w:cs="Arial"/>
        <w:b/>
        <w:sz w:val="48"/>
      </w:rPr>
    </w:pPr>
    <w:r w:rsidRPr="003269CF">
      <w:rPr>
        <w:rFonts w:ascii="Arial" w:hAnsi="Arial" w:cs="Arial"/>
        <w:b/>
        <w:sz w:val="48"/>
      </w:rPr>
      <w:t>FR</w:t>
    </w:r>
    <w:r w:rsidRPr="003269CF">
      <w:rPr>
        <w:rFonts w:ascii="Arial" w:hAnsi="Arial" w:cs="Arial"/>
        <w:b/>
        <w:sz w:val="48"/>
      </w:rPr>
      <w:tab/>
    </w:r>
    <w:r w:rsidRPr="003269CF">
      <w:rPr>
        <w:rFonts w:ascii="Arial" w:hAnsi="Arial" w:cs="Arial"/>
        <w:b/>
        <w:sz w:val="48"/>
      </w:rPr>
      <w:tab/>
    </w:r>
    <w:r w:rsidRPr="003269CF">
      <w:tab/>
    </w:r>
    <w:r w:rsidRPr="003269C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28BBE" w14:textId="77777777" w:rsidR="003269CF" w:rsidRPr="003269CF" w:rsidRDefault="003269CF" w:rsidP="003269C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7D6B2" w14:textId="77777777" w:rsidR="00B76C1B" w:rsidRPr="00411747" w:rsidRDefault="00B76C1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860516"/>
      <w:docPartObj>
        <w:docPartGallery w:val="Page Numbers (Bottom of Page)"/>
        <w:docPartUnique/>
      </w:docPartObj>
    </w:sdtPr>
    <w:sdtEndPr>
      <w:rPr>
        <w:rFonts w:ascii="Times New Roman" w:hAnsi="Times New Roman" w:cs="Times New Roman"/>
      </w:rPr>
    </w:sdtEndPr>
    <w:sdtContent>
      <w:p w14:paraId="0A2E3298" w14:textId="4440FDE6" w:rsidR="00B76C1B" w:rsidRPr="00411747" w:rsidRDefault="00903D5C" w:rsidP="00D4740C">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3269CF">
          <w:rPr>
            <w:rFonts w:ascii="Times New Roman" w:hAnsi="Times New Roman" w:cs="Times New Roman"/>
            <w:noProof/>
          </w:rPr>
          <w:t>2</w:t>
        </w:r>
        <w:r>
          <w:rPr>
            <w:rFonts w:ascii="Times New Roman" w:hAnsi="Times New Roman" w:cs="Times New Roman"/>
          </w:rPr>
          <w:fldChar w:fldCharType="end"/>
        </w:r>
      </w:p>
    </w:sdtContent>
  </w:sdt>
  <w:p w14:paraId="2957A37F" w14:textId="77777777" w:rsidR="00B76C1B" w:rsidRPr="00411747" w:rsidRDefault="00B76C1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356002"/>
      <w:docPartObj>
        <w:docPartGallery w:val="Page Numbers (Bottom of Page)"/>
        <w:docPartUnique/>
      </w:docPartObj>
    </w:sdtPr>
    <w:sdtEndPr/>
    <w:sdtContent>
      <w:p w14:paraId="5957EC1D" w14:textId="5E355507" w:rsidR="00B76C1B" w:rsidRPr="00411747" w:rsidRDefault="00903D5C">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3269CF">
          <w:rPr>
            <w:rFonts w:ascii="Times New Roman" w:hAnsi="Times New Roman" w:cs="Times New Roman"/>
            <w:noProof/>
          </w:rPr>
          <w:t>1</w:t>
        </w:r>
        <w:r>
          <w:rPr>
            <w:rFonts w:ascii="Times New Roman" w:hAnsi="Times New Roman" w:cs="Times New Roman"/>
          </w:rPr>
          <w:fldChar w:fldCharType="end"/>
        </w:r>
      </w:p>
    </w:sdtContent>
  </w:sdt>
  <w:p w14:paraId="1D09F75E" w14:textId="77777777" w:rsidR="00B76C1B" w:rsidRPr="00411747" w:rsidRDefault="00B76C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491BB" w14:textId="77777777" w:rsidR="000C0174" w:rsidRPr="00411747" w:rsidRDefault="000C0174">
      <w:pPr>
        <w:spacing w:after="0" w:line="240" w:lineRule="auto"/>
      </w:pPr>
      <w:r>
        <w:separator/>
      </w:r>
    </w:p>
  </w:footnote>
  <w:footnote w:type="continuationSeparator" w:id="0">
    <w:p w14:paraId="654C7BE2" w14:textId="77777777" w:rsidR="000C0174" w:rsidRPr="00411747" w:rsidRDefault="000C0174">
      <w:pPr>
        <w:spacing w:after="0" w:line="240" w:lineRule="auto"/>
      </w:pPr>
      <w:r>
        <w:continuationSeparator/>
      </w:r>
    </w:p>
  </w:footnote>
  <w:footnote w:id="1">
    <w:p w14:paraId="2E7F7BCF" w14:textId="6DE0E86F" w:rsidR="00B76C1B" w:rsidRPr="00411747" w:rsidRDefault="00903D5C" w:rsidP="00465226">
      <w:pPr>
        <w:pStyle w:val="FootnoteText"/>
        <w:spacing w:after="60" w:line="240" w:lineRule="auto"/>
        <w:rPr>
          <w:rFonts w:ascii="Times New Roman" w:hAnsi="Times New Roman"/>
        </w:rPr>
      </w:pPr>
      <w:r>
        <w:rPr>
          <w:rStyle w:val="FootnoteReference"/>
          <w:rFonts w:asciiTheme="minorHAnsi" w:hAnsiTheme="minorHAnsi" w:cstheme="minorHAnsi"/>
        </w:rPr>
        <w:footnoteRef/>
      </w:r>
      <w:r>
        <w:rPr>
          <w:rFonts w:ascii="Times New Roman" w:hAnsi="Times New Roman"/>
        </w:rPr>
        <w:t xml:space="preserve"> Règlement (UE) nº 70/2012 du Parlement européen et du Conseil du 18 janvier 2012 relatif au relevé statistique des transports de marchandises par route (JO L 32 du 3.2.2012, p. 1,  ELI: </w:t>
      </w:r>
      <w:hyperlink r:id="rId1" w:tooltip="Permet d’accéder à ce document par l’intermédiaire de son URI ELI." w:history="1">
        <w:r>
          <w:rPr>
            <w:rStyle w:val="Hyperlink"/>
            <w:rFonts w:ascii="Times New Roman" w:hAnsi="Times New Roman"/>
          </w:rPr>
          <w:t>http://data.europa.eu/eli/reg/2012/70/oj</w:t>
        </w:r>
      </w:hyperlink>
      <w:r>
        <w:rPr>
          <w:rFonts w:ascii="Times New Roman" w:hAnsi="Times New Roman"/>
        </w:rPr>
        <w:t>).</w:t>
      </w:r>
    </w:p>
  </w:footnote>
  <w:footnote w:id="2">
    <w:p w14:paraId="6BBD7F5A" w14:textId="43D7AE7A" w:rsidR="00B76C1B" w:rsidRPr="00411747" w:rsidRDefault="00903D5C" w:rsidP="00465226">
      <w:pPr>
        <w:pStyle w:val="FootnoteText"/>
        <w:spacing w:after="60" w:line="240" w:lineRule="auto"/>
        <w:rPr>
          <w:rFonts w:ascii="Times New Roman" w:hAnsi="Times New Roman"/>
        </w:rPr>
      </w:pPr>
      <w:r>
        <w:rPr>
          <w:rStyle w:val="FootnoteReference"/>
          <w:rFonts w:asciiTheme="minorHAnsi" w:hAnsiTheme="minorHAnsi" w:cstheme="minorHAnsi"/>
        </w:rPr>
        <w:footnoteRef/>
      </w:r>
      <w:r>
        <w:rPr>
          <w:rFonts w:ascii="Times New Roman" w:hAnsi="Times New Roman"/>
        </w:rPr>
        <w:t xml:space="preserve">Rapport de la Commission au Parlement européen et au Conseil concernant l’exercice du pouvoir d’adopter des actes délégués conféré à la Commission au titre du règlement (UE) nº 70/2012 du 18 janvier 2012 relatif au relevé statistique des transports de marchandises par route [COM(2016) 562 final du 12.9.2016, </w:t>
      </w:r>
      <w:r>
        <w:t xml:space="preserve"> </w:t>
      </w:r>
      <w:r>
        <w:br/>
      </w:r>
      <w:hyperlink r:id="rId2" w:history="1">
        <w:r>
          <w:rPr>
            <w:rStyle w:val="Hyperlink"/>
            <w:rFonts w:ascii="Times New Roman" w:hAnsi="Times New Roman"/>
          </w:rPr>
          <w:t>https://eur-lex.europa.eu/legal-content/TXT/?uri=CELEX%3A52016DC0562</w:t>
        </w:r>
      </w:hyperlink>
      <w:r>
        <w:rPr>
          <w:rFonts w:ascii="Times New Roman" w:hAnsi="Times New Roman"/>
        </w:rPr>
        <w:t>].</w:t>
      </w:r>
    </w:p>
  </w:footnote>
  <w:footnote w:id="3">
    <w:p w14:paraId="69962A3B" w14:textId="66670CA0" w:rsidR="00145097" w:rsidRPr="00411747" w:rsidRDefault="00145097" w:rsidP="00465226">
      <w:pPr>
        <w:pStyle w:val="FootnoteText"/>
        <w:spacing w:after="20"/>
      </w:pPr>
      <w:r>
        <w:rPr>
          <w:rStyle w:val="FootnoteReference"/>
        </w:rPr>
        <w:footnoteRef/>
      </w:r>
      <w:r>
        <w:rPr>
          <w:rFonts w:ascii="Times New Roman" w:hAnsi="Times New Roman"/>
        </w:rPr>
        <w:t xml:space="preserve">Rapport de la Commission au Parlement européen et au Conseil concernant l’exercice du pouvoir d’adopter des actes délégués conféré à la Commission en vertu du règlement (UE) nº 70/2012 du 18 janvier 2012 relatif au relevé statistique des transports de marchandises par route [COM(2021) 176 final, 14.4.2021, </w:t>
      </w:r>
      <w:r>
        <w:t xml:space="preserve"> </w:t>
      </w:r>
      <w:r>
        <w:br/>
      </w:r>
      <w:hyperlink r:id="rId3" w:history="1">
        <w:r>
          <w:rPr>
            <w:rStyle w:val="Hyperlink"/>
            <w:rFonts w:ascii="Times New Roman" w:hAnsi="Times New Roman"/>
          </w:rPr>
          <w:t>https://eur-lex.europa.eu/legal-content/TXT/?uri=CELEX%3A52021DC0176</w:t>
        </w:r>
      </w:hyperlink>
      <w:r>
        <w:rPr>
          <w:rFonts w:ascii="Times New Roman" w:hAnsi="Times New Roman"/>
        </w:rPr>
        <w:t>].</w:t>
      </w:r>
    </w:p>
  </w:footnote>
  <w:footnote w:id="4">
    <w:p w14:paraId="5FCB80A7" w14:textId="50FCC7FA" w:rsidR="00B76C1B" w:rsidRPr="007042F8" w:rsidRDefault="00903D5C" w:rsidP="000323B0">
      <w:pPr>
        <w:pStyle w:val="FootnoteText"/>
        <w:spacing w:after="60"/>
        <w:rPr>
          <w:lang w:val="en-US"/>
        </w:rPr>
      </w:pPr>
      <w:r>
        <w:rPr>
          <w:rStyle w:val="FootnoteReference"/>
          <w:rFonts w:asciiTheme="minorHAnsi" w:hAnsiTheme="minorHAnsi" w:cstheme="minorHAnsi"/>
        </w:rPr>
        <w:footnoteRef/>
      </w:r>
      <w:r w:rsidRPr="007042F8">
        <w:rPr>
          <w:rFonts w:ascii="Times New Roman" w:hAnsi="Times New Roman"/>
          <w:lang w:val="en-US"/>
        </w:rPr>
        <w:t xml:space="preserve"> COM(2020) 789 final, 9.12.2020, </w:t>
      </w:r>
      <w:r w:rsidRPr="007042F8">
        <w:rPr>
          <w:lang w:val="en-US"/>
        </w:rPr>
        <w:t xml:space="preserve"> </w:t>
      </w:r>
      <w:r w:rsidRPr="007042F8">
        <w:rPr>
          <w:lang w:val="en-US"/>
        </w:rPr>
        <w:br/>
      </w:r>
      <w:hyperlink r:id="rId4" w:history="1">
        <w:r w:rsidRPr="007042F8">
          <w:rPr>
            <w:rStyle w:val="Hyperlink"/>
            <w:rFonts w:ascii="Times New Roman" w:hAnsi="Times New Roman"/>
            <w:lang w:val="en-US"/>
          </w:rPr>
          <w:t>https://eur-lex.europa.eu/legal-content/TXT/?uri=CELEX%3A52020DC0789</w:t>
        </w:r>
      </w:hyperlink>
      <w:r w:rsidRPr="007042F8">
        <w:rPr>
          <w:rFonts w:ascii="Times New Roman" w:hAnsi="Times New Roman"/>
          <w:lang w:val="en-US"/>
        </w:rPr>
        <w:t>.</w:t>
      </w:r>
    </w:p>
  </w:footnote>
  <w:footnote w:id="5">
    <w:p w14:paraId="0A4CCAC0" w14:textId="677E7D6C" w:rsidR="00727D1B" w:rsidRPr="00411747" w:rsidRDefault="00727D1B" w:rsidP="001E3A8B">
      <w:pPr>
        <w:pStyle w:val="FootnoteText"/>
        <w:spacing w:after="60"/>
        <w:rPr>
          <w:rFonts w:ascii="Times New Roman" w:hAnsi="Times New Roman"/>
        </w:rPr>
      </w:pPr>
      <w:r>
        <w:rPr>
          <w:rStyle w:val="FootnoteReference"/>
        </w:rPr>
        <w:footnoteRef/>
      </w:r>
      <w:r>
        <w:t xml:space="preserve"> </w:t>
      </w:r>
      <w:r>
        <w:rPr>
          <w:rFonts w:ascii="Times New Roman" w:hAnsi="Times New Roman"/>
        </w:rPr>
        <w:t>Directive (UE) 2023/2661 du Parlement européen et du Conseil du 22 novembre 2023 modifiant la directive 2010/40/UE concernant le cadre pour le déploiement de systèmes de transport intelligents dans le domaine du transport routier et d’interfaces avec d’autres modes de transport (JO L, 2023/2661, 30.11.2023, ELI:</w:t>
      </w:r>
      <w:r>
        <w:t xml:space="preserve"> </w:t>
      </w:r>
      <w:hyperlink r:id="rId5" w:tgtFrame="_blank" w:tooltip="Permet d’accéder à ce document par l’intermédiaire de son URI ELI." w:history="1">
        <w:r>
          <w:rPr>
            <w:rStyle w:val="Hyperlink"/>
            <w:rFonts w:ascii="Times New Roman" w:hAnsi="Times New Roman"/>
          </w:rPr>
          <w:t>http://data.europa.eu/eli/dir/2023/2661/oj</w:t>
        </w:r>
      </w:hyperlink>
      <w:r>
        <w:rPr>
          <w:rFonts w:ascii="Times New Roman" w:hAnsi="Times New Roman"/>
        </w:rPr>
        <w:t>).</w:t>
      </w:r>
    </w:p>
  </w:footnote>
  <w:footnote w:id="6">
    <w:p w14:paraId="277452C4" w14:textId="56FE65B4" w:rsidR="00E201C5" w:rsidRPr="00411747" w:rsidRDefault="00E201C5" w:rsidP="001E3A8B">
      <w:pPr>
        <w:pStyle w:val="FootnoteText"/>
        <w:spacing w:after="60"/>
      </w:pPr>
      <w:r>
        <w:rPr>
          <w:rStyle w:val="FootnoteReference"/>
        </w:rPr>
        <w:footnoteRef/>
      </w:r>
      <w:r>
        <w:rPr>
          <w:rFonts w:ascii="Times New Roman" w:hAnsi="Times New Roman"/>
        </w:rPr>
        <w:t>Règlement (UE) 2024/1679 du Parlement européen et du Conseil du 13 juin 2024 sur les orientations de l’Union pour le développement du réseau transeuropéen de transport, modifiant les règlements (UE) 2021/1153 et (UE) nº 913/2010 et abrogeant le règlement (UE) nº 1315/2013 (JO L, 2024/1679, 28.6.2024, ELI: </w:t>
      </w:r>
      <w:hyperlink r:id="rId6" w:tgtFrame="_blank" w:tooltip="Permet d’accéder à ce document par l’intermédiaire de son URI ELI." w:history="1">
        <w:r>
          <w:rPr>
            <w:rStyle w:val="Hyperlink"/>
            <w:rFonts w:ascii="Times New Roman" w:hAnsi="Times New Roman"/>
          </w:rPr>
          <w:t>http://data.europa.eu/eli/reg/2024/1679/oj</w:t>
        </w:r>
      </w:hyperlink>
      <w:r>
        <w:rPr>
          <w:rFonts w:ascii="Times New Roman" w:hAnsi="Times New Roman"/>
        </w:rPr>
        <w:t>).</w:t>
      </w:r>
    </w:p>
  </w:footnote>
  <w:footnote w:id="7">
    <w:p w14:paraId="14D612E5" w14:textId="5AEBA8CC" w:rsidR="006522A0" w:rsidRPr="00D375F6" w:rsidRDefault="006522A0">
      <w:pPr>
        <w:pStyle w:val="FootnoteText"/>
      </w:pPr>
      <w:r>
        <w:rPr>
          <w:rStyle w:val="FootnoteReference"/>
        </w:rPr>
        <w:footnoteRef/>
      </w:r>
      <w:r>
        <w:t xml:space="preserve"> </w:t>
      </w:r>
      <w:r>
        <w:rPr>
          <w:rFonts w:ascii="Times New Roman" w:hAnsi="Times New Roman"/>
        </w:rPr>
        <w:t>Règlement (UE) 2020/1056 du Parlement européen et du Conseil du 15 juillet 2020 concernant les informations électroniques relatives au transport de marchandises (JO L 249 du 31.7.2020, p. 33, ELI: </w:t>
      </w:r>
      <w:hyperlink r:id="rId7" w:tooltip="Permet d’accéder à ce document par l’intermédiaire de son URI ELI." w:history="1">
        <w:r>
          <w:rPr>
            <w:rStyle w:val="Hyperlink"/>
            <w:rFonts w:ascii="Times New Roman" w:hAnsi="Times New Roman"/>
          </w:rPr>
          <w:t>http://data.europa.eu/eli/reg/2020/1056/oj</w:t>
        </w:r>
      </w:hyperlink>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11E73" w14:textId="77777777" w:rsidR="003269CF" w:rsidRPr="003269CF" w:rsidRDefault="003269CF" w:rsidP="003269C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89EF" w14:textId="77777777" w:rsidR="003269CF" w:rsidRPr="003269CF" w:rsidRDefault="003269CF" w:rsidP="003269C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175FD" w14:textId="77777777" w:rsidR="003269CF" w:rsidRPr="003269CF" w:rsidRDefault="003269CF" w:rsidP="003269C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13527" w14:textId="77777777" w:rsidR="00B76C1B" w:rsidRPr="00411747" w:rsidRDefault="00B76C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15AF0" w14:textId="77777777" w:rsidR="00B76C1B" w:rsidRPr="00411747" w:rsidRDefault="00B76C1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3A861" w14:textId="77777777" w:rsidR="00B76C1B" w:rsidRPr="00411747" w:rsidRDefault="00B76C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94F83"/>
    <w:multiLevelType w:val="hybridMultilevel"/>
    <w:tmpl w:val="2FA07E52"/>
    <w:lvl w:ilvl="0" w:tplc="1809000B">
      <w:start w:val="1"/>
      <w:numFmt w:val="bullet"/>
      <w:lvlText w:val=""/>
      <w:lvlJc w:val="left"/>
      <w:pPr>
        <w:ind w:left="817" w:hanging="360"/>
      </w:pPr>
      <w:rPr>
        <w:rFonts w:ascii="Wingdings" w:hAnsi="Wingdings" w:hint="default"/>
      </w:rPr>
    </w:lvl>
    <w:lvl w:ilvl="1" w:tplc="FFFFFFFF" w:tentative="1">
      <w:start w:val="1"/>
      <w:numFmt w:val="bullet"/>
      <w:lvlText w:val="o"/>
      <w:lvlJc w:val="left"/>
      <w:pPr>
        <w:ind w:left="1537" w:hanging="360"/>
      </w:pPr>
      <w:rPr>
        <w:rFonts w:ascii="Courier New" w:hAnsi="Courier New" w:cs="Courier New" w:hint="default"/>
      </w:rPr>
    </w:lvl>
    <w:lvl w:ilvl="2" w:tplc="FFFFFFFF" w:tentative="1">
      <w:start w:val="1"/>
      <w:numFmt w:val="bullet"/>
      <w:lvlText w:val=""/>
      <w:lvlJc w:val="left"/>
      <w:pPr>
        <w:ind w:left="2257" w:hanging="360"/>
      </w:pPr>
      <w:rPr>
        <w:rFonts w:ascii="Wingdings" w:hAnsi="Wingdings" w:hint="default"/>
      </w:rPr>
    </w:lvl>
    <w:lvl w:ilvl="3" w:tplc="FFFFFFFF" w:tentative="1">
      <w:start w:val="1"/>
      <w:numFmt w:val="bullet"/>
      <w:lvlText w:val=""/>
      <w:lvlJc w:val="left"/>
      <w:pPr>
        <w:ind w:left="2977" w:hanging="360"/>
      </w:pPr>
      <w:rPr>
        <w:rFonts w:ascii="Symbol" w:hAnsi="Symbol" w:hint="default"/>
      </w:rPr>
    </w:lvl>
    <w:lvl w:ilvl="4" w:tplc="FFFFFFFF" w:tentative="1">
      <w:start w:val="1"/>
      <w:numFmt w:val="bullet"/>
      <w:lvlText w:val="o"/>
      <w:lvlJc w:val="left"/>
      <w:pPr>
        <w:ind w:left="3697" w:hanging="360"/>
      </w:pPr>
      <w:rPr>
        <w:rFonts w:ascii="Courier New" w:hAnsi="Courier New" w:cs="Courier New" w:hint="default"/>
      </w:rPr>
    </w:lvl>
    <w:lvl w:ilvl="5" w:tplc="FFFFFFFF" w:tentative="1">
      <w:start w:val="1"/>
      <w:numFmt w:val="bullet"/>
      <w:lvlText w:val=""/>
      <w:lvlJc w:val="left"/>
      <w:pPr>
        <w:ind w:left="4417" w:hanging="360"/>
      </w:pPr>
      <w:rPr>
        <w:rFonts w:ascii="Wingdings" w:hAnsi="Wingdings" w:hint="default"/>
      </w:rPr>
    </w:lvl>
    <w:lvl w:ilvl="6" w:tplc="FFFFFFFF" w:tentative="1">
      <w:start w:val="1"/>
      <w:numFmt w:val="bullet"/>
      <w:lvlText w:val=""/>
      <w:lvlJc w:val="left"/>
      <w:pPr>
        <w:ind w:left="5137" w:hanging="360"/>
      </w:pPr>
      <w:rPr>
        <w:rFonts w:ascii="Symbol" w:hAnsi="Symbol" w:hint="default"/>
      </w:rPr>
    </w:lvl>
    <w:lvl w:ilvl="7" w:tplc="FFFFFFFF" w:tentative="1">
      <w:start w:val="1"/>
      <w:numFmt w:val="bullet"/>
      <w:lvlText w:val="o"/>
      <w:lvlJc w:val="left"/>
      <w:pPr>
        <w:ind w:left="5857" w:hanging="360"/>
      </w:pPr>
      <w:rPr>
        <w:rFonts w:ascii="Courier New" w:hAnsi="Courier New" w:cs="Courier New" w:hint="default"/>
      </w:rPr>
    </w:lvl>
    <w:lvl w:ilvl="8" w:tplc="FFFFFFFF" w:tentative="1">
      <w:start w:val="1"/>
      <w:numFmt w:val="bullet"/>
      <w:lvlText w:val=""/>
      <w:lvlJc w:val="left"/>
      <w:pPr>
        <w:ind w:left="6577" w:hanging="360"/>
      </w:pPr>
      <w:rPr>
        <w:rFonts w:ascii="Wingdings" w:hAnsi="Wingdings" w:hint="default"/>
      </w:rPr>
    </w:lvl>
  </w:abstractNum>
  <w:abstractNum w:abstractNumId="1" w15:restartNumberingAfterBreak="0">
    <w:nsid w:val="1D6610C4"/>
    <w:multiLevelType w:val="hybridMultilevel"/>
    <w:tmpl w:val="E15881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B155F3"/>
    <w:multiLevelType w:val="hybridMultilevel"/>
    <w:tmpl w:val="2CAE6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063AF2"/>
    <w:multiLevelType w:val="hybridMultilevel"/>
    <w:tmpl w:val="23CCC4EE"/>
    <w:lvl w:ilvl="0" w:tplc="01EC09CE">
      <w:start w:val="1"/>
      <w:numFmt w:val="bullet"/>
      <w:lvlText w:val=""/>
      <w:lvlJc w:val="left"/>
      <w:pPr>
        <w:ind w:left="2216" w:hanging="360"/>
      </w:pPr>
      <w:rPr>
        <w:rFonts w:ascii="Symbol" w:hAnsi="Symbol" w:hint="default"/>
      </w:rPr>
    </w:lvl>
    <w:lvl w:ilvl="1" w:tplc="08090003" w:tentative="1">
      <w:start w:val="1"/>
      <w:numFmt w:val="bullet"/>
      <w:lvlText w:val="o"/>
      <w:lvlJc w:val="left"/>
      <w:pPr>
        <w:ind w:left="2936" w:hanging="360"/>
      </w:pPr>
      <w:rPr>
        <w:rFonts w:ascii="Courier New" w:hAnsi="Courier New" w:cs="Courier New" w:hint="default"/>
      </w:rPr>
    </w:lvl>
    <w:lvl w:ilvl="2" w:tplc="08090005" w:tentative="1">
      <w:start w:val="1"/>
      <w:numFmt w:val="bullet"/>
      <w:lvlText w:val=""/>
      <w:lvlJc w:val="left"/>
      <w:pPr>
        <w:ind w:left="3656" w:hanging="360"/>
      </w:pPr>
      <w:rPr>
        <w:rFonts w:ascii="Wingdings" w:hAnsi="Wingdings" w:hint="default"/>
      </w:rPr>
    </w:lvl>
    <w:lvl w:ilvl="3" w:tplc="08090001" w:tentative="1">
      <w:start w:val="1"/>
      <w:numFmt w:val="bullet"/>
      <w:lvlText w:val=""/>
      <w:lvlJc w:val="left"/>
      <w:pPr>
        <w:ind w:left="4376" w:hanging="360"/>
      </w:pPr>
      <w:rPr>
        <w:rFonts w:ascii="Symbol" w:hAnsi="Symbol" w:hint="default"/>
      </w:rPr>
    </w:lvl>
    <w:lvl w:ilvl="4" w:tplc="08090003" w:tentative="1">
      <w:start w:val="1"/>
      <w:numFmt w:val="bullet"/>
      <w:lvlText w:val="o"/>
      <w:lvlJc w:val="left"/>
      <w:pPr>
        <w:ind w:left="5096" w:hanging="360"/>
      </w:pPr>
      <w:rPr>
        <w:rFonts w:ascii="Courier New" w:hAnsi="Courier New" w:cs="Courier New" w:hint="default"/>
      </w:rPr>
    </w:lvl>
    <w:lvl w:ilvl="5" w:tplc="08090005" w:tentative="1">
      <w:start w:val="1"/>
      <w:numFmt w:val="bullet"/>
      <w:lvlText w:val=""/>
      <w:lvlJc w:val="left"/>
      <w:pPr>
        <w:ind w:left="5816" w:hanging="360"/>
      </w:pPr>
      <w:rPr>
        <w:rFonts w:ascii="Wingdings" w:hAnsi="Wingdings" w:hint="default"/>
      </w:rPr>
    </w:lvl>
    <w:lvl w:ilvl="6" w:tplc="08090001" w:tentative="1">
      <w:start w:val="1"/>
      <w:numFmt w:val="bullet"/>
      <w:lvlText w:val=""/>
      <w:lvlJc w:val="left"/>
      <w:pPr>
        <w:ind w:left="6536" w:hanging="360"/>
      </w:pPr>
      <w:rPr>
        <w:rFonts w:ascii="Symbol" w:hAnsi="Symbol" w:hint="default"/>
      </w:rPr>
    </w:lvl>
    <w:lvl w:ilvl="7" w:tplc="08090003" w:tentative="1">
      <w:start w:val="1"/>
      <w:numFmt w:val="bullet"/>
      <w:lvlText w:val="o"/>
      <w:lvlJc w:val="left"/>
      <w:pPr>
        <w:ind w:left="7256" w:hanging="360"/>
      </w:pPr>
      <w:rPr>
        <w:rFonts w:ascii="Courier New" w:hAnsi="Courier New" w:cs="Courier New" w:hint="default"/>
      </w:rPr>
    </w:lvl>
    <w:lvl w:ilvl="8" w:tplc="08090005" w:tentative="1">
      <w:start w:val="1"/>
      <w:numFmt w:val="bullet"/>
      <w:lvlText w:val=""/>
      <w:lvlJc w:val="left"/>
      <w:pPr>
        <w:ind w:left="7976" w:hanging="360"/>
      </w:pPr>
      <w:rPr>
        <w:rFonts w:ascii="Wingdings" w:hAnsi="Wingdings" w:hint="default"/>
      </w:rPr>
    </w:lvl>
  </w:abstractNum>
  <w:abstractNum w:abstractNumId="4" w15:restartNumberingAfterBreak="0">
    <w:nsid w:val="33172DD4"/>
    <w:multiLevelType w:val="hybridMultilevel"/>
    <w:tmpl w:val="B3B24934"/>
    <w:lvl w:ilvl="0" w:tplc="428A1060">
      <w:numFmt w:val="bullet"/>
      <w:lvlText w:val="-"/>
      <w:lvlJc w:val="left"/>
      <w:pPr>
        <w:ind w:left="1210" w:hanging="360"/>
      </w:pPr>
      <w:rPr>
        <w:rFonts w:ascii="Times New Roman" w:eastAsiaTheme="minorEastAsia" w:hAnsi="Times New Roman" w:cs="Times New Roman"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5" w15:restartNumberingAfterBreak="0">
    <w:nsid w:val="355F3A3C"/>
    <w:multiLevelType w:val="hybridMultilevel"/>
    <w:tmpl w:val="0B1CA37E"/>
    <w:lvl w:ilvl="0" w:tplc="08090017">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6412804"/>
    <w:multiLevelType w:val="hybridMultilevel"/>
    <w:tmpl w:val="9906E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9EC207B"/>
    <w:multiLevelType w:val="hybridMultilevel"/>
    <w:tmpl w:val="6BA883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7"/>
  </w:num>
  <w:num w:numId="3">
    <w:abstractNumId w:val="5"/>
  </w:num>
  <w:num w:numId="4">
    <w:abstractNumId w:val="8"/>
  </w:num>
  <w:num w:numId="5">
    <w:abstractNumId w:val="1"/>
  </w:num>
  <w:num w:numId="6">
    <w:abstractNumId w:val="3"/>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88E1B02-13C2-4E2E-9979-407FEE153A30"/>
    <w:docVar w:name="LW_COVERPAGE_TYPE" w:val="1"/>
    <w:docVar w:name="LW_CROSSREFERENCE" w:val="&lt;UNUSED&gt;"/>
    <w:docVar w:name="LW_DocType" w:val="NORMAL"/>
    <w:docVar w:name="LW_EMISSION" w:val="21.5.2026"/>
    <w:docVar w:name="LW_EMISSION_ISODATE" w:val="2026-05-21"/>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concernant l\u8217?exercice du pouvoir d\u8217?adopter des actes délégués conféré à la Commission en vertu du règlement (UE) nº 70/2012 du Parlement européen et du Conseil&lt;/FMT&gt; &lt;FMT:Bold&gt;du 18 janvier 2012 relatif au relevé statistique des transports de marchandises par route&lt;/FMT&gt;"/>
    <w:docVar w:name="LW_TYPE.DOC.CP" w:val="RAPPORT DE LA COMMISSION AU PARLEMENT EUROPÉEN ET AU CONSEIL"/>
    <w:docVar w:name="LwApiVersions" w:val="LW4CoDe 1.24.5.0; LW 9.2, Build 20251112"/>
  </w:docVars>
  <w:rsids>
    <w:rsidRoot w:val="00B76C1B"/>
    <w:rsid w:val="00007F65"/>
    <w:rsid w:val="00011E9E"/>
    <w:rsid w:val="00017E37"/>
    <w:rsid w:val="000323B0"/>
    <w:rsid w:val="0003547F"/>
    <w:rsid w:val="000368D1"/>
    <w:rsid w:val="0005735E"/>
    <w:rsid w:val="00092955"/>
    <w:rsid w:val="000A67CD"/>
    <w:rsid w:val="000C0174"/>
    <w:rsid w:val="000F6199"/>
    <w:rsid w:val="00116308"/>
    <w:rsid w:val="00117420"/>
    <w:rsid w:val="00145097"/>
    <w:rsid w:val="001E3A8B"/>
    <w:rsid w:val="00212B15"/>
    <w:rsid w:val="002245FF"/>
    <w:rsid w:val="00267481"/>
    <w:rsid w:val="002A3014"/>
    <w:rsid w:val="002A3225"/>
    <w:rsid w:val="002C7F4E"/>
    <w:rsid w:val="002D3234"/>
    <w:rsid w:val="002E7AC9"/>
    <w:rsid w:val="00300AA6"/>
    <w:rsid w:val="00301B22"/>
    <w:rsid w:val="003269CF"/>
    <w:rsid w:val="00352740"/>
    <w:rsid w:val="003A0A39"/>
    <w:rsid w:val="00411747"/>
    <w:rsid w:val="0041400D"/>
    <w:rsid w:val="004301C4"/>
    <w:rsid w:val="00465226"/>
    <w:rsid w:val="004B1286"/>
    <w:rsid w:val="00585F1E"/>
    <w:rsid w:val="005871CC"/>
    <w:rsid w:val="00592213"/>
    <w:rsid w:val="005C423E"/>
    <w:rsid w:val="005C4639"/>
    <w:rsid w:val="005D267F"/>
    <w:rsid w:val="005D6480"/>
    <w:rsid w:val="0060088F"/>
    <w:rsid w:val="006111C7"/>
    <w:rsid w:val="00613435"/>
    <w:rsid w:val="006409B0"/>
    <w:rsid w:val="006522A0"/>
    <w:rsid w:val="00686D24"/>
    <w:rsid w:val="00695C44"/>
    <w:rsid w:val="006A1119"/>
    <w:rsid w:val="006A1D0E"/>
    <w:rsid w:val="006B7AB5"/>
    <w:rsid w:val="006D379A"/>
    <w:rsid w:val="007042F8"/>
    <w:rsid w:val="007168D9"/>
    <w:rsid w:val="00727D1B"/>
    <w:rsid w:val="007624E5"/>
    <w:rsid w:val="007806C1"/>
    <w:rsid w:val="007C5179"/>
    <w:rsid w:val="007C7F4A"/>
    <w:rsid w:val="007F0449"/>
    <w:rsid w:val="008079D9"/>
    <w:rsid w:val="0082489B"/>
    <w:rsid w:val="008516FA"/>
    <w:rsid w:val="008749EB"/>
    <w:rsid w:val="00881843"/>
    <w:rsid w:val="008925C2"/>
    <w:rsid w:val="008A0861"/>
    <w:rsid w:val="008B6096"/>
    <w:rsid w:val="008C5DC1"/>
    <w:rsid w:val="008D084F"/>
    <w:rsid w:val="008D0F5B"/>
    <w:rsid w:val="008D73B7"/>
    <w:rsid w:val="00903D5C"/>
    <w:rsid w:val="009126CF"/>
    <w:rsid w:val="0095743B"/>
    <w:rsid w:val="009C1AB6"/>
    <w:rsid w:val="009E26A0"/>
    <w:rsid w:val="009E5D6C"/>
    <w:rsid w:val="00A4336E"/>
    <w:rsid w:val="00A579F1"/>
    <w:rsid w:val="00AC5D0B"/>
    <w:rsid w:val="00AD2470"/>
    <w:rsid w:val="00B370CB"/>
    <w:rsid w:val="00B66C20"/>
    <w:rsid w:val="00B76C1B"/>
    <w:rsid w:val="00B76FAE"/>
    <w:rsid w:val="00BA0B7C"/>
    <w:rsid w:val="00BA2270"/>
    <w:rsid w:val="00BB3231"/>
    <w:rsid w:val="00BF4920"/>
    <w:rsid w:val="00C03C9C"/>
    <w:rsid w:val="00C16A5F"/>
    <w:rsid w:val="00C76AFA"/>
    <w:rsid w:val="00CA2283"/>
    <w:rsid w:val="00CC3E67"/>
    <w:rsid w:val="00CE30DC"/>
    <w:rsid w:val="00D11E9F"/>
    <w:rsid w:val="00D375F6"/>
    <w:rsid w:val="00D424F0"/>
    <w:rsid w:val="00D4740C"/>
    <w:rsid w:val="00D52071"/>
    <w:rsid w:val="00D5779A"/>
    <w:rsid w:val="00E05F98"/>
    <w:rsid w:val="00E201C5"/>
    <w:rsid w:val="00E263EE"/>
    <w:rsid w:val="00E27843"/>
    <w:rsid w:val="00E44EA8"/>
    <w:rsid w:val="00EB4DD7"/>
    <w:rsid w:val="00ED5FCF"/>
    <w:rsid w:val="00EF0469"/>
    <w:rsid w:val="00EF3D3D"/>
    <w:rsid w:val="00F0557F"/>
    <w:rsid w:val="00F51362"/>
    <w:rsid w:val="00F73D39"/>
    <w:rsid w:val="00F76683"/>
    <w:rsid w:val="00F87330"/>
    <w:rsid w:val="00F94253"/>
    <w:rsid w:val="00FD0D94"/>
    <w:rsid w:val="00FE6BE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4E9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695C4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semiHidden/>
    <w:unhideWhenUsed/>
    <w:pPr>
      <w:spacing w:after="200" w:line="276" w:lineRule="auto"/>
    </w:pPr>
    <w:rPr>
      <w:rFonts w:ascii="Calibri" w:eastAsia="Calibri" w:hAnsi="Calibri" w:cs="Times New Roman"/>
      <w:sz w:val="20"/>
      <w:szCs w:val="20"/>
      <w:lang w:eastAsia="en-US"/>
    </w:rPr>
  </w:style>
  <w:style w:type="character" w:customStyle="1" w:styleId="FootnoteTextChar">
    <w:name w:val="Footnote Text Char"/>
    <w:basedOn w:val="DefaultParagraphFont"/>
    <w:semiHidden/>
    <w:rPr>
      <w:rFonts w:ascii="Calibri" w:eastAsia="Calibri" w:hAnsi="Calibri" w:cs="Times New Roman"/>
      <w:sz w:val="20"/>
      <w:szCs w:val="20"/>
      <w:lang w:eastAsia="en-US"/>
    </w:rPr>
  </w:style>
  <w:style w:type="character" w:styleId="FootnoteReference">
    <w:name w:val="footnote reference"/>
    <w:semiHidden/>
    <w:rPr>
      <w:shd w:val="clear" w:color="auto" w:fill="auto"/>
      <w:vertAlign w:val="superscript"/>
    </w:rPr>
  </w:style>
  <w:style w:type="character" w:styleId="Hyperlink">
    <w:name w:val="Hyperlink"/>
    <w:uiPriority w:val="99"/>
    <w:unhideWhenUsed/>
    <w:rPr>
      <w:color w:val="0563C1"/>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table" w:styleId="TableGrid">
    <w:name w:val="Table Grid"/>
    <w:basedOn w:val="TableNormal"/>
    <w:uiPriority w:val="3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urityMarking">
    <w:name w:val="SecurityMarking"/>
    <w:basedOn w:val="Normal"/>
    <w:rsid w:val="00695C44"/>
    <w:pPr>
      <w:spacing w:after="0" w:line="276" w:lineRule="auto"/>
      <w:ind w:left="5103"/>
    </w:pPr>
    <w:rPr>
      <w:rFonts w:ascii="Times New Roman" w:eastAsiaTheme="minorHAnsi" w:hAnsi="Times New Roman" w:cs="Times New Roman"/>
      <w:sz w:val="28"/>
      <w:lang w:eastAsia="en-US"/>
    </w:rPr>
  </w:style>
  <w:style w:type="paragraph" w:customStyle="1" w:styleId="DateMarking">
    <w:name w:val="DateMarking"/>
    <w:basedOn w:val="Normal"/>
    <w:rsid w:val="00695C44"/>
    <w:pPr>
      <w:spacing w:after="0" w:line="276" w:lineRule="auto"/>
      <w:ind w:left="5103"/>
    </w:pPr>
    <w:rPr>
      <w:rFonts w:ascii="Times New Roman" w:eastAsiaTheme="minorHAnsi" w:hAnsi="Times New Roman" w:cs="Times New Roman"/>
      <w:i/>
      <w:sz w:val="28"/>
      <w:lang w:eastAsia="en-US"/>
    </w:rPr>
  </w:style>
  <w:style w:type="paragraph" w:customStyle="1" w:styleId="ReleasableTo">
    <w:name w:val="ReleasableTo"/>
    <w:basedOn w:val="Normal"/>
    <w:rsid w:val="00695C44"/>
    <w:pPr>
      <w:spacing w:after="0" w:line="276" w:lineRule="auto"/>
      <w:ind w:left="5103"/>
    </w:pPr>
    <w:rPr>
      <w:rFonts w:ascii="Times New Roman" w:eastAsiaTheme="minorHAnsi" w:hAnsi="Times New Roman" w:cs="Times New Roman"/>
      <w:i/>
      <w:sz w:val="28"/>
      <w:lang w:eastAsia="en-US"/>
    </w:rPr>
  </w:style>
  <w:style w:type="paragraph" w:customStyle="1" w:styleId="Languesfaisantfoi">
    <w:name w:val="Langues faisant foi"/>
    <w:basedOn w:val="Normal"/>
    <w:next w:val="Normal"/>
    <w:rsid w:val="00695C44"/>
    <w:pPr>
      <w:spacing w:before="360" w:after="240" w:line="240" w:lineRule="auto"/>
      <w:jc w:val="center"/>
    </w:pPr>
    <w:rPr>
      <w:rFonts w:ascii="Times New Roman" w:eastAsiaTheme="minorHAnsi" w:hAnsi="Times New Roman" w:cs="Times New Roman"/>
      <w:sz w:val="24"/>
      <w:lang w:eastAsia="en-US"/>
    </w:rPr>
  </w:style>
  <w:style w:type="paragraph" w:customStyle="1" w:styleId="LanguesfaisantfoiPagedecouverture">
    <w:name w:val="Langues faisant foi (Page de couverture)"/>
    <w:basedOn w:val="Normal"/>
    <w:next w:val="Normal"/>
    <w:rsid w:val="00695C44"/>
    <w:pPr>
      <w:spacing w:before="360" w:after="240" w:line="240" w:lineRule="auto"/>
      <w:jc w:val="center"/>
    </w:pPr>
    <w:rPr>
      <w:rFonts w:ascii="Times New Roman" w:eastAsiaTheme="minorHAnsi" w:hAnsi="Times New Roman" w:cs="Times New Roman"/>
      <w:sz w:val="24"/>
      <w:lang w:eastAsia="en-US"/>
    </w:rPr>
  </w:style>
  <w:style w:type="paragraph" w:customStyle="1" w:styleId="IntrtEEE">
    <w:name w:val="Intérêt EEE"/>
    <w:basedOn w:val="Languesfaisantfoi"/>
    <w:next w:val="Normal"/>
    <w:rsid w:val="00695C44"/>
    <w:pPr>
      <w:spacing w:after="0"/>
    </w:pPr>
  </w:style>
  <w:style w:type="paragraph" w:customStyle="1" w:styleId="IntrtEEEPagedecouverture">
    <w:name w:val="Intérêt EEE (Page de couverture)"/>
    <w:basedOn w:val="IntrtEEE"/>
    <w:next w:val="Normal"/>
    <w:rsid w:val="00695C44"/>
  </w:style>
  <w:style w:type="character" w:customStyle="1" w:styleId="UnresolvedMention">
    <w:name w:val="Unresolved Mention"/>
    <w:basedOn w:val="DefaultParagraphFont"/>
    <w:uiPriority w:val="99"/>
    <w:semiHidden/>
    <w:unhideWhenUsed/>
    <w:rsid w:val="00BF4920"/>
    <w:rPr>
      <w:color w:val="605E5C"/>
      <w:shd w:val="clear" w:color="auto" w:fill="E1DFDD"/>
    </w:rPr>
  </w:style>
  <w:style w:type="paragraph" w:styleId="NormalWeb">
    <w:name w:val="Normal (Web)"/>
    <w:basedOn w:val="Normal"/>
    <w:uiPriority w:val="99"/>
    <w:semiHidden/>
    <w:unhideWhenUsed/>
    <w:rsid w:val="00727D1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13381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94283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TXT/?uri=CELEX%3A52021DC0176" TargetMode="External"/><Relationship Id="rId7" Type="http://schemas.openxmlformats.org/officeDocument/2006/relationships/hyperlink" Target="http://data.europa.eu/eli/reg/2020/1056/oj" TargetMode="External"/><Relationship Id="rId2" Type="http://schemas.openxmlformats.org/officeDocument/2006/relationships/hyperlink" Target="https://eur-lex.europa.eu/legal-content/TXT/?uri=CELEX%3A52016DC0562" TargetMode="External"/><Relationship Id="rId1" Type="http://schemas.openxmlformats.org/officeDocument/2006/relationships/hyperlink" Target="http://data.europa.eu/eli/reg/2012/70/oj" TargetMode="External"/><Relationship Id="rId6" Type="http://schemas.openxmlformats.org/officeDocument/2006/relationships/hyperlink" Target="http://data.europa.eu/eli/reg/2024/1679/oj" TargetMode="External"/><Relationship Id="rId5" Type="http://schemas.openxmlformats.org/officeDocument/2006/relationships/hyperlink" Target="http://data.europa.eu/eli/dir/2023/2661/oj" TargetMode="External"/><Relationship Id="rId4" Type="http://schemas.openxmlformats.org/officeDocument/2006/relationships/hyperlink" Target="https://eur-lex.europa.eu/legal-content/TXT/?uri=CELEX%3A52020DC07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C44D189-C81C-4814-8508-6FD10DE66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2026-04-07T11:53:00Z</dcterms:created>
  <dcterms:modified xsi:type="dcterms:W3CDTF">2026-05-21T06:38:00Z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2026-03-27T11:05:08Z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3d9a72fe-8d65-4baf-a9dc-bb769af24067</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