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A45D75" w14:textId="5BA3E8E6" w:rsidR="00695C44" w:rsidRPr="00D65120" w:rsidRDefault="002F214B" w:rsidP="002F214B">
      <w:pPr>
        <w:pStyle w:val="Pagedecouverture"/>
        <w:rPr>
          <w:noProof/>
        </w:rPr>
      </w:pPr>
      <w:bookmarkStart w:id="0" w:name="LW_BM_COVERPAGE"/>
      <w:r>
        <w:rPr>
          <w:noProof/>
        </w:rPr>
        <w:pict w14:anchorId="6DFBD7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59888A8-C044-43D8-888E-9D336368A27F" style="width:455.25pt;height:300pt">
            <v:imagedata r:id="rId8" o:title=""/>
          </v:shape>
        </w:pict>
      </w:r>
    </w:p>
    <w:bookmarkEnd w:id="0"/>
    <w:p w14:paraId="18A1FBD7" w14:textId="77777777" w:rsidR="00695C44" w:rsidRPr="00D65120" w:rsidRDefault="00695C44" w:rsidP="00ED5FCF">
      <w:pPr>
        <w:rPr>
          <w:noProof/>
        </w:rPr>
        <w:sectPr w:rsidR="00695C44" w:rsidRPr="00D65120" w:rsidSect="002F214B">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0A8E785B" w14:textId="77777777" w:rsidR="00B76C1B" w:rsidRPr="00D65120" w:rsidRDefault="00903D5C">
      <w:pPr>
        <w:spacing w:before="360" w:after="0" w:line="240" w:lineRule="auto"/>
        <w:jc w:val="center"/>
        <w:rPr>
          <w:rFonts w:ascii="Times New Roman" w:hAnsi="Times New Roman"/>
          <w:b/>
          <w:noProof/>
          <w:sz w:val="24"/>
        </w:rPr>
      </w:pPr>
      <w:bookmarkStart w:id="1" w:name="_GoBack"/>
      <w:bookmarkEnd w:id="1"/>
      <w:r w:rsidRPr="00D65120">
        <w:rPr>
          <w:rFonts w:ascii="Times New Roman" w:hAnsi="Times New Roman"/>
          <w:b/>
          <w:noProof/>
          <w:sz w:val="24"/>
        </w:rPr>
        <w:lastRenderedPageBreak/>
        <w:t>RAPORT AL COMISIEI CĂTRE PARLAMENTUL EUROPEAN ȘI CONSILIU</w:t>
      </w:r>
    </w:p>
    <w:p w14:paraId="16ABFDD3" w14:textId="06128CAC" w:rsidR="00B76C1B" w:rsidRPr="00D65120" w:rsidRDefault="00903D5C" w:rsidP="000F6199">
      <w:pPr>
        <w:spacing w:before="240" w:after="0" w:line="240" w:lineRule="auto"/>
        <w:jc w:val="center"/>
        <w:rPr>
          <w:rFonts w:ascii="Times New Roman" w:hAnsi="Times New Roman"/>
          <w:b/>
          <w:bCs/>
          <w:noProof/>
          <w:sz w:val="24"/>
        </w:rPr>
      </w:pPr>
      <w:r w:rsidRPr="00D65120">
        <w:rPr>
          <w:rFonts w:ascii="Times New Roman" w:hAnsi="Times New Roman"/>
          <w:b/>
          <w:bCs/>
          <w:noProof/>
          <w:sz w:val="24"/>
        </w:rPr>
        <w:t>privind exercitarea competenței de a adopta acte delegate conferită Comisiei în temeiul Regulamentului (UE) nr. 70/2012 al Parlamentului European și al Consiliului din 18 ianuarie 2012 privind datele statistice referitoare la transportul rutier de mărfuri</w:t>
      </w:r>
    </w:p>
    <w:p w14:paraId="5F35350F" w14:textId="77777777" w:rsidR="00B76C1B" w:rsidRPr="00D65120" w:rsidRDefault="00903D5C" w:rsidP="001E3A8B">
      <w:pPr>
        <w:keepNext/>
        <w:numPr>
          <w:ilvl w:val="0"/>
          <w:numId w:val="7"/>
        </w:numPr>
        <w:shd w:val="clear" w:color="auto" w:fill="FFFFFF"/>
        <w:spacing w:before="360" w:after="240" w:line="240" w:lineRule="auto"/>
        <w:jc w:val="both"/>
        <w:outlineLvl w:val="0"/>
        <w:rPr>
          <w:rFonts w:ascii="Times New Roman Bold" w:hAnsi="Times New Roman Bold" w:hint="eastAsia"/>
          <w:b/>
          <w:bCs/>
          <w:caps/>
          <w:noProof/>
          <w:sz w:val="24"/>
          <w:szCs w:val="28"/>
        </w:rPr>
      </w:pPr>
      <w:r w:rsidRPr="00D65120">
        <w:rPr>
          <w:rFonts w:ascii="Times New Roman Bold" w:hAnsi="Times New Roman Bold"/>
          <w:b/>
          <w:caps/>
          <w:noProof/>
          <w:sz w:val="24"/>
        </w:rPr>
        <w:t>Introducere</w:t>
      </w:r>
    </w:p>
    <w:p w14:paraId="17415D23" w14:textId="5E24CD13" w:rsidR="00B76C1B" w:rsidRPr="00D65120" w:rsidRDefault="00903D5C" w:rsidP="000F6199">
      <w:pPr>
        <w:spacing w:after="0" w:line="276" w:lineRule="auto"/>
        <w:jc w:val="both"/>
        <w:rPr>
          <w:rFonts w:ascii="Times New Roman" w:hAnsi="Times New Roman"/>
          <w:noProof/>
          <w:sz w:val="24"/>
        </w:rPr>
      </w:pPr>
      <w:r w:rsidRPr="00D65120">
        <w:rPr>
          <w:rFonts w:ascii="Times New Roman" w:hAnsi="Times New Roman"/>
          <w:noProof/>
          <w:sz w:val="24"/>
        </w:rPr>
        <w:t>Articolul 3 alineatul (4) din Regulamentul (UE) nr. 70/2012 al Parlamentului European și al Consiliului</w:t>
      </w:r>
      <w:r w:rsidR="00C21B6F" w:rsidRPr="00D65120">
        <w:rPr>
          <w:rFonts w:ascii="Times New Roman" w:hAnsi="Times New Roman"/>
          <w:noProof/>
          <w:sz w:val="24"/>
        </w:rPr>
        <w:t> </w:t>
      </w:r>
      <w:r w:rsidRPr="00D65120">
        <w:rPr>
          <w:rFonts w:ascii="Times New Roman" w:hAnsi="Times New Roman"/>
          <w:noProof/>
          <w:sz w:val="24"/>
        </w:rPr>
        <w:t>(</w:t>
      </w:r>
      <w:r w:rsidRPr="00D65120">
        <w:rPr>
          <w:rStyle w:val="FootnoteReference"/>
          <w:rFonts w:ascii="Times New Roman" w:hAnsi="Times New Roman"/>
          <w:noProof/>
          <w:sz w:val="24"/>
          <w:lang w:eastAsia="en-GB"/>
        </w:rPr>
        <w:footnoteReference w:id="1"/>
      </w:r>
      <w:r w:rsidRPr="00D65120">
        <w:rPr>
          <w:rFonts w:ascii="Times New Roman" w:hAnsi="Times New Roman"/>
          <w:noProof/>
          <w:sz w:val="24"/>
        </w:rPr>
        <w:t>) împuternicește Comisia să adopte, atunci când este necesar, acte delegate în conformitate cu articolul 8 din regulamentul susmenționat pentru:</w:t>
      </w:r>
    </w:p>
    <w:p w14:paraId="419ED5A4" w14:textId="2C3B312F" w:rsidR="00B76C1B" w:rsidRPr="00D65120" w:rsidRDefault="00903D5C" w:rsidP="008079D9">
      <w:pPr>
        <w:pStyle w:val="ListParagraph"/>
        <w:numPr>
          <w:ilvl w:val="0"/>
          <w:numId w:val="9"/>
        </w:numPr>
        <w:spacing w:before="120" w:after="0" w:line="276" w:lineRule="auto"/>
        <w:ind w:left="681" w:hanging="397"/>
        <w:jc w:val="both"/>
        <w:rPr>
          <w:rFonts w:ascii="Times New Roman" w:hAnsi="Times New Roman"/>
          <w:noProof/>
          <w:sz w:val="24"/>
        </w:rPr>
      </w:pPr>
      <w:r w:rsidRPr="00D65120">
        <w:rPr>
          <w:rFonts w:ascii="Times New Roman" w:hAnsi="Times New Roman"/>
          <w:noProof/>
          <w:sz w:val="24"/>
        </w:rPr>
        <w:t>actualizarea părții 1 din anexa I, exclusiv pentru a lua în considerare evoluțiile economice și tehnice, cu excepția modificărilor naturii opționale a informațiilor solicitate;</w:t>
      </w:r>
    </w:p>
    <w:p w14:paraId="0576CAD3" w14:textId="75DA90A4" w:rsidR="00B76C1B" w:rsidRPr="00D65120" w:rsidRDefault="00903D5C" w:rsidP="008079D9">
      <w:pPr>
        <w:pStyle w:val="ListParagraph"/>
        <w:numPr>
          <w:ilvl w:val="0"/>
          <w:numId w:val="9"/>
        </w:numPr>
        <w:spacing w:before="120" w:after="0" w:line="276" w:lineRule="auto"/>
        <w:ind w:left="681" w:hanging="397"/>
        <w:contextualSpacing w:val="0"/>
        <w:jc w:val="both"/>
        <w:rPr>
          <w:rFonts w:ascii="Times New Roman" w:hAnsi="Times New Roman"/>
          <w:noProof/>
          <w:sz w:val="24"/>
        </w:rPr>
      </w:pPr>
      <w:r w:rsidRPr="00D65120">
        <w:rPr>
          <w:rFonts w:ascii="Times New Roman" w:hAnsi="Times New Roman"/>
          <w:noProof/>
          <w:sz w:val="24"/>
        </w:rPr>
        <w:t>adaptarea anexelor II-VII pentru a lua în considerare evoluțiile economice și tehnice.</w:t>
      </w:r>
    </w:p>
    <w:p w14:paraId="394FB6C0" w14:textId="5CEBE919" w:rsidR="00B76C1B" w:rsidRPr="00D65120" w:rsidRDefault="00903D5C">
      <w:pPr>
        <w:spacing w:before="240" w:after="0" w:line="276" w:lineRule="auto"/>
        <w:jc w:val="both"/>
        <w:rPr>
          <w:rFonts w:ascii="Times New Roman" w:hAnsi="Times New Roman"/>
          <w:noProof/>
          <w:sz w:val="24"/>
        </w:rPr>
      </w:pPr>
      <w:r w:rsidRPr="00D65120">
        <w:rPr>
          <w:rFonts w:ascii="Times New Roman" w:hAnsi="Times New Roman"/>
          <w:noProof/>
          <w:sz w:val="24"/>
        </w:rPr>
        <w:t>Potrivit articolului 3 alineatul (4) din același regulament, în exercitarea acestei competențe, Comisia trebuie să se asigure că actele delegate pe care le adoptă nu impun sarcini administrative suplimentare considerabile pentru statele membre și pentru respondenți.</w:t>
      </w:r>
    </w:p>
    <w:p w14:paraId="4222C322" w14:textId="77777777" w:rsidR="00B76C1B" w:rsidRPr="00D65120" w:rsidRDefault="00903D5C" w:rsidP="001E3A8B">
      <w:pPr>
        <w:keepNext/>
        <w:numPr>
          <w:ilvl w:val="0"/>
          <w:numId w:val="7"/>
        </w:numPr>
        <w:shd w:val="clear" w:color="auto" w:fill="FFFFFF"/>
        <w:spacing w:before="360" w:after="240" w:line="240" w:lineRule="auto"/>
        <w:jc w:val="both"/>
        <w:outlineLvl w:val="0"/>
        <w:rPr>
          <w:rFonts w:ascii="Times New Roman Bold" w:hAnsi="Times New Roman Bold" w:hint="eastAsia"/>
          <w:b/>
          <w:bCs/>
          <w:caps/>
          <w:noProof/>
          <w:sz w:val="24"/>
          <w:szCs w:val="28"/>
        </w:rPr>
      </w:pPr>
      <w:r w:rsidRPr="00D65120">
        <w:rPr>
          <w:rFonts w:ascii="Times New Roman Bold" w:hAnsi="Times New Roman Bold"/>
          <w:b/>
          <w:caps/>
          <w:noProof/>
          <w:sz w:val="24"/>
        </w:rPr>
        <w:t>Temeiul juridic</w:t>
      </w:r>
    </w:p>
    <w:p w14:paraId="4AA4D1F5" w14:textId="5FC31895" w:rsidR="00B76C1B" w:rsidRPr="00D65120" w:rsidRDefault="00903D5C" w:rsidP="000F6199">
      <w:pPr>
        <w:spacing w:after="0" w:line="276" w:lineRule="auto"/>
        <w:jc w:val="both"/>
        <w:rPr>
          <w:rFonts w:ascii="Times New Roman" w:hAnsi="Times New Roman"/>
          <w:noProof/>
          <w:sz w:val="24"/>
        </w:rPr>
      </w:pPr>
      <w:r w:rsidRPr="00D65120">
        <w:rPr>
          <w:rFonts w:ascii="Times New Roman" w:hAnsi="Times New Roman"/>
          <w:noProof/>
          <w:sz w:val="24"/>
        </w:rPr>
        <w:t>În temeiul articolului 8 alineatul (2) din Regulamentul (UE) nr. 70/2012, competența de a adopta acte delegate menționată la articolul 3 alineatul (4) din regulamentul susmenționat se conferă Comisiei pe o perioadă de cinci ani începând de la 23 februarie 2012. Delegarea de competențe se prelungește în mod tacit pentru perioade de cinci ani, cu excepția cazului în care Parlamentul European sau Consiliul se opune unei astfel de prelungiri.</w:t>
      </w:r>
    </w:p>
    <w:p w14:paraId="30177F58" w14:textId="78170AA9" w:rsidR="00B76C1B" w:rsidRPr="00D65120" w:rsidRDefault="00903D5C">
      <w:pPr>
        <w:spacing w:before="240" w:after="0" w:line="276" w:lineRule="auto"/>
        <w:jc w:val="both"/>
        <w:rPr>
          <w:rFonts w:ascii="Times New Roman" w:hAnsi="Times New Roman"/>
          <w:noProof/>
          <w:sz w:val="24"/>
        </w:rPr>
      </w:pPr>
      <w:r w:rsidRPr="00D65120">
        <w:rPr>
          <w:rFonts w:ascii="Times New Roman" w:hAnsi="Times New Roman"/>
          <w:noProof/>
          <w:sz w:val="24"/>
        </w:rPr>
        <w:t>Comisia are obligația să elaboreze un raport privind delegarea de competențe cu cel puțin nouă luni înainte de încheierea perioadei de cinci ani.</w:t>
      </w:r>
    </w:p>
    <w:p w14:paraId="107D168F" w14:textId="51DC77C6" w:rsidR="00B76C1B" w:rsidRPr="00D65120" w:rsidRDefault="00903D5C">
      <w:pPr>
        <w:spacing w:before="240" w:after="0" w:line="276" w:lineRule="auto"/>
        <w:jc w:val="both"/>
        <w:rPr>
          <w:rFonts w:ascii="Times New Roman" w:hAnsi="Times New Roman"/>
          <w:noProof/>
          <w:sz w:val="24"/>
        </w:rPr>
      </w:pPr>
      <w:r w:rsidRPr="00D65120">
        <w:rPr>
          <w:rFonts w:ascii="Times New Roman" w:hAnsi="Times New Roman"/>
          <w:noProof/>
          <w:sz w:val="24"/>
        </w:rPr>
        <w:t>Comisia a prezentat rapoarte anterioare în 2016</w:t>
      </w:r>
      <w:r w:rsidR="00C21B6F" w:rsidRPr="00D65120">
        <w:rPr>
          <w:rFonts w:ascii="Times New Roman" w:hAnsi="Times New Roman"/>
          <w:noProof/>
          <w:sz w:val="24"/>
        </w:rPr>
        <w:t> </w:t>
      </w:r>
      <w:r w:rsidRPr="00D65120">
        <w:rPr>
          <w:rFonts w:ascii="Times New Roman" w:hAnsi="Times New Roman"/>
          <w:noProof/>
          <w:sz w:val="24"/>
        </w:rPr>
        <w:t>(</w:t>
      </w:r>
      <w:r w:rsidRPr="00D65120">
        <w:rPr>
          <w:rStyle w:val="FootnoteReference"/>
          <w:rFonts w:ascii="Times New Roman" w:hAnsi="Times New Roman"/>
          <w:noProof/>
          <w:sz w:val="24"/>
          <w:lang w:eastAsia="en-GB"/>
        </w:rPr>
        <w:footnoteReference w:id="2"/>
      </w:r>
      <w:r w:rsidRPr="00D65120">
        <w:rPr>
          <w:rFonts w:ascii="Times New Roman" w:hAnsi="Times New Roman"/>
          <w:noProof/>
          <w:sz w:val="24"/>
        </w:rPr>
        <w:t>) și 2021</w:t>
      </w:r>
      <w:r w:rsidR="00C21B6F" w:rsidRPr="00D65120">
        <w:rPr>
          <w:rFonts w:ascii="Times New Roman" w:hAnsi="Times New Roman"/>
          <w:noProof/>
          <w:sz w:val="24"/>
        </w:rPr>
        <w:t> </w:t>
      </w:r>
      <w:r w:rsidRPr="00D65120">
        <w:rPr>
          <w:rFonts w:ascii="Times New Roman" w:hAnsi="Times New Roman"/>
          <w:noProof/>
          <w:sz w:val="24"/>
        </w:rPr>
        <w:t>(</w:t>
      </w:r>
      <w:r w:rsidRPr="00D65120">
        <w:rPr>
          <w:rStyle w:val="FootnoteReference"/>
          <w:rFonts w:ascii="Times New Roman" w:hAnsi="Times New Roman"/>
          <w:noProof/>
          <w:sz w:val="24"/>
          <w:lang w:eastAsia="en-GB"/>
        </w:rPr>
        <w:footnoteReference w:id="3"/>
      </w:r>
      <w:r w:rsidRPr="00D65120">
        <w:rPr>
          <w:rFonts w:ascii="Times New Roman" w:hAnsi="Times New Roman"/>
          <w:noProof/>
          <w:sz w:val="24"/>
        </w:rPr>
        <w:t>). Delegarea de competențe a fost prelungită automat cu încă cinci ani, din februarie 2017 până în februarie 2022, iar apoi, după cel de al doilea raport, cu încă cinci ani, din februarie 2022 până în februarie 2027, deoarece nici Parlamentul, nici Consiliul nu au revocat-o în temeiul articolului 8 alineatul (3).</w:t>
      </w:r>
    </w:p>
    <w:p w14:paraId="29D71948" w14:textId="326C034E" w:rsidR="00B76C1B" w:rsidRPr="00D65120" w:rsidRDefault="00903D5C">
      <w:pPr>
        <w:spacing w:before="240" w:after="0" w:line="276" w:lineRule="auto"/>
        <w:jc w:val="both"/>
        <w:rPr>
          <w:rFonts w:ascii="Times New Roman" w:hAnsi="Times New Roman"/>
          <w:noProof/>
          <w:sz w:val="24"/>
        </w:rPr>
      </w:pPr>
      <w:r w:rsidRPr="00D65120">
        <w:rPr>
          <w:rFonts w:ascii="Times New Roman" w:hAnsi="Times New Roman"/>
          <w:noProof/>
          <w:sz w:val="24"/>
        </w:rPr>
        <w:t>Acesta este cel de al treilea raport al Comisiei privind exercitarea competenței sale de a adopta acte delegate.</w:t>
      </w:r>
    </w:p>
    <w:p w14:paraId="3BF1B4E0" w14:textId="77777777" w:rsidR="00B76C1B" w:rsidRPr="00D65120" w:rsidRDefault="00903D5C" w:rsidP="001E3A8B">
      <w:pPr>
        <w:keepNext/>
        <w:numPr>
          <w:ilvl w:val="0"/>
          <w:numId w:val="7"/>
        </w:numPr>
        <w:shd w:val="clear" w:color="auto" w:fill="FFFFFF"/>
        <w:spacing w:before="360" w:after="240" w:line="240" w:lineRule="auto"/>
        <w:jc w:val="both"/>
        <w:outlineLvl w:val="0"/>
        <w:rPr>
          <w:rFonts w:ascii="Times New Roman Bold" w:eastAsia="Times New Roman" w:hAnsi="Times New Roman Bold"/>
          <w:b/>
          <w:bCs/>
          <w:caps/>
          <w:noProof/>
          <w:sz w:val="24"/>
          <w:szCs w:val="28"/>
        </w:rPr>
      </w:pPr>
      <w:r w:rsidRPr="00D65120">
        <w:rPr>
          <w:rFonts w:ascii="Times New Roman Bold" w:hAnsi="Times New Roman Bold"/>
          <w:b/>
          <w:caps/>
          <w:noProof/>
          <w:sz w:val="24"/>
        </w:rPr>
        <w:t>Exercitarea delegării</w:t>
      </w:r>
    </w:p>
    <w:p w14:paraId="42B4C76C" w14:textId="74C78CB7" w:rsidR="00B76C1B" w:rsidRPr="00D65120" w:rsidRDefault="00903D5C">
      <w:pPr>
        <w:spacing w:before="240" w:after="0" w:line="276" w:lineRule="auto"/>
        <w:jc w:val="both"/>
        <w:rPr>
          <w:rFonts w:ascii="Times New Roman" w:hAnsi="Times New Roman"/>
          <w:noProof/>
          <w:sz w:val="24"/>
        </w:rPr>
      </w:pPr>
      <w:r w:rsidRPr="00D65120">
        <w:rPr>
          <w:rFonts w:ascii="Times New Roman" w:hAnsi="Times New Roman"/>
          <w:noProof/>
          <w:sz w:val="24"/>
        </w:rPr>
        <w:t>Până în acest moment, Comisia nu și-a exercitat competența de a adopta acte delegate, conferită în temeiul Regulamentului (UE) nr. 70/2012.</w:t>
      </w:r>
    </w:p>
    <w:p w14:paraId="2C53501B" w14:textId="77777777" w:rsidR="00B76C1B" w:rsidRPr="00D65120" w:rsidRDefault="00903D5C">
      <w:pPr>
        <w:spacing w:before="240" w:after="240" w:line="276" w:lineRule="auto"/>
        <w:jc w:val="both"/>
        <w:rPr>
          <w:rFonts w:ascii="Times New Roman" w:hAnsi="Times New Roman"/>
          <w:noProof/>
          <w:sz w:val="24"/>
        </w:rPr>
      </w:pPr>
      <w:r w:rsidRPr="00D65120">
        <w:rPr>
          <w:rFonts w:ascii="Times New Roman" w:hAnsi="Times New Roman"/>
          <w:noProof/>
          <w:sz w:val="24"/>
        </w:rPr>
        <w:t>Comisia discută periodic cu statele membre pe tema îmbunătățirii statisticilor privind transportul rutier de mărfuri, în contextul evoluțiilor tehnice și al noilor cerințe economice, de mediu și societale. Comisia, împreună cu Grupul de experți pentru statisticile privind transportul rutier de mărfuri și Grupul de coordonare pentru statisticile din domeniul transporturilor, analizează posibilitatea îmbunătățirii statisticilor privind transportul rutier de mărfuri, luând în considerare costurile și sarcinile potențiale pentru țări și respondenți.</w:t>
      </w:r>
    </w:p>
    <w:p w14:paraId="1334D56E" w14:textId="718CA43B" w:rsidR="00B76C1B" w:rsidRPr="00D65120" w:rsidRDefault="00903D5C" w:rsidP="008B6096">
      <w:pPr>
        <w:spacing w:after="0" w:line="276" w:lineRule="auto"/>
        <w:jc w:val="both"/>
        <w:rPr>
          <w:rFonts w:ascii="Times New Roman" w:hAnsi="Times New Roman"/>
          <w:noProof/>
          <w:sz w:val="24"/>
          <w:szCs w:val="24"/>
        </w:rPr>
      </w:pPr>
      <w:r w:rsidRPr="00D65120">
        <w:rPr>
          <w:rFonts w:ascii="Times New Roman" w:hAnsi="Times New Roman"/>
          <w:noProof/>
          <w:sz w:val="24"/>
        </w:rPr>
        <w:t xml:space="preserve">Statisticile sunt necesare pentru a monitoriza punerea în aplicare a Strategiei pentru o mobilitate durabilă și </w:t>
      </w:r>
      <w:bookmarkStart w:id="2" w:name="_Hlk221880980"/>
      <w:bookmarkEnd w:id="2"/>
      <w:r w:rsidRPr="00D65120">
        <w:rPr>
          <w:rFonts w:ascii="Times New Roman" w:hAnsi="Times New Roman"/>
          <w:noProof/>
          <w:sz w:val="24"/>
        </w:rPr>
        <w:t>inteligentă (obiectivele pentru perioada 2020-2050)</w:t>
      </w:r>
      <w:r w:rsidR="00C21B6F" w:rsidRPr="00D65120">
        <w:rPr>
          <w:rFonts w:ascii="Times New Roman" w:hAnsi="Times New Roman"/>
          <w:noProof/>
          <w:sz w:val="24"/>
        </w:rPr>
        <w:t> </w:t>
      </w:r>
      <w:r w:rsidRPr="00D65120">
        <w:rPr>
          <w:rFonts w:ascii="Times New Roman" w:hAnsi="Times New Roman"/>
          <w:noProof/>
          <w:sz w:val="24"/>
        </w:rPr>
        <w:t>(</w:t>
      </w:r>
      <w:r w:rsidRPr="00D65120">
        <w:rPr>
          <w:rStyle w:val="FootnoteReference"/>
          <w:rFonts w:ascii="Times New Roman" w:hAnsi="Times New Roman"/>
          <w:noProof/>
          <w:sz w:val="24"/>
          <w:szCs w:val="24"/>
          <w:lang w:eastAsia="de-DE"/>
        </w:rPr>
        <w:footnoteReference w:id="4"/>
      </w:r>
      <w:r w:rsidRPr="00D65120">
        <w:rPr>
          <w:rFonts w:ascii="Times New Roman" w:hAnsi="Times New Roman"/>
          <w:noProof/>
          <w:sz w:val="24"/>
        </w:rPr>
        <w:t>) și pentru a sprijini acțiunile care completează această strategie emblematică, cum ar fi Directiva privind sistemele de transport inteligente (STI)</w:t>
      </w:r>
      <w:r w:rsidR="00C21B6F" w:rsidRPr="00D65120">
        <w:rPr>
          <w:rFonts w:ascii="Times New Roman" w:hAnsi="Times New Roman"/>
          <w:noProof/>
          <w:sz w:val="24"/>
        </w:rPr>
        <w:t> </w:t>
      </w:r>
      <w:r w:rsidRPr="00D65120">
        <w:rPr>
          <w:rFonts w:ascii="Times New Roman" w:hAnsi="Times New Roman"/>
          <w:noProof/>
          <w:sz w:val="24"/>
        </w:rPr>
        <w:t>(</w:t>
      </w:r>
      <w:r w:rsidRPr="00D65120">
        <w:rPr>
          <w:rStyle w:val="FootnoteReference"/>
          <w:rFonts w:ascii="Times New Roman" w:hAnsi="Times New Roman"/>
          <w:noProof/>
          <w:sz w:val="24"/>
          <w:szCs w:val="24"/>
          <w:lang w:eastAsia="de-DE"/>
        </w:rPr>
        <w:footnoteReference w:id="5"/>
      </w:r>
      <w:r w:rsidRPr="00D65120">
        <w:rPr>
          <w:rFonts w:ascii="Times New Roman" w:hAnsi="Times New Roman"/>
          <w:noProof/>
          <w:sz w:val="24"/>
        </w:rPr>
        <w:t>),</w:t>
      </w:r>
      <w:bookmarkStart w:id="3" w:name="_Hlk221880333"/>
      <w:bookmarkEnd w:id="3"/>
      <w:r w:rsidRPr="00D65120">
        <w:rPr>
          <w:rFonts w:ascii="Times New Roman" w:hAnsi="Times New Roman"/>
          <w:noProof/>
          <w:sz w:val="24"/>
        </w:rPr>
        <w:t xml:space="preserve"> politica UE privind rețeaua transeuropeană de transport (TEN-T)</w:t>
      </w:r>
      <w:r w:rsidR="00C21B6F" w:rsidRPr="00D65120">
        <w:rPr>
          <w:rFonts w:ascii="Times New Roman" w:hAnsi="Times New Roman"/>
          <w:noProof/>
          <w:sz w:val="24"/>
        </w:rPr>
        <w:t> (</w:t>
      </w:r>
      <w:r w:rsidRPr="00D65120">
        <w:rPr>
          <w:rStyle w:val="FootnoteReference"/>
          <w:rFonts w:ascii="Times New Roman" w:hAnsi="Times New Roman"/>
          <w:noProof/>
          <w:sz w:val="24"/>
          <w:szCs w:val="24"/>
          <w:lang w:eastAsia="de-DE"/>
        </w:rPr>
        <w:footnoteReference w:id="6"/>
      </w:r>
      <w:r w:rsidR="00C21B6F" w:rsidRPr="00D65120">
        <w:rPr>
          <w:rFonts w:ascii="Times New Roman" w:hAnsi="Times New Roman"/>
          <w:noProof/>
          <w:sz w:val="24"/>
        </w:rPr>
        <w:t>)</w:t>
      </w:r>
      <w:r w:rsidRPr="00D65120">
        <w:rPr>
          <w:rFonts w:ascii="Times New Roman" w:hAnsi="Times New Roman"/>
          <w:noProof/>
          <w:sz w:val="24"/>
        </w:rPr>
        <w:t xml:space="preserve"> și Regulamentul privind informațiile electronice referitoare la transportul de mărfuri (eFTI)</w:t>
      </w:r>
      <w:r w:rsidR="00C21B6F" w:rsidRPr="00D65120">
        <w:rPr>
          <w:rFonts w:ascii="Times New Roman" w:hAnsi="Times New Roman" w:cs="Times New Roman"/>
          <w:noProof/>
          <w:sz w:val="24"/>
          <w:szCs w:val="24"/>
        </w:rPr>
        <w:t> </w:t>
      </w:r>
      <w:r w:rsidRPr="00D65120">
        <w:rPr>
          <w:rFonts w:ascii="Times New Roman" w:hAnsi="Times New Roman"/>
          <w:noProof/>
          <w:sz w:val="24"/>
        </w:rPr>
        <w:t>(</w:t>
      </w:r>
      <w:r w:rsidRPr="00D65120">
        <w:rPr>
          <w:rStyle w:val="FootnoteReference"/>
          <w:rFonts w:ascii="Times New Roman" w:hAnsi="Times New Roman"/>
          <w:noProof/>
          <w:sz w:val="24"/>
          <w:szCs w:val="24"/>
          <w:lang w:eastAsia="de-DE"/>
        </w:rPr>
        <w:footnoteReference w:id="7"/>
      </w:r>
      <w:r w:rsidRPr="00D65120">
        <w:rPr>
          <w:rFonts w:ascii="Times New Roman" w:hAnsi="Times New Roman"/>
          <w:noProof/>
          <w:sz w:val="24"/>
        </w:rPr>
        <w:t>). Astfel de acțiuni pot necesita adoptarea de către Comisie a unor acte delegate vizând adaptarea la evoluțiile economice și tehnice a anexelor susmenționate la Regulamentul (UE) nr. 70/2012, pentru a asigura monitorizarea eficientă a obiectivelor și a tendințelor în materie de politici.</w:t>
      </w:r>
    </w:p>
    <w:p w14:paraId="12FFC46D" w14:textId="77777777" w:rsidR="00B76C1B" w:rsidRPr="00411747" w:rsidRDefault="00B76C1B">
      <w:pPr>
        <w:spacing w:before="240" w:after="0" w:line="276" w:lineRule="auto"/>
        <w:jc w:val="both"/>
        <w:rPr>
          <w:rFonts w:ascii="Times New Roman" w:hAnsi="Times New Roman"/>
          <w:noProof/>
          <w:sz w:val="24"/>
          <w:szCs w:val="24"/>
          <w:lang w:eastAsia="de-DE"/>
        </w:rPr>
      </w:pPr>
    </w:p>
    <w:sectPr w:rsidR="00B76C1B" w:rsidRPr="00411747">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0F3323" w14:textId="77777777" w:rsidR="000C0174" w:rsidRPr="00D65120" w:rsidRDefault="000C0174">
      <w:pPr>
        <w:spacing w:after="0" w:line="240" w:lineRule="auto"/>
      </w:pPr>
      <w:r w:rsidRPr="00D65120">
        <w:separator/>
      </w:r>
    </w:p>
  </w:endnote>
  <w:endnote w:type="continuationSeparator" w:id="0">
    <w:p w14:paraId="1F9BF620" w14:textId="77777777" w:rsidR="000C0174" w:rsidRPr="00D65120" w:rsidRDefault="000C0174">
      <w:pPr>
        <w:spacing w:after="0" w:line="240" w:lineRule="auto"/>
      </w:pPr>
      <w:r w:rsidRPr="00D6512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Yu Mincho">
    <w:altName w:val="Yu Gothic UI"/>
    <w:charset w:val="80"/>
    <w:family w:val="roman"/>
    <w:pitch w:val="variable"/>
    <w:sig w:usb0="800002E7" w:usb1="2AC7FCFF" w:usb2="00000012" w:usb3="00000000" w:csb0="0002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658B94" w14:textId="00EE698C" w:rsidR="002F214B" w:rsidRPr="002F214B" w:rsidRDefault="002F214B" w:rsidP="002F214B">
    <w:pPr>
      <w:pStyle w:val="FooterCoverPage"/>
      <w:rPr>
        <w:rFonts w:ascii="Arial" w:hAnsi="Arial" w:cs="Arial"/>
        <w:b/>
        <w:sz w:val="48"/>
      </w:rPr>
    </w:pPr>
    <w:r w:rsidRPr="002F214B">
      <w:rPr>
        <w:rFonts w:ascii="Arial" w:hAnsi="Arial" w:cs="Arial"/>
        <w:b/>
        <w:sz w:val="48"/>
      </w:rPr>
      <w:t>RO</w:t>
    </w:r>
    <w:r w:rsidRPr="002F214B">
      <w:rPr>
        <w:rFonts w:ascii="Arial" w:hAnsi="Arial" w:cs="Arial"/>
        <w:b/>
        <w:sz w:val="48"/>
      </w:rPr>
      <w:tab/>
    </w:r>
    <w:r w:rsidRPr="002F214B">
      <w:rPr>
        <w:rFonts w:ascii="Arial" w:hAnsi="Arial" w:cs="Arial"/>
        <w:b/>
        <w:sz w:val="48"/>
      </w:rPr>
      <w:tab/>
    </w:r>
    <w:r w:rsidRPr="002F214B">
      <w:tab/>
    </w:r>
    <w:r w:rsidRPr="002F214B">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527BBD" w14:textId="640A5445" w:rsidR="002F214B" w:rsidRPr="002F214B" w:rsidRDefault="002F214B" w:rsidP="002F214B">
    <w:pPr>
      <w:pStyle w:val="FooterCoverPage"/>
      <w:rPr>
        <w:rFonts w:ascii="Arial" w:hAnsi="Arial" w:cs="Arial"/>
        <w:b/>
        <w:sz w:val="48"/>
      </w:rPr>
    </w:pPr>
    <w:r w:rsidRPr="002F214B">
      <w:rPr>
        <w:rFonts w:ascii="Arial" w:hAnsi="Arial" w:cs="Arial"/>
        <w:b/>
        <w:sz w:val="48"/>
      </w:rPr>
      <w:t>RO</w:t>
    </w:r>
    <w:r w:rsidRPr="002F214B">
      <w:rPr>
        <w:rFonts w:ascii="Arial" w:hAnsi="Arial" w:cs="Arial"/>
        <w:b/>
        <w:sz w:val="48"/>
      </w:rPr>
      <w:tab/>
    </w:r>
    <w:r w:rsidRPr="002F214B">
      <w:rPr>
        <w:rFonts w:ascii="Arial" w:hAnsi="Arial" w:cs="Arial"/>
        <w:b/>
        <w:sz w:val="48"/>
      </w:rPr>
      <w:tab/>
    </w:r>
    <w:r w:rsidRPr="002F214B">
      <w:tab/>
    </w:r>
    <w:r w:rsidRPr="002F214B">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522FEB" w14:textId="77777777" w:rsidR="002F214B" w:rsidRPr="002F214B" w:rsidRDefault="002F214B" w:rsidP="002F214B">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C7D6B2" w14:textId="77777777" w:rsidR="00B76C1B" w:rsidRPr="00D65120" w:rsidRDefault="00B76C1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8860516"/>
      <w:docPartObj>
        <w:docPartGallery w:val="Page Numbers (Bottom of Page)"/>
        <w:docPartUnique/>
      </w:docPartObj>
    </w:sdtPr>
    <w:sdtEndPr>
      <w:rPr>
        <w:rFonts w:ascii="Times New Roman" w:hAnsi="Times New Roman" w:cs="Times New Roman"/>
      </w:rPr>
    </w:sdtEndPr>
    <w:sdtContent>
      <w:p w14:paraId="0A2E3298" w14:textId="3EFFEA00" w:rsidR="00B76C1B" w:rsidRPr="00D65120" w:rsidRDefault="00903D5C" w:rsidP="00D4740C">
        <w:pPr>
          <w:pStyle w:val="Footer"/>
          <w:jc w:val="center"/>
          <w:rPr>
            <w:rFonts w:ascii="Times New Roman" w:hAnsi="Times New Roman" w:cs="Times New Roman"/>
          </w:rPr>
        </w:pPr>
        <w:r w:rsidRPr="00D65120">
          <w:rPr>
            <w:rFonts w:ascii="Times New Roman" w:hAnsi="Times New Roman" w:cs="Times New Roman"/>
          </w:rPr>
          <w:fldChar w:fldCharType="begin"/>
        </w:r>
        <w:r w:rsidRPr="00D65120">
          <w:rPr>
            <w:rFonts w:ascii="Times New Roman" w:hAnsi="Times New Roman" w:cs="Times New Roman"/>
          </w:rPr>
          <w:instrText xml:space="preserve"> PAGE   \* MERGEFORMAT </w:instrText>
        </w:r>
        <w:r w:rsidRPr="00D65120">
          <w:rPr>
            <w:rFonts w:ascii="Times New Roman" w:hAnsi="Times New Roman" w:cs="Times New Roman"/>
          </w:rPr>
          <w:fldChar w:fldCharType="separate"/>
        </w:r>
        <w:r w:rsidR="002F214B">
          <w:rPr>
            <w:rFonts w:ascii="Times New Roman" w:hAnsi="Times New Roman" w:cs="Times New Roman"/>
            <w:noProof/>
          </w:rPr>
          <w:t>2</w:t>
        </w:r>
        <w:r w:rsidRPr="00D65120">
          <w:rPr>
            <w:rFonts w:ascii="Times New Roman" w:hAnsi="Times New Roman" w:cs="Times New Roman"/>
          </w:rPr>
          <w:fldChar w:fldCharType="end"/>
        </w:r>
      </w:p>
    </w:sdtContent>
  </w:sdt>
  <w:p w14:paraId="2957A37F" w14:textId="77777777" w:rsidR="00B76C1B" w:rsidRPr="00D65120" w:rsidRDefault="00B76C1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6356002"/>
      <w:docPartObj>
        <w:docPartGallery w:val="Page Numbers (Bottom of Page)"/>
        <w:docPartUnique/>
      </w:docPartObj>
    </w:sdtPr>
    <w:sdtEndPr/>
    <w:sdtContent>
      <w:p w14:paraId="5957EC1D" w14:textId="5BD1C030" w:rsidR="00B76C1B" w:rsidRPr="00D65120" w:rsidRDefault="00903D5C">
        <w:pPr>
          <w:pStyle w:val="Footer"/>
          <w:jc w:val="center"/>
        </w:pPr>
        <w:r w:rsidRPr="00D65120">
          <w:rPr>
            <w:rFonts w:ascii="Times New Roman" w:hAnsi="Times New Roman" w:cs="Times New Roman"/>
          </w:rPr>
          <w:fldChar w:fldCharType="begin"/>
        </w:r>
        <w:r w:rsidRPr="00D65120">
          <w:rPr>
            <w:rFonts w:ascii="Times New Roman" w:hAnsi="Times New Roman" w:cs="Times New Roman"/>
          </w:rPr>
          <w:instrText xml:space="preserve"> PAGE   \* MERGEFORMAT </w:instrText>
        </w:r>
        <w:r w:rsidRPr="00D65120">
          <w:rPr>
            <w:rFonts w:ascii="Times New Roman" w:hAnsi="Times New Roman" w:cs="Times New Roman"/>
          </w:rPr>
          <w:fldChar w:fldCharType="separate"/>
        </w:r>
        <w:r w:rsidR="002F214B">
          <w:rPr>
            <w:rFonts w:ascii="Times New Roman" w:hAnsi="Times New Roman" w:cs="Times New Roman"/>
            <w:noProof/>
          </w:rPr>
          <w:t>1</w:t>
        </w:r>
        <w:r w:rsidRPr="00D65120">
          <w:rPr>
            <w:rFonts w:ascii="Times New Roman" w:hAnsi="Times New Roman" w:cs="Times New Roman"/>
          </w:rPr>
          <w:fldChar w:fldCharType="end"/>
        </w:r>
      </w:p>
    </w:sdtContent>
  </w:sdt>
  <w:p w14:paraId="1D09F75E" w14:textId="77777777" w:rsidR="00B76C1B" w:rsidRPr="00D65120" w:rsidRDefault="00B76C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C491BB" w14:textId="77777777" w:rsidR="000C0174" w:rsidRPr="00D65120" w:rsidRDefault="000C0174">
      <w:pPr>
        <w:spacing w:after="0" w:line="240" w:lineRule="auto"/>
      </w:pPr>
      <w:r w:rsidRPr="00D65120">
        <w:separator/>
      </w:r>
    </w:p>
  </w:footnote>
  <w:footnote w:type="continuationSeparator" w:id="0">
    <w:p w14:paraId="654C7BE2" w14:textId="77777777" w:rsidR="000C0174" w:rsidRPr="00D65120" w:rsidRDefault="000C0174">
      <w:pPr>
        <w:spacing w:after="0" w:line="240" w:lineRule="auto"/>
      </w:pPr>
      <w:r w:rsidRPr="00D65120">
        <w:continuationSeparator/>
      </w:r>
    </w:p>
  </w:footnote>
  <w:footnote w:id="1">
    <w:p w14:paraId="2E7F7BCF" w14:textId="6DE0E86F" w:rsidR="00B76C1B" w:rsidRPr="00D65120" w:rsidRDefault="00903D5C" w:rsidP="00465226">
      <w:pPr>
        <w:pStyle w:val="FootnoteText"/>
        <w:spacing w:after="60" w:line="240" w:lineRule="auto"/>
        <w:rPr>
          <w:rFonts w:ascii="Times New Roman" w:hAnsi="Times New Roman"/>
        </w:rPr>
      </w:pPr>
      <w:r w:rsidRPr="00D65120">
        <w:rPr>
          <w:rStyle w:val="FootnoteReference"/>
          <w:rFonts w:asciiTheme="minorHAnsi" w:hAnsiTheme="minorHAnsi" w:cstheme="minorHAnsi"/>
        </w:rPr>
        <w:footnoteRef/>
      </w:r>
      <w:r w:rsidRPr="00D65120">
        <w:rPr>
          <w:rFonts w:ascii="Times New Roman" w:hAnsi="Times New Roman"/>
          <w:sz w:val="24"/>
        </w:rPr>
        <w:t xml:space="preserve"> </w:t>
      </w:r>
      <w:r w:rsidRPr="00D65120">
        <w:rPr>
          <w:rFonts w:ascii="Times New Roman" w:hAnsi="Times New Roman"/>
        </w:rPr>
        <w:t>Regulamentul (UE) nr. 70/2012 al Parlamentului European și al Consiliului din 18 ianuarie 2012 privind datele statistice referitoare la transportul rutier de mărfuri (JO L 32, 3.2.2012, p. 1; ELI: </w:t>
      </w:r>
      <w:hyperlink r:id="rId1" w:tooltip="Oferă acces la acest document prin identificatorul său uniform de resurse ELI." w:history="1">
        <w:r w:rsidRPr="00D65120">
          <w:rPr>
            <w:rStyle w:val="Hyperlink"/>
            <w:rFonts w:ascii="Times New Roman" w:hAnsi="Times New Roman"/>
          </w:rPr>
          <w:t>http://data.europa.eu/eli/reg/2012/70/oj</w:t>
        </w:r>
      </w:hyperlink>
      <w:r w:rsidRPr="00D65120">
        <w:rPr>
          <w:rFonts w:ascii="Times New Roman" w:hAnsi="Times New Roman"/>
        </w:rPr>
        <w:t>).</w:t>
      </w:r>
    </w:p>
  </w:footnote>
  <w:footnote w:id="2">
    <w:p w14:paraId="6BBD7F5A" w14:textId="326EF601" w:rsidR="00B76C1B" w:rsidRPr="00D65120" w:rsidRDefault="00903D5C" w:rsidP="00465226">
      <w:pPr>
        <w:pStyle w:val="FootnoteText"/>
        <w:spacing w:after="60" w:line="240" w:lineRule="auto"/>
        <w:rPr>
          <w:rFonts w:ascii="Times New Roman" w:hAnsi="Times New Roman"/>
        </w:rPr>
      </w:pPr>
      <w:r w:rsidRPr="00D65120">
        <w:rPr>
          <w:rStyle w:val="FootnoteReference"/>
          <w:rFonts w:asciiTheme="minorHAnsi" w:hAnsiTheme="minorHAnsi" w:cstheme="minorHAnsi"/>
        </w:rPr>
        <w:footnoteRef/>
      </w:r>
      <w:r w:rsidRPr="00D65120">
        <w:rPr>
          <w:rFonts w:ascii="Times New Roman" w:hAnsi="Times New Roman"/>
        </w:rPr>
        <w:t xml:space="preserve"> Raport al Comisiei către Parlamentul European și Consiliu privind exercitarea competenței de a adopta acte delegate conferite Comisiei în temeiul Regulamentului (UE) nr. 70/2012 din 18 ianuarie 2012 privind datele statistice referitoare la transportul rutier de mărfuri [COM(2016) 562 final, 12.9.2016;</w:t>
      </w:r>
      <w:r w:rsidR="00C21B6F" w:rsidRPr="00D65120">
        <w:rPr>
          <w:rFonts w:ascii="Times New Roman" w:hAnsi="Times New Roman"/>
        </w:rPr>
        <w:t xml:space="preserve"> </w:t>
      </w:r>
      <w:r w:rsidRPr="00D65120">
        <w:br/>
      </w:r>
      <w:hyperlink r:id="rId2" w:history="1">
        <w:r w:rsidRPr="00D65120">
          <w:rPr>
            <w:rStyle w:val="Hyperlink"/>
            <w:rFonts w:ascii="Times New Roman" w:hAnsi="Times New Roman"/>
          </w:rPr>
          <w:t>https://eur-lex.europa.eu/legal-content/RO/TXT/HTML/?uri=CELEX:52016DC0562</w:t>
        </w:r>
      </w:hyperlink>
      <w:r w:rsidRPr="00D65120">
        <w:rPr>
          <w:rFonts w:ascii="Times New Roman" w:hAnsi="Times New Roman"/>
        </w:rPr>
        <w:t>].</w:t>
      </w:r>
    </w:p>
  </w:footnote>
  <w:footnote w:id="3">
    <w:p w14:paraId="69962A3B" w14:textId="6B2BE6D4" w:rsidR="00145097" w:rsidRPr="00D65120" w:rsidRDefault="00145097" w:rsidP="00465226">
      <w:pPr>
        <w:pStyle w:val="FootnoteText"/>
        <w:spacing w:after="20"/>
      </w:pPr>
      <w:r w:rsidRPr="00D65120">
        <w:rPr>
          <w:rStyle w:val="FootnoteReference"/>
        </w:rPr>
        <w:footnoteRef/>
      </w:r>
      <w:r w:rsidRPr="00D65120">
        <w:t xml:space="preserve"> </w:t>
      </w:r>
      <w:r w:rsidRPr="00D65120">
        <w:rPr>
          <w:rFonts w:ascii="Times New Roman" w:hAnsi="Times New Roman"/>
        </w:rPr>
        <w:t>Raport al Comisiei către Parlamentul European și Consiliu privind exercitarea competenței de a adopta acte delegate conferite Comisiei în temeiul Regulamentului (UE) nr. 70/2012 din 18 ianuarie 2012 privind datele statistice referitoare la transportul rutier de mărfuri [COM(2021) 176 final, 14.4.2021;</w:t>
      </w:r>
      <w:r w:rsidR="00C21B6F" w:rsidRPr="00D65120">
        <w:rPr>
          <w:rFonts w:ascii="Times New Roman" w:hAnsi="Times New Roman"/>
        </w:rPr>
        <w:t xml:space="preserve"> </w:t>
      </w:r>
      <w:r w:rsidRPr="00D65120">
        <w:br/>
      </w:r>
      <w:hyperlink r:id="rId3" w:history="1">
        <w:r w:rsidRPr="00D65120">
          <w:rPr>
            <w:rStyle w:val="Hyperlink"/>
            <w:rFonts w:ascii="Times New Roman" w:hAnsi="Times New Roman"/>
          </w:rPr>
          <w:t>https://eur-lex.europa.eu/legal-content/RO/TXT/HTML/?uri=CELEX:52021DC0176</w:t>
        </w:r>
      </w:hyperlink>
      <w:r w:rsidRPr="00D65120">
        <w:rPr>
          <w:rFonts w:ascii="Times New Roman" w:hAnsi="Times New Roman"/>
        </w:rPr>
        <w:t>].</w:t>
      </w:r>
    </w:p>
  </w:footnote>
  <w:footnote w:id="4">
    <w:p w14:paraId="5FCB80A7" w14:textId="452D5BED" w:rsidR="00B76C1B" w:rsidRPr="00D65120" w:rsidRDefault="00903D5C" w:rsidP="000323B0">
      <w:pPr>
        <w:pStyle w:val="FootnoteText"/>
        <w:spacing w:after="60"/>
      </w:pPr>
      <w:r w:rsidRPr="00D65120">
        <w:rPr>
          <w:rStyle w:val="FootnoteReference"/>
          <w:rFonts w:asciiTheme="minorHAnsi" w:hAnsiTheme="minorHAnsi" w:cstheme="minorHAnsi"/>
        </w:rPr>
        <w:footnoteRef/>
      </w:r>
      <w:r w:rsidRPr="00D65120">
        <w:rPr>
          <w:rFonts w:ascii="Times New Roman" w:hAnsi="Times New Roman"/>
        </w:rPr>
        <w:t xml:space="preserve"> COM(2020) 789 final, 9.12.2020;</w:t>
      </w:r>
      <w:r w:rsidR="00C21B6F" w:rsidRPr="00D65120">
        <w:rPr>
          <w:rFonts w:ascii="Times New Roman" w:hAnsi="Times New Roman"/>
        </w:rPr>
        <w:t xml:space="preserve"> </w:t>
      </w:r>
      <w:r w:rsidRPr="00D65120">
        <w:br/>
      </w:r>
      <w:hyperlink r:id="rId4" w:history="1">
        <w:r w:rsidRPr="00D65120">
          <w:rPr>
            <w:rStyle w:val="Hyperlink"/>
            <w:rFonts w:ascii="Times New Roman" w:hAnsi="Times New Roman"/>
          </w:rPr>
          <w:t>https://eur-lex.europa.eu/legal-content/RO/TXT/HTML/?uri=CELEX:52020DC0789</w:t>
        </w:r>
      </w:hyperlink>
      <w:r w:rsidRPr="00D65120">
        <w:rPr>
          <w:rFonts w:ascii="Times New Roman" w:hAnsi="Times New Roman"/>
        </w:rPr>
        <w:t>.</w:t>
      </w:r>
    </w:p>
  </w:footnote>
  <w:footnote w:id="5">
    <w:p w14:paraId="0A4CCAC0" w14:textId="677E7D6C" w:rsidR="00727D1B" w:rsidRPr="00D65120" w:rsidRDefault="00727D1B" w:rsidP="001E3A8B">
      <w:pPr>
        <w:pStyle w:val="FootnoteText"/>
        <w:spacing w:after="60"/>
        <w:rPr>
          <w:rFonts w:ascii="Times New Roman" w:hAnsi="Times New Roman"/>
        </w:rPr>
      </w:pPr>
      <w:r w:rsidRPr="00D65120">
        <w:rPr>
          <w:rStyle w:val="FootnoteReference"/>
        </w:rPr>
        <w:footnoteRef/>
      </w:r>
      <w:r w:rsidRPr="00D65120">
        <w:t xml:space="preserve"> </w:t>
      </w:r>
      <w:r w:rsidRPr="00D65120">
        <w:rPr>
          <w:rFonts w:ascii="Times New Roman" w:hAnsi="Times New Roman"/>
        </w:rPr>
        <w:t>Directiva (UE) 2023/2661 a Parlamentului European și a Consiliului din 22 noiembrie 2023 de modificare a Directivei 2010/40/UE privind cadrul pentru implementarea sistemelor de transport inteligente în domeniul transportului rutier și pentru interfețele cu alte moduri de transport (JO L, 2023/2661, 30.11.2023; ELI:</w:t>
      </w:r>
      <w:r w:rsidRPr="00D65120">
        <w:t xml:space="preserve"> </w:t>
      </w:r>
      <w:hyperlink r:id="rId5" w:tgtFrame="_blank" w:tooltip="Oferă acces la acest document prin identificatorul său uniform de resurse ELI." w:history="1">
        <w:r w:rsidRPr="00D65120">
          <w:rPr>
            <w:rStyle w:val="Hyperlink"/>
            <w:rFonts w:ascii="Times New Roman" w:hAnsi="Times New Roman"/>
          </w:rPr>
          <w:t>http://data.europa.eu/eli/dir/2023/2661/oj</w:t>
        </w:r>
      </w:hyperlink>
      <w:r w:rsidRPr="00D65120">
        <w:rPr>
          <w:rFonts w:ascii="Times New Roman" w:hAnsi="Times New Roman"/>
        </w:rPr>
        <w:t>).</w:t>
      </w:r>
    </w:p>
  </w:footnote>
  <w:footnote w:id="6">
    <w:p w14:paraId="277452C4" w14:textId="531A0C92" w:rsidR="00E201C5" w:rsidRPr="00D65120" w:rsidRDefault="00E201C5" w:rsidP="001E3A8B">
      <w:pPr>
        <w:pStyle w:val="FootnoteText"/>
        <w:spacing w:after="60"/>
      </w:pPr>
      <w:r w:rsidRPr="00D65120">
        <w:rPr>
          <w:rStyle w:val="FootnoteReference"/>
        </w:rPr>
        <w:footnoteRef/>
      </w:r>
      <w:r w:rsidRPr="00D65120">
        <w:t xml:space="preserve"> </w:t>
      </w:r>
      <w:r w:rsidRPr="00D65120">
        <w:rPr>
          <w:rFonts w:ascii="Times New Roman" w:hAnsi="Times New Roman"/>
        </w:rPr>
        <w:t xml:space="preserve">Regulamentul </w:t>
      </w:r>
      <w:r w:rsidR="00D65120" w:rsidRPr="00D65120">
        <w:rPr>
          <w:rFonts w:ascii="Times New Roman" w:hAnsi="Times New Roman"/>
        </w:rPr>
        <w:t xml:space="preserve">(UE) </w:t>
      </w:r>
      <w:r w:rsidRPr="00D65120">
        <w:rPr>
          <w:rFonts w:ascii="Times New Roman" w:hAnsi="Times New Roman"/>
        </w:rPr>
        <w:t>2024/1679 al Parlamentului European și al Consiliului din 13 iunie 2024 privind orientările Uniunii pentru dezvoltarea rețelei transeuropene de transport, de modificare a Regulamentelor (UE) 2021/1153 și (UE) nr. 913/2010 și de abrogare a Regulamentului (UE) nr. 1315/2013 (JO L, 2024/1679, 28.6.2024; ELI: </w:t>
      </w:r>
      <w:hyperlink r:id="rId6" w:tgtFrame="_blank" w:tooltip="Oferă acces la acest document prin identificatorul său uniform de resurse ELI." w:history="1">
        <w:r w:rsidRPr="00D65120">
          <w:rPr>
            <w:rStyle w:val="Hyperlink"/>
            <w:rFonts w:ascii="Times New Roman" w:hAnsi="Times New Roman"/>
          </w:rPr>
          <w:t>http://data.europa.eu/eli/reg/2024/1679/oj</w:t>
        </w:r>
      </w:hyperlink>
      <w:r w:rsidRPr="00D65120">
        <w:rPr>
          <w:rFonts w:ascii="Times New Roman" w:hAnsi="Times New Roman"/>
        </w:rPr>
        <w:t>).</w:t>
      </w:r>
    </w:p>
  </w:footnote>
  <w:footnote w:id="7">
    <w:p w14:paraId="14D612E5" w14:textId="5AEBA8CC" w:rsidR="006522A0" w:rsidRPr="00D375F6" w:rsidRDefault="006522A0">
      <w:pPr>
        <w:pStyle w:val="FootnoteText"/>
      </w:pPr>
      <w:r w:rsidRPr="00D65120">
        <w:rPr>
          <w:rStyle w:val="FootnoteReference"/>
        </w:rPr>
        <w:footnoteRef/>
      </w:r>
      <w:r w:rsidRPr="00D65120">
        <w:t xml:space="preserve"> </w:t>
      </w:r>
      <w:r w:rsidRPr="00D65120">
        <w:rPr>
          <w:rFonts w:ascii="Times New Roman" w:hAnsi="Times New Roman"/>
        </w:rPr>
        <w:t>Regulamentul (UE) 2020/1056 al Parlamentului European și al Consiliului din 15 iulie 2020 privind informațiile electronice referitoare la transportul de mărfuri (JO L 249, 31.7.2020, p. 33; ELI: </w:t>
      </w:r>
      <w:hyperlink r:id="rId7" w:tooltip="Oferă acces la acest document prin identificatorul său uniform de resurse ELI." w:history="1">
        <w:r w:rsidRPr="00D65120">
          <w:rPr>
            <w:rStyle w:val="Hyperlink"/>
            <w:rFonts w:ascii="Times New Roman" w:hAnsi="Times New Roman"/>
          </w:rPr>
          <w:t>http://data.europa.eu/eli/reg/2020/1056/oj</w:t>
        </w:r>
      </w:hyperlink>
      <w:r w:rsidRPr="00D65120">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8D4F5F" w14:textId="77777777" w:rsidR="002F214B" w:rsidRPr="002F214B" w:rsidRDefault="002F214B" w:rsidP="002F214B">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031B55" w14:textId="77777777" w:rsidR="002F214B" w:rsidRPr="002F214B" w:rsidRDefault="002F214B" w:rsidP="002F214B">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942FB4" w14:textId="77777777" w:rsidR="002F214B" w:rsidRPr="002F214B" w:rsidRDefault="002F214B" w:rsidP="002F214B">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A13527" w14:textId="77777777" w:rsidR="00B76C1B" w:rsidRPr="00D65120" w:rsidRDefault="00B76C1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515AF0" w14:textId="77777777" w:rsidR="00B76C1B" w:rsidRPr="00D65120" w:rsidRDefault="00B76C1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A3A861" w14:textId="77777777" w:rsidR="00B76C1B" w:rsidRPr="00D65120" w:rsidRDefault="00B76C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D94F83"/>
    <w:multiLevelType w:val="hybridMultilevel"/>
    <w:tmpl w:val="2FA07E52"/>
    <w:lvl w:ilvl="0" w:tplc="1809000B">
      <w:start w:val="1"/>
      <w:numFmt w:val="bullet"/>
      <w:lvlText w:val=""/>
      <w:lvlJc w:val="left"/>
      <w:pPr>
        <w:ind w:left="817" w:hanging="360"/>
      </w:pPr>
      <w:rPr>
        <w:rFonts w:ascii="Wingdings" w:hAnsi="Wingdings" w:hint="default"/>
      </w:rPr>
    </w:lvl>
    <w:lvl w:ilvl="1" w:tplc="FFFFFFFF" w:tentative="1">
      <w:start w:val="1"/>
      <w:numFmt w:val="bullet"/>
      <w:lvlText w:val="o"/>
      <w:lvlJc w:val="left"/>
      <w:pPr>
        <w:ind w:left="1537" w:hanging="360"/>
      </w:pPr>
      <w:rPr>
        <w:rFonts w:ascii="Courier New" w:hAnsi="Courier New" w:cs="Courier New" w:hint="default"/>
      </w:rPr>
    </w:lvl>
    <w:lvl w:ilvl="2" w:tplc="FFFFFFFF" w:tentative="1">
      <w:start w:val="1"/>
      <w:numFmt w:val="bullet"/>
      <w:lvlText w:val=""/>
      <w:lvlJc w:val="left"/>
      <w:pPr>
        <w:ind w:left="2257" w:hanging="360"/>
      </w:pPr>
      <w:rPr>
        <w:rFonts w:ascii="Wingdings" w:hAnsi="Wingdings" w:hint="default"/>
      </w:rPr>
    </w:lvl>
    <w:lvl w:ilvl="3" w:tplc="FFFFFFFF" w:tentative="1">
      <w:start w:val="1"/>
      <w:numFmt w:val="bullet"/>
      <w:lvlText w:val=""/>
      <w:lvlJc w:val="left"/>
      <w:pPr>
        <w:ind w:left="2977" w:hanging="360"/>
      </w:pPr>
      <w:rPr>
        <w:rFonts w:ascii="Symbol" w:hAnsi="Symbol" w:hint="default"/>
      </w:rPr>
    </w:lvl>
    <w:lvl w:ilvl="4" w:tplc="FFFFFFFF" w:tentative="1">
      <w:start w:val="1"/>
      <w:numFmt w:val="bullet"/>
      <w:lvlText w:val="o"/>
      <w:lvlJc w:val="left"/>
      <w:pPr>
        <w:ind w:left="3697" w:hanging="360"/>
      </w:pPr>
      <w:rPr>
        <w:rFonts w:ascii="Courier New" w:hAnsi="Courier New" w:cs="Courier New" w:hint="default"/>
      </w:rPr>
    </w:lvl>
    <w:lvl w:ilvl="5" w:tplc="FFFFFFFF" w:tentative="1">
      <w:start w:val="1"/>
      <w:numFmt w:val="bullet"/>
      <w:lvlText w:val=""/>
      <w:lvlJc w:val="left"/>
      <w:pPr>
        <w:ind w:left="4417" w:hanging="360"/>
      </w:pPr>
      <w:rPr>
        <w:rFonts w:ascii="Wingdings" w:hAnsi="Wingdings" w:hint="default"/>
      </w:rPr>
    </w:lvl>
    <w:lvl w:ilvl="6" w:tplc="FFFFFFFF" w:tentative="1">
      <w:start w:val="1"/>
      <w:numFmt w:val="bullet"/>
      <w:lvlText w:val=""/>
      <w:lvlJc w:val="left"/>
      <w:pPr>
        <w:ind w:left="5137" w:hanging="360"/>
      </w:pPr>
      <w:rPr>
        <w:rFonts w:ascii="Symbol" w:hAnsi="Symbol" w:hint="default"/>
      </w:rPr>
    </w:lvl>
    <w:lvl w:ilvl="7" w:tplc="FFFFFFFF" w:tentative="1">
      <w:start w:val="1"/>
      <w:numFmt w:val="bullet"/>
      <w:lvlText w:val="o"/>
      <w:lvlJc w:val="left"/>
      <w:pPr>
        <w:ind w:left="5857" w:hanging="360"/>
      </w:pPr>
      <w:rPr>
        <w:rFonts w:ascii="Courier New" w:hAnsi="Courier New" w:cs="Courier New" w:hint="default"/>
      </w:rPr>
    </w:lvl>
    <w:lvl w:ilvl="8" w:tplc="FFFFFFFF" w:tentative="1">
      <w:start w:val="1"/>
      <w:numFmt w:val="bullet"/>
      <w:lvlText w:val=""/>
      <w:lvlJc w:val="left"/>
      <w:pPr>
        <w:ind w:left="6577" w:hanging="360"/>
      </w:pPr>
      <w:rPr>
        <w:rFonts w:ascii="Wingdings" w:hAnsi="Wingdings" w:hint="default"/>
      </w:rPr>
    </w:lvl>
  </w:abstractNum>
  <w:abstractNum w:abstractNumId="1" w15:restartNumberingAfterBreak="0">
    <w:nsid w:val="1D6610C4"/>
    <w:multiLevelType w:val="hybridMultilevel"/>
    <w:tmpl w:val="E15881B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B155F3"/>
    <w:multiLevelType w:val="hybridMultilevel"/>
    <w:tmpl w:val="2CAE6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3063AF2"/>
    <w:multiLevelType w:val="hybridMultilevel"/>
    <w:tmpl w:val="23CCC4EE"/>
    <w:lvl w:ilvl="0" w:tplc="01EC09CE">
      <w:start w:val="1"/>
      <w:numFmt w:val="bullet"/>
      <w:lvlText w:val=""/>
      <w:lvlJc w:val="left"/>
      <w:pPr>
        <w:ind w:left="2216" w:hanging="360"/>
      </w:pPr>
      <w:rPr>
        <w:rFonts w:ascii="Symbol" w:hAnsi="Symbol" w:hint="default"/>
      </w:rPr>
    </w:lvl>
    <w:lvl w:ilvl="1" w:tplc="08090003" w:tentative="1">
      <w:start w:val="1"/>
      <w:numFmt w:val="bullet"/>
      <w:lvlText w:val="o"/>
      <w:lvlJc w:val="left"/>
      <w:pPr>
        <w:ind w:left="2936" w:hanging="360"/>
      </w:pPr>
      <w:rPr>
        <w:rFonts w:ascii="Courier New" w:hAnsi="Courier New" w:cs="Courier New" w:hint="default"/>
      </w:rPr>
    </w:lvl>
    <w:lvl w:ilvl="2" w:tplc="08090005" w:tentative="1">
      <w:start w:val="1"/>
      <w:numFmt w:val="bullet"/>
      <w:lvlText w:val=""/>
      <w:lvlJc w:val="left"/>
      <w:pPr>
        <w:ind w:left="3656" w:hanging="360"/>
      </w:pPr>
      <w:rPr>
        <w:rFonts w:ascii="Wingdings" w:hAnsi="Wingdings" w:hint="default"/>
      </w:rPr>
    </w:lvl>
    <w:lvl w:ilvl="3" w:tplc="08090001" w:tentative="1">
      <w:start w:val="1"/>
      <w:numFmt w:val="bullet"/>
      <w:lvlText w:val=""/>
      <w:lvlJc w:val="left"/>
      <w:pPr>
        <w:ind w:left="4376" w:hanging="360"/>
      </w:pPr>
      <w:rPr>
        <w:rFonts w:ascii="Symbol" w:hAnsi="Symbol" w:hint="default"/>
      </w:rPr>
    </w:lvl>
    <w:lvl w:ilvl="4" w:tplc="08090003" w:tentative="1">
      <w:start w:val="1"/>
      <w:numFmt w:val="bullet"/>
      <w:lvlText w:val="o"/>
      <w:lvlJc w:val="left"/>
      <w:pPr>
        <w:ind w:left="5096" w:hanging="360"/>
      </w:pPr>
      <w:rPr>
        <w:rFonts w:ascii="Courier New" w:hAnsi="Courier New" w:cs="Courier New" w:hint="default"/>
      </w:rPr>
    </w:lvl>
    <w:lvl w:ilvl="5" w:tplc="08090005" w:tentative="1">
      <w:start w:val="1"/>
      <w:numFmt w:val="bullet"/>
      <w:lvlText w:val=""/>
      <w:lvlJc w:val="left"/>
      <w:pPr>
        <w:ind w:left="5816" w:hanging="360"/>
      </w:pPr>
      <w:rPr>
        <w:rFonts w:ascii="Wingdings" w:hAnsi="Wingdings" w:hint="default"/>
      </w:rPr>
    </w:lvl>
    <w:lvl w:ilvl="6" w:tplc="08090001" w:tentative="1">
      <w:start w:val="1"/>
      <w:numFmt w:val="bullet"/>
      <w:lvlText w:val=""/>
      <w:lvlJc w:val="left"/>
      <w:pPr>
        <w:ind w:left="6536" w:hanging="360"/>
      </w:pPr>
      <w:rPr>
        <w:rFonts w:ascii="Symbol" w:hAnsi="Symbol" w:hint="default"/>
      </w:rPr>
    </w:lvl>
    <w:lvl w:ilvl="7" w:tplc="08090003" w:tentative="1">
      <w:start w:val="1"/>
      <w:numFmt w:val="bullet"/>
      <w:lvlText w:val="o"/>
      <w:lvlJc w:val="left"/>
      <w:pPr>
        <w:ind w:left="7256" w:hanging="360"/>
      </w:pPr>
      <w:rPr>
        <w:rFonts w:ascii="Courier New" w:hAnsi="Courier New" w:cs="Courier New" w:hint="default"/>
      </w:rPr>
    </w:lvl>
    <w:lvl w:ilvl="8" w:tplc="08090005" w:tentative="1">
      <w:start w:val="1"/>
      <w:numFmt w:val="bullet"/>
      <w:lvlText w:val=""/>
      <w:lvlJc w:val="left"/>
      <w:pPr>
        <w:ind w:left="7976" w:hanging="360"/>
      </w:pPr>
      <w:rPr>
        <w:rFonts w:ascii="Wingdings" w:hAnsi="Wingdings" w:hint="default"/>
      </w:rPr>
    </w:lvl>
  </w:abstractNum>
  <w:abstractNum w:abstractNumId="4" w15:restartNumberingAfterBreak="0">
    <w:nsid w:val="33172DD4"/>
    <w:multiLevelType w:val="hybridMultilevel"/>
    <w:tmpl w:val="B3B24934"/>
    <w:lvl w:ilvl="0" w:tplc="428A1060">
      <w:numFmt w:val="bullet"/>
      <w:lvlText w:val="-"/>
      <w:lvlJc w:val="left"/>
      <w:pPr>
        <w:ind w:left="1210" w:hanging="360"/>
      </w:pPr>
      <w:rPr>
        <w:rFonts w:ascii="Times New Roman" w:eastAsiaTheme="minorEastAsia" w:hAnsi="Times New Roman" w:cs="Times New Roman" w:hint="default"/>
      </w:rPr>
    </w:lvl>
    <w:lvl w:ilvl="1" w:tplc="08090003" w:tentative="1">
      <w:start w:val="1"/>
      <w:numFmt w:val="bullet"/>
      <w:lvlText w:val="o"/>
      <w:lvlJc w:val="left"/>
      <w:pPr>
        <w:ind w:left="1930" w:hanging="360"/>
      </w:pPr>
      <w:rPr>
        <w:rFonts w:ascii="Courier New" w:hAnsi="Courier New" w:cs="Courier New" w:hint="default"/>
      </w:rPr>
    </w:lvl>
    <w:lvl w:ilvl="2" w:tplc="08090005" w:tentative="1">
      <w:start w:val="1"/>
      <w:numFmt w:val="bullet"/>
      <w:lvlText w:val=""/>
      <w:lvlJc w:val="left"/>
      <w:pPr>
        <w:ind w:left="2650" w:hanging="360"/>
      </w:pPr>
      <w:rPr>
        <w:rFonts w:ascii="Wingdings" w:hAnsi="Wingdings" w:hint="default"/>
      </w:rPr>
    </w:lvl>
    <w:lvl w:ilvl="3" w:tplc="08090001" w:tentative="1">
      <w:start w:val="1"/>
      <w:numFmt w:val="bullet"/>
      <w:lvlText w:val=""/>
      <w:lvlJc w:val="left"/>
      <w:pPr>
        <w:ind w:left="3370" w:hanging="360"/>
      </w:pPr>
      <w:rPr>
        <w:rFonts w:ascii="Symbol" w:hAnsi="Symbol" w:hint="default"/>
      </w:rPr>
    </w:lvl>
    <w:lvl w:ilvl="4" w:tplc="08090003" w:tentative="1">
      <w:start w:val="1"/>
      <w:numFmt w:val="bullet"/>
      <w:lvlText w:val="o"/>
      <w:lvlJc w:val="left"/>
      <w:pPr>
        <w:ind w:left="4090" w:hanging="360"/>
      </w:pPr>
      <w:rPr>
        <w:rFonts w:ascii="Courier New" w:hAnsi="Courier New" w:cs="Courier New" w:hint="default"/>
      </w:rPr>
    </w:lvl>
    <w:lvl w:ilvl="5" w:tplc="08090005" w:tentative="1">
      <w:start w:val="1"/>
      <w:numFmt w:val="bullet"/>
      <w:lvlText w:val=""/>
      <w:lvlJc w:val="left"/>
      <w:pPr>
        <w:ind w:left="4810" w:hanging="360"/>
      </w:pPr>
      <w:rPr>
        <w:rFonts w:ascii="Wingdings" w:hAnsi="Wingdings" w:hint="default"/>
      </w:rPr>
    </w:lvl>
    <w:lvl w:ilvl="6" w:tplc="08090001" w:tentative="1">
      <w:start w:val="1"/>
      <w:numFmt w:val="bullet"/>
      <w:lvlText w:val=""/>
      <w:lvlJc w:val="left"/>
      <w:pPr>
        <w:ind w:left="5530" w:hanging="360"/>
      </w:pPr>
      <w:rPr>
        <w:rFonts w:ascii="Symbol" w:hAnsi="Symbol" w:hint="default"/>
      </w:rPr>
    </w:lvl>
    <w:lvl w:ilvl="7" w:tplc="08090003" w:tentative="1">
      <w:start w:val="1"/>
      <w:numFmt w:val="bullet"/>
      <w:lvlText w:val="o"/>
      <w:lvlJc w:val="left"/>
      <w:pPr>
        <w:ind w:left="6250" w:hanging="360"/>
      </w:pPr>
      <w:rPr>
        <w:rFonts w:ascii="Courier New" w:hAnsi="Courier New" w:cs="Courier New" w:hint="default"/>
      </w:rPr>
    </w:lvl>
    <w:lvl w:ilvl="8" w:tplc="08090005" w:tentative="1">
      <w:start w:val="1"/>
      <w:numFmt w:val="bullet"/>
      <w:lvlText w:val=""/>
      <w:lvlJc w:val="left"/>
      <w:pPr>
        <w:ind w:left="6970" w:hanging="360"/>
      </w:pPr>
      <w:rPr>
        <w:rFonts w:ascii="Wingdings" w:hAnsi="Wingdings" w:hint="default"/>
      </w:rPr>
    </w:lvl>
  </w:abstractNum>
  <w:abstractNum w:abstractNumId="5" w15:restartNumberingAfterBreak="0">
    <w:nsid w:val="355F3A3C"/>
    <w:multiLevelType w:val="hybridMultilevel"/>
    <w:tmpl w:val="0B1CA37E"/>
    <w:lvl w:ilvl="0" w:tplc="08090017">
      <w:start w:val="1"/>
      <w:numFmt w:val="lowerLetter"/>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66412804"/>
    <w:multiLevelType w:val="hybridMultilevel"/>
    <w:tmpl w:val="9906E0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9EC207B"/>
    <w:multiLevelType w:val="hybridMultilevel"/>
    <w:tmpl w:val="6BA8837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2"/>
  </w:num>
  <w:num w:numId="2">
    <w:abstractNumId w:val="7"/>
  </w:num>
  <w:num w:numId="3">
    <w:abstractNumId w:val="5"/>
  </w:num>
  <w:num w:numId="4">
    <w:abstractNumId w:val="8"/>
  </w:num>
  <w:num w:numId="5">
    <w:abstractNumId w:val="1"/>
  </w:num>
  <w:num w:numId="6">
    <w:abstractNumId w:val="3"/>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659888A8-C044-43D8-888E-9D336368A27F"/>
    <w:docVar w:name="LW_COVERPAGE_TYPE" w:val="1"/>
    <w:docVar w:name="LW_CROSSREFERENCE" w:val="&lt;UNUSED&gt;"/>
    <w:docVar w:name="LW_DocType" w:val="NORMAL"/>
    <w:docVar w:name="LW_EMISSION" w:val="21.5.2026"/>
    <w:docVar w:name="LW_EMISSION_ISODATE" w:val="2026-05-21"/>
    <w:docVar w:name="LW_EMISSION_LOCATION" w:val="BRX"/>
    <w:docVar w:name="LW_EMISSION_PREFIX" w:val="Bruxelles, "/>
    <w:docVar w:name="LW_EMISSION_SUFFIX" w:val=" "/>
    <w:docVar w:name="LW_ID_DOCTYPE_NONLW" w:val="CP-006"/>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23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ivind exercitarea competen\u539?ei de a adopta acte delegate conferit\u259? Comisiei în temeiul Regulamentului (UE) nr. 70/2012 al Parlamentului European \u537?i al Consiliului din 18 ianuarie 2012 privind datele statistice referitoare la transportul rutier de m\u259?rfuri"/>
    <w:docVar w:name="LW_TYPE.DOC.CP" w:val="RAPORT AL COMISIEI C\u258?TRE PARLAMENTUL EUROPEAN \u536?I CONSILIU"/>
    <w:docVar w:name="LwApiVersions" w:val="LW4CoDe 1.24.5.0; LW 9.2, Build 20251112"/>
  </w:docVars>
  <w:rsids>
    <w:rsidRoot w:val="00B76C1B"/>
    <w:rsid w:val="00007F65"/>
    <w:rsid w:val="00011E9E"/>
    <w:rsid w:val="00017E37"/>
    <w:rsid w:val="00030886"/>
    <w:rsid w:val="000323B0"/>
    <w:rsid w:val="0003547F"/>
    <w:rsid w:val="000368D1"/>
    <w:rsid w:val="0005735E"/>
    <w:rsid w:val="00092955"/>
    <w:rsid w:val="000A67CD"/>
    <w:rsid w:val="000C0174"/>
    <w:rsid w:val="000F6199"/>
    <w:rsid w:val="00116308"/>
    <w:rsid w:val="00145097"/>
    <w:rsid w:val="001E3A8B"/>
    <w:rsid w:val="00212B15"/>
    <w:rsid w:val="002245FF"/>
    <w:rsid w:val="00267481"/>
    <w:rsid w:val="002A3014"/>
    <w:rsid w:val="002A3225"/>
    <w:rsid w:val="002C7F4E"/>
    <w:rsid w:val="002D3234"/>
    <w:rsid w:val="002E7AC9"/>
    <w:rsid w:val="002F214B"/>
    <w:rsid w:val="00300AA6"/>
    <w:rsid w:val="00301B22"/>
    <w:rsid w:val="00352740"/>
    <w:rsid w:val="003A0A39"/>
    <w:rsid w:val="00411747"/>
    <w:rsid w:val="0041400D"/>
    <w:rsid w:val="004301C4"/>
    <w:rsid w:val="00465226"/>
    <w:rsid w:val="004B1286"/>
    <w:rsid w:val="004E4565"/>
    <w:rsid w:val="00585F1E"/>
    <w:rsid w:val="005871CC"/>
    <w:rsid w:val="005C423E"/>
    <w:rsid w:val="005C4639"/>
    <w:rsid w:val="005D267F"/>
    <w:rsid w:val="0060088F"/>
    <w:rsid w:val="006111C7"/>
    <w:rsid w:val="00613435"/>
    <w:rsid w:val="006409B0"/>
    <w:rsid w:val="006522A0"/>
    <w:rsid w:val="00686D24"/>
    <w:rsid w:val="00695C44"/>
    <w:rsid w:val="006A1119"/>
    <w:rsid w:val="006A1D0E"/>
    <w:rsid w:val="006B7AB5"/>
    <w:rsid w:val="006D379A"/>
    <w:rsid w:val="007168D9"/>
    <w:rsid w:val="00727D1B"/>
    <w:rsid w:val="007624E5"/>
    <w:rsid w:val="007806C1"/>
    <w:rsid w:val="007C5179"/>
    <w:rsid w:val="007C7F4A"/>
    <w:rsid w:val="007F0449"/>
    <w:rsid w:val="008079D9"/>
    <w:rsid w:val="0082489B"/>
    <w:rsid w:val="008516FA"/>
    <w:rsid w:val="008749EB"/>
    <w:rsid w:val="00881843"/>
    <w:rsid w:val="008840DB"/>
    <w:rsid w:val="008925C2"/>
    <w:rsid w:val="008A0861"/>
    <w:rsid w:val="008B6096"/>
    <w:rsid w:val="008C5DC1"/>
    <w:rsid w:val="008D084F"/>
    <w:rsid w:val="008D0F5B"/>
    <w:rsid w:val="008D73B7"/>
    <w:rsid w:val="00903D5C"/>
    <w:rsid w:val="009126CF"/>
    <w:rsid w:val="00937C83"/>
    <w:rsid w:val="0095743B"/>
    <w:rsid w:val="009C1AB6"/>
    <w:rsid w:val="009E26A0"/>
    <w:rsid w:val="009E5D6C"/>
    <w:rsid w:val="00A4336E"/>
    <w:rsid w:val="00A579F1"/>
    <w:rsid w:val="00AC5D0B"/>
    <w:rsid w:val="00AD2470"/>
    <w:rsid w:val="00B370CB"/>
    <w:rsid w:val="00B66C20"/>
    <w:rsid w:val="00B76C1B"/>
    <w:rsid w:val="00B76FAE"/>
    <w:rsid w:val="00B80B7D"/>
    <w:rsid w:val="00BA0B7C"/>
    <w:rsid w:val="00BA2270"/>
    <w:rsid w:val="00BB3231"/>
    <w:rsid w:val="00BF4920"/>
    <w:rsid w:val="00C03C9C"/>
    <w:rsid w:val="00C16A5F"/>
    <w:rsid w:val="00C21B6F"/>
    <w:rsid w:val="00C76AFA"/>
    <w:rsid w:val="00C87505"/>
    <w:rsid w:val="00CA2283"/>
    <w:rsid w:val="00CC3E67"/>
    <w:rsid w:val="00CE30DC"/>
    <w:rsid w:val="00D11E9F"/>
    <w:rsid w:val="00D375F6"/>
    <w:rsid w:val="00D424F0"/>
    <w:rsid w:val="00D4740C"/>
    <w:rsid w:val="00D52071"/>
    <w:rsid w:val="00D5779A"/>
    <w:rsid w:val="00D65120"/>
    <w:rsid w:val="00E05F98"/>
    <w:rsid w:val="00E201C5"/>
    <w:rsid w:val="00E263EE"/>
    <w:rsid w:val="00E27843"/>
    <w:rsid w:val="00E44EA8"/>
    <w:rsid w:val="00EB4DD7"/>
    <w:rsid w:val="00ED5FCF"/>
    <w:rsid w:val="00EF0469"/>
    <w:rsid w:val="00EF3D3D"/>
    <w:rsid w:val="00F0557F"/>
    <w:rsid w:val="00F51362"/>
    <w:rsid w:val="00F73D39"/>
    <w:rsid w:val="00F76683"/>
    <w:rsid w:val="00F87330"/>
    <w:rsid w:val="00F94253"/>
    <w:rsid w:val="00FD0D94"/>
    <w:rsid w:val="00FE6BE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94E9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o-RO"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eastAsiaTheme="minorHAnsi" w:hAnsi="Times New Roman" w:cs="Times New Roman"/>
      <w:sz w:val="24"/>
      <w:lang w:eastAsia="en-US"/>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rsid w:val="00695C44"/>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styleId="FootnoteText">
    <w:name w:val="footnote text"/>
    <w:basedOn w:val="Normal"/>
    <w:semiHidden/>
    <w:unhideWhenUsed/>
    <w:pPr>
      <w:spacing w:after="200" w:line="276" w:lineRule="auto"/>
    </w:pPr>
    <w:rPr>
      <w:rFonts w:ascii="Calibri" w:eastAsia="Calibri" w:hAnsi="Calibri" w:cs="Times New Roman"/>
      <w:sz w:val="20"/>
      <w:szCs w:val="20"/>
      <w:lang w:eastAsia="en-US"/>
    </w:rPr>
  </w:style>
  <w:style w:type="character" w:customStyle="1" w:styleId="FootnoteTextChar">
    <w:name w:val="Footnote Text Char"/>
    <w:basedOn w:val="DefaultParagraphFont"/>
    <w:semiHidden/>
    <w:rPr>
      <w:rFonts w:ascii="Calibri" w:eastAsia="Calibri" w:hAnsi="Calibri" w:cs="Times New Roman"/>
      <w:sz w:val="20"/>
      <w:szCs w:val="20"/>
      <w:lang w:eastAsia="en-US"/>
    </w:rPr>
  </w:style>
  <w:style w:type="character" w:styleId="FootnoteReference">
    <w:name w:val="footnote reference"/>
    <w:semiHidden/>
    <w:rPr>
      <w:shd w:val="clear" w:color="auto" w:fill="auto"/>
      <w:vertAlign w:val="superscript"/>
    </w:rPr>
  </w:style>
  <w:style w:type="character" w:styleId="Hyperlink">
    <w:name w:val="Hyperlink"/>
    <w:uiPriority w:val="99"/>
    <w:unhideWhenUsed/>
    <w:rPr>
      <w:color w:val="0563C1"/>
      <w:u w:val="single"/>
    </w:rPr>
  </w:style>
  <w:style w:type="character" w:styleId="FollowedHyperlink">
    <w:name w:val="FollowedHyperlink"/>
    <w:basedOn w:val="DefaultParagraphFont"/>
    <w:uiPriority w:val="99"/>
    <w:semiHidden/>
    <w:unhideWhenUsed/>
    <w:rPr>
      <w:color w:val="954F72" w:themeColor="followedHyperlink"/>
      <w:u w:val="single"/>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table" w:styleId="TableGrid">
    <w:name w:val="Table Grid"/>
    <w:basedOn w:val="TableNormal"/>
    <w:uiPriority w:val="39"/>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urityMarking">
    <w:name w:val="SecurityMarking"/>
    <w:basedOn w:val="Normal"/>
    <w:rsid w:val="00695C44"/>
    <w:pPr>
      <w:spacing w:after="0" w:line="276" w:lineRule="auto"/>
      <w:ind w:left="5103"/>
    </w:pPr>
    <w:rPr>
      <w:rFonts w:ascii="Times New Roman" w:eastAsiaTheme="minorHAnsi" w:hAnsi="Times New Roman" w:cs="Times New Roman"/>
      <w:sz w:val="28"/>
      <w:lang w:eastAsia="en-US"/>
    </w:rPr>
  </w:style>
  <w:style w:type="paragraph" w:customStyle="1" w:styleId="DateMarking">
    <w:name w:val="DateMarking"/>
    <w:basedOn w:val="Normal"/>
    <w:rsid w:val="00695C44"/>
    <w:pPr>
      <w:spacing w:after="0" w:line="276" w:lineRule="auto"/>
      <w:ind w:left="5103"/>
    </w:pPr>
    <w:rPr>
      <w:rFonts w:ascii="Times New Roman" w:eastAsiaTheme="minorHAnsi" w:hAnsi="Times New Roman" w:cs="Times New Roman"/>
      <w:i/>
      <w:sz w:val="28"/>
      <w:lang w:eastAsia="en-US"/>
    </w:rPr>
  </w:style>
  <w:style w:type="paragraph" w:customStyle="1" w:styleId="ReleasableTo">
    <w:name w:val="ReleasableTo"/>
    <w:basedOn w:val="Normal"/>
    <w:rsid w:val="00695C44"/>
    <w:pPr>
      <w:spacing w:after="0" w:line="276" w:lineRule="auto"/>
      <w:ind w:left="5103"/>
    </w:pPr>
    <w:rPr>
      <w:rFonts w:ascii="Times New Roman" w:eastAsiaTheme="minorHAnsi" w:hAnsi="Times New Roman" w:cs="Times New Roman"/>
      <w:i/>
      <w:sz w:val="28"/>
      <w:lang w:eastAsia="en-US"/>
    </w:rPr>
  </w:style>
  <w:style w:type="paragraph" w:customStyle="1" w:styleId="Languesfaisantfoi">
    <w:name w:val="Langues faisant foi"/>
    <w:basedOn w:val="Normal"/>
    <w:next w:val="Normal"/>
    <w:rsid w:val="00695C44"/>
    <w:pPr>
      <w:spacing w:before="360" w:after="240" w:line="240" w:lineRule="auto"/>
      <w:jc w:val="center"/>
    </w:pPr>
    <w:rPr>
      <w:rFonts w:ascii="Times New Roman" w:eastAsiaTheme="minorHAnsi" w:hAnsi="Times New Roman" w:cs="Times New Roman"/>
      <w:sz w:val="24"/>
      <w:lang w:eastAsia="en-US"/>
    </w:rPr>
  </w:style>
  <w:style w:type="paragraph" w:customStyle="1" w:styleId="LanguesfaisantfoiPagedecouverture">
    <w:name w:val="Langues faisant foi (Page de couverture)"/>
    <w:basedOn w:val="Normal"/>
    <w:next w:val="Normal"/>
    <w:rsid w:val="00695C44"/>
    <w:pPr>
      <w:spacing w:before="360" w:after="240" w:line="240" w:lineRule="auto"/>
      <w:jc w:val="center"/>
    </w:pPr>
    <w:rPr>
      <w:rFonts w:ascii="Times New Roman" w:eastAsiaTheme="minorHAnsi" w:hAnsi="Times New Roman" w:cs="Times New Roman"/>
      <w:sz w:val="24"/>
      <w:lang w:eastAsia="en-US"/>
    </w:rPr>
  </w:style>
  <w:style w:type="paragraph" w:customStyle="1" w:styleId="IntrtEEE">
    <w:name w:val="Intérêt EEE"/>
    <w:basedOn w:val="Languesfaisantfoi"/>
    <w:next w:val="Normal"/>
    <w:rsid w:val="00695C44"/>
    <w:pPr>
      <w:spacing w:after="0"/>
    </w:pPr>
  </w:style>
  <w:style w:type="paragraph" w:customStyle="1" w:styleId="IntrtEEEPagedecouverture">
    <w:name w:val="Intérêt EEE (Page de couverture)"/>
    <w:basedOn w:val="IntrtEEE"/>
    <w:next w:val="Normal"/>
    <w:rsid w:val="00695C44"/>
  </w:style>
  <w:style w:type="character" w:customStyle="1" w:styleId="UnresolvedMention">
    <w:name w:val="Unresolved Mention"/>
    <w:basedOn w:val="DefaultParagraphFont"/>
    <w:uiPriority w:val="99"/>
    <w:semiHidden/>
    <w:unhideWhenUsed/>
    <w:rsid w:val="00BF4920"/>
    <w:rPr>
      <w:color w:val="605E5C"/>
      <w:shd w:val="clear" w:color="auto" w:fill="E1DFDD"/>
    </w:rPr>
  </w:style>
  <w:style w:type="paragraph" w:styleId="NormalWeb">
    <w:name w:val="Normal (Web)"/>
    <w:basedOn w:val="Normal"/>
    <w:uiPriority w:val="99"/>
    <w:semiHidden/>
    <w:unhideWhenUsed/>
    <w:rsid w:val="00727D1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5133812">
      <w:bodyDiv w:val="1"/>
      <w:marLeft w:val="0"/>
      <w:marRight w:val="0"/>
      <w:marTop w:val="0"/>
      <w:marBottom w:val="0"/>
      <w:divBdr>
        <w:top w:val="none" w:sz="0" w:space="0" w:color="auto"/>
        <w:left w:val="none" w:sz="0" w:space="0" w:color="auto"/>
        <w:bottom w:val="none" w:sz="0" w:space="0" w:color="auto"/>
        <w:right w:val="none" w:sz="0" w:space="0" w:color="auto"/>
      </w:divBdr>
    </w:div>
    <w:div w:id="1034423699">
      <w:bodyDiv w:val="1"/>
      <w:marLeft w:val="0"/>
      <w:marRight w:val="0"/>
      <w:marTop w:val="0"/>
      <w:marBottom w:val="0"/>
      <w:divBdr>
        <w:top w:val="none" w:sz="0" w:space="0" w:color="auto"/>
        <w:left w:val="none" w:sz="0" w:space="0" w:color="auto"/>
        <w:bottom w:val="none" w:sz="0" w:space="0" w:color="auto"/>
        <w:right w:val="none" w:sz="0" w:space="0" w:color="auto"/>
      </w:divBdr>
    </w:div>
    <w:div w:id="1942831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RO/TXT/HTML/?uri=CELEX:52021DC0176" TargetMode="External"/><Relationship Id="rId7" Type="http://schemas.openxmlformats.org/officeDocument/2006/relationships/hyperlink" Target="http://data.europa.eu/eli/reg/2020/1056/oj" TargetMode="External"/><Relationship Id="rId2" Type="http://schemas.openxmlformats.org/officeDocument/2006/relationships/hyperlink" Target="https://eur-lex.europa.eu/legal-content/RO/TXT/HTML/?uri=CELEX:52016DC0562" TargetMode="External"/><Relationship Id="rId1" Type="http://schemas.openxmlformats.org/officeDocument/2006/relationships/hyperlink" Target="http://data.europa.eu/eli/reg/2012/70/oj" TargetMode="External"/><Relationship Id="rId6" Type="http://schemas.openxmlformats.org/officeDocument/2006/relationships/hyperlink" Target="http://data.europa.eu/eli/reg/2024/1679/oj" TargetMode="External"/><Relationship Id="rId5" Type="http://schemas.openxmlformats.org/officeDocument/2006/relationships/hyperlink" Target="http://data.europa.eu/eli/dir/2023/2661/oj" TargetMode="External"/><Relationship Id="rId4" Type="http://schemas.openxmlformats.org/officeDocument/2006/relationships/hyperlink" Target="https://eur-lex.europa.eu/legal-content/RO/TXT/HTML/?uri=CELEX:52020DC07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4C109AD3-0D95-4AA4-AE41-EBC0332BE4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551</Words>
  <Characters>3145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2026-04-07T11:53:00Z</dcterms:created>
  <dcterms:modified xsi:type="dcterms:W3CDTF">2026-05-21T06:39:00Z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2026-03-27T11:05:08Z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3d9a72fe-8d65-4baf-a9dc-bb769af24067</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CP-006</vt:lpwstr>
  </property>
</Properties>
</file>