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294791" w:rsidRDefault="00783B0F" w:rsidP="00783B0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4F1435-B861-4832-9E2B-56D2FBCD51C4" style="width:455.25pt;height:342.75pt">
            <v:imagedata r:id="rId7" o:title=""/>
          </v:shape>
        </w:pict>
      </w:r>
    </w:p>
    <w:p w:rsidR="00402CB7" w:rsidRPr="00294791" w:rsidRDefault="00402CB7" w:rsidP="00C434E6">
      <w:pPr>
        <w:rPr>
          <w:noProof/>
        </w:rPr>
        <w:sectPr w:rsidR="00402CB7" w:rsidRPr="00294791" w:rsidSect="00783B0F">
          <w:footerReference w:type="even" r:id="rId8"/>
          <w:footerReference w:type="default" r:id="rId9"/>
          <w:pgSz w:w="11907" w:h="16839"/>
          <w:pgMar w:top="1134" w:right="1417" w:bottom="1134" w:left="1417" w:header="709" w:footer="709" w:gutter="0"/>
          <w:pgNumType w:start="0"/>
          <w:cols w:space="720"/>
          <w:docGrid w:linePitch="360"/>
        </w:sectPr>
      </w:pPr>
    </w:p>
    <w:p w:rsidR="00843C17" w:rsidRPr="006B26EC" w:rsidRDefault="00843C17" w:rsidP="00843C17">
      <w:pPr>
        <w:pStyle w:val="Exposdesmotifstitre"/>
        <w:rPr>
          <w:noProof/>
        </w:rPr>
      </w:pPr>
      <w:bookmarkStart w:id="0" w:name="_GoBack"/>
      <w:bookmarkEnd w:id="0"/>
    </w:p>
    <w:p w:rsidR="000244C6" w:rsidRPr="00294791" w:rsidRDefault="000244C6" w:rsidP="000244C6">
      <w:pPr>
        <w:rPr>
          <w:noProof/>
        </w:rPr>
      </w:pPr>
    </w:p>
    <w:p w:rsidR="00182CB9" w:rsidRDefault="00BB1A03">
      <w:pPr>
        <w:pStyle w:val="Rfrenceinterinstitutionnelle"/>
        <w:rPr>
          <w:noProof/>
        </w:rPr>
      </w:pPr>
      <w:r>
        <w:rPr>
          <w:noProof/>
        </w:rPr>
        <w:t>2026/0118 (NLE)</w:t>
      </w:r>
    </w:p>
    <w:p w:rsidR="006D3B75" w:rsidRPr="00294791" w:rsidRDefault="00294791" w:rsidP="00294791">
      <w:pPr>
        <w:pStyle w:val="Statut"/>
        <w:rPr>
          <w:noProof/>
        </w:rPr>
      </w:pPr>
      <w:r w:rsidRPr="00294791">
        <w:rPr>
          <w:noProof/>
        </w:rPr>
        <w:t>Propunere de</w:t>
      </w:r>
    </w:p>
    <w:p w:rsidR="006D3B75" w:rsidRPr="006B26EC" w:rsidRDefault="00294791" w:rsidP="00294791">
      <w:pPr>
        <w:pStyle w:val="Typedudocument"/>
        <w:rPr>
          <w:noProof/>
        </w:rPr>
      </w:pPr>
      <w:r w:rsidRPr="006B26EC">
        <w:rPr>
          <w:noProof/>
        </w:rPr>
        <w:t>DECIZIE DE PUNERE ÎN APLICARE A CONSILIULUI</w:t>
      </w:r>
    </w:p>
    <w:p w:rsidR="006D3B75" w:rsidRPr="006B26EC" w:rsidRDefault="00294791" w:rsidP="00294791">
      <w:pPr>
        <w:pStyle w:val="Titreobjet"/>
        <w:rPr>
          <w:noProof/>
        </w:rPr>
      </w:pPr>
      <w:r w:rsidRPr="006B26EC">
        <w:rPr>
          <w:noProof/>
        </w:rPr>
        <w:t>privind autorizarea furnizării de sprijin pentru Ucraina din rezerva UE pentru securitate cibernetică</w:t>
      </w:r>
    </w:p>
    <w:p w:rsidR="00453EC2" w:rsidRPr="00294791" w:rsidRDefault="00453EC2" w:rsidP="006D3B75">
      <w:pPr>
        <w:pStyle w:val="Institutionquiagit"/>
        <w:rPr>
          <w:noProof/>
        </w:rPr>
      </w:pPr>
      <w:r w:rsidRPr="00294791">
        <w:rPr>
          <w:noProof/>
        </w:rPr>
        <w:t>CONSILIUL UNIUNII EUROPENE,</w:t>
      </w:r>
    </w:p>
    <w:p w:rsidR="00453EC2" w:rsidRPr="00294791" w:rsidRDefault="00453EC2" w:rsidP="00453EC2">
      <w:pPr>
        <w:rPr>
          <w:noProof/>
        </w:rPr>
      </w:pPr>
      <w:r w:rsidRPr="00294791">
        <w:rPr>
          <w:noProof/>
        </w:rPr>
        <w:t xml:space="preserve">având în vedere Tratatul privind funcționarea Uniunii Europene, </w:t>
      </w:r>
    </w:p>
    <w:p w:rsidR="00453EC2" w:rsidRPr="00294791" w:rsidRDefault="00453EC2" w:rsidP="00453EC2">
      <w:pPr>
        <w:rPr>
          <w:noProof/>
        </w:rPr>
      </w:pPr>
      <w:r w:rsidRPr="00294791">
        <w:rPr>
          <w:noProof/>
        </w:rPr>
        <w:t xml:space="preserve">având în vedere Regulamentul (UE) </w:t>
      </w:r>
      <w:r w:rsidRPr="006B26EC">
        <w:rPr>
          <w:noProof/>
        </w:rPr>
        <w:t>2025</w:t>
      </w:r>
      <w:r w:rsidRPr="00294791">
        <w:rPr>
          <w:noProof/>
        </w:rPr>
        <w:t>/</w:t>
      </w:r>
      <w:r w:rsidRPr="006B26EC">
        <w:rPr>
          <w:noProof/>
        </w:rPr>
        <w:t>38</w:t>
      </w:r>
      <w:r w:rsidRPr="00294791">
        <w:rPr>
          <w:noProof/>
        </w:rPr>
        <w:t xml:space="preserve"> al Parlamentului European și al Consiliului din </w:t>
      </w:r>
      <w:r w:rsidRPr="006B26EC">
        <w:rPr>
          <w:noProof/>
        </w:rPr>
        <w:t>19</w:t>
      </w:r>
      <w:r w:rsidRPr="00294791">
        <w:rPr>
          <w:noProof/>
        </w:rPr>
        <w:t xml:space="preserve"> decembrie </w:t>
      </w:r>
      <w:r w:rsidRPr="006B26EC">
        <w:rPr>
          <w:noProof/>
        </w:rPr>
        <w:t>2024</w:t>
      </w:r>
      <w:r w:rsidRPr="00294791">
        <w:rPr>
          <w:noProof/>
        </w:rPr>
        <w:t xml:space="preserve"> de stabilire a unor măsuri de consolidare a solidarității și a capacităților la nivelul Uniunii pentru detectarea amenințărilor și a incidentelor de securitate cibernetică, pregătirea legată de acestea și răspunsul la acestea și de modificare a Regulamentului (UE) </w:t>
      </w:r>
      <w:r w:rsidRPr="006B26EC">
        <w:rPr>
          <w:noProof/>
        </w:rPr>
        <w:t>2021</w:t>
      </w:r>
      <w:r w:rsidRPr="00294791">
        <w:rPr>
          <w:noProof/>
        </w:rPr>
        <w:t>/</w:t>
      </w:r>
      <w:r w:rsidRPr="006B26EC">
        <w:rPr>
          <w:noProof/>
        </w:rPr>
        <w:t>694</w:t>
      </w:r>
      <w:r w:rsidRPr="00294791">
        <w:rPr>
          <w:noProof/>
        </w:rPr>
        <w:t xml:space="preserve"> (Regulamentul privind solidaritatea cibernetică)</w:t>
      </w:r>
      <w:r w:rsidRPr="00294791">
        <w:rPr>
          <w:rStyle w:val="FootnoteReference"/>
          <w:noProof/>
        </w:rPr>
        <w:footnoteReference w:id="1"/>
      </w:r>
      <w:r w:rsidRPr="00294791">
        <w:rPr>
          <w:noProof/>
        </w:rPr>
        <w:t>, în special articolul </w:t>
      </w:r>
      <w:r w:rsidRPr="006B26EC">
        <w:rPr>
          <w:noProof/>
        </w:rPr>
        <w:t>19</w:t>
      </w:r>
      <w:r w:rsidRPr="00294791">
        <w:rPr>
          <w:noProof/>
        </w:rPr>
        <w:t xml:space="preserve"> alineatul (</w:t>
      </w:r>
      <w:r w:rsidRPr="006B26EC">
        <w:rPr>
          <w:noProof/>
        </w:rPr>
        <w:t>4</w:t>
      </w:r>
      <w:r w:rsidRPr="00294791">
        <w:rPr>
          <w:noProof/>
        </w:rPr>
        <w:t>),</w:t>
      </w:r>
    </w:p>
    <w:p w:rsidR="00453EC2" w:rsidRPr="00294791" w:rsidRDefault="00453EC2" w:rsidP="00453EC2">
      <w:pPr>
        <w:rPr>
          <w:noProof/>
        </w:rPr>
      </w:pPr>
      <w:r w:rsidRPr="00294791">
        <w:rPr>
          <w:noProof/>
        </w:rPr>
        <w:t>având în vedere propunerea Comisiei Europene,</w:t>
      </w:r>
    </w:p>
    <w:p w:rsidR="00453EC2" w:rsidRPr="00294791" w:rsidRDefault="00453EC2" w:rsidP="00453EC2">
      <w:pPr>
        <w:rPr>
          <w:noProof/>
        </w:rPr>
      </w:pPr>
      <w:r w:rsidRPr="00294791">
        <w:rPr>
          <w:noProof/>
        </w:rPr>
        <w:t>întrucât:</w:t>
      </w:r>
    </w:p>
    <w:p w:rsidR="00453EC2" w:rsidRPr="00294791" w:rsidRDefault="00453EC2" w:rsidP="004B29EA">
      <w:pPr>
        <w:pStyle w:val="ManualConsidrant"/>
        <w:rPr>
          <w:noProof/>
        </w:rPr>
      </w:pPr>
      <w:r>
        <w:rPr>
          <w:noProof/>
        </w:rPr>
        <w:t>(1)</w:t>
      </w:r>
      <w:r>
        <w:rPr>
          <w:noProof/>
        </w:rPr>
        <w:tab/>
      </w:r>
      <w:r w:rsidRPr="00294791">
        <w:rPr>
          <w:noProof/>
        </w:rPr>
        <w:t xml:space="preserve">La </w:t>
      </w:r>
      <w:r w:rsidRPr="006B26EC">
        <w:rPr>
          <w:noProof/>
        </w:rPr>
        <w:t>23</w:t>
      </w:r>
      <w:r w:rsidRPr="00294791">
        <w:rPr>
          <w:noProof/>
        </w:rPr>
        <w:t xml:space="preserve"> iunie </w:t>
      </w:r>
      <w:r w:rsidRPr="006B26EC">
        <w:rPr>
          <w:noProof/>
        </w:rPr>
        <w:t>2022</w:t>
      </w:r>
      <w:r w:rsidRPr="00294791">
        <w:rPr>
          <w:noProof/>
        </w:rPr>
        <w:t xml:space="preserve">, Consiliul European a acordat Ucrainei statutul de țară candidată. Această decizie s-a bazat pe îndeplinirea de către Ucraina a condițiilor specificate în avizul Comisiei din iunie </w:t>
      </w:r>
      <w:r w:rsidRPr="006B26EC">
        <w:rPr>
          <w:noProof/>
        </w:rPr>
        <w:t>2022</w:t>
      </w:r>
      <w:r w:rsidRPr="00294791">
        <w:rPr>
          <w:noProof/>
        </w:rPr>
        <w:t xml:space="preserve"> privind cererea de aderare a Ucrainei. La </w:t>
      </w:r>
      <w:r w:rsidRPr="006B26EC">
        <w:rPr>
          <w:noProof/>
        </w:rPr>
        <w:t>14</w:t>
      </w:r>
      <w:r w:rsidRPr="00294791">
        <w:rPr>
          <w:noProof/>
        </w:rPr>
        <w:t> decembrie</w:t>
      </w:r>
      <w:r w:rsidR="006B26EC">
        <w:rPr>
          <w:noProof/>
        </w:rPr>
        <w:t> </w:t>
      </w:r>
      <w:r w:rsidRPr="006B26EC">
        <w:rPr>
          <w:noProof/>
        </w:rPr>
        <w:t>2023</w:t>
      </w:r>
      <w:r w:rsidRPr="00294791">
        <w:rPr>
          <w:noProof/>
        </w:rPr>
        <w:t xml:space="preserve">, Consiliul European a decis deschiderea negocierilor de aderare cu Ucraina, în urma recomandării emise de Comisie. </w:t>
      </w:r>
    </w:p>
    <w:p w:rsidR="00453EC2" w:rsidRPr="00294791" w:rsidRDefault="00453EC2" w:rsidP="006D3B75">
      <w:pPr>
        <w:pStyle w:val="ManualConsidrant"/>
        <w:rPr>
          <w:noProof/>
        </w:rPr>
      </w:pPr>
      <w:r>
        <w:rPr>
          <w:noProof/>
        </w:rPr>
        <w:t>(2)</w:t>
      </w:r>
      <w:r>
        <w:rPr>
          <w:noProof/>
        </w:rPr>
        <w:tab/>
      </w:r>
      <w:r w:rsidRPr="00294791">
        <w:rPr>
          <w:noProof/>
        </w:rPr>
        <w:t xml:space="preserve">La </w:t>
      </w:r>
      <w:r w:rsidRPr="006B26EC">
        <w:rPr>
          <w:noProof/>
        </w:rPr>
        <w:t>19</w:t>
      </w:r>
      <w:r w:rsidRPr="00294791">
        <w:rPr>
          <w:noProof/>
        </w:rPr>
        <w:t xml:space="preserve"> decembrie </w:t>
      </w:r>
      <w:r w:rsidRPr="006B26EC">
        <w:rPr>
          <w:noProof/>
        </w:rPr>
        <w:t>2024</w:t>
      </w:r>
      <w:r w:rsidRPr="00294791">
        <w:rPr>
          <w:noProof/>
        </w:rPr>
        <w:t>, Consiliul European și-a reafirmat sprijinul de neclintit față de suveranitatea și integritatea teritorială a Ucrainei, subliniind furnizarea de sprijin politic, financiar, economic, umanitar, militar și diplomatic atât timp cât este necesar. Aceste acțiuni evidențiază angajamentul Uniunii de a menține securitatea europeană, demonstrând că sprijinul pentru Ucraina face parte integrantă din obiectivele de securitate ale Uniunii.</w:t>
      </w:r>
    </w:p>
    <w:p w:rsidR="007C6CEC" w:rsidRPr="00294791" w:rsidRDefault="00453EC2" w:rsidP="006D3B75">
      <w:pPr>
        <w:pStyle w:val="ManualConsidrant"/>
        <w:rPr>
          <w:noProof/>
        </w:rPr>
      </w:pPr>
      <w:r>
        <w:rPr>
          <w:noProof/>
        </w:rPr>
        <w:t>(3)</w:t>
      </w:r>
      <w:r>
        <w:rPr>
          <w:noProof/>
        </w:rPr>
        <w:tab/>
      </w:r>
      <w:r w:rsidRPr="00294791">
        <w:rPr>
          <w:noProof/>
        </w:rPr>
        <w:t xml:space="preserve">Incidentele de securitate cibernetică continuă să aibă un impact economic și societal atât în întreaga Uniune, cât și la nivel mondial. Amenințările cibernetice evoluează deosebit de rapid în anumite țări candidate la aderarea la Uniune, în care eventualele incidente cibernetice semnificative sau de mare amploare au potențialul de a perturba și de a afecta infrastructura critică, de a aduce atingere bunei funcționări a economiei și a instituțiilor sau de a genera riscuri grave pentru securitatea și siguranța entităților și cetățenilor. În acest context, atacurile cibernetice ar putea provoca, de asemenea, tensiuni geopolitice suplimentare și ar putea amenința infrastructura critică, procesele democratice și infrastructura electorală. </w:t>
      </w:r>
    </w:p>
    <w:p w:rsidR="007C6CEC" w:rsidRPr="00294791" w:rsidRDefault="00453EC2" w:rsidP="006D3B75">
      <w:pPr>
        <w:pStyle w:val="ManualConsidrant"/>
        <w:rPr>
          <w:noProof/>
        </w:rPr>
      </w:pPr>
      <w:r>
        <w:rPr>
          <w:noProof/>
        </w:rPr>
        <w:lastRenderedPageBreak/>
        <w:t>(4)</w:t>
      </w:r>
      <w:r>
        <w:rPr>
          <w:noProof/>
        </w:rPr>
        <w:tab/>
      </w:r>
      <w:r w:rsidRPr="00294791">
        <w:rPr>
          <w:noProof/>
        </w:rPr>
        <w:t xml:space="preserve">Războiul de agresiune al Rusiei împotriva Ucrainei a avut un impact negativ și perturbator asupra rețelelor și sistemelor informatice aferente serviciilor esențiale ucrainene, cum ar fi căile ferate sau registrele de stat ucrainene. Agresiunea militară a fost însoțită de atacuri cibernetice constante ale Rusiei asupra infrastructurii critice a Ucrainei, fiind vizată inclusiv rețeaua prin satelit KA-SAT, deținută de Viasat, cu o zi înaintea invaziei pe scară largă din februarie </w:t>
      </w:r>
      <w:r w:rsidRPr="006B26EC">
        <w:rPr>
          <w:noProof/>
        </w:rPr>
        <w:t>2022</w:t>
      </w:r>
      <w:r w:rsidRPr="00294791">
        <w:rPr>
          <w:noProof/>
        </w:rPr>
        <w:t>.</w:t>
      </w:r>
    </w:p>
    <w:p w:rsidR="007C6CEC" w:rsidRPr="00294791" w:rsidRDefault="00453EC2" w:rsidP="006D3B75">
      <w:pPr>
        <w:pStyle w:val="ManualConsidrant"/>
        <w:rPr>
          <w:noProof/>
        </w:rPr>
      </w:pPr>
      <w:r>
        <w:rPr>
          <w:noProof/>
        </w:rPr>
        <w:t>(5)</w:t>
      </w:r>
      <w:r>
        <w:rPr>
          <w:noProof/>
        </w:rPr>
        <w:tab/>
      </w:r>
      <w:r w:rsidRPr="00294791">
        <w:rPr>
          <w:noProof/>
        </w:rPr>
        <w:t>Având în vedere caracterul imprevizibil al atacurilor cibernetice, faptul că, adesea, acestea nu se limitează doar la o anumită zonă geografică și că prezintă un risc ridicat de propagare, consolidarea rezilienței țărilor învecinate și a capacității lor de a răspunde în mod eficace la incidente de securitate cibernetică semnificative și de mare amploare contribuie la protecția Uniunii, în special a pieței interne și a industriei sale în ansamblu. Prin urmare, Regulamentul (UE) </w:t>
      </w:r>
      <w:r w:rsidRPr="006B26EC">
        <w:rPr>
          <w:noProof/>
        </w:rPr>
        <w:t>2025</w:t>
      </w:r>
      <w:r w:rsidRPr="00294791">
        <w:rPr>
          <w:noProof/>
        </w:rPr>
        <w:t>/</w:t>
      </w:r>
      <w:r w:rsidRPr="006B26EC">
        <w:rPr>
          <w:noProof/>
        </w:rPr>
        <w:t>38</w:t>
      </w:r>
      <w:r w:rsidRPr="00294791">
        <w:rPr>
          <w:noProof/>
        </w:rPr>
        <w:t xml:space="preserve"> prevede că țările terțe care sunt parte la un acord de asociere cu Uniunea care permite participarea lor la programul „Europa digitală” (DEP) (denumite în continuare „țările terțe asociate la DEP”) pot fi sprijinite din rezerva UE pentru securitate cibernetică („rezerva”), pe întreg teritoriul lor sau pe o parte a acestuia, dacă se prevede astfel în acordul de asociere la DEP a țării terțe în cauză. </w:t>
      </w:r>
    </w:p>
    <w:p w:rsidR="007C6CEC" w:rsidRPr="00294791" w:rsidRDefault="00453EC2" w:rsidP="006D3B75">
      <w:pPr>
        <w:pStyle w:val="ManualConsidrant"/>
        <w:rPr>
          <w:noProof/>
        </w:rPr>
      </w:pPr>
      <w:r>
        <w:rPr>
          <w:noProof/>
        </w:rPr>
        <w:t>(6)</w:t>
      </w:r>
      <w:r>
        <w:rPr>
          <w:noProof/>
        </w:rPr>
        <w:tab/>
      </w:r>
      <w:r w:rsidRPr="00294791">
        <w:rPr>
          <w:noProof/>
        </w:rPr>
        <w:t>În conformitate cu articolul </w:t>
      </w:r>
      <w:r w:rsidRPr="006B26EC">
        <w:rPr>
          <w:noProof/>
        </w:rPr>
        <w:t>19</w:t>
      </w:r>
      <w:r w:rsidRPr="00294791">
        <w:rPr>
          <w:noProof/>
        </w:rPr>
        <w:t xml:space="preserve"> din Regulamentul (UE) </w:t>
      </w:r>
      <w:r w:rsidRPr="006B26EC">
        <w:rPr>
          <w:noProof/>
        </w:rPr>
        <w:t>2025</w:t>
      </w:r>
      <w:r w:rsidRPr="00294791">
        <w:rPr>
          <w:noProof/>
        </w:rPr>
        <w:t>/</w:t>
      </w:r>
      <w:r w:rsidRPr="006B26EC">
        <w:rPr>
          <w:noProof/>
        </w:rPr>
        <w:t>38</w:t>
      </w:r>
      <w:r w:rsidRPr="00294791">
        <w:rPr>
          <w:noProof/>
        </w:rPr>
        <w:t>, o țară terță este eligibilă pentru sprijin din rezervă în cazul în care acest lucru este prevăzut în mod specific în acordul prin care țara terță în cauză este asociată la DEP. În plus, aceste țări terțe ar trebui să rămână eligibile numai atât timp cât sunt îndeplinite cele trei criterii prevăzute la articolul </w:t>
      </w:r>
      <w:r w:rsidRPr="006B26EC">
        <w:rPr>
          <w:noProof/>
        </w:rPr>
        <w:t>19</w:t>
      </w:r>
      <w:r w:rsidRPr="00294791">
        <w:rPr>
          <w:noProof/>
        </w:rPr>
        <w:t xml:space="preserve"> alineatul (</w:t>
      </w:r>
      <w:r w:rsidRPr="006B26EC">
        <w:rPr>
          <w:noProof/>
        </w:rPr>
        <w:t>3</w:t>
      </w:r>
      <w:r w:rsidRPr="00294791">
        <w:rPr>
          <w:noProof/>
        </w:rPr>
        <w:t>) din Regulamentul (UE) </w:t>
      </w:r>
      <w:r w:rsidRPr="006B26EC">
        <w:rPr>
          <w:noProof/>
        </w:rPr>
        <w:t>2025</w:t>
      </w:r>
      <w:r w:rsidRPr="00294791">
        <w:rPr>
          <w:noProof/>
        </w:rPr>
        <w:t>/</w:t>
      </w:r>
      <w:r w:rsidRPr="006B26EC">
        <w:rPr>
          <w:noProof/>
        </w:rPr>
        <w:t>38</w:t>
      </w:r>
      <w:r w:rsidRPr="00294791">
        <w:rPr>
          <w:noProof/>
        </w:rPr>
        <w:t xml:space="preserve">. În primul rând, țara terță în cauză trebuie să respecte pe deplin clauzele relevante din acordul respectiv. În al doilea rând, având în vedere caracterul complementar al rezervei, țara terță în cauză trebuie să fi luat măsuri adecvate pentru a se pregăti pentru incidente de securitate cibernetică semnificative sau pentru incidente de securitate cibernetică echivalente cu cele de mare amploare. În al treilea rând, sprijinul acordat din rezervă trebuie să fie în concordanță cu politica Uniunii față de țara respectivă și cu relațiile generale cu aceasta și să fie consecvent cu alte politici ale Uniunii în domeniul securității. </w:t>
      </w:r>
    </w:p>
    <w:p w:rsidR="00D350B8" w:rsidRPr="00294791" w:rsidRDefault="00D350B8" w:rsidP="006D3B75">
      <w:pPr>
        <w:pStyle w:val="ManualConsidrant"/>
        <w:rPr>
          <w:noProof/>
        </w:rPr>
      </w:pPr>
      <w:r>
        <w:rPr>
          <w:noProof/>
        </w:rPr>
        <w:t>(7)</w:t>
      </w:r>
      <w:r>
        <w:rPr>
          <w:noProof/>
        </w:rPr>
        <w:tab/>
      </w:r>
      <w:r w:rsidRPr="00294791">
        <w:rPr>
          <w:noProof/>
        </w:rPr>
        <w:t>Ucraina este parte la un acord de asociere cu Uniunea Europeană privind participarea la programul „Europa digitală” (</w:t>
      </w:r>
      <w:r w:rsidRPr="006B26EC">
        <w:rPr>
          <w:noProof/>
        </w:rPr>
        <w:t>2021</w:t>
      </w:r>
      <w:r w:rsidRPr="00294791">
        <w:rPr>
          <w:noProof/>
        </w:rPr>
        <w:t>-</w:t>
      </w:r>
      <w:r w:rsidRPr="006B26EC">
        <w:rPr>
          <w:noProof/>
        </w:rPr>
        <w:t>2027</w:t>
      </w:r>
      <w:r w:rsidRPr="00294791">
        <w:rPr>
          <w:noProof/>
        </w:rPr>
        <w:t xml:space="preserve">), semnat la </w:t>
      </w:r>
      <w:r w:rsidRPr="006B26EC">
        <w:rPr>
          <w:noProof/>
        </w:rPr>
        <w:t>5</w:t>
      </w:r>
      <w:r w:rsidRPr="00294791">
        <w:rPr>
          <w:noProof/>
        </w:rPr>
        <w:t xml:space="preserve"> septembrie </w:t>
      </w:r>
      <w:r w:rsidRPr="006B26EC">
        <w:rPr>
          <w:noProof/>
        </w:rPr>
        <w:t>2022</w:t>
      </w:r>
      <w:r w:rsidRPr="00294791">
        <w:rPr>
          <w:noProof/>
        </w:rPr>
        <w:t>. În conformitate cu articolul </w:t>
      </w:r>
      <w:r w:rsidRPr="006B26EC">
        <w:rPr>
          <w:noProof/>
        </w:rPr>
        <w:t>1</w:t>
      </w:r>
      <w:r w:rsidRPr="00294791">
        <w:rPr>
          <w:noProof/>
        </w:rPr>
        <w:t xml:space="preserve"> din Acordul de asociere la DEP, Ucrainei i se permite să participe la DEP, inclusiv să primească sprijin din rezerva UE pentru securitate cibernetică. Acordul include dispoziții care impun Ucrainei să respecte obligațiile prevăzute la articolul </w:t>
      </w:r>
      <w:r w:rsidRPr="006B26EC">
        <w:rPr>
          <w:noProof/>
        </w:rPr>
        <w:t>19</w:t>
      </w:r>
      <w:r w:rsidRPr="00294791">
        <w:rPr>
          <w:noProof/>
        </w:rPr>
        <w:t xml:space="preserve"> alineatele (</w:t>
      </w:r>
      <w:r w:rsidRPr="006B26EC">
        <w:rPr>
          <w:noProof/>
        </w:rPr>
        <w:t>2</w:t>
      </w:r>
      <w:r w:rsidRPr="00294791">
        <w:rPr>
          <w:noProof/>
        </w:rPr>
        <w:t>) și (</w:t>
      </w:r>
      <w:r w:rsidRPr="006B26EC">
        <w:rPr>
          <w:noProof/>
        </w:rPr>
        <w:t>9</w:t>
      </w:r>
      <w:r w:rsidRPr="00294791">
        <w:rPr>
          <w:noProof/>
        </w:rPr>
        <w:t xml:space="preserve">) din Regulamentul (UE) </w:t>
      </w:r>
      <w:r w:rsidRPr="006B26EC">
        <w:rPr>
          <w:noProof/>
        </w:rPr>
        <w:t>2025</w:t>
      </w:r>
      <w:r w:rsidRPr="00294791">
        <w:rPr>
          <w:noProof/>
        </w:rPr>
        <w:t>/</w:t>
      </w:r>
      <w:r w:rsidRPr="006B26EC">
        <w:rPr>
          <w:noProof/>
        </w:rPr>
        <w:t>38</w:t>
      </w:r>
      <w:r w:rsidRPr="00294791">
        <w:rPr>
          <w:noProof/>
        </w:rPr>
        <w:t>.</w:t>
      </w:r>
    </w:p>
    <w:p w:rsidR="007C6CEC" w:rsidRPr="00294791" w:rsidRDefault="00453EC2" w:rsidP="006D3B75">
      <w:pPr>
        <w:pStyle w:val="ManualConsidrant"/>
        <w:rPr>
          <w:noProof/>
        </w:rPr>
      </w:pPr>
      <w:r>
        <w:rPr>
          <w:noProof/>
        </w:rPr>
        <w:t>(8)</w:t>
      </w:r>
      <w:r>
        <w:rPr>
          <w:noProof/>
        </w:rPr>
        <w:tab/>
      </w:r>
      <w:r w:rsidRPr="00294791">
        <w:rPr>
          <w:noProof/>
        </w:rPr>
        <w:t xml:space="preserve">Furnizarea de sprijin țărilor terțe asociate la DEP poate afecta relațiile cu țările terțe și politica de securitate a Uniunii, inclusiv în contextul politicii externe și de securitate comune și al politicii de securitate și apărare comune. Consiliul acționează pe baza unei propuneri a Comisiei, ținând seama în mod corespunzător de evaluarea de către Comisie a îndeplinirii celor trei criterii </w:t>
      </w:r>
      <w:r w:rsidRPr="00294791">
        <w:rPr>
          <w:noProof/>
          <w:color w:val="333333"/>
        </w:rPr>
        <w:t>menționate la articolul </w:t>
      </w:r>
      <w:r w:rsidRPr="006B26EC">
        <w:rPr>
          <w:noProof/>
          <w:color w:val="333333"/>
        </w:rPr>
        <w:t>19</w:t>
      </w:r>
      <w:r w:rsidRPr="00294791">
        <w:rPr>
          <w:noProof/>
          <w:color w:val="333333"/>
        </w:rPr>
        <w:t xml:space="preserve"> alineatul (</w:t>
      </w:r>
      <w:r w:rsidRPr="006B26EC">
        <w:rPr>
          <w:noProof/>
          <w:color w:val="333333"/>
        </w:rPr>
        <w:t>3</w:t>
      </w:r>
      <w:r w:rsidRPr="00294791">
        <w:rPr>
          <w:noProof/>
          <w:color w:val="333333"/>
        </w:rPr>
        <w:t>) din Regulamentul (UE) </w:t>
      </w:r>
      <w:r w:rsidRPr="006B26EC">
        <w:rPr>
          <w:noProof/>
          <w:color w:val="333333"/>
        </w:rPr>
        <w:t>2025</w:t>
      </w:r>
      <w:r w:rsidRPr="00294791">
        <w:rPr>
          <w:noProof/>
          <w:color w:val="333333"/>
        </w:rPr>
        <w:t>/</w:t>
      </w:r>
      <w:r w:rsidRPr="006B26EC">
        <w:rPr>
          <w:noProof/>
          <w:color w:val="333333"/>
        </w:rPr>
        <w:t>38</w:t>
      </w:r>
      <w:r w:rsidRPr="00294791">
        <w:rPr>
          <w:noProof/>
        </w:rPr>
        <w:t>.</w:t>
      </w:r>
    </w:p>
    <w:p w:rsidR="00CE687D" w:rsidRPr="00294791" w:rsidRDefault="00453EC2" w:rsidP="00384C37">
      <w:pPr>
        <w:pStyle w:val="ManualConsidrant"/>
        <w:rPr>
          <w:noProof/>
        </w:rPr>
      </w:pPr>
      <w:r>
        <w:rPr>
          <w:noProof/>
        </w:rPr>
        <w:t>(9)</w:t>
      </w:r>
      <w:r>
        <w:rPr>
          <w:noProof/>
        </w:rPr>
        <w:tab/>
      </w:r>
      <w:r w:rsidRPr="00294791">
        <w:rPr>
          <w:noProof/>
        </w:rPr>
        <w:t xml:space="preserve">Uniunea a instituit o serie de mecanisme, instrumente de finanțare și facilități pentru a sprijini securitatea, apărarea și reziliența Ucrainei, inclusiv Instrumentul european pentru pace, care finanțează sprijinul militar, și Fondul de asistență pentru Ucraina, lansat în </w:t>
      </w:r>
      <w:r w:rsidRPr="006B26EC">
        <w:rPr>
          <w:noProof/>
        </w:rPr>
        <w:t>2024</w:t>
      </w:r>
      <w:r w:rsidRPr="00294791">
        <w:rPr>
          <w:noProof/>
        </w:rPr>
        <w:t xml:space="preserve">. De asemenea, Uniunea a lansat Misiunea de asistență militară a UE în sprijinul Ucrainei în </w:t>
      </w:r>
      <w:r w:rsidRPr="006B26EC">
        <w:rPr>
          <w:noProof/>
        </w:rPr>
        <w:t>2022</w:t>
      </w:r>
      <w:r w:rsidRPr="00294791">
        <w:rPr>
          <w:noProof/>
        </w:rPr>
        <w:t xml:space="preserve"> pentru a instrui forțele armate ucrainene și pentru a consolida Misiunea Uniunii Europene de consiliere pentru reforma sectorului </w:t>
      </w:r>
      <w:r w:rsidRPr="00294791">
        <w:rPr>
          <w:noProof/>
        </w:rPr>
        <w:lastRenderedPageBreak/>
        <w:t xml:space="preserve">securității civile în Ucraina, care este operațională din </w:t>
      </w:r>
      <w:r w:rsidRPr="006B26EC">
        <w:rPr>
          <w:noProof/>
        </w:rPr>
        <w:t>2014</w:t>
      </w:r>
      <w:r w:rsidRPr="00294791">
        <w:rPr>
          <w:noProof/>
        </w:rPr>
        <w:t xml:space="preserve">. Împreună, toate aceste inițiative formează un răspuns coordonat și solid pentru consolidarea securității, apărării și rezilienței Ucrainei. În iunie </w:t>
      </w:r>
      <w:r w:rsidRPr="006B26EC">
        <w:rPr>
          <w:noProof/>
        </w:rPr>
        <w:t>2024</w:t>
      </w:r>
      <w:r w:rsidRPr="00294791">
        <w:rPr>
          <w:noProof/>
        </w:rPr>
        <w:t xml:space="preserve">, Uniunea și Ucraina au adoptat angajamente comune în materie de securitate, prin care ambele părți și-au afirmat, printre altele, intenția de a consolida cooperarea în materie de reziliență, cu accent pe contracararea amenințărilor hibride și cibernetice, a acțiunilor străine de manipulare a informațiilor și a ingerințelor străine, precum și pe protejarea infrastructurii critice. Dialogul cibernetic UE-Ucraina instituit în </w:t>
      </w:r>
      <w:r w:rsidRPr="006B26EC">
        <w:rPr>
          <w:noProof/>
        </w:rPr>
        <w:t>2022</w:t>
      </w:r>
      <w:r w:rsidRPr="00294791">
        <w:rPr>
          <w:noProof/>
        </w:rPr>
        <w:t xml:space="preserve"> continuă să fie o platformă centrală pentru abordarea cooperării politice și tehnice cu privire la aspectele cibernetice. </w:t>
      </w:r>
    </w:p>
    <w:p w:rsidR="007C6CEC" w:rsidRPr="00294791" w:rsidRDefault="00453EC2" w:rsidP="006D3B75">
      <w:pPr>
        <w:pStyle w:val="ManualConsidrant"/>
        <w:rPr>
          <w:noProof/>
        </w:rPr>
      </w:pPr>
      <w:r>
        <w:rPr>
          <w:noProof/>
        </w:rPr>
        <w:t>(10)</w:t>
      </w:r>
      <w:r>
        <w:rPr>
          <w:noProof/>
        </w:rPr>
        <w:tab/>
      </w:r>
      <w:r w:rsidRPr="00294791">
        <w:rPr>
          <w:noProof/>
        </w:rPr>
        <w:t xml:space="preserve">În ceea ce privește Ucraina, Comisia a evaluat cele trei criterii prevăzute la articolul </w:t>
      </w:r>
      <w:r w:rsidRPr="006B26EC">
        <w:rPr>
          <w:noProof/>
        </w:rPr>
        <w:t>19</w:t>
      </w:r>
      <w:r w:rsidRPr="00294791">
        <w:rPr>
          <w:noProof/>
        </w:rPr>
        <w:t xml:space="preserve"> alineatul (</w:t>
      </w:r>
      <w:r w:rsidRPr="006B26EC">
        <w:rPr>
          <w:noProof/>
        </w:rPr>
        <w:t>3</w:t>
      </w:r>
      <w:r w:rsidRPr="00294791">
        <w:rPr>
          <w:noProof/>
        </w:rPr>
        <w:t xml:space="preserve">) din Regulamentul (UE) </w:t>
      </w:r>
      <w:r w:rsidRPr="006B26EC">
        <w:rPr>
          <w:noProof/>
        </w:rPr>
        <w:t>2025</w:t>
      </w:r>
      <w:r w:rsidRPr="00294791">
        <w:rPr>
          <w:noProof/>
        </w:rPr>
        <w:t>/</w:t>
      </w:r>
      <w:r w:rsidRPr="006B26EC">
        <w:rPr>
          <w:noProof/>
        </w:rPr>
        <w:t>38</w:t>
      </w:r>
      <w:r w:rsidRPr="00294791">
        <w:rPr>
          <w:noProof/>
        </w:rPr>
        <w:t xml:space="preserve"> și consideră că acestea sunt îndeplinite. De asemenea, în cadrul acestei evaluări, Comisia a consultat Înaltul Reprezentant al Uniunii pentru afaceri externe și politica de securitate.</w:t>
      </w:r>
    </w:p>
    <w:p w:rsidR="007C6CEC" w:rsidRPr="00294791" w:rsidRDefault="00453EC2" w:rsidP="006D3B75">
      <w:pPr>
        <w:pStyle w:val="ManualConsidrant"/>
        <w:rPr>
          <w:noProof/>
        </w:rPr>
      </w:pPr>
      <w:r>
        <w:rPr>
          <w:noProof/>
        </w:rPr>
        <w:t>(11)</w:t>
      </w:r>
      <w:r>
        <w:rPr>
          <w:noProof/>
        </w:rPr>
        <w:tab/>
      </w:r>
      <w:r w:rsidRPr="00294791">
        <w:rPr>
          <w:noProof/>
        </w:rPr>
        <w:t xml:space="preserve">În conformitate cu articolul </w:t>
      </w:r>
      <w:r w:rsidRPr="006B26EC">
        <w:rPr>
          <w:noProof/>
        </w:rPr>
        <w:t>19</w:t>
      </w:r>
      <w:r w:rsidRPr="00294791">
        <w:rPr>
          <w:noProof/>
        </w:rPr>
        <w:t xml:space="preserve"> alineatul (</w:t>
      </w:r>
      <w:r w:rsidRPr="006B26EC">
        <w:rPr>
          <w:noProof/>
        </w:rPr>
        <w:t>6</w:t>
      </w:r>
      <w:r w:rsidRPr="00294791">
        <w:rPr>
          <w:noProof/>
        </w:rPr>
        <w:t xml:space="preserve">) din Regulamentul (UE) </w:t>
      </w:r>
      <w:r w:rsidRPr="006B26EC">
        <w:rPr>
          <w:noProof/>
        </w:rPr>
        <w:t>2025</w:t>
      </w:r>
      <w:r w:rsidRPr="00294791">
        <w:rPr>
          <w:noProof/>
        </w:rPr>
        <w:t>/</w:t>
      </w:r>
      <w:r w:rsidRPr="006B26EC">
        <w:rPr>
          <w:noProof/>
        </w:rPr>
        <w:t>38</w:t>
      </w:r>
      <w:r w:rsidRPr="00294791">
        <w:rPr>
          <w:noProof/>
        </w:rPr>
        <w:t>, Consiliul apreciază că Ucraina respectă condițiile relevante ale acordului de asociere a acestei țări la DEP și a luat măsuri adecvate pentru a se pregăti pentru incidentele de securitate cibernetică semnificative și pentru incidentele de securitate cibernetică echivalente cu cele de mare amploare. În plus, Consiliul apreciază că furnizarea de sprijin din rezervă este în concordanță cu politica Uniunii față de Ucraina și cu relațiile globale cu aceasta, precum și cu alte politici ale Uniunii în domeniul securității, în special cu factorii prevăzuți la considerentul </w:t>
      </w:r>
      <w:r w:rsidRPr="006B26EC">
        <w:rPr>
          <w:noProof/>
        </w:rPr>
        <w:t>8</w:t>
      </w:r>
      <w:r w:rsidRPr="00294791">
        <w:rPr>
          <w:noProof/>
        </w:rPr>
        <w:t>.</w:t>
      </w:r>
    </w:p>
    <w:p w:rsidR="00453EC2" w:rsidRPr="00294791" w:rsidRDefault="00CE687D" w:rsidP="006D3B75">
      <w:pPr>
        <w:pStyle w:val="ManualConsidrant"/>
        <w:rPr>
          <w:noProof/>
        </w:rPr>
      </w:pPr>
      <w:r>
        <w:rPr>
          <w:noProof/>
        </w:rPr>
        <w:t>(12)</w:t>
      </w:r>
      <w:r>
        <w:rPr>
          <w:noProof/>
        </w:rPr>
        <w:tab/>
      </w:r>
      <w:r w:rsidRPr="00294791">
        <w:rPr>
          <w:noProof/>
        </w:rPr>
        <w:t>Prin urmare, ar trebui autorizată acordarea de sprijin din rezervă pentru Ucraina.</w:t>
      </w:r>
    </w:p>
    <w:p w:rsidR="00CE687D" w:rsidRPr="00294791" w:rsidRDefault="00CE687D" w:rsidP="006D3B75">
      <w:pPr>
        <w:pStyle w:val="ManualConsidrant"/>
        <w:rPr>
          <w:noProof/>
        </w:rPr>
      </w:pPr>
      <w:r>
        <w:rPr>
          <w:noProof/>
        </w:rPr>
        <w:t>(13)</w:t>
      </w:r>
      <w:r>
        <w:rPr>
          <w:noProof/>
        </w:rPr>
        <w:tab/>
      </w:r>
      <w:r w:rsidRPr="00294791">
        <w:rPr>
          <w:noProof/>
        </w:rPr>
        <w:t xml:space="preserve">Pentru a permite acordarea imediată a asistenței în conformitate cu criteriile stabilite în actul de bază, prezenta decizie ar trebui să intre în vigoare în regim de urgență. Pentru a permite furnizarea unui sprijin adecvat și în timp util, prezenta decizie ar trebui să se aplice pentru o perioadă de un an, </w:t>
      </w:r>
    </w:p>
    <w:p w:rsidR="007C6CEC" w:rsidRPr="00294791" w:rsidRDefault="007C6CEC" w:rsidP="00453EC2">
      <w:pPr>
        <w:keepNext/>
        <w:rPr>
          <w:noProof/>
        </w:rPr>
      </w:pPr>
    </w:p>
    <w:p w:rsidR="00453EC2" w:rsidRPr="00294791" w:rsidRDefault="00453EC2" w:rsidP="006D3B75">
      <w:pPr>
        <w:pStyle w:val="Formuledadoption"/>
        <w:rPr>
          <w:noProof/>
        </w:rPr>
      </w:pPr>
      <w:r w:rsidRPr="00294791">
        <w:rPr>
          <w:noProof/>
        </w:rPr>
        <w:t>ADOPTĂ PREZENTA DECIZIE:</w:t>
      </w:r>
    </w:p>
    <w:p w:rsidR="00453EC2" w:rsidRPr="006B26EC" w:rsidRDefault="00453EC2" w:rsidP="000A5720">
      <w:pPr>
        <w:pStyle w:val="Titrearticle"/>
        <w:rPr>
          <w:noProof/>
        </w:rPr>
      </w:pPr>
      <w:r w:rsidRPr="006B26EC">
        <w:rPr>
          <w:noProof/>
        </w:rPr>
        <w:t>Articolul 1</w:t>
      </w:r>
    </w:p>
    <w:p w:rsidR="00453EC2" w:rsidRPr="00294791" w:rsidRDefault="00453EC2" w:rsidP="00453EC2">
      <w:pPr>
        <w:rPr>
          <w:noProof/>
        </w:rPr>
      </w:pPr>
      <w:r w:rsidRPr="00294791">
        <w:rPr>
          <w:noProof/>
        </w:rPr>
        <w:t>Se autorizează furnizarea de sprijin pentru Ucraina din rezerva UE pentru securitate cibernetică, în sensul articolului </w:t>
      </w:r>
      <w:r w:rsidRPr="006B26EC">
        <w:rPr>
          <w:noProof/>
        </w:rPr>
        <w:t>19</w:t>
      </w:r>
      <w:r w:rsidRPr="00294791">
        <w:rPr>
          <w:noProof/>
        </w:rPr>
        <w:t xml:space="preserve"> din Regulamentul (UE) </w:t>
      </w:r>
      <w:r w:rsidRPr="006B26EC">
        <w:rPr>
          <w:noProof/>
        </w:rPr>
        <w:t>2025</w:t>
      </w:r>
      <w:r w:rsidRPr="00294791">
        <w:rPr>
          <w:noProof/>
        </w:rPr>
        <w:t>/</w:t>
      </w:r>
      <w:r w:rsidRPr="006B26EC">
        <w:rPr>
          <w:noProof/>
        </w:rPr>
        <w:t>38</w:t>
      </w:r>
      <w:r w:rsidRPr="00294791">
        <w:rPr>
          <w:noProof/>
        </w:rPr>
        <w:t>.</w:t>
      </w:r>
    </w:p>
    <w:p w:rsidR="00453EC2" w:rsidRPr="006B26EC" w:rsidRDefault="00453EC2" w:rsidP="000A5720">
      <w:pPr>
        <w:pStyle w:val="Titrearticle"/>
        <w:rPr>
          <w:noProof/>
        </w:rPr>
      </w:pPr>
      <w:r w:rsidRPr="006B26EC">
        <w:rPr>
          <w:noProof/>
        </w:rPr>
        <w:t>Articolul 2</w:t>
      </w:r>
    </w:p>
    <w:p w:rsidR="00FC7B42" w:rsidRPr="00294791" w:rsidRDefault="00453EC2" w:rsidP="00453EC2">
      <w:pPr>
        <w:rPr>
          <w:rFonts w:eastAsia="Times New Roman"/>
          <w:noProof/>
          <w:color w:val="333333"/>
        </w:rPr>
      </w:pPr>
      <w:r w:rsidRPr="00294791">
        <w:rPr>
          <w:noProof/>
          <w:color w:val="333333"/>
        </w:rPr>
        <w:t xml:space="preserve">Prezenta decizie intră în vigoare la data publicării în </w:t>
      </w:r>
      <w:r w:rsidRPr="006B26EC">
        <w:rPr>
          <w:i/>
          <w:iCs/>
          <w:noProof/>
          <w:color w:val="333333"/>
        </w:rPr>
        <w:t>Jurnalul Oficial al Uniunii Europene</w:t>
      </w:r>
      <w:r w:rsidRPr="00294791">
        <w:rPr>
          <w:noProof/>
          <w:color w:val="333333"/>
        </w:rPr>
        <w:t xml:space="preserve">. </w:t>
      </w:r>
    </w:p>
    <w:p w:rsidR="00453EC2" w:rsidRPr="00294791" w:rsidRDefault="00CE687D" w:rsidP="00453EC2">
      <w:pPr>
        <w:rPr>
          <w:rFonts w:eastAsia="Times New Roman"/>
          <w:noProof/>
          <w:color w:val="333333"/>
        </w:rPr>
      </w:pPr>
      <w:r w:rsidRPr="00294791">
        <w:rPr>
          <w:noProof/>
          <w:color w:val="333333"/>
        </w:rPr>
        <w:t xml:space="preserve">Se aplică până la [Oficiul pentru Publicații: vă rugăm să introduceți data intrării în vigoare a prezentei decizii + </w:t>
      </w:r>
      <w:r w:rsidRPr="006B26EC">
        <w:rPr>
          <w:noProof/>
          <w:color w:val="333333"/>
        </w:rPr>
        <w:t>1</w:t>
      </w:r>
      <w:r w:rsidRPr="00294791">
        <w:rPr>
          <w:noProof/>
          <w:color w:val="333333"/>
        </w:rPr>
        <w:t xml:space="preserve"> an].</w:t>
      </w:r>
    </w:p>
    <w:p w:rsidR="00453EC2" w:rsidRPr="00294791" w:rsidRDefault="00294791" w:rsidP="00FF3DCD">
      <w:pPr>
        <w:pStyle w:val="Fait"/>
        <w:rPr>
          <w:noProof/>
        </w:rPr>
      </w:pPr>
      <w:r>
        <w:rPr>
          <w:noProof/>
        </w:rPr>
        <w:t>Adoptată la Bruxelles,</w:t>
      </w:r>
    </w:p>
    <w:p w:rsidR="00453EC2" w:rsidRPr="006B26EC" w:rsidRDefault="00453EC2" w:rsidP="00FF3DCD">
      <w:pPr>
        <w:pStyle w:val="Institutionquisigne"/>
        <w:rPr>
          <w:noProof/>
        </w:rPr>
      </w:pPr>
      <w:r w:rsidRPr="006B26EC">
        <w:rPr>
          <w:noProof/>
        </w:rPr>
        <w:tab/>
        <w:t>Pentru Consiliu</w:t>
      </w:r>
    </w:p>
    <w:p w:rsidR="00402CB7" w:rsidRPr="006B26EC" w:rsidRDefault="00453EC2" w:rsidP="000A5720">
      <w:pPr>
        <w:pStyle w:val="Personnequisigne"/>
        <w:rPr>
          <w:noProof/>
        </w:rPr>
      </w:pPr>
      <w:r w:rsidRPr="006B26EC">
        <w:rPr>
          <w:noProof/>
        </w:rPr>
        <w:tab/>
        <w:t>Președintele</w:t>
      </w:r>
    </w:p>
    <w:sectPr w:rsidR="00402CB7" w:rsidRPr="006B26EC" w:rsidSect="00783B0F">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B8" w:rsidRDefault="00CA70B8" w:rsidP="00402CB7">
      <w:pPr>
        <w:spacing w:before="0" w:after="0"/>
      </w:pPr>
      <w:r>
        <w:separator/>
      </w:r>
    </w:p>
  </w:endnote>
  <w:endnote w:type="continuationSeparator" w:id="0">
    <w:p w:rsidR="00CA70B8" w:rsidRDefault="00CA70B8" w:rsidP="0040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Pr="00783B0F" w:rsidRDefault="00783B0F" w:rsidP="00783B0F">
    <w:pPr>
      <w:pStyle w:val="Footer"/>
      <w:rPr>
        <w:rFonts w:ascii="Arial" w:hAnsi="Arial" w:cs="Arial"/>
        <w:b/>
        <w:sz w:val="48"/>
      </w:rPr>
    </w:pPr>
    <w:r w:rsidRPr="00783B0F">
      <w:rPr>
        <w:rFonts w:ascii="Arial" w:hAnsi="Arial" w:cs="Arial"/>
        <w:b/>
        <w:sz w:val="48"/>
      </w:rPr>
      <w:t>RO</w:t>
    </w:r>
    <w:r w:rsidRPr="00783B0F">
      <w:rPr>
        <w:rFonts w:ascii="Arial" w:hAnsi="Arial" w:cs="Arial"/>
        <w:b/>
        <w:sz w:val="48"/>
      </w:rPr>
      <w:tab/>
    </w:r>
    <w:r w:rsidRPr="00783B0F">
      <w:rPr>
        <w:rFonts w:ascii="Arial" w:hAnsi="Arial" w:cs="Arial"/>
        <w:b/>
        <w:sz w:val="48"/>
      </w:rPr>
      <w:tab/>
    </w:r>
    <w:r w:rsidRPr="00783B0F">
      <w:tab/>
    </w:r>
    <w:r w:rsidRPr="00783B0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Pr="00783B0F" w:rsidRDefault="00783B0F" w:rsidP="00783B0F">
    <w:pPr>
      <w:pStyle w:val="Footer"/>
      <w:rPr>
        <w:rFonts w:ascii="Arial" w:hAnsi="Arial" w:cs="Arial"/>
        <w:b/>
        <w:sz w:val="48"/>
      </w:rPr>
    </w:pPr>
    <w:r w:rsidRPr="00783B0F">
      <w:rPr>
        <w:rFonts w:ascii="Arial" w:hAnsi="Arial" w:cs="Arial"/>
        <w:b/>
        <w:sz w:val="48"/>
      </w:rPr>
      <w:t>RO</w:t>
    </w:r>
    <w:r w:rsidRPr="00783B0F">
      <w:rPr>
        <w:rFonts w:ascii="Arial" w:hAnsi="Arial" w:cs="Arial"/>
        <w:b/>
        <w:sz w:val="48"/>
      </w:rPr>
      <w:tab/>
    </w:r>
    <w:r w:rsidRPr="00783B0F">
      <w:rPr>
        <w:rFonts w:ascii="Arial" w:hAnsi="Arial" w:cs="Arial"/>
        <w:b/>
        <w:sz w:val="48"/>
      </w:rPr>
      <w:tab/>
    </w:r>
    <w:r w:rsidRPr="00783B0F">
      <w:tab/>
    </w:r>
    <w:r w:rsidRPr="00783B0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Default="00783B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Pr="00783B0F" w:rsidRDefault="00783B0F" w:rsidP="00783B0F">
    <w:pPr>
      <w:pStyle w:val="Footer"/>
      <w:rPr>
        <w:rFonts w:ascii="Arial" w:hAnsi="Arial" w:cs="Arial"/>
        <w:b/>
        <w:sz w:val="48"/>
      </w:rPr>
    </w:pPr>
    <w:r w:rsidRPr="00783B0F">
      <w:rPr>
        <w:rFonts w:ascii="Arial" w:hAnsi="Arial" w:cs="Arial"/>
        <w:b/>
        <w:sz w:val="48"/>
      </w:rPr>
      <w:t>RO</w:t>
    </w:r>
    <w:r w:rsidRPr="00783B0F">
      <w:rPr>
        <w:rFonts w:ascii="Arial" w:hAnsi="Arial" w:cs="Arial"/>
        <w:b/>
        <w:sz w:val="48"/>
      </w:rPr>
      <w:tab/>
    </w:r>
    <w:r>
      <w:fldChar w:fldCharType="begin"/>
    </w:r>
    <w:r>
      <w:instrText xml:space="preserve"> PAGE  \* MERGEFORMAT </w:instrText>
    </w:r>
    <w:r>
      <w:fldChar w:fldCharType="separate"/>
    </w:r>
    <w:r w:rsidR="00BB1A03">
      <w:rPr>
        <w:noProof/>
      </w:rPr>
      <w:t>2</w:t>
    </w:r>
    <w:r>
      <w:fldChar w:fldCharType="end"/>
    </w:r>
    <w:r>
      <w:tab/>
    </w:r>
    <w:r w:rsidRPr="00783B0F">
      <w:tab/>
    </w:r>
    <w:r w:rsidRPr="00783B0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Default="00783B0F" w:rsidP="00783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B8" w:rsidRDefault="00CA70B8" w:rsidP="00402CB7">
      <w:pPr>
        <w:spacing w:before="0" w:after="0"/>
      </w:pPr>
      <w:r>
        <w:separator/>
      </w:r>
    </w:p>
  </w:footnote>
  <w:footnote w:type="continuationSeparator" w:id="0">
    <w:p w:rsidR="00CA70B8" w:rsidRDefault="00CA70B8" w:rsidP="00402CB7">
      <w:pPr>
        <w:spacing w:before="0" w:after="0"/>
      </w:pPr>
      <w:r>
        <w:continuationSeparator/>
      </w:r>
    </w:p>
  </w:footnote>
  <w:footnote w:id="1">
    <w:p w:rsidR="00680071" w:rsidRDefault="00453EC2" w:rsidP="00453EC2">
      <w:pPr>
        <w:pStyle w:val="FootnoteText"/>
      </w:pPr>
      <w:r>
        <w:rPr>
          <w:rStyle w:val="FootnoteReference"/>
        </w:rPr>
        <w:footnoteRef/>
      </w:r>
      <w:r>
        <w:tab/>
        <w:t xml:space="preserve">JO L, </w:t>
      </w:r>
      <w:r w:rsidRPr="006B26EC">
        <w:t>2025</w:t>
      </w:r>
      <w:r>
        <w:t>/</w:t>
      </w:r>
      <w:r w:rsidRPr="006B26EC">
        <w:t>38</w:t>
      </w:r>
      <w:r>
        <w:t xml:space="preserve">, </w:t>
      </w:r>
      <w:r w:rsidRPr="006B26EC">
        <w:t>15</w:t>
      </w:r>
      <w:r>
        <w:t>.</w:t>
      </w:r>
      <w:r w:rsidRPr="006B26EC">
        <w:t>1</w:t>
      </w:r>
      <w:r>
        <w:t>.</w:t>
      </w:r>
      <w:r w:rsidRPr="006B26EC">
        <w:t>2025</w:t>
      </w:r>
      <w:r>
        <w:t xml:space="preserve">, ELI: </w:t>
      </w:r>
      <w:hyperlink r:id="rId1" w:history="1">
        <w:r w:rsidRPr="006B26EC">
          <w:rPr>
            <w:rStyle w:val="Hyperlink"/>
          </w:rPr>
          <w:t>http://data.europa.eu/eli/reg/2025/38/oj</w:t>
        </w:r>
      </w:hyperlink>
    </w:p>
    <w:p w:rsidR="00453EC2" w:rsidRDefault="00453EC2" w:rsidP="00453EC2">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Default="00783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B0F" w:rsidRDefault="00783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E24A3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B9CC6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123AB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7A3C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1 20:02: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34F1435-B861-4832-9E2B-56D2FBCD51C4"/>
    <w:docVar w:name="LW_COVERPAGE_TYPE" w:val="1"/>
    <w:docVar w:name="LW_CreatedUtc" w:val="2026-03-13T13:14:58.7935533Z"/>
    <w:docVar w:name="LW_CROSSREFERENCE" w:val="&lt;UNUSED&gt;"/>
    <w:docVar w:name="LW_DocType" w:val="COM"/>
    <w:docVar w:name="LW_EMISSION" w:val="18.5.2026"/>
    <w:docVar w:name="LW_EMISSION_ISODATE" w:val="2026-05-18"/>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EXP.MOTIFS.NEW" w:val="EM_PL_"/>
    <w:docVar w:name="LW_ID_STATUT" w:val="SJ-02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18"/>
    <w:docVar w:name="LW_REF.II.NEW.CP_YEAR" w:val="2026"/>
    <w:docVar w:name="LW_REF.INST.NEW" w:val="COM"/>
    <w:docVar w:name="LW_REF.INST.NEW_ADOPTED" w:val="final"/>
    <w:docVar w:name="LW_REF.INST.NEW_TEXT" w:val="(2026) 2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utorizarea furniz\u259?rii de sprijin pentru Ucraina din rezerva UE pentru securitate cibernetic\u259?"/>
    <w:docVar w:name="LW_TYPE.DOC.CP" w:val="DECIZIE DE PUNERE ÎN APLICARE A CONSILIULUI"/>
    <w:docVar w:name="LwApiVersions" w:val="LW4CoDe 1.24.5.0; LW 9.2, Build 20251112"/>
  </w:docVars>
  <w:rsids>
    <w:rsidRoot w:val="00402CB7"/>
    <w:rsid w:val="00003C1D"/>
    <w:rsid w:val="00010077"/>
    <w:rsid w:val="000101C5"/>
    <w:rsid w:val="000244C6"/>
    <w:rsid w:val="00025A49"/>
    <w:rsid w:val="0004499E"/>
    <w:rsid w:val="00046992"/>
    <w:rsid w:val="00072D6C"/>
    <w:rsid w:val="000A5720"/>
    <w:rsid w:val="000B373D"/>
    <w:rsid w:val="000D6E2B"/>
    <w:rsid w:val="000E582B"/>
    <w:rsid w:val="000F5B48"/>
    <w:rsid w:val="001065F5"/>
    <w:rsid w:val="001122FF"/>
    <w:rsid w:val="00116E0A"/>
    <w:rsid w:val="001238EF"/>
    <w:rsid w:val="00132CD8"/>
    <w:rsid w:val="001566F2"/>
    <w:rsid w:val="00165D4C"/>
    <w:rsid w:val="0016620A"/>
    <w:rsid w:val="00167B11"/>
    <w:rsid w:val="00182CB9"/>
    <w:rsid w:val="00197613"/>
    <w:rsid w:val="00197BCA"/>
    <w:rsid w:val="001A1A93"/>
    <w:rsid w:val="001A5742"/>
    <w:rsid w:val="00201C68"/>
    <w:rsid w:val="002157A6"/>
    <w:rsid w:val="00220938"/>
    <w:rsid w:val="00233755"/>
    <w:rsid w:val="00233DC7"/>
    <w:rsid w:val="002341B8"/>
    <w:rsid w:val="002351CC"/>
    <w:rsid w:val="00247779"/>
    <w:rsid w:val="00285BEE"/>
    <w:rsid w:val="00294791"/>
    <w:rsid w:val="0029533F"/>
    <w:rsid w:val="002A250B"/>
    <w:rsid w:val="002B30AF"/>
    <w:rsid w:val="0031205C"/>
    <w:rsid w:val="00322615"/>
    <w:rsid w:val="0033344A"/>
    <w:rsid w:val="003775FC"/>
    <w:rsid w:val="00384C37"/>
    <w:rsid w:val="003B7BCC"/>
    <w:rsid w:val="003F05C1"/>
    <w:rsid w:val="00402CB7"/>
    <w:rsid w:val="0042648E"/>
    <w:rsid w:val="00451ABC"/>
    <w:rsid w:val="00453EC2"/>
    <w:rsid w:val="004579D7"/>
    <w:rsid w:val="00480179"/>
    <w:rsid w:val="00483A6D"/>
    <w:rsid w:val="00484836"/>
    <w:rsid w:val="0049364D"/>
    <w:rsid w:val="004936D2"/>
    <w:rsid w:val="004B29EA"/>
    <w:rsid w:val="004B569D"/>
    <w:rsid w:val="00524EB7"/>
    <w:rsid w:val="00527591"/>
    <w:rsid w:val="00531280"/>
    <w:rsid w:val="00535287"/>
    <w:rsid w:val="005913D3"/>
    <w:rsid w:val="005B1EB6"/>
    <w:rsid w:val="005B28DB"/>
    <w:rsid w:val="005C4D19"/>
    <w:rsid w:val="005D1F90"/>
    <w:rsid w:val="00624167"/>
    <w:rsid w:val="00630B45"/>
    <w:rsid w:val="00664D35"/>
    <w:rsid w:val="00680071"/>
    <w:rsid w:val="006A58CB"/>
    <w:rsid w:val="006B26EC"/>
    <w:rsid w:val="006B5682"/>
    <w:rsid w:val="006D3B75"/>
    <w:rsid w:val="00735AAB"/>
    <w:rsid w:val="007400F2"/>
    <w:rsid w:val="007575FD"/>
    <w:rsid w:val="00757932"/>
    <w:rsid w:val="00773331"/>
    <w:rsid w:val="00773AE8"/>
    <w:rsid w:val="00782535"/>
    <w:rsid w:val="00783B0F"/>
    <w:rsid w:val="007932EF"/>
    <w:rsid w:val="007C3D25"/>
    <w:rsid w:val="007C6CEC"/>
    <w:rsid w:val="007C7E3E"/>
    <w:rsid w:val="007E05B0"/>
    <w:rsid w:val="007F213F"/>
    <w:rsid w:val="008056EA"/>
    <w:rsid w:val="0080772A"/>
    <w:rsid w:val="00843C17"/>
    <w:rsid w:val="00860343"/>
    <w:rsid w:val="008630C1"/>
    <w:rsid w:val="00874D22"/>
    <w:rsid w:val="00891F57"/>
    <w:rsid w:val="008A2914"/>
    <w:rsid w:val="008A3BD7"/>
    <w:rsid w:val="008D54E8"/>
    <w:rsid w:val="008D5A37"/>
    <w:rsid w:val="008E4D8E"/>
    <w:rsid w:val="00914FFF"/>
    <w:rsid w:val="00925060"/>
    <w:rsid w:val="00932B41"/>
    <w:rsid w:val="00944D6F"/>
    <w:rsid w:val="00964B0D"/>
    <w:rsid w:val="009920E4"/>
    <w:rsid w:val="009D0B2C"/>
    <w:rsid w:val="009F4BA9"/>
    <w:rsid w:val="00A3648B"/>
    <w:rsid w:val="00A37DF6"/>
    <w:rsid w:val="00A521A0"/>
    <w:rsid w:val="00AA19CE"/>
    <w:rsid w:val="00AD1DAE"/>
    <w:rsid w:val="00AF3B4F"/>
    <w:rsid w:val="00B23D20"/>
    <w:rsid w:val="00B53F78"/>
    <w:rsid w:val="00B65133"/>
    <w:rsid w:val="00BA1611"/>
    <w:rsid w:val="00BB1A03"/>
    <w:rsid w:val="00BD1161"/>
    <w:rsid w:val="00C12301"/>
    <w:rsid w:val="00C4234C"/>
    <w:rsid w:val="00C93193"/>
    <w:rsid w:val="00CA70B8"/>
    <w:rsid w:val="00CE687D"/>
    <w:rsid w:val="00CF119E"/>
    <w:rsid w:val="00D20381"/>
    <w:rsid w:val="00D243EB"/>
    <w:rsid w:val="00D24E45"/>
    <w:rsid w:val="00D350B8"/>
    <w:rsid w:val="00D51CA1"/>
    <w:rsid w:val="00DD21E6"/>
    <w:rsid w:val="00E14E01"/>
    <w:rsid w:val="00E231E0"/>
    <w:rsid w:val="00E308FD"/>
    <w:rsid w:val="00E3386F"/>
    <w:rsid w:val="00E369D6"/>
    <w:rsid w:val="00E51096"/>
    <w:rsid w:val="00E664ED"/>
    <w:rsid w:val="00E77FB9"/>
    <w:rsid w:val="00EE16CE"/>
    <w:rsid w:val="00F87479"/>
    <w:rsid w:val="00FA2928"/>
    <w:rsid w:val="00FB5547"/>
    <w:rsid w:val="00FC38F8"/>
    <w:rsid w:val="00FC6EE9"/>
    <w:rsid w:val="00FC7B42"/>
    <w:rsid w:val="00FE4E4B"/>
    <w:rsid w:val="00FE55E5"/>
    <w:rsid w:val="00FF3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AEA1ADF-60F7-443E-9662-50F15367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53EC2"/>
    <w:pPr>
      <w:numPr>
        <w:numId w:val="1"/>
      </w:numPr>
      <w:contextualSpacing/>
    </w:pPr>
  </w:style>
  <w:style w:type="paragraph" w:styleId="ListBullet2">
    <w:name w:val="List Bullet 2"/>
    <w:basedOn w:val="Normal"/>
    <w:uiPriority w:val="99"/>
    <w:semiHidden/>
    <w:unhideWhenUsed/>
    <w:rsid w:val="00453EC2"/>
    <w:pPr>
      <w:numPr>
        <w:numId w:val="2"/>
      </w:numPr>
      <w:contextualSpacing/>
    </w:pPr>
  </w:style>
  <w:style w:type="paragraph" w:styleId="ListBullet3">
    <w:name w:val="List Bullet 3"/>
    <w:basedOn w:val="Normal"/>
    <w:uiPriority w:val="99"/>
    <w:semiHidden/>
    <w:unhideWhenUsed/>
    <w:rsid w:val="00453EC2"/>
    <w:pPr>
      <w:numPr>
        <w:numId w:val="3"/>
      </w:numPr>
      <w:contextualSpacing/>
    </w:pPr>
  </w:style>
  <w:style w:type="paragraph" w:styleId="ListBullet4">
    <w:name w:val="List Bullet 4"/>
    <w:basedOn w:val="Normal"/>
    <w:uiPriority w:val="99"/>
    <w:semiHidden/>
    <w:unhideWhenUsed/>
    <w:rsid w:val="00453EC2"/>
    <w:pPr>
      <w:numPr>
        <w:numId w:val="4"/>
      </w:numPr>
      <w:contextualSpacing/>
    </w:pPr>
  </w:style>
  <w:style w:type="character" w:styleId="Hyperlink">
    <w:name w:val="Hyperlink"/>
    <w:basedOn w:val="DefaultParagraphFont"/>
    <w:uiPriority w:val="99"/>
    <w:unhideWhenUsed/>
    <w:rsid w:val="00046992"/>
    <w:rPr>
      <w:color w:val="0000FF" w:themeColor="hyperlink"/>
      <w:u w:val="single"/>
    </w:rPr>
  </w:style>
  <w:style w:type="character" w:styleId="CommentReference">
    <w:name w:val="annotation reference"/>
    <w:basedOn w:val="DefaultParagraphFont"/>
    <w:uiPriority w:val="99"/>
    <w:semiHidden/>
    <w:unhideWhenUsed/>
    <w:rsid w:val="00046992"/>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ListParagraph">
    <w:name w:val="List Paragraph"/>
    <w:basedOn w:val="Normal"/>
    <w:uiPriority w:val="34"/>
    <w:qFormat/>
    <w:rsid w:val="007C6CEC"/>
    <w:pPr>
      <w:ind w:left="720"/>
      <w:contextualSpacing/>
    </w:pPr>
  </w:style>
  <w:style w:type="paragraph" w:styleId="CommentSubject">
    <w:name w:val="annotation subject"/>
    <w:basedOn w:val="CommentText"/>
    <w:next w:val="CommentText"/>
    <w:link w:val="CommentSubjectChar"/>
    <w:uiPriority w:val="99"/>
    <w:semiHidden/>
    <w:unhideWhenUsed/>
    <w:rsid w:val="00843C17"/>
    <w:rPr>
      <w:b/>
      <w:bCs/>
    </w:rPr>
  </w:style>
  <w:style w:type="character" w:customStyle="1" w:styleId="CommentSubjectChar">
    <w:name w:val="Comment Subject Char"/>
    <w:basedOn w:val="CommentTextChar"/>
    <w:link w:val="CommentSubject"/>
    <w:uiPriority w:val="99"/>
    <w:semiHidden/>
    <w:rsid w:val="00843C17"/>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843C17"/>
    <w:rPr>
      <w:color w:val="605E5C"/>
      <w:shd w:val="clear" w:color="auto" w:fill="E1DFDD"/>
    </w:rPr>
  </w:style>
  <w:style w:type="paragraph" w:styleId="Revision">
    <w:name w:val="Revision"/>
    <w:hidden/>
    <w:uiPriority w:val="99"/>
    <w:semiHidden/>
    <w:rsid w:val="00384C37"/>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B26EC"/>
    <w:rPr>
      <w:color w:val="800080" w:themeColor="followedHyperlink"/>
      <w:u w:val="single"/>
    </w:rPr>
  </w:style>
  <w:style w:type="character" w:customStyle="1" w:styleId="HeaderChar">
    <w:name w:val="Header Char"/>
    <w:basedOn w:val="DefaultParagraphFont"/>
    <w:link w:val="Header"/>
    <w:uiPriority w:val="99"/>
    <w:rsid w:val="00783B0F"/>
    <w:rPr>
      <w:rFonts w:ascii="Times New Roman" w:hAnsi="Times New Roman" w:cs="Times New Roman"/>
      <w:sz w:val="24"/>
      <w:lang w:val="ro-RO"/>
    </w:rPr>
  </w:style>
  <w:style w:type="character" w:customStyle="1" w:styleId="FooterChar">
    <w:name w:val="Footer Char"/>
    <w:basedOn w:val="DefaultParagraphFont"/>
    <w:link w:val="Footer"/>
    <w:uiPriority w:val="99"/>
    <w:rsid w:val="00783B0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83B0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83B0F"/>
    <w:pPr>
      <w:spacing w:before="0"/>
      <w:jc w:val="right"/>
    </w:pPr>
    <w:rPr>
      <w:sz w:val="28"/>
    </w:rPr>
  </w:style>
  <w:style w:type="paragraph" w:customStyle="1" w:styleId="FooterSensitivity">
    <w:name w:val="Footer Sensitivity"/>
    <w:basedOn w:val="Normal"/>
    <w:rsid w:val="00783B0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83B0F"/>
    <w:pPr>
      <w:tabs>
        <w:tab w:val="center" w:pos="4535"/>
        <w:tab w:val="right" w:pos="9071"/>
      </w:tabs>
      <w:spacing w:before="0"/>
    </w:pPr>
  </w:style>
  <w:style w:type="paragraph" w:customStyle="1" w:styleId="HeaderLandscape">
    <w:name w:val="HeaderLandscape"/>
    <w:basedOn w:val="Normal"/>
    <w:rsid w:val="00783B0F"/>
    <w:pPr>
      <w:tabs>
        <w:tab w:val="center" w:pos="7285"/>
        <w:tab w:val="right" w:pos="14003"/>
      </w:tabs>
      <w:spacing w:before="0"/>
    </w:pPr>
  </w:style>
  <w:style w:type="paragraph" w:styleId="Footer">
    <w:name w:val="footer"/>
    <w:basedOn w:val="Normal"/>
    <w:link w:val="FooterChar"/>
    <w:uiPriority w:val="99"/>
    <w:unhideWhenUsed/>
    <w:rsid w:val="00783B0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83B0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15</TotalTime>
  <Pages>4</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2026-05-08T11:25:00Z</dcterms:created>
  <dcterms:modified xsi:type="dcterms:W3CDTF">2026-05-11T18:02:00Z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2026-03-13T13:16:43Z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29d0ff90-4d55-4f19-a8f5-043df9ef7b9f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