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0C2050" w14:textId="70D341D6" w:rsidR="004E0D54" w:rsidRPr="00F23D87" w:rsidRDefault="00E85004" w:rsidP="00E85004">
      <w:pPr>
        <w:pStyle w:val="Pagedecouverture"/>
        <w:rPr>
          <w:noProof/>
        </w:rPr>
      </w:pPr>
      <w:bookmarkStart w:id="0" w:name="LW_BM_COVERPAGE"/>
      <w:r>
        <w:rPr>
          <w:noProof/>
        </w:rPr>
        <w:pict w14:anchorId="561C47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6717618-F035-4A6A-9D20-5DA5E7347AAC" style="width:455.25pt;height:300pt">
            <v:imagedata r:id="rId7" o:title=""/>
          </v:shape>
        </w:pict>
      </w:r>
    </w:p>
    <w:bookmarkEnd w:id="0"/>
    <w:p w14:paraId="5F404453" w14:textId="77777777" w:rsidR="004E0D54" w:rsidRPr="00F23D87" w:rsidRDefault="004E0D54" w:rsidP="004E0D54">
      <w:pPr>
        <w:rPr>
          <w:noProof/>
        </w:rPr>
        <w:sectPr w:rsidR="004E0D54" w:rsidRPr="00F23D87" w:rsidSect="00E85004">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p w14:paraId="3F8A04E3" w14:textId="77777777" w:rsidR="004E0D54" w:rsidRPr="00F23D87" w:rsidRDefault="004E0D54" w:rsidP="004E0D54">
      <w:pPr>
        <w:spacing w:before="480" w:after="240" w:line="240" w:lineRule="auto"/>
        <w:jc w:val="center"/>
        <w:rPr>
          <w:rFonts w:ascii="Times New Roman" w:eastAsia="Calibri" w:hAnsi="Times New Roman" w:cs="Times New Roman"/>
          <w:b/>
          <w:noProof/>
          <w:sz w:val="24"/>
          <w:szCs w:val="24"/>
          <w:lang w:eastAsia="en-US"/>
        </w:rPr>
      </w:pPr>
      <w:bookmarkStart w:id="1" w:name="_GoBack"/>
      <w:bookmarkEnd w:id="1"/>
      <w:r w:rsidRPr="00F23D87">
        <w:rPr>
          <w:rFonts w:ascii="Times New Roman" w:eastAsia="Calibri" w:hAnsi="Times New Roman" w:cs="Times New Roman"/>
          <w:b/>
          <w:noProof/>
          <w:sz w:val="24"/>
          <w:szCs w:val="24"/>
          <w:lang w:eastAsia="en-US"/>
        </w:rPr>
        <w:lastRenderedPageBreak/>
        <w:t>REPORT FROM THE COMMISSION TO THE EUROPEAN PARLIAMENT AND THE COUNCIL</w:t>
      </w:r>
    </w:p>
    <w:p w14:paraId="2CEA3F0C" w14:textId="0536763E" w:rsidR="004E0D54" w:rsidRPr="00F23D87" w:rsidRDefault="004E0D54" w:rsidP="00B57660">
      <w:pPr>
        <w:spacing w:after="0" w:line="276" w:lineRule="auto"/>
        <w:jc w:val="center"/>
        <w:rPr>
          <w:rFonts w:ascii="Times New Roman" w:eastAsia="Calibri" w:hAnsi="Times New Roman" w:cs="Times New Roman"/>
          <w:b/>
          <w:noProof/>
          <w:sz w:val="24"/>
          <w:szCs w:val="24"/>
          <w:lang w:eastAsia="en-US"/>
        </w:rPr>
      </w:pPr>
      <w:r w:rsidRPr="00F23D87">
        <w:rPr>
          <w:rFonts w:ascii="Times New Roman" w:eastAsia="Calibri" w:hAnsi="Times New Roman" w:cs="Times New Roman"/>
          <w:b/>
          <w:noProof/>
          <w:sz w:val="24"/>
          <w:szCs w:val="24"/>
          <w:lang w:eastAsia="en-US"/>
        </w:rPr>
        <w:t xml:space="preserve">on </w:t>
      </w:r>
      <w:r w:rsidR="00470441">
        <w:rPr>
          <w:rFonts w:ascii="Times New Roman" w:eastAsia="Calibri" w:hAnsi="Times New Roman" w:cs="Times New Roman"/>
          <w:b/>
          <w:noProof/>
          <w:sz w:val="24"/>
          <w:szCs w:val="24"/>
          <w:lang w:eastAsia="en-US"/>
        </w:rPr>
        <w:t>exercising</w:t>
      </w:r>
      <w:r w:rsidRPr="00F23D87">
        <w:rPr>
          <w:rFonts w:ascii="Times New Roman" w:eastAsia="Calibri" w:hAnsi="Times New Roman" w:cs="Times New Roman"/>
          <w:b/>
          <w:noProof/>
          <w:sz w:val="24"/>
          <w:szCs w:val="24"/>
          <w:lang w:eastAsia="en-US"/>
        </w:rPr>
        <w:t xml:space="preserve"> the power to adopt delegated acts conferred on the Commission pursuant to Regulation (EU) 2018/974 on statistics of goods transport by inland waterways</w:t>
      </w:r>
    </w:p>
    <w:p w14:paraId="31818D3F" w14:textId="77777777" w:rsidR="004E0D54" w:rsidRPr="00F23D87" w:rsidRDefault="004E0D54" w:rsidP="004E0D54">
      <w:pPr>
        <w:numPr>
          <w:ilvl w:val="0"/>
          <w:numId w:val="1"/>
        </w:numPr>
        <w:spacing w:before="480" w:after="240" w:line="276" w:lineRule="auto"/>
        <w:ind w:left="680" w:hanging="680"/>
        <w:jc w:val="both"/>
        <w:rPr>
          <w:rFonts w:ascii="Times New Roman" w:eastAsia="Calibri" w:hAnsi="Times New Roman" w:cs="Times New Roman"/>
          <w:b/>
          <w:noProof/>
          <w:sz w:val="24"/>
          <w:szCs w:val="24"/>
          <w:lang w:eastAsia="en-US"/>
        </w:rPr>
      </w:pPr>
      <w:r w:rsidRPr="00F23D87">
        <w:rPr>
          <w:rFonts w:ascii="Times New Roman" w:eastAsia="Calibri" w:hAnsi="Times New Roman" w:cs="Times New Roman"/>
          <w:b/>
          <w:noProof/>
          <w:sz w:val="24"/>
          <w:szCs w:val="24"/>
          <w:lang w:eastAsia="en-US"/>
        </w:rPr>
        <w:t>INTRODUCTION</w:t>
      </w:r>
    </w:p>
    <w:p w14:paraId="52147437" w14:textId="797DF5AF" w:rsidR="004E0D54" w:rsidRPr="00F23D87" w:rsidRDefault="004E0D54" w:rsidP="004E0D54">
      <w:pPr>
        <w:spacing w:after="120" w:line="276" w:lineRule="auto"/>
        <w:jc w:val="both"/>
        <w:rPr>
          <w:rFonts w:ascii="Times New Roman" w:eastAsia="Calibri" w:hAnsi="Times New Roman" w:cs="Times New Roman"/>
          <w:noProof/>
          <w:sz w:val="24"/>
          <w:szCs w:val="24"/>
          <w:lang w:eastAsia="en-US"/>
        </w:rPr>
      </w:pPr>
      <w:r w:rsidRPr="00F23D87">
        <w:rPr>
          <w:rFonts w:ascii="Times New Roman" w:eastAsia="Calibri" w:hAnsi="Times New Roman" w:cs="Times New Roman"/>
          <w:noProof/>
          <w:sz w:val="24"/>
          <w:szCs w:val="24"/>
          <w:lang w:eastAsia="en-US"/>
        </w:rPr>
        <w:t>Regulation (EU) 2018/974 of the European Parliament and of the Council</w:t>
      </w:r>
      <w:r w:rsidR="0083499C" w:rsidRPr="00F23D87">
        <w:rPr>
          <w:rFonts w:ascii="Times New Roman" w:eastAsia="Calibri" w:hAnsi="Times New Roman" w:cs="Times New Roman"/>
          <w:noProof/>
          <w:sz w:val="24"/>
          <w:szCs w:val="24"/>
          <w:lang w:eastAsia="en-US"/>
        </w:rPr>
        <w:t xml:space="preserve"> (</w:t>
      </w:r>
      <w:r w:rsidRPr="00F23D87">
        <w:rPr>
          <w:rStyle w:val="FootnoteReference"/>
          <w:rFonts w:ascii="Times New Roman" w:eastAsia="Calibri" w:hAnsi="Times New Roman" w:cs="Times New Roman"/>
          <w:noProof/>
          <w:sz w:val="24"/>
          <w:szCs w:val="24"/>
          <w:lang w:eastAsia="en-US"/>
        </w:rPr>
        <w:footnoteReference w:id="1"/>
      </w:r>
      <w:r w:rsidR="0083499C" w:rsidRPr="00F23D87">
        <w:rPr>
          <w:rFonts w:ascii="Times New Roman" w:eastAsia="Calibri" w:hAnsi="Times New Roman" w:cs="Times New Roman"/>
          <w:noProof/>
          <w:sz w:val="24"/>
          <w:szCs w:val="24"/>
          <w:lang w:eastAsia="en-US"/>
        </w:rPr>
        <w:t>)</w:t>
      </w:r>
      <w:r w:rsidRPr="00F23D87">
        <w:rPr>
          <w:rFonts w:ascii="Times New Roman" w:eastAsia="Calibri" w:hAnsi="Times New Roman" w:cs="Times New Roman"/>
          <w:noProof/>
          <w:sz w:val="24"/>
          <w:szCs w:val="24"/>
          <w:lang w:eastAsia="en-US"/>
        </w:rPr>
        <w:t xml:space="preserve"> empowers the Commission to adopt delegated acts</w:t>
      </w:r>
      <w:r w:rsidR="006561F3">
        <w:rPr>
          <w:rFonts w:ascii="Times New Roman" w:eastAsia="Calibri" w:hAnsi="Times New Roman" w:cs="Times New Roman"/>
          <w:noProof/>
          <w:sz w:val="24"/>
          <w:szCs w:val="24"/>
          <w:lang w:eastAsia="en-US"/>
        </w:rPr>
        <w:t>,</w:t>
      </w:r>
      <w:r w:rsidRPr="00F23D87">
        <w:rPr>
          <w:rFonts w:ascii="Times New Roman" w:eastAsia="Calibri" w:hAnsi="Times New Roman" w:cs="Times New Roman"/>
          <w:noProof/>
          <w:sz w:val="24"/>
          <w:szCs w:val="24"/>
          <w:lang w:eastAsia="en-US"/>
        </w:rPr>
        <w:t xml:space="preserve"> under Article</w:t>
      </w:r>
      <w:r w:rsidR="00F23D87">
        <w:rPr>
          <w:rFonts w:ascii="Times New Roman" w:eastAsia="Calibri" w:hAnsi="Times New Roman" w:cs="Times New Roman"/>
          <w:noProof/>
          <w:sz w:val="24"/>
          <w:szCs w:val="24"/>
          <w:lang w:eastAsia="en-US"/>
        </w:rPr>
        <w:t> </w:t>
      </w:r>
      <w:r w:rsidRPr="00F23D87">
        <w:rPr>
          <w:rFonts w:ascii="Times New Roman" w:eastAsia="Calibri" w:hAnsi="Times New Roman" w:cs="Times New Roman"/>
          <w:noProof/>
          <w:sz w:val="24"/>
          <w:szCs w:val="24"/>
          <w:lang w:eastAsia="en-US"/>
        </w:rPr>
        <w:t xml:space="preserve">10 </w:t>
      </w:r>
      <w:r w:rsidR="006561F3">
        <w:rPr>
          <w:rFonts w:ascii="Times New Roman" w:eastAsia="Calibri" w:hAnsi="Times New Roman" w:cs="Times New Roman"/>
          <w:noProof/>
          <w:sz w:val="24"/>
          <w:szCs w:val="24"/>
          <w:lang w:eastAsia="en-US"/>
        </w:rPr>
        <w:t xml:space="preserve">of that Regulation, </w:t>
      </w:r>
      <w:r w:rsidRPr="00F23D87">
        <w:rPr>
          <w:rFonts w:ascii="Times New Roman" w:eastAsia="Calibri" w:hAnsi="Times New Roman" w:cs="Times New Roman"/>
          <w:noProof/>
          <w:sz w:val="24"/>
          <w:szCs w:val="24"/>
          <w:lang w:eastAsia="en-US"/>
        </w:rPr>
        <w:t>for the following purposes:</w:t>
      </w:r>
    </w:p>
    <w:p w14:paraId="75BB4302" w14:textId="704738C0" w:rsidR="004E0D54" w:rsidRPr="00F23D87" w:rsidRDefault="004E0D54" w:rsidP="004E0D54">
      <w:pPr>
        <w:numPr>
          <w:ilvl w:val="0"/>
          <w:numId w:val="2"/>
        </w:numPr>
        <w:spacing w:before="120" w:after="120" w:line="276" w:lineRule="auto"/>
        <w:ind w:left="681" w:hanging="397"/>
        <w:jc w:val="both"/>
        <w:rPr>
          <w:rFonts w:ascii="Times New Roman" w:eastAsia="Calibri" w:hAnsi="Times New Roman" w:cs="Times New Roman"/>
          <w:noProof/>
          <w:sz w:val="24"/>
          <w:szCs w:val="24"/>
          <w:lang w:eastAsia="en-US"/>
        </w:rPr>
      </w:pPr>
      <w:r w:rsidRPr="00F23D87">
        <w:rPr>
          <w:rFonts w:ascii="Times New Roman" w:eastAsia="Calibri" w:hAnsi="Times New Roman" w:cs="Times New Roman"/>
          <w:noProof/>
          <w:sz w:val="24"/>
          <w:szCs w:val="24"/>
          <w:lang w:eastAsia="en-US"/>
        </w:rPr>
        <w:t>to raise the threshold for statistical coverage of goods transport by inland waterways, so as to take economic and technical trends into account (see Article</w:t>
      </w:r>
      <w:r w:rsidR="00F23D87">
        <w:rPr>
          <w:rFonts w:ascii="Times New Roman" w:eastAsia="Calibri" w:hAnsi="Times New Roman" w:cs="Times New Roman"/>
          <w:noProof/>
          <w:sz w:val="24"/>
          <w:szCs w:val="24"/>
          <w:lang w:eastAsia="en-US"/>
        </w:rPr>
        <w:t> </w:t>
      </w:r>
      <w:r w:rsidRPr="00F23D87">
        <w:rPr>
          <w:rFonts w:ascii="Times New Roman" w:eastAsia="Calibri" w:hAnsi="Times New Roman" w:cs="Times New Roman"/>
          <w:noProof/>
          <w:sz w:val="24"/>
          <w:szCs w:val="24"/>
          <w:lang w:eastAsia="en-US"/>
        </w:rPr>
        <w:t>2(5));</w:t>
      </w:r>
    </w:p>
    <w:p w14:paraId="2C06AC8C" w14:textId="77591974" w:rsidR="004E0D54" w:rsidRPr="00F23D87" w:rsidRDefault="004E0D54" w:rsidP="004E0D54">
      <w:pPr>
        <w:numPr>
          <w:ilvl w:val="0"/>
          <w:numId w:val="2"/>
        </w:numPr>
        <w:spacing w:before="120" w:after="120" w:line="276" w:lineRule="auto"/>
        <w:ind w:left="681" w:hanging="397"/>
        <w:jc w:val="both"/>
        <w:rPr>
          <w:rFonts w:ascii="Times New Roman" w:eastAsia="Calibri" w:hAnsi="Times New Roman" w:cs="Times New Roman"/>
          <w:noProof/>
          <w:sz w:val="24"/>
          <w:szCs w:val="24"/>
          <w:lang w:eastAsia="en-US"/>
        </w:rPr>
      </w:pPr>
      <w:r w:rsidRPr="00F23D87">
        <w:rPr>
          <w:rFonts w:ascii="Times New Roman" w:eastAsia="Calibri" w:hAnsi="Times New Roman" w:cs="Times New Roman"/>
          <w:noProof/>
          <w:sz w:val="24"/>
          <w:szCs w:val="24"/>
          <w:lang w:eastAsia="en-US"/>
        </w:rPr>
        <w:t>to adapt definitions or provide for new ones, so as to take relevant definitions that have been amended or adopted at international level into account (see Article</w:t>
      </w:r>
      <w:r w:rsidR="00F23D87">
        <w:rPr>
          <w:rFonts w:ascii="Times New Roman" w:eastAsia="Calibri" w:hAnsi="Times New Roman" w:cs="Times New Roman"/>
          <w:noProof/>
          <w:sz w:val="24"/>
          <w:szCs w:val="24"/>
          <w:lang w:eastAsia="en-US"/>
        </w:rPr>
        <w:t> </w:t>
      </w:r>
      <w:r w:rsidRPr="00F23D87">
        <w:rPr>
          <w:rFonts w:ascii="Times New Roman" w:eastAsia="Calibri" w:hAnsi="Times New Roman" w:cs="Times New Roman"/>
          <w:noProof/>
          <w:sz w:val="24"/>
          <w:szCs w:val="24"/>
          <w:lang w:eastAsia="en-US"/>
        </w:rPr>
        <w:t>3);</w:t>
      </w:r>
    </w:p>
    <w:p w14:paraId="1716446A" w14:textId="1A7843F6" w:rsidR="004E0D54" w:rsidRPr="00F23D87" w:rsidRDefault="004E0D54" w:rsidP="004E0D54">
      <w:pPr>
        <w:numPr>
          <w:ilvl w:val="0"/>
          <w:numId w:val="2"/>
        </w:numPr>
        <w:spacing w:before="120" w:after="240" w:line="276" w:lineRule="auto"/>
        <w:ind w:left="681" w:hanging="397"/>
        <w:jc w:val="both"/>
        <w:rPr>
          <w:rFonts w:ascii="Times New Roman" w:eastAsia="Calibri" w:hAnsi="Times New Roman" w:cs="Times New Roman"/>
          <w:noProof/>
          <w:sz w:val="24"/>
          <w:szCs w:val="24"/>
          <w:lang w:eastAsia="en-US"/>
        </w:rPr>
      </w:pPr>
      <w:r w:rsidRPr="00F23D87">
        <w:rPr>
          <w:rFonts w:ascii="Times New Roman" w:eastAsia="Calibri" w:hAnsi="Times New Roman" w:cs="Times New Roman"/>
          <w:noProof/>
          <w:sz w:val="24"/>
          <w:szCs w:val="24"/>
          <w:lang w:eastAsia="en-US"/>
        </w:rPr>
        <w:t xml:space="preserve">to reflect changes in coding and nomenclature at international level or in relevant </w:t>
      </w:r>
      <w:r w:rsidR="0011370A">
        <w:rPr>
          <w:rFonts w:ascii="Times New Roman" w:eastAsia="Calibri" w:hAnsi="Times New Roman" w:cs="Times New Roman"/>
          <w:noProof/>
          <w:sz w:val="24"/>
          <w:szCs w:val="24"/>
          <w:lang w:eastAsia="en-US"/>
        </w:rPr>
        <w:t>EU</w:t>
      </w:r>
      <w:r w:rsidR="0011370A" w:rsidRPr="00F23D87">
        <w:rPr>
          <w:rFonts w:ascii="Times New Roman" w:eastAsia="Calibri" w:hAnsi="Times New Roman" w:cs="Times New Roman"/>
          <w:noProof/>
          <w:sz w:val="24"/>
          <w:szCs w:val="24"/>
          <w:lang w:eastAsia="en-US"/>
        </w:rPr>
        <w:t xml:space="preserve"> </w:t>
      </w:r>
      <w:r w:rsidRPr="00F23D87">
        <w:rPr>
          <w:rFonts w:ascii="Times New Roman" w:eastAsia="Calibri" w:hAnsi="Times New Roman" w:cs="Times New Roman"/>
          <w:noProof/>
          <w:sz w:val="24"/>
          <w:szCs w:val="24"/>
          <w:lang w:eastAsia="en-US"/>
        </w:rPr>
        <w:t>legislative acts (see Article</w:t>
      </w:r>
      <w:r w:rsidR="00F23D87">
        <w:rPr>
          <w:rFonts w:ascii="Times New Roman" w:eastAsia="Calibri" w:hAnsi="Times New Roman" w:cs="Times New Roman"/>
          <w:noProof/>
          <w:sz w:val="24"/>
          <w:szCs w:val="24"/>
          <w:lang w:eastAsia="en-US"/>
        </w:rPr>
        <w:t> </w:t>
      </w:r>
      <w:r w:rsidRPr="00F23D87">
        <w:rPr>
          <w:rFonts w:ascii="Times New Roman" w:eastAsia="Calibri" w:hAnsi="Times New Roman" w:cs="Times New Roman"/>
          <w:noProof/>
          <w:sz w:val="24"/>
          <w:szCs w:val="24"/>
          <w:lang w:eastAsia="en-US"/>
        </w:rPr>
        <w:t>4(4)).</w:t>
      </w:r>
    </w:p>
    <w:p w14:paraId="4C4B49E8" w14:textId="44A7DB68" w:rsidR="004E0D54" w:rsidRPr="00F23D87" w:rsidRDefault="004E0D54" w:rsidP="004E0D54">
      <w:pPr>
        <w:spacing w:after="240" w:line="276" w:lineRule="auto"/>
        <w:jc w:val="both"/>
        <w:rPr>
          <w:rFonts w:ascii="Times New Roman" w:eastAsia="Calibri" w:hAnsi="Times New Roman" w:cs="Times New Roman"/>
          <w:noProof/>
          <w:sz w:val="24"/>
          <w:szCs w:val="24"/>
          <w:lang w:eastAsia="en-US"/>
        </w:rPr>
      </w:pPr>
      <w:r w:rsidRPr="00F23D87">
        <w:rPr>
          <w:rFonts w:ascii="Times New Roman" w:eastAsia="Calibri" w:hAnsi="Times New Roman" w:cs="Times New Roman"/>
          <w:noProof/>
          <w:sz w:val="24"/>
          <w:szCs w:val="24"/>
          <w:lang w:eastAsia="en-US"/>
        </w:rPr>
        <w:t>According to Articles</w:t>
      </w:r>
      <w:r w:rsidR="0011370A">
        <w:rPr>
          <w:rFonts w:ascii="Times New Roman" w:eastAsia="Calibri" w:hAnsi="Times New Roman" w:cs="Times New Roman"/>
          <w:noProof/>
          <w:sz w:val="24"/>
          <w:szCs w:val="24"/>
          <w:lang w:eastAsia="en-US"/>
        </w:rPr>
        <w:t> </w:t>
      </w:r>
      <w:r w:rsidRPr="00F23D87">
        <w:rPr>
          <w:rFonts w:ascii="Times New Roman" w:eastAsia="Calibri" w:hAnsi="Times New Roman" w:cs="Times New Roman"/>
          <w:noProof/>
          <w:sz w:val="24"/>
          <w:szCs w:val="24"/>
          <w:lang w:eastAsia="en-US"/>
        </w:rPr>
        <w:t xml:space="preserve">2(5), 3 and 4(4), when exercising that power, the Commission must ensure that the delegated acts do not impose a significant additional burden on the Member States or respondents. Furthermore, the Commission must justify the actions </w:t>
      </w:r>
      <w:r w:rsidR="00C73A59">
        <w:rPr>
          <w:rFonts w:ascii="Times New Roman" w:eastAsia="Calibri" w:hAnsi="Times New Roman" w:cs="Times New Roman"/>
          <w:noProof/>
          <w:sz w:val="24"/>
          <w:szCs w:val="24"/>
          <w:lang w:eastAsia="en-US"/>
        </w:rPr>
        <w:t>laid down in</w:t>
      </w:r>
      <w:r w:rsidRPr="00F23D87">
        <w:rPr>
          <w:rFonts w:ascii="Times New Roman" w:eastAsia="Calibri" w:hAnsi="Times New Roman" w:cs="Times New Roman"/>
          <w:noProof/>
          <w:sz w:val="24"/>
          <w:szCs w:val="24"/>
          <w:lang w:eastAsia="en-US"/>
        </w:rPr>
        <w:t xml:space="preserve"> those delegated acts, using, where appropriate, a cost-effectiveness analysis that assesses the burden on respondents and the production costs.</w:t>
      </w:r>
    </w:p>
    <w:p w14:paraId="7F5F3A58" w14:textId="26FCEE96" w:rsidR="004E0D54" w:rsidRPr="00F23D87" w:rsidRDefault="004E0D54" w:rsidP="00B57660">
      <w:pPr>
        <w:spacing w:after="0" w:line="276" w:lineRule="auto"/>
        <w:jc w:val="both"/>
        <w:rPr>
          <w:rFonts w:ascii="Times New Roman" w:eastAsia="Calibri" w:hAnsi="Times New Roman" w:cs="Times New Roman"/>
          <w:noProof/>
          <w:sz w:val="24"/>
          <w:szCs w:val="24"/>
          <w:lang w:eastAsia="en-US"/>
        </w:rPr>
      </w:pPr>
      <w:r w:rsidRPr="00F23D87">
        <w:rPr>
          <w:rFonts w:ascii="Times New Roman" w:eastAsia="Calibri" w:hAnsi="Times New Roman" w:cs="Times New Roman"/>
          <w:noProof/>
          <w:sz w:val="24"/>
          <w:szCs w:val="24"/>
          <w:lang w:eastAsia="en-US"/>
        </w:rPr>
        <w:t>As specified in Article</w:t>
      </w:r>
      <w:r w:rsidR="00F23D87">
        <w:rPr>
          <w:rFonts w:ascii="Times New Roman" w:eastAsia="Calibri" w:hAnsi="Times New Roman" w:cs="Times New Roman"/>
          <w:noProof/>
          <w:sz w:val="24"/>
          <w:szCs w:val="24"/>
          <w:lang w:eastAsia="en-US"/>
        </w:rPr>
        <w:t> </w:t>
      </w:r>
      <w:r w:rsidRPr="00F23D87">
        <w:rPr>
          <w:rFonts w:ascii="Times New Roman" w:eastAsia="Calibri" w:hAnsi="Times New Roman" w:cs="Times New Roman"/>
          <w:noProof/>
          <w:sz w:val="24"/>
          <w:szCs w:val="24"/>
          <w:lang w:eastAsia="en-US"/>
        </w:rPr>
        <w:t>10(4), before adopting a delegated act, the Commission must consult experts designated by each Member State in accordance with the principles laid down in the Interinstitutional Agreement of 13</w:t>
      </w:r>
      <w:r w:rsidR="00F23D87">
        <w:rPr>
          <w:rFonts w:ascii="Times New Roman" w:eastAsia="Calibri" w:hAnsi="Times New Roman" w:cs="Times New Roman"/>
          <w:noProof/>
          <w:sz w:val="24"/>
          <w:szCs w:val="24"/>
          <w:lang w:eastAsia="en-US"/>
        </w:rPr>
        <w:t> </w:t>
      </w:r>
      <w:r w:rsidRPr="00F23D87">
        <w:rPr>
          <w:rFonts w:ascii="Times New Roman" w:eastAsia="Calibri" w:hAnsi="Times New Roman" w:cs="Times New Roman"/>
          <w:noProof/>
          <w:sz w:val="24"/>
          <w:szCs w:val="24"/>
          <w:lang w:eastAsia="en-US"/>
        </w:rPr>
        <w:t>April 2016 on Better Law-Making</w:t>
      </w:r>
      <w:r w:rsidR="0083499C" w:rsidRPr="00F23D87">
        <w:rPr>
          <w:rFonts w:ascii="Times New Roman" w:eastAsia="Calibri" w:hAnsi="Times New Roman" w:cs="Times New Roman"/>
          <w:noProof/>
          <w:sz w:val="24"/>
          <w:szCs w:val="24"/>
          <w:lang w:eastAsia="en-US"/>
        </w:rPr>
        <w:t xml:space="preserve"> (</w:t>
      </w:r>
      <w:r w:rsidRPr="00F23D87">
        <w:rPr>
          <w:rStyle w:val="FootnoteReference"/>
          <w:rFonts w:ascii="Times New Roman" w:eastAsia="Calibri" w:hAnsi="Times New Roman" w:cs="Times New Roman"/>
          <w:noProof/>
          <w:sz w:val="24"/>
          <w:szCs w:val="24"/>
          <w:lang w:eastAsia="en-US"/>
        </w:rPr>
        <w:footnoteReference w:id="2"/>
      </w:r>
      <w:r w:rsidR="0083499C" w:rsidRPr="00F23D87">
        <w:rPr>
          <w:rFonts w:ascii="Times New Roman" w:eastAsia="Calibri" w:hAnsi="Times New Roman" w:cs="Times New Roman"/>
          <w:noProof/>
          <w:sz w:val="24"/>
          <w:szCs w:val="24"/>
          <w:lang w:eastAsia="en-US"/>
        </w:rPr>
        <w:t>)</w:t>
      </w:r>
      <w:r w:rsidRPr="00F23D87">
        <w:rPr>
          <w:rFonts w:ascii="Times New Roman" w:eastAsia="Calibri" w:hAnsi="Times New Roman" w:cs="Times New Roman"/>
          <w:noProof/>
          <w:sz w:val="24"/>
          <w:szCs w:val="24"/>
          <w:lang w:eastAsia="en-US"/>
        </w:rPr>
        <w:t>.</w:t>
      </w:r>
    </w:p>
    <w:p w14:paraId="034E45D9" w14:textId="77777777" w:rsidR="004E0D54" w:rsidRPr="00F23D87" w:rsidRDefault="004E0D54" w:rsidP="004E0D54">
      <w:pPr>
        <w:numPr>
          <w:ilvl w:val="0"/>
          <w:numId w:val="1"/>
        </w:numPr>
        <w:spacing w:before="480" w:after="240" w:line="276" w:lineRule="auto"/>
        <w:ind w:left="680" w:hanging="680"/>
        <w:jc w:val="both"/>
        <w:rPr>
          <w:rFonts w:ascii="Times New Roman" w:eastAsia="Calibri" w:hAnsi="Times New Roman" w:cs="Times New Roman"/>
          <w:b/>
          <w:noProof/>
          <w:sz w:val="24"/>
          <w:szCs w:val="24"/>
          <w:lang w:eastAsia="en-US"/>
        </w:rPr>
      </w:pPr>
      <w:r w:rsidRPr="00F23D87">
        <w:rPr>
          <w:rFonts w:ascii="Times New Roman" w:eastAsia="Calibri" w:hAnsi="Times New Roman" w:cs="Times New Roman"/>
          <w:b/>
          <w:noProof/>
          <w:sz w:val="24"/>
          <w:szCs w:val="24"/>
          <w:lang w:eastAsia="en-US"/>
        </w:rPr>
        <w:t>LEGAL BASIS</w:t>
      </w:r>
    </w:p>
    <w:p w14:paraId="6CDA3D51" w14:textId="33B88E5B" w:rsidR="004E0D54" w:rsidRPr="00F23D87" w:rsidRDefault="004E0D54" w:rsidP="00463DB2">
      <w:pPr>
        <w:spacing w:after="0" w:line="276" w:lineRule="auto"/>
        <w:jc w:val="both"/>
        <w:rPr>
          <w:rFonts w:ascii="Times New Roman" w:eastAsia="Calibri" w:hAnsi="Times New Roman" w:cs="Times New Roman"/>
          <w:noProof/>
          <w:sz w:val="24"/>
          <w:szCs w:val="24"/>
          <w:lang w:eastAsia="en-US"/>
        </w:rPr>
      </w:pPr>
      <w:r w:rsidRPr="00F23D87">
        <w:rPr>
          <w:rFonts w:ascii="Times New Roman" w:eastAsia="Calibri" w:hAnsi="Times New Roman" w:cs="Times New Roman"/>
          <w:noProof/>
          <w:sz w:val="24"/>
          <w:szCs w:val="24"/>
          <w:lang w:eastAsia="en-US"/>
        </w:rPr>
        <w:t>This report is required under Regulation (EU) 2018/974, which specifies in Article</w:t>
      </w:r>
      <w:r w:rsidR="00F23D87">
        <w:rPr>
          <w:rFonts w:ascii="Times New Roman" w:eastAsia="Calibri" w:hAnsi="Times New Roman" w:cs="Times New Roman"/>
          <w:noProof/>
          <w:sz w:val="24"/>
          <w:szCs w:val="24"/>
          <w:lang w:eastAsia="en-US"/>
        </w:rPr>
        <w:t> </w:t>
      </w:r>
      <w:r w:rsidRPr="00F23D87">
        <w:rPr>
          <w:rFonts w:ascii="Times New Roman" w:eastAsia="Calibri" w:hAnsi="Times New Roman" w:cs="Times New Roman"/>
          <w:noProof/>
          <w:sz w:val="24"/>
          <w:szCs w:val="24"/>
          <w:lang w:eastAsia="en-US"/>
        </w:rPr>
        <w:t xml:space="preserve">10(2) that the power to adopt delegated acts is conferred on the Commission for a period of </w:t>
      </w:r>
      <w:r w:rsidR="0011370A">
        <w:rPr>
          <w:rFonts w:ascii="Times New Roman" w:eastAsia="Calibri" w:hAnsi="Times New Roman" w:cs="Times New Roman"/>
          <w:noProof/>
          <w:sz w:val="24"/>
          <w:szCs w:val="24"/>
          <w:lang w:eastAsia="en-US"/>
        </w:rPr>
        <w:t>five</w:t>
      </w:r>
      <w:r w:rsidRPr="00F23D87">
        <w:rPr>
          <w:rFonts w:ascii="Times New Roman" w:eastAsia="Calibri" w:hAnsi="Times New Roman" w:cs="Times New Roman"/>
          <w:noProof/>
          <w:sz w:val="24"/>
          <w:szCs w:val="24"/>
          <w:lang w:eastAsia="en-US"/>
        </w:rPr>
        <w:t xml:space="preserve"> years from 7</w:t>
      </w:r>
      <w:r w:rsidR="00F23D87">
        <w:rPr>
          <w:rFonts w:ascii="Times New Roman" w:eastAsia="Calibri" w:hAnsi="Times New Roman" w:cs="Times New Roman"/>
          <w:noProof/>
          <w:sz w:val="24"/>
          <w:szCs w:val="24"/>
          <w:lang w:eastAsia="en-US"/>
        </w:rPr>
        <w:t> </w:t>
      </w:r>
      <w:r w:rsidRPr="00F23D87">
        <w:rPr>
          <w:rFonts w:ascii="Times New Roman" w:eastAsia="Calibri" w:hAnsi="Times New Roman" w:cs="Times New Roman"/>
          <w:noProof/>
          <w:sz w:val="24"/>
          <w:szCs w:val="24"/>
          <w:lang w:eastAsia="en-US"/>
        </w:rPr>
        <w:t xml:space="preserve">December 2016. The Commission is required to draw up a report in respect of the delegation of power not later than </w:t>
      </w:r>
      <w:r w:rsidR="0011370A">
        <w:rPr>
          <w:rFonts w:ascii="Times New Roman" w:eastAsia="Calibri" w:hAnsi="Times New Roman" w:cs="Times New Roman"/>
          <w:noProof/>
          <w:sz w:val="24"/>
          <w:szCs w:val="24"/>
          <w:lang w:eastAsia="en-US"/>
        </w:rPr>
        <w:t>nine</w:t>
      </w:r>
      <w:r w:rsidRPr="00F23D87">
        <w:rPr>
          <w:rFonts w:ascii="Times New Roman" w:eastAsia="Calibri" w:hAnsi="Times New Roman" w:cs="Times New Roman"/>
          <w:noProof/>
          <w:sz w:val="24"/>
          <w:szCs w:val="24"/>
          <w:lang w:eastAsia="en-US"/>
        </w:rPr>
        <w:t xml:space="preserve"> months before the end of the </w:t>
      </w:r>
      <w:r w:rsidR="0011370A">
        <w:rPr>
          <w:rFonts w:ascii="Times New Roman" w:eastAsia="Calibri" w:hAnsi="Times New Roman" w:cs="Times New Roman"/>
          <w:noProof/>
          <w:sz w:val="24"/>
          <w:szCs w:val="24"/>
          <w:lang w:eastAsia="en-US"/>
        </w:rPr>
        <w:t>five</w:t>
      </w:r>
      <w:r w:rsidRPr="00F23D87">
        <w:rPr>
          <w:rFonts w:ascii="Times New Roman" w:eastAsia="Calibri" w:hAnsi="Times New Roman" w:cs="Times New Roman"/>
          <w:noProof/>
          <w:sz w:val="24"/>
          <w:szCs w:val="24"/>
          <w:lang w:eastAsia="en-US"/>
        </w:rPr>
        <w:t xml:space="preserve">-year period. </w:t>
      </w:r>
      <w:r w:rsidR="00846857" w:rsidRPr="00F23D87">
        <w:rPr>
          <w:rFonts w:ascii="Times New Roman" w:eastAsia="Calibri" w:hAnsi="Times New Roman" w:cs="Times New Roman"/>
          <w:noProof/>
          <w:sz w:val="24"/>
          <w:szCs w:val="24"/>
          <w:lang w:eastAsia="en-US"/>
        </w:rPr>
        <w:t>The Commission submitted a first report in 2021 (</w:t>
      </w:r>
      <w:r w:rsidR="00846857" w:rsidRPr="00F23D87">
        <w:rPr>
          <w:rStyle w:val="FootnoteReference"/>
          <w:rFonts w:ascii="Times New Roman" w:eastAsia="Calibri" w:hAnsi="Times New Roman" w:cs="Times New Roman"/>
          <w:noProof/>
          <w:sz w:val="24"/>
          <w:szCs w:val="24"/>
          <w:lang w:eastAsia="en-US"/>
        </w:rPr>
        <w:footnoteReference w:id="3"/>
      </w:r>
      <w:r w:rsidR="00846857" w:rsidRPr="00F23D87">
        <w:rPr>
          <w:rFonts w:ascii="Times New Roman" w:eastAsia="Calibri" w:hAnsi="Times New Roman" w:cs="Times New Roman"/>
          <w:noProof/>
          <w:sz w:val="24"/>
          <w:szCs w:val="24"/>
          <w:lang w:eastAsia="en-US"/>
        </w:rPr>
        <w:t>)</w:t>
      </w:r>
      <w:r w:rsidR="0011370A">
        <w:rPr>
          <w:rFonts w:ascii="Times New Roman" w:eastAsia="Calibri" w:hAnsi="Times New Roman" w:cs="Times New Roman"/>
          <w:noProof/>
          <w:sz w:val="24"/>
          <w:szCs w:val="24"/>
          <w:lang w:eastAsia="en-US"/>
        </w:rPr>
        <w:t>. This is</w:t>
      </w:r>
      <w:r w:rsidRPr="00F23D87">
        <w:rPr>
          <w:rFonts w:ascii="Times New Roman" w:eastAsia="Calibri" w:hAnsi="Times New Roman" w:cs="Times New Roman"/>
          <w:noProof/>
          <w:sz w:val="24"/>
          <w:szCs w:val="24"/>
          <w:lang w:eastAsia="en-US"/>
        </w:rPr>
        <w:t xml:space="preserve"> the </w:t>
      </w:r>
      <w:r w:rsidR="0083499C" w:rsidRPr="00F23D87">
        <w:rPr>
          <w:rFonts w:ascii="Times New Roman" w:eastAsia="Calibri" w:hAnsi="Times New Roman" w:cs="Times New Roman"/>
          <w:noProof/>
          <w:sz w:val="24"/>
          <w:szCs w:val="24"/>
          <w:lang w:eastAsia="en-US"/>
        </w:rPr>
        <w:t>second</w:t>
      </w:r>
      <w:r w:rsidR="0011370A">
        <w:rPr>
          <w:rFonts w:ascii="Times New Roman" w:eastAsia="Calibri" w:hAnsi="Times New Roman" w:cs="Times New Roman"/>
          <w:noProof/>
          <w:sz w:val="24"/>
          <w:szCs w:val="24"/>
          <w:lang w:eastAsia="en-US"/>
        </w:rPr>
        <w:t xml:space="preserve"> report</w:t>
      </w:r>
      <w:r w:rsidRPr="00F23D87">
        <w:rPr>
          <w:rFonts w:ascii="Times New Roman" w:eastAsia="Calibri" w:hAnsi="Times New Roman" w:cs="Times New Roman"/>
          <w:noProof/>
          <w:sz w:val="24"/>
          <w:szCs w:val="24"/>
          <w:lang w:eastAsia="en-US"/>
        </w:rPr>
        <w:t>.</w:t>
      </w:r>
    </w:p>
    <w:p w14:paraId="0B6F4212" w14:textId="77777777" w:rsidR="004E0D54" w:rsidRPr="00F23D87" w:rsidRDefault="004E0D54" w:rsidP="004E0D54">
      <w:pPr>
        <w:numPr>
          <w:ilvl w:val="0"/>
          <w:numId w:val="1"/>
        </w:numPr>
        <w:spacing w:before="480" w:after="240" w:line="276" w:lineRule="auto"/>
        <w:ind w:left="680" w:hanging="680"/>
        <w:jc w:val="both"/>
        <w:rPr>
          <w:rFonts w:ascii="Times New Roman" w:eastAsia="Calibri" w:hAnsi="Times New Roman" w:cs="Times New Roman"/>
          <w:b/>
          <w:noProof/>
          <w:sz w:val="24"/>
          <w:szCs w:val="24"/>
          <w:lang w:eastAsia="en-US"/>
        </w:rPr>
      </w:pPr>
      <w:r w:rsidRPr="00F23D87">
        <w:rPr>
          <w:rFonts w:ascii="Times New Roman" w:eastAsia="Calibri" w:hAnsi="Times New Roman" w:cs="Times New Roman"/>
          <w:b/>
          <w:noProof/>
          <w:sz w:val="24"/>
          <w:szCs w:val="24"/>
          <w:lang w:eastAsia="en-US"/>
        </w:rPr>
        <w:t>EXERCISE OF THE DELEGATION</w:t>
      </w:r>
    </w:p>
    <w:p w14:paraId="46465779" w14:textId="77777777" w:rsidR="004E0D54" w:rsidRPr="00F23D87" w:rsidRDefault="004E0D54" w:rsidP="004E0D54">
      <w:pPr>
        <w:spacing w:after="240"/>
        <w:jc w:val="both"/>
        <w:rPr>
          <w:noProof/>
          <w:lang w:eastAsia="en-US"/>
        </w:rPr>
      </w:pPr>
      <w:r w:rsidRPr="00F23D87">
        <w:rPr>
          <w:rFonts w:ascii="Times New Roman" w:hAnsi="Times New Roman"/>
          <w:noProof/>
          <w:sz w:val="24"/>
          <w:lang w:eastAsia="en-GB"/>
        </w:rPr>
        <w:t xml:space="preserve">The Commission has not yet exercised the power to adopt delegated acts conferred on it by Regulation </w:t>
      </w:r>
      <w:r w:rsidRPr="00F23D87">
        <w:rPr>
          <w:rFonts w:ascii="Times New Roman" w:eastAsia="Calibri" w:hAnsi="Times New Roman" w:cs="Times New Roman"/>
          <w:noProof/>
          <w:sz w:val="24"/>
          <w:szCs w:val="24"/>
          <w:lang w:eastAsia="en-US"/>
        </w:rPr>
        <w:t>(EU) 2018/974.</w:t>
      </w:r>
    </w:p>
    <w:p w14:paraId="139699DF" w14:textId="7D164105" w:rsidR="004E0D54" w:rsidRPr="00F23D87" w:rsidRDefault="004E0D54" w:rsidP="004E0D54">
      <w:pPr>
        <w:spacing w:after="240"/>
        <w:jc w:val="both"/>
        <w:rPr>
          <w:rFonts w:ascii="Times New Roman" w:hAnsi="Times New Roman"/>
          <w:noProof/>
          <w:sz w:val="24"/>
          <w:lang w:eastAsia="en-GB"/>
        </w:rPr>
      </w:pPr>
      <w:r w:rsidRPr="00F23D87">
        <w:rPr>
          <w:rFonts w:ascii="Times New Roman" w:hAnsi="Times New Roman"/>
          <w:noProof/>
          <w:sz w:val="24"/>
          <w:lang w:eastAsia="en-GB"/>
        </w:rPr>
        <w:t xml:space="preserve">The Commission regularly discusses </w:t>
      </w:r>
      <w:r w:rsidRPr="00F23D87">
        <w:rPr>
          <w:rFonts w:ascii="Times New Roman" w:hAnsi="Times New Roman"/>
          <w:noProof/>
          <w:sz w:val="24"/>
          <w:szCs w:val="24"/>
          <w:lang w:eastAsia="de-DE"/>
        </w:rPr>
        <w:t xml:space="preserve">potential improvements to </w:t>
      </w:r>
      <w:r w:rsidR="00912476" w:rsidRPr="00F23D87">
        <w:rPr>
          <w:rFonts w:ascii="Times New Roman" w:hAnsi="Times New Roman"/>
          <w:noProof/>
          <w:sz w:val="24"/>
          <w:szCs w:val="24"/>
          <w:lang w:eastAsia="de-DE"/>
        </w:rPr>
        <w:t xml:space="preserve">statistics </w:t>
      </w:r>
      <w:r w:rsidR="00C73A59">
        <w:rPr>
          <w:rFonts w:ascii="Times New Roman" w:eastAsia="Calibri" w:hAnsi="Times New Roman" w:cs="Times New Roman"/>
          <w:bCs/>
          <w:noProof/>
          <w:sz w:val="24"/>
          <w:szCs w:val="24"/>
          <w:lang w:eastAsia="en-US"/>
        </w:rPr>
        <w:t>on</w:t>
      </w:r>
      <w:r w:rsidR="00C73A59" w:rsidRPr="00F23D87">
        <w:rPr>
          <w:rFonts w:ascii="Times New Roman" w:eastAsia="Calibri" w:hAnsi="Times New Roman" w:cs="Times New Roman"/>
          <w:bCs/>
          <w:noProof/>
          <w:sz w:val="24"/>
          <w:szCs w:val="24"/>
          <w:lang w:eastAsia="en-US"/>
        </w:rPr>
        <w:t xml:space="preserve"> </w:t>
      </w:r>
      <w:r w:rsidR="00912476" w:rsidRPr="00F23D87">
        <w:rPr>
          <w:rFonts w:ascii="Times New Roman" w:eastAsia="Calibri" w:hAnsi="Times New Roman" w:cs="Times New Roman"/>
          <w:bCs/>
          <w:noProof/>
          <w:sz w:val="24"/>
          <w:szCs w:val="24"/>
          <w:lang w:eastAsia="en-US"/>
        </w:rPr>
        <w:t>goods transport by inland waterways</w:t>
      </w:r>
      <w:r w:rsidRPr="00F23D87">
        <w:rPr>
          <w:rFonts w:ascii="Times New Roman" w:hAnsi="Times New Roman"/>
          <w:noProof/>
          <w:sz w:val="24"/>
          <w:lang w:eastAsia="en-GB"/>
        </w:rPr>
        <w:t xml:space="preserve"> with the Expert Group on Inland Waterway Transport Statistics and the </w:t>
      </w:r>
      <w:r w:rsidRPr="00F23D87">
        <w:rPr>
          <w:rFonts w:ascii="Times New Roman" w:hAnsi="Times New Roman"/>
          <w:noProof/>
          <w:sz w:val="24"/>
          <w:szCs w:val="24"/>
          <w:lang w:eastAsia="de-DE"/>
        </w:rPr>
        <w:t>Coordinating Group for Statistics on Transport. These discussions</w:t>
      </w:r>
      <w:r w:rsidRPr="00F23D87">
        <w:rPr>
          <w:rFonts w:ascii="Times New Roman" w:hAnsi="Times New Roman"/>
          <w:noProof/>
          <w:sz w:val="24"/>
          <w:lang w:eastAsia="en-GB"/>
        </w:rPr>
        <w:t xml:space="preserve"> also take into consideration possible costs and burdens on countries and respondents.</w:t>
      </w:r>
    </w:p>
    <w:p w14:paraId="3C771330" w14:textId="0FDA2261" w:rsidR="00470441" w:rsidRPr="00470441" w:rsidRDefault="00470441" w:rsidP="00470441">
      <w:pPr>
        <w:spacing w:after="0" w:line="276" w:lineRule="auto"/>
        <w:jc w:val="both"/>
        <w:rPr>
          <w:rFonts w:ascii="Times New Roman" w:eastAsia="Calibri" w:hAnsi="Times New Roman" w:cs="Times New Roman"/>
          <w:noProof/>
          <w:sz w:val="24"/>
          <w:szCs w:val="24"/>
          <w:lang w:eastAsia="en-US"/>
        </w:rPr>
      </w:pPr>
      <w:r>
        <w:rPr>
          <w:rFonts w:ascii="Times New Roman" w:eastAsia="Calibri" w:hAnsi="Times New Roman" w:cs="Times New Roman"/>
          <w:noProof/>
          <w:sz w:val="24"/>
          <w:szCs w:val="24"/>
          <w:lang w:eastAsia="en-US"/>
        </w:rPr>
        <w:t>S</w:t>
      </w:r>
      <w:r w:rsidRPr="00470441">
        <w:rPr>
          <w:rFonts w:ascii="Times New Roman" w:eastAsia="Calibri" w:hAnsi="Times New Roman" w:cs="Times New Roman"/>
          <w:noProof/>
          <w:sz w:val="24"/>
          <w:szCs w:val="24"/>
          <w:lang w:eastAsia="en-US"/>
        </w:rPr>
        <w:t>tatistics are needed to monitor the implementation of the</w:t>
      </w:r>
      <w:r w:rsidR="004E0D54" w:rsidRPr="00F23D87">
        <w:rPr>
          <w:rFonts w:ascii="Times New Roman" w:hAnsi="Times New Roman"/>
          <w:noProof/>
          <w:sz w:val="24"/>
          <w:szCs w:val="24"/>
          <w:lang w:eastAsia="de-DE"/>
        </w:rPr>
        <w:t xml:space="preserve"> Sustainable and Smart Mobility Strategy</w:t>
      </w:r>
      <w:r w:rsidR="0083499C" w:rsidRPr="00F23D87">
        <w:rPr>
          <w:rFonts w:ascii="Times New Roman" w:hAnsi="Times New Roman"/>
          <w:noProof/>
          <w:sz w:val="24"/>
          <w:szCs w:val="24"/>
          <w:lang w:eastAsia="de-DE"/>
        </w:rPr>
        <w:t xml:space="preserve"> </w:t>
      </w:r>
      <w:r w:rsidR="00137D3A" w:rsidRPr="00F23D87">
        <w:rPr>
          <w:rFonts w:ascii="Times New Roman" w:hAnsi="Times New Roman"/>
          <w:noProof/>
          <w:sz w:val="24"/>
          <w:szCs w:val="24"/>
          <w:lang w:eastAsia="de-DE"/>
        </w:rPr>
        <w:t xml:space="preserve">(2020 – 2050 targets) </w:t>
      </w:r>
      <w:r w:rsidR="0083499C" w:rsidRPr="00F23D87">
        <w:rPr>
          <w:rFonts w:ascii="Times New Roman" w:hAnsi="Times New Roman"/>
          <w:noProof/>
          <w:sz w:val="24"/>
          <w:szCs w:val="24"/>
          <w:lang w:eastAsia="de-DE"/>
        </w:rPr>
        <w:t>(</w:t>
      </w:r>
      <w:r w:rsidR="004E0D54" w:rsidRPr="00F23D87">
        <w:rPr>
          <w:rFonts w:ascii="Times New Roman" w:hAnsi="Times New Roman"/>
          <w:noProof/>
          <w:sz w:val="24"/>
          <w:szCs w:val="24"/>
          <w:vertAlign w:val="superscript"/>
          <w:lang w:eastAsia="de-DE"/>
        </w:rPr>
        <w:footnoteReference w:id="4"/>
      </w:r>
      <w:r w:rsidR="0083499C" w:rsidRPr="00F23D87">
        <w:rPr>
          <w:rFonts w:ascii="Times New Roman" w:hAnsi="Times New Roman"/>
          <w:noProof/>
          <w:sz w:val="24"/>
          <w:szCs w:val="24"/>
          <w:lang w:eastAsia="de-DE"/>
        </w:rPr>
        <w:t>)</w:t>
      </w:r>
      <w:bookmarkStart w:id="2" w:name="_Hlk221880333"/>
      <w:r w:rsidR="00137D3A" w:rsidRPr="00F23D87">
        <w:rPr>
          <w:rFonts w:ascii="Times New Roman" w:hAnsi="Times New Roman"/>
          <w:noProof/>
          <w:sz w:val="24"/>
          <w:szCs w:val="24"/>
          <w:lang w:eastAsia="de-DE"/>
        </w:rPr>
        <w:t xml:space="preserve"> </w:t>
      </w:r>
      <w:r w:rsidRPr="00470441">
        <w:rPr>
          <w:rFonts w:ascii="Times New Roman" w:eastAsia="Calibri" w:hAnsi="Times New Roman" w:cs="Times New Roman"/>
          <w:noProof/>
          <w:sz w:val="24"/>
          <w:szCs w:val="24"/>
          <w:lang w:eastAsia="en-US"/>
        </w:rPr>
        <w:t xml:space="preserve">and complementary actions such as </w:t>
      </w:r>
      <w:r w:rsidR="00137D3A" w:rsidRPr="00F23D87">
        <w:rPr>
          <w:rFonts w:ascii="Times New Roman" w:hAnsi="Times New Roman"/>
          <w:noProof/>
          <w:sz w:val="24"/>
          <w:szCs w:val="24"/>
          <w:lang w:eastAsia="de-DE"/>
        </w:rPr>
        <w:t>the EU’s trans-European transport network (TEN-T) policy (</w:t>
      </w:r>
      <w:r w:rsidR="00137D3A" w:rsidRPr="00F23D87">
        <w:rPr>
          <w:rStyle w:val="FootnoteReference"/>
          <w:rFonts w:ascii="Times New Roman" w:hAnsi="Times New Roman"/>
          <w:noProof/>
          <w:sz w:val="24"/>
          <w:szCs w:val="24"/>
          <w:lang w:eastAsia="de-DE"/>
        </w:rPr>
        <w:footnoteReference w:id="5"/>
      </w:r>
      <w:r w:rsidR="00137D3A" w:rsidRPr="00F23D87">
        <w:rPr>
          <w:rFonts w:ascii="Times New Roman" w:hAnsi="Times New Roman"/>
          <w:noProof/>
          <w:sz w:val="24"/>
          <w:szCs w:val="24"/>
          <w:lang w:eastAsia="de-DE"/>
        </w:rPr>
        <w:t>)</w:t>
      </w:r>
      <w:bookmarkEnd w:id="2"/>
      <w:r w:rsidR="00137D3A" w:rsidRPr="00F23D87">
        <w:rPr>
          <w:rFonts w:ascii="Times New Roman" w:hAnsi="Times New Roman"/>
          <w:noProof/>
          <w:sz w:val="24"/>
          <w:szCs w:val="24"/>
          <w:lang w:eastAsia="de-DE"/>
        </w:rPr>
        <w:t xml:space="preserve">, </w:t>
      </w:r>
      <w:r w:rsidRPr="00470441">
        <w:rPr>
          <w:rFonts w:ascii="Times New Roman" w:eastAsia="Calibri" w:hAnsi="Times New Roman" w:cs="Times New Roman"/>
          <w:noProof/>
          <w:sz w:val="24"/>
          <w:szCs w:val="24"/>
          <w:lang w:eastAsia="en-US"/>
        </w:rPr>
        <w:t>the electronic freight transport information (eFTI) Regulation</w:t>
      </w:r>
      <w:r w:rsidR="00F75149">
        <w:rPr>
          <w:rFonts w:ascii="Times New Roman" w:eastAsia="Calibri" w:hAnsi="Times New Roman" w:cs="Times New Roman"/>
          <w:noProof/>
          <w:sz w:val="24"/>
          <w:szCs w:val="24"/>
          <w:lang w:eastAsia="en-US"/>
        </w:rPr>
        <w:t xml:space="preserve"> </w:t>
      </w:r>
      <w:r w:rsidR="00F75149" w:rsidRPr="00F23D87">
        <w:rPr>
          <w:rFonts w:ascii="Times New Roman" w:hAnsi="Times New Roman"/>
          <w:noProof/>
          <w:sz w:val="24"/>
          <w:szCs w:val="24"/>
          <w:lang w:eastAsia="de-DE"/>
        </w:rPr>
        <w:t>(</w:t>
      </w:r>
      <w:r w:rsidR="00F75149">
        <w:rPr>
          <w:rStyle w:val="FootnoteReference"/>
          <w:rFonts w:ascii="Times New Roman" w:eastAsia="Calibri" w:hAnsi="Times New Roman" w:cs="Times New Roman"/>
          <w:noProof/>
          <w:sz w:val="24"/>
          <w:szCs w:val="24"/>
          <w:lang w:eastAsia="en-US"/>
        </w:rPr>
        <w:footnoteReference w:id="6"/>
      </w:r>
      <w:r w:rsidR="00F75149" w:rsidRPr="00F23D87">
        <w:rPr>
          <w:rFonts w:ascii="Times New Roman" w:hAnsi="Times New Roman"/>
          <w:noProof/>
          <w:sz w:val="24"/>
          <w:szCs w:val="24"/>
          <w:lang w:eastAsia="de-DE"/>
        </w:rPr>
        <w:t>)</w:t>
      </w:r>
      <w:r>
        <w:rPr>
          <w:rFonts w:ascii="Times New Roman" w:eastAsia="Calibri" w:hAnsi="Times New Roman" w:cs="Times New Roman"/>
          <w:noProof/>
          <w:sz w:val="24"/>
          <w:szCs w:val="24"/>
          <w:lang w:eastAsia="en-US"/>
        </w:rPr>
        <w:t>,</w:t>
      </w:r>
      <w:r w:rsidRPr="00F23D87">
        <w:rPr>
          <w:rFonts w:ascii="Times New Roman" w:hAnsi="Times New Roman"/>
          <w:noProof/>
          <w:sz w:val="24"/>
          <w:szCs w:val="24"/>
          <w:lang w:eastAsia="de-DE"/>
        </w:rPr>
        <w:t xml:space="preserve"> </w:t>
      </w:r>
      <w:r w:rsidR="00137D3A" w:rsidRPr="00F23D87">
        <w:rPr>
          <w:rFonts w:ascii="Times New Roman" w:hAnsi="Times New Roman"/>
          <w:noProof/>
          <w:sz w:val="24"/>
          <w:szCs w:val="24"/>
          <w:lang w:eastAsia="de-DE"/>
        </w:rPr>
        <w:t>the Naiades III action programme (</w:t>
      </w:r>
      <w:r w:rsidR="00137D3A" w:rsidRPr="00F23D87">
        <w:rPr>
          <w:rFonts w:ascii="Times New Roman" w:hAnsi="Times New Roman"/>
          <w:noProof/>
          <w:sz w:val="24"/>
          <w:szCs w:val="24"/>
          <w:vertAlign w:val="superscript"/>
          <w:lang w:eastAsia="de-DE"/>
        </w:rPr>
        <w:footnoteReference w:id="7"/>
      </w:r>
      <w:r w:rsidR="00137D3A" w:rsidRPr="00F23D87">
        <w:rPr>
          <w:rFonts w:ascii="Times New Roman" w:hAnsi="Times New Roman"/>
          <w:noProof/>
          <w:sz w:val="24"/>
          <w:szCs w:val="24"/>
          <w:lang w:eastAsia="de-DE"/>
        </w:rPr>
        <w:t xml:space="preserve">) </w:t>
      </w:r>
      <w:r w:rsidRPr="00470441">
        <w:rPr>
          <w:rFonts w:ascii="Times New Roman" w:eastAsia="Calibri" w:hAnsi="Times New Roman" w:cs="Times New Roman"/>
          <w:noProof/>
          <w:sz w:val="24"/>
          <w:szCs w:val="24"/>
          <w:lang w:eastAsia="en-US"/>
        </w:rPr>
        <w:t>and the River Information Services Directive</w:t>
      </w:r>
      <w:r w:rsidR="00F75149">
        <w:rPr>
          <w:rFonts w:ascii="Times New Roman" w:eastAsia="Calibri" w:hAnsi="Times New Roman" w:cs="Times New Roman"/>
          <w:noProof/>
          <w:sz w:val="24"/>
          <w:szCs w:val="24"/>
          <w:lang w:eastAsia="en-US"/>
        </w:rPr>
        <w:t xml:space="preserve"> (</w:t>
      </w:r>
      <w:r w:rsidR="00F75149">
        <w:rPr>
          <w:rStyle w:val="FootnoteReference"/>
          <w:rFonts w:ascii="Times New Roman" w:eastAsia="Calibri" w:hAnsi="Times New Roman" w:cs="Times New Roman"/>
          <w:noProof/>
          <w:sz w:val="24"/>
          <w:szCs w:val="24"/>
          <w:lang w:eastAsia="en-US"/>
        </w:rPr>
        <w:footnoteReference w:id="8"/>
      </w:r>
      <w:r w:rsidR="00F75149">
        <w:rPr>
          <w:rFonts w:ascii="Times New Roman" w:eastAsia="Calibri" w:hAnsi="Times New Roman" w:cs="Times New Roman"/>
          <w:noProof/>
          <w:sz w:val="24"/>
          <w:szCs w:val="24"/>
          <w:lang w:eastAsia="en-US"/>
        </w:rPr>
        <w:t>)</w:t>
      </w:r>
      <w:r>
        <w:rPr>
          <w:rFonts w:ascii="Times New Roman" w:eastAsia="Calibri" w:hAnsi="Times New Roman" w:cs="Times New Roman"/>
          <w:noProof/>
          <w:sz w:val="24"/>
          <w:szCs w:val="24"/>
          <w:lang w:eastAsia="en-US"/>
        </w:rPr>
        <w:t xml:space="preserve">. </w:t>
      </w:r>
      <w:r w:rsidRPr="00470441">
        <w:rPr>
          <w:rFonts w:ascii="Times New Roman" w:eastAsia="Calibri" w:hAnsi="Times New Roman" w:cs="Times New Roman"/>
          <w:noProof/>
          <w:sz w:val="24"/>
          <w:szCs w:val="24"/>
          <w:lang w:eastAsia="en-US"/>
        </w:rPr>
        <w:t>Such actions may require the Commission to adopt delegated acts to adapt statistics of goods transport by inland waterways to economic and technical trends in accordance with Article 2(5) of Regulation (EU) 2018/974 and to reflect changes in definitions, coding and nomenclature at EU or international level.</w:t>
      </w:r>
    </w:p>
    <w:p w14:paraId="61C2E58F" w14:textId="77777777" w:rsidR="00470441" w:rsidRPr="00F23D87" w:rsidRDefault="00470441" w:rsidP="002B5452">
      <w:pPr>
        <w:spacing w:after="0" w:line="276" w:lineRule="auto"/>
        <w:jc w:val="both"/>
        <w:rPr>
          <w:rFonts w:ascii="Times New Roman" w:eastAsia="Calibri" w:hAnsi="Times New Roman" w:cs="Times New Roman"/>
          <w:noProof/>
          <w:sz w:val="24"/>
          <w:szCs w:val="24"/>
          <w:lang w:eastAsia="en-US"/>
        </w:rPr>
      </w:pPr>
    </w:p>
    <w:p w14:paraId="0E5C4881" w14:textId="77777777" w:rsidR="004E0D54" w:rsidRPr="00F23D87" w:rsidRDefault="004E0D54" w:rsidP="004E0D54">
      <w:pPr>
        <w:spacing w:after="240" w:line="276" w:lineRule="auto"/>
        <w:jc w:val="both"/>
        <w:rPr>
          <w:noProof/>
        </w:rPr>
      </w:pPr>
    </w:p>
    <w:p w14:paraId="05563224" w14:textId="77777777" w:rsidR="004E0D54" w:rsidRPr="00F23D87" w:rsidRDefault="004E0D54" w:rsidP="004E0D54">
      <w:pPr>
        <w:spacing w:after="240" w:line="276" w:lineRule="auto"/>
        <w:jc w:val="both"/>
        <w:rPr>
          <w:noProof/>
        </w:rPr>
      </w:pPr>
    </w:p>
    <w:p w14:paraId="56CE482C" w14:textId="77777777" w:rsidR="004E0D54" w:rsidRPr="00F23D87" w:rsidRDefault="004E0D54" w:rsidP="004E0D54">
      <w:pPr>
        <w:spacing w:after="240" w:line="276" w:lineRule="auto"/>
        <w:jc w:val="both"/>
        <w:rPr>
          <w:noProof/>
        </w:rPr>
      </w:pPr>
    </w:p>
    <w:p w14:paraId="42B3A98F" w14:textId="77777777" w:rsidR="004E0D54" w:rsidRPr="00F23D87" w:rsidRDefault="004E0D54" w:rsidP="004E0D54">
      <w:pPr>
        <w:spacing w:after="240" w:line="276" w:lineRule="auto"/>
        <w:jc w:val="both"/>
        <w:rPr>
          <w:noProof/>
        </w:rPr>
      </w:pPr>
    </w:p>
    <w:p w14:paraId="017CAA2B" w14:textId="77777777" w:rsidR="004E0D54" w:rsidRPr="00F23D87" w:rsidRDefault="004E0D54" w:rsidP="004E0D54">
      <w:pPr>
        <w:spacing w:after="240" w:line="276" w:lineRule="auto"/>
        <w:jc w:val="both"/>
        <w:rPr>
          <w:noProof/>
        </w:rPr>
      </w:pPr>
    </w:p>
    <w:p w14:paraId="59FE88F4" w14:textId="77777777" w:rsidR="00FC0857" w:rsidRPr="00F23D87" w:rsidRDefault="00FC0857">
      <w:pPr>
        <w:rPr>
          <w:noProof/>
        </w:rPr>
      </w:pPr>
    </w:p>
    <w:sectPr w:rsidR="00FC0857" w:rsidRPr="00F23D87" w:rsidSect="00B57660">
      <w:headerReference w:type="even" r:id="rId14"/>
      <w:headerReference w:type="default" r:id="rId15"/>
      <w:footerReference w:type="even" r:id="rId16"/>
      <w:footerReference w:type="default" r:id="rId17"/>
      <w:headerReference w:type="first" r:id="rId18"/>
      <w:footerReference w:type="first" r:id="rId19"/>
      <w:pgSz w:w="11906" w:h="16838"/>
      <w:pgMar w:top="993"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ACC8ED" w14:textId="77777777" w:rsidR="00A32B6C" w:rsidRPr="00F23D87" w:rsidRDefault="00A32B6C" w:rsidP="004E0D54">
      <w:pPr>
        <w:spacing w:after="0" w:line="240" w:lineRule="auto"/>
      </w:pPr>
      <w:r w:rsidRPr="00F23D87">
        <w:separator/>
      </w:r>
    </w:p>
  </w:endnote>
  <w:endnote w:type="continuationSeparator" w:id="0">
    <w:p w14:paraId="6F94FFEE" w14:textId="77777777" w:rsidR="00A32B6C" w:rsidRPr="00F23D87" w:rsidRDefault="00A32B6C" w:rsidP="004E0D54">
      <w:pPr>
        <w:spacing w:after="0" w:line="240" w:lineRule="auto"/>
      </w:pPr>
      <w:r w:rsidRPr="00F23D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Arial"/>
    <w:panose1 w:val="00000000000000000000"/>
    <w:charset w:val="00"/>
    <w:family w:val="roman"/>
    <w:notTrueType/>
    <w:pitch w:val="default"/>
  </w:font>
  <w:font w:name="Aptos Display">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E6279F" w14:textId="3566999E" w:rsidR="00E85004" w:rsidRPr="00E85004" w:rsidRDefault="00E85004" w:rsidP="00E85004">
    <w:pPr>
      <w:pStyle w:val="FooterCoverPage"/>
      <w:rPr>
        <w:rFonts w:ascii="Arial" w:hAnsi="Arial" w:cs="Arial"/>
        <w:b/>
        <w:sz w:val="48"/>
      </w:rPr>
    </w:pPr>
    <w:r w:rsidRPr="00E85004">
      <w:rPr>
        <w:rFonts w:ascii="Arial" w:hAnsi="Arial" w:cs="Arial"/>
        <w:b/>
        <w:sz w:val="48"/>
      </w:rPr>
      <w:t>EN</w:t>
    </w:r>
    <w:r w:rsidRPr="00E85004">
      <w:rPr>
        <w:rFonts w:ascii="Arial" w:hAnsi="Arial" w:cs="Arial"/>
        <w:b/>
        <w:sz w:val="48"/>
      </w:rPr>
      <w:tab/>
    </w:r>
    <w:r w:rsidRPr="00E85004">
      <w:rPr>
        <w:rFonts w:ascii="Arial" w:hAnsi="Arial" w:cs="Arial"/>
        <w:b/>
        <w:sz w:val="48"/>
      </w:rPr>
      <w:tab/>
    </w:r>
    <w:r w:rsidRPr="00E85004">
      <w:tab/>
    </w:r>
    <w:r w:rsidRPr="00E85004">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50D5DC" w14:textId="0835FA55" w:rsidR="00E85004" w:rsidRPr="00E85004" w:rsidRDefault="00E85004" w:rsidP="00E85004">
    <w:pPr>
      <w:pStyle w:val="FooterCoverPage"/>
      <w:rPr>
        <w:rFonts w:ascii="Arial" w:hAnsi="Arial" w:cs="Arial"/>
        <w:b/>
        <w:sz w:val="48"/>
      </w:rPr>
    </w:pPr>
    <w:r w:rsidRPr="00E85004">
      <w:rPr>
        <w:rFonts w:ascii="Arial" w:hAnsi="Arial" w:cs="Arial"/>
        <w:b/>
        <w:sz w:val="48"/>
      </w:rPr>
      <w:t>EN</w:t>
    </w:r>
    <w:r w:rsidRPr="00E85004">
      <w:rPr>
        <w:rFonts w:ascii="Arial" w:hAnsi="Arial" w:cs="Arial"/>
        <w:b/>
        <w:sz w:val="48"/>
      </w:rPr>
      <w:tab/>
    </w:r>
    <w:r w:rsidRPr="00E85004">
      <w:rPr>
        <w:rFonts w:ascii="Arial" w:hAnsi="Arial" w:cs="Arial"/>
        <w:b/>
        <w:sz w:val="48"/>
      </w:rPr>
      <w:tab/>
    </w:r>
    <w:r w:rsidRPr="00E85004">
      <w:tab/>
    </w:r>
    <w:r w:rsidRPr="00E85004">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9B41F6" w14:textId="77777777" w:rsidR="00E85004" w:rsidRPr="00E85004" w:rsidRDefault="00E85004" w:rsidP="00E8500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31ABE1" w14:textId="77777777" w:rsidR="00912476" w:rsidRPr="00F23D87" w:rsidRDefault="0091247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86099"/>
      <w:docPartObj>
        <w:docPartGallery w:val="Page Numbers (Bottom of Page)"/>
        <w:docPartUnique/>
      </w:docPartObj>
    </w:sdtPr>
    <w:sdtEndPr>
      <w:rPr>
        <w:rFonts w:ascii="Times New Roman" w:hAnsi="Times New Roman" w:cs="Times New Roman"/>
      </w:rPr>
    </w:sdtEndPr>
    <w:sdtContent>
      <w:p w14:paraId="5625CE37" w14:textId="76F9A71D" w:rsidR="00912476" w:rsidRPr="00F23D87" w:rsidRDefault="00912476" w:rsidP="003F6EF0">
        <w:pPr>
          <w:pStyle w:val="Footer"/>
          <w:jc w:val="center"/>
          <w:rPr>
            <w:rFonts w:ascii="Times New Roman" w:hAnsi="Times New Roman" w:cs="Times New Roman"/>
          </w:rPr>
        </w:pPr>
        <w:r w:rsidRPr="00F23D87">
          <w:rPr>
            <w:rFonts w:ascii="Times New Roman" w:hAnsi="Times New Roman" w:cs="Times New Roman"/>
          </w:rPr>
          <w:fldChar w:fldCharType="begin"/>
        </w:r>
        <w:r w:rsidRPr="00F23D87">
          <w:rPr>
            <w:rFonts w:ascii="Times New Roman" w:hAnsi="Times New Roman" w:cs="Times New Roman"/>
          </w:rPr>
          <w:instrText xml:space="preserve"> PAGE   \* MERGEFORMAT </w:instrText>
        </w:r>
        <w:r w:rsidRPr="00F23D87">
          <w:rPr>
            <w:rFonts w:ascii="Times New Roman" w:hAnsi="Times New Roman" w:cs="Times New Roman"/>
          </w:rPr>
          <w:fldChar w:fldCharType="separate"/>
        </w:r>
        <w:r w:rsidR="00E85004">
          <w:rPr>
            <w:rFonts w:ascii="Times New Roman" w:hAnsi="Times New Roman" w:cs="Times New Roman"/>
            <w:noProof/>
          </w:rPr>
          <w:t>2</w:t>
        </w:r>
        <w:r w:rsidRPr="00F23D87">
          <w:rPr>
            <w:rFonts w:ascii="Times New Roman" w:hAnsi="Times New Roman" w:cs="Times New Roman"/>
          </w:rPr>
          <w:fldChar w:fldCharType="end"/>
        </w:r>
      </w:p>
    </w:sdtContent>
  </w:sdt>
  <w:p w14:paraId="0365031A" w14:textId="77777777" w:rsidR="00912476" w:rsidRPr="00F23D87" w:rsidRDefault="0091247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7391494"/>
      <w:docPartObj>
        <w:docPartGallery w:val="Page Numbers (Bottom of Page)"/>
        <w:docPartUnique/>
      </w:docPartObj>
    </w:sdtPr>
    <w:sdtEndPr>
      <w:rPr>
        <w:rFonts w:ascii="Times New Roman" w:hAnsi="Times New Roman" w:cs="Times New Roman"/>
      </w:rPr>
    </w:sdtEndPr>
    <w:sdtContent>
      <w:p w14:paraId="2F18E1F0" w14:textId="16277466" w:rsidR="00912476" w:rsidRPr="00F23D87" w:rsidRDefault="00912476" w:rsidP="003F6EF0">
        <w:pPr>
          <w:pStyle w:val="Footer"/>
          <w:jc w:val="center"/>
          <w:rPr>
            <w:rFonts w:ascii="Times New Roman" w:hAnsi="Times New Roman" w:cs="Times New Roman"/>
          </w:rPr>
        </w:pPr>
        <w:r w:rsidRPr="00F23D87">
          <w:rPr>
            <w:rFonts w:ascii="Times New Roman" w:hAnsi="Times New Roman" w:cs="Times New Roman"/>
          </w:rPr>
          <w:fldChar w:fldCharType="begin"/>
        </w:r>
        <w:r w:rsidRPr="00F23D87">
          <w:rPr>
            <w:rFonts w:ascii="Times New Roman" w:hAnsi="Times New Roman" w:cs="Times New Roman"/>
          </w:rPr>
          <w:instrText xml:space="preserve"> PAGE   \* MERGEFORMAT </w:instrText>
        </w:r>
        <w:r w:rsidRPr="00F23D87">
          <w:rPr>
            <w:rFonts w:ascii="Times New Roman" w:hAnsi="Times New Roman" w:cs="Times New Roman"/>
          </w:rPr>
          <w:fldChar w:fldCharType="separate"/>
        </w:r>
        <w:r w:rsidR="00E85004">
          <w:rPr>
            <w:rFonts w:ascii="Times New Roman" w:hAnsi="Times New Roman" w:cs="Times New Roman"/>
            <w:noProof/>
          </w:rPr>
          <w:t>1</w:t>
        </w:r>
        <w:r w:rsidRPr="00F23D87">
          <w:rPr>
            <w:rFonts w:ascii="Times New Roman" w:hAnsi="Times New Roman" w:cs="Times New Roman"/>
          </w:rPr>
          <w:fldChar w:fldCharType="end"/>
        </w:r>
      </w:p>
    </w:sdtContent>
  </w:sdt>
  <w:p w14:paraId="68A091D9" w14:textId="77777777" w:rsidR="00912476" w:rsidRPr="00F23D87" w:rsidRDefault="009124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C2BEAF" w14:textId="77777777" w:rsidR="00A32B6C" w:rsidRPr="00F23D87" w:rsidRDefault="00A32B6C" w:rsidP="004E0D54">
      <w:pPr>
        <w:spacing w:after="0" w:line="240" w:lineRule="auto"/>
      </w:pPr>
      <w:r w:rsidRPr="00F23D87">
        <w:separator/>
      </w:r>
    </w:p>
  </w:footnote>
  <w:footnote w:type="continuationSeparator" w:id="0">
    <w:p w14:paraId="020131BC" w14:textId="77777777" w:rsidR="00A32B6C" w:rsidRPr="00F23D87" w:rsidRDefault="00A32B6C" w:rsidP="004E0D54">
      <w:pPr>
        <w:spacing w:after="0" w:line="240" w:lineRule="auto"/>
      </w:pPr>
      <w:r w:rsidRPr="00F23D87">
        <w:continuationSeparator/>
      </w:r>
    </w:p>
  </w:footnote>
  <w:footnote w:id="1">
    <w:p w14:paraId="555EDF4D" w14:textId="42E25188" w:rsidR="004E0D54" w:rsidRPr="00470441" w:rsidRDefault="004E0D54" w:rsidP="00A7524A">
      <w:pPr>
        <w:pStyle w:val="FootnoteText"/>
        <w:spacing w:after="0" w:line="240" w:lineRule="auto"/>
        <w:rPr>
          <w:rStyle w:val="Hyperlink"/>
          <w:rFonts w:ascii="Times New Roman" w:hAnsi="Times New Roman"/>
          <w:color w:val="auto"/>
          <w:lang w:val="en-IE"/>
        </w:rPr>
      </w:pPr>
      <w:r w:rsidRPr="00F23D87">
        <w:rPr>
          <w:rStyle w:val="FootnoteReference"/>
          <w:rFonts w:cs="Calibri"/>
        </w:rPr>
        <w:footnoteRef/>
      </w:r>
      <w:r w:rsidRPr="00F23D87">
        <w:rPr>
          <w:rFonts w:ascii="Times New Roman" w:hAnsi="Times New Roman"/>
        </w:rPr>
        <w:t xml:space="preserve"> Regulation (EU) 2018/974 of the European Parliament and of the Council of 4</w:t>
      </w:r>
      <w:r w:rsidR="00F23D87">
        <w:rPr>
          <w:rFonts w:ascii="Times New Roman" w:hAnsi="Times New Roman"/>
        </w:rPr>
        <w:t> </w:t>
      </w:r>
      <w:r w:rsidRPr="00F23D87">
        <w:rPr>
          <w:rFonts w:ascii="Times New Roman" w:hAnsi="Times New Roman"/>
        </w:rPr>
        <w:t>July 2018 on statistics of goods transport by inland waterways (OJ L 179, 16.7.2018, p.</w:t>
      </w:r>
      <w:r w:rsidR="00F23D87">
        <w:rPr>
          <w:rFonts w:ascii="Times New Roman" w:hAnsi="Times New Roman"/>
        </w:rPr>
        <w:t> </w:t>
      </w:r>
      <w:r w:rsidRPr="00470441">
        <w:rPr>
          <w:rFonts w:ascii="Times New Roman" w:hAnsi="Times New Roman"/>
          <w:lang w:val="en-IE"/>
        </w:rPr>
        <w:t>14</w:t>
      </w:r>
      <w:r w:rsidR="00C30595" w:rsidRPr="00470441">
        <w:rPr>
          <w:rFonts w:ascii="Times New Roman" w:hAnsi="Times New Roman"/>
          <w:lang w:val="en-IE"/>
        </w:rPr>
        <w:t xml:space="preserve">; </w:t>
      </w:r>
      <w:r w:rsidR="00E57ED5" w:rsidRPr="00470441">
        <w:rPr>
          <w:rFonts w:ascii="Times New Roman" w:hAnsi="Times New Roman"/>
          <w:lang w:val="en-IE"/>
        </w:rPr>
        <w:t xml:space="preserve">ELI: </w:t>
      </w:r>
      <w:hyperlink r:id="rId1" w:history="1">
        <w:r w:rsidR="00E57ED5" w:rsidRPr="00470441">
          <w:rPr>
            <w:rStyle w:val="Hyperlink"/>
            <w:rFonts w:ascii="Times New Roman" w:hAnsi="Times New Roman"/>
            <w:lang w:val="en-IE"/>
          </w:rPr>
          <w:t>http://data.europa.eu/eli/reg/2018/974/oj</w:t>
        </w:r>
      </w:hyperlink>
      <w:r w:rsidRPr="00470441">
        <w:rPr>
          <w:rFonts w:ascii="Times New Roman" w:hAnsi="Times New Roman"/>
          <w:lang w:val="en-IE"/>
        </w:rPr>
        <w:t>)</w:t>
      </w:r>
      <w:r w:rsidRPr="00470441">
        <w:rPr>
          <w:rStyle w:val="Hyperlink"/>
          <w:rFonts w:ascii="Times New Roman" w:hAnsi="Times New Roman"/>
          <w:color w:val="auto"/>
          <w:u w:val="none"/>
          <w:lang w:val="en-IE"/>
        </w:rPr>
        <w:t>.</w:t>
      </w:r>
    </w:p>
  </w:footnote>
  <w:footnote w:id="2">
    <w:p w14:paraId="33A97FF4" w14:textId="51A3E6A3" w:rsidR="004E0D54" w:rsidRPr="00470441" w:rsidRDefault="004E0D54" w:rsidP="00617205">
      <w:pPr>
        <w:pStyle w:val="FootnoteText"/>
        <w:spacing w:before="60" w:after="0"/>
        <w:rPr>
          <w:rStyle w:val="Hyperlink"/>
          <w:rFonts w:ascii="Times New Roman" w:hAnsi="Times New Roman"/>
          <w:color w:val="auto"/>
          <w:lang w:val="de-DE"/>
        </w:rPr>
      </w:pPr>
      <w:r w:rsidRPr="00617205">
        <w:rPr>
          <w:rStyle w:val="FootnoteReference"/>
          <w:rFonts w:cs="Calibri"/>
        </w:rPr>
        <w:footnoteRef/>
      </w:r>
      <w:r w:rsidRPr="00617205">
        <w:rPr>
          <w:rFonts w:ascii="Times New Roman" w:hAnsi="Times New Roman"/>
          <w:lang w:val="de-DE"/>
        </w:rPr>
        <w:t xml:space="preserve"> </w:t>
      </w:r>
      <w:r w:rsidR="00617205" w:rsidRPr="00617205">
        <w:rPr>
          <w:rFonts w:ascii="Times New Roman" w:hAnsi="Times New Roman"/>
        </w:rPr>
        <w:t>Interinstitutional Agreement between the European Parliament, the Council of the European Union and the European Commission on Better Law-Making (</w:t>
      </w:r>
      <w:r w:rsidRPr="00617205">
        <w:rPr>
          <w:rFonts w:ascii="Times New Roman" w:hAnsi="Times New Roman"/>
          <w:lang w:val="de-DE"/>
        </w:rPr>
        <w:t>OJ L 123, 12.5.2016, p.</w:t>
      </w:r>
      <w:r w:rsidR="00F23D87" w:rsidRPr="00617205">
        <w:rPr>
          <w:rFonts w:ascii="Times New Roman" w:hAnsi="Times New Roman"/>
          <w:lang w:val="de-DE"/>
        </w:rPr>
        <w:t> </w:t>
      </w:r>
      <w:r w:rsidRPr="00617205">
        <w:rPr>
          <w:rFonts w:ascii="Times New Roman" w:hAnsi="Times New Roman"/>
          <w:lang w:val="de-DE"/>
        </w:rPr>
        <w:t>1</w:t>
      </w:r>
      <w:r w:rsidR="001D5A18" w:rsidRPr="00617205">
        <w:rPr>
          <w:rFonts w:ascii="Times New Roman" w:hAnsi="Times New Roman"/>
          <w:lang w:val="de-DE"/>
        </w:rPr>
        <w:t xml:space="preserve">; </w:t>
      </w:r>
      <w:r w:rsidR="00E57ED5" w:rsidRPr="00617205">
        <w:rPr>
          <w:rFonts w:ascii="Times New Roman" w:hAnsi="Times New Roman"/>
          <w:lang w:val="de-DE"/>
        </w:rPr>
        <w:t xml:space="preserve">ELI: </w:t>
      </w:r>
      <w:hyperlink r:id="rId2" w:history="1">
        <w:r w:rsidR="00E57ED5" w:rsidRPr="00617205">
          <w:rPr>
            <w:rStyle w:val="Hyperlink"/>
            <w:rFonts w:ascii="Times New Roman" w:hAnsi="Times New Roman"/>
            <w:lang w:val="de-DE"/>
          </w:rPr>
          <w:t>http://data.europa.eu/eli/agree_interinstit/2016/512/oj</w:t>
        </w:r>
      </w:hyperlink>
      <w:r w:rsidR="00617205" w:rsidRPr="00617205">
        <w:rPr>
          <w:rFonts w:ascii="Times New Roman" w:hAnsi="Times New Roman"/>
        </w:rPr>
        <w:t>)</w:t>
      </w:r>
      <w:r w:rsidRPr="00617205">
        <w:rPr>
          <w:rFonts w:ascii="Times New Roman" w:hAnsi="Times New Roman"/>
          <w:lang w:val="de-DE"/>
        </w:rPr>
        <w:t>.</w:t>
      </w:r>
    </w:p>
  </w:footnote>
  <w:footnote w:id="3">
    <w:p w14:paraId="3E81D4A8" w14:textId="0DFB2F0F" w:rsidR="00846857" w:rsidRPr="00F23D87" w:rsidRDefault="00846857" w:rsidP="00A7524A">
      <w:pPr>
        <w:pStyle w:val="FootnoteText"/>
        <w:spacing w:before="60" w:after="0"/>
        <w:rPr>
          <w:rFonts w:ascii="Times New Roman" w:hAnsi="Times New Roman"/>
        </w:rPr>
      </w:pPr>
      <w:r w:rsidRPr="00F23D87">
        <w:rPr>
          <w:rStyle w:val="FootnoteReference"/>
          <w:rFonts w:cs="Calibri"/>
        </w:rPr>
        <w:footnoteRef/>
      </w:r>
      <w:r w:rsidRPr="00F23D87">
        <w:rPr>
          <w:rFonts w:ascii="Times New Roman" w:hAnsi="Times New Roman"/>
        </w:rPr>
        <w:t xml:space="preserve"> Report from the Commission to the European Parliament and the Council on the exercise of the power to adopt delegated acts conferred on the Commission pursuant to Regulation (EU) 2018/974 on statistics of goods transport by inland waterways</w:t>
      </w:r>
      <w:r w:rsidR="004D58A5" w:rsidRPr="00F23D87">
        <w:rPr>
          <w:rFonts w:ascii="Times New Roman" w:hAnsi="Times New Roman"/>
        </w:rPr>
        <w:t xml:space="preserve"> </w:t>
      </w:r>
      <w:r w:rsidR="00447779" w:rsidRPr="00F23D87">
        <w:rPr>
          <w:rFonts w:ascii="Times New Roman" w:hAnsi="Times New Roman"/>
        </w:rPr>
        <w:t>(</w:t>
      </w:r>
      <w:r w:rsidR="004D58A5" w:rsidRPr="00F23D87">
        <w:rPr>
          <w:rFonts w:ascii="Times New Roman" w:hAnsi="Times New Roman"/>
        </w:rPr>
        <w:t>COM(2021) 117 final</w:t>
      </w:r>
      <w:r w:rsidR="00447779" w:rsidRPr="00F23D87">
        <w:rPr>
          <w:rFonts w:ascii="Times New Roman" w:hAnsi="Times New Roman"/>
        </w:rPr>
        <w:t>, 1</w:t>
      </w:r>
      <w:r w:rsidR="004D58A5" w:rsidRPr="00F23D87">
        <w:rPr>
          <w:rFonts w:ascii="Times New Roman" w:hAnsi="Times New Roman"/>
        </w:rPr>
        <w:t>2.3.2021</w:t>
      </w:r>
      <w:r w:rsidR="00C97ED0" w:rsidRPr="00F23D87">
        <w:rPr>
          <w:rFonts w:ascii="Times New Roman" w:hAnsi="Times New Roman"/>
        </w:rPr>
        <w:t xml:space="preserve">; </w:t>
      </w:r>
      <w:r w:rsidR="00914436" w:rsidRPr="00F23D87">
        <w:rPr>
          <w:rFonts w:ascii="Times New Roman" w:hAnsi="Times New Roman"/>
        </w:rPr>
        <w:br/>
      </w:r>
      <w:hyperlink r:id="rId3" w:history="1">
        <w:r w:rsidR="00914436" w:rsidRPr="00F23D87">
          <w:rPr>
            <w:rStyle w:val="Hyperlink"/>
            <w:rFonts w:ascii="Times New Roman" w:hAnsi="Times New Roman"/>
          </w:rPr>
          <w:t>https://eur-lex.europa.eu/legal-content/TXT/?uri=CELEX%3A52021DC0117</w:t>
        </w:r>
      </w:hyperlink>
      <w:r w:rsidR="00447779" w:rsidRPr="00F23D87">
        <w:rPr>
          <w:rFonts w:ascii="Times New Roman" w:hAnsi="Times New Roman"/>
        </w:rPr>
        <w:t>)</w:t>
      </w:r>
      <w:r w:rsidRPr="00F23D87">
        <w:rPr>
          <w:rFonts w:ascii="Times New Roman" w:hAnsi="Times New Roman"/>
        </w:rPr>
        <w:t>.</w:t>
      </w:r>
    </w:p>
  </w:footnote>
  <w:footnote w:id="4">
    <w:p w14:paraId="089E6FE3" w14:textId="559DD30E" w:rsidR="004E0D54" w:rsidRPr="00F23D87" w:rsidRDefault="004E0D54" w:rsidP="00D239AC">
      <w:pPr>
        <w:pStyle w:val="FootnoteText"/>
        <w:spacing w:after="60"/>
        <w:rPr>
          <w:rFonts w:ascii="Times New Roman" w:hAnsi="Times New Roman"/>
        </w:rPr>
      </w:pPr>
      <w:r w:rsidRPr="000057E0">
        <w:rPr>
          <w:rStyle w:val="FootnoteReference"/>
          <w:rFonts w:cs="Calibri"/>
        </w:rPr>
        <w:footnoteRef/>
      </w:r>
      <w:r w:rsidRPr="00D239AC">
        <w:rPr>
          <w:rFonts w:ascii="Times New Roman" w:hAnsi="Times New Roman"/>
        </w:rPr>
        <w:t xml:space="preserve"> </w:t>
      </w:r>
      <w:r w:rsidRPr="00F23D87">
        <w:rPr>
          <w:rFonts w:ascii="Times New Roman" w:hAnsi="Times New Roman"/>
        </w:rPr>
        <w:t>COM(2020) 789 final</w:t>
      </w:r>
      <w:r w:rsidR="00447779" w:rsidRPr="00F23D87">
        <w:rPr>
          <w:rFonts w:ascii="Times New Roman" w:hAnsi="Times New Roman"/>
        </w:rPr>
        <w:t xml:space="preserve">, </w:t>
      </w:r>
      <w:r w:rsidR="004D58A5" w:rsidRPr="00F23D87">
        <w:rPr>
          <w:rFonts w:ascii="Times New Roman" w:hAnsi="Times New Roman"/>
        </w:rPr>
        <w:t>9.12.2020</w:t>
      </w:r>
      <w:r w:rsidR="00960AF9" w:rsidRPr="00F23D87">
        <w:rPr>
          <w:rFonts w:ascii="Times New Roman" w:hAnsi="Times New Roman"/>
        </w:rPr>
        <w:t xml:space="preserve">; </w:t>
      </w:r>
      <w:r w:rsidR="00914436" w:rsidRPr="00F23D87">
        <w:rPr>
          <w:rFonts w:ascii="Times New Roman" w:hAnsi="Times New Roman"/>
        </w:rPr>
        <w:br/>
      </w:r>
      <w:hyperlink r:id="rId4" w:history="1">
        <w:r w:rsidR="00914436" w:rsidRPr="00F23D87">
          <w:rPr>
            <w:rStyle w:val="Hyperlink"/>
            <w:rFonts w:ascii="Times New Roman" w:hAnsi="Times New Roman"/>
          </w:rPr>
          <w:t>https://eur-lex.europa.eu/legal-content/TXT/?uri=CELEX%3A52020DC0789</w:t>
        </w:r>
      </w:hyperlink>
      <w:r w:rsidRPr="00F23D87">
        <w:rPr>
          <w:rFonts w:ascii="Times New Roman" w:hAnsi="Times New Roman"/>
        </w:rPr>
        <w:t>.</w:t>
      </w:r>
    </w:p>
  </w:footnote>
  <w:footnote w:id="5">
    <w:p w14:paraId="1C290E88" w14:textId="5CBA78F5" w:rsidR="00137D3A" w:rsidRPr="00F23D87" w:rsidRDefault="00137D3A" w:rsidP="00D239AC">
      <w:pPr>
        <w:pStyle w:val="FootnoteText"/>
        <w:spacing w:after="60"/>
      </w:pPr>
      <w:r w:rsidRPr="000057E0">
        <w:rPr>
          <w:rStyle w:val="FootnoteReference"/>
          <w:rFonts w:cs="Calibri"/>
        </w:rPr>
        <w:footnoteRef/>
      </w:r>
      <w:r w:rsidRPr="00D239AC">
        <w:rPr>
          <w:rStyle w:val="FootnoteReference"/>
          <w:rFonts w:ascii="Times New Roman" w:hAnsi="Times New Roman"/>
        </w:rPr>
        <w:t xml:space="preserve"> </w:t>
      </w:r>
      <w:r w:rsidRPr="00D239AC">
        <w:rPr>
          <w:rFonts w:ascii="Times New Roman" w:hAnsi="Times New Roman"/>
        </w:rPr>
        <w:t>Regulation (EU) 2024/1679 of the European Parliament and of the Council of 13</w:t>
      </w:r>
      <w:r w:rsidR="00F23D87" w:rsidRPr="00D239AC">
        <w:rPr>
          <w:rFonts w:ascii="Times New Roman" w:hAnsi="Times New Roman"/>
        </w:rPr>
        <w:t> </w:t>
      </w:r>
      <w:r w:rsidRPr="00D239AC">
        <w:rPr>
          <w:rFonts w:ascii="Times New Roman" w:hAnsi="Times New Roman"/>
        </w:rPr>
        <w:t>June 2024 on Union guidelines for the development of the trans-European transport network, amending Regulations (EU) 2021/1153 and (EU) No</w:t>
      </w:r>
      <w:r w:rsidR="00F23D87" w:rsidRPr="00D239AC">
        <w:rPr>
          <w:rFonts w:ascii="Times New Roman" w:hAnsi="Times New Roman"/>
        </w:rPr>
        <w:t> </w:t>
      </w:r>
      <w:r w:rsidRPr="00D239AC">
        <w:rPr>
          <w:rFonts w:ascii="Times New Roman" w:hAnsi="Times New Roman"/>
        </w:rPr>
        <w:t>913/2010 and repealing Regulation (EU) No</w:t>
      </w:r>
      <w:r w:rsidR="00F23D87" w:rsidRPr="00D239AC">
        <w:rPr>
          <w:rFonts w:ascii="Times New Roman" w:hAnsi="Times New Roman"/>
        </w:rPr>
        <w:t> </w:t>
      </w:r>
      <w:r w:rsidRPr="00D239AC">
        <w:rPr>
          <w:rFonts w:ascii="Times New Roman" w:hAnsi="Times New Roman"/>
        </w:rPr>
        <w:t>1315/2013 (OJ L, 2024/1679, 28.6.2024</w:t>
      </w:r>
      <w:r w:rsidR="00F80787" w:rsidRPr="00D239AC">
        <w:rPr>
          <w:rFonts w:ascii="Times New Roman" w:hAnsi="Times New Roman"/>
        </w:rPr>
        <w:t>;</w:t>
      </w:r>
      <w:r w:rsidR="00D239AC" w:rsidRPr="00D239AC">
        <w:rPr>
          <w:rFonts w:ascii="Times New Roman" w:hAnsi="Times New Roman"/>
        </w:rPr>
        <w:t xml:space="preserve"> </w:t>
      </w:r>
      <w:r w:rsidRPr="00D239AC">
        <w:rPr>
          <w:rFonts w:ascii="Times New Roman" w:hAnsi="Times New Roman"/>
        </w:rPr>
        <w:t>ELI: </w:t>
      </w:r>
      <w:hyperlink r:id="rId5" w:tgtFrame="_blank" w:tooltip="Gives access to this document through its ELI URI." w:history="1">
        <w:r w:rsidRPr="00D239AC">
          <w:rPr>
            <w:rStyle w:val="Hyperlink"/>
            <w:rFonts w:ascii="Times New Roman" w:hAnsi="Times New Roman"/>
            <w:bCs/>
          </w:rPr>
          <w:t>http://data.europa.eu/eli/reg/2024/1679/oj</w:t>
        </w:r>
      </w:hyperlink>
      <w:r w:rsidRPr="00D239AC">
        <w:rPr>
          <w:rFonts w:ascii="Times New Roman" w:hAnsi="Times New Roman"/>
        </w:rPr>
        <w:t>)</w:t>
      </w:r>
      <w:r w:rsidR="002114C6" w:rsidRPr="00D239AC">
        <w:rPr>
          <w:rFonts w:ascii="Times New Roman" w:hAnsi="Times New Roman"/>
        </w:rPr>
        <w:t>.</w:t>
      </w:r>
    </w:p>
  </w:footnote>
  <w:footnote w:id="6">
    <w:p w14:paraId="2A3B78CD" w14:textId="5842EF16" w:rsidR="00F75149" w:rsidRPr="00F75149" w:rsidRDefault="00F75149" w:rsidP="00D239AC">
      <w:pPr>
        <w:pStyle w:val="FootnoteText"/>
        <w:spacing w:after="60"/>
        <w:rPr>
          <w:lang w:val="en-IE"/>
        </w:rPr>
      </w:pPr>
      <w:r w:rsidRPr="000057E0">
        <w:rPr>
          <w:rStyle w:val="FootnoteReference"/>
          <w:rFonts w:cs="Calibri"/>
        </w:rPr>
        <w:footnoteRef/>
      </w:r>
      <w:r w:rsidRPr="000057E0">
        <w:rPr>
          <w:rFonts w:cs="Calibri"/>
        </w:rPr>
        <w:t xml:space="preserve"> </w:t>
      </w:r>
      <w:r w:rsidR="00D239AC" w:rsidRPr="00617205">
        <w:rPr>
          <w:rFonts w:ascii="Times New Roman" w:hAnsi="Times New Roman"/>
        </w:rPr>
        <w:t>Regulation (EU) 2020/1056 of the European Parliament and of the Council of 15 July 2020 on electronic freight transport information (OJ L 249/33, 31.7.2020</w:t>
      </w:r>
      <w:r w:rsidR="000057E0">
        <w:rPr>
          <w:rFonts w:ascii="Times New Roman" w:hAnsi="Times New Roman"/>
        </w:rPr>
        <w:t>, p. 33</w:t>
      </w:r>
      <w:r w:rsidR="00D239AC" w:rsidRPr="00617205">
        <w:rPr>
          <w:rFonts w:ascii="Times New Roman" w:hAnsi="Times New Roman"/>
        </w:rPr>
        <w:t>; ELI:</w:t>
      </w:r>
      <w:r w:rsidR="00D239AC" w:rsidRPr="00617205">
        <w:rPr>
          <w:rStyle w:val="Hyperlink"/>
          <w:rFonts w:ascii="Times New Roman" w:hAnsi="Times New Roman"/>
        </w:rPr>
        <w:t xml:space="preserve"> </w:t>
      </w:r>
      <w:hyperlink r:id="rId6" w:tooltip="Gives access to this document through its ELI URI." w:history="1">
        <w:r w:rsidR="00D239AC" w:rsidRPr="00617205">
          <w:rPr>
            <w:rStyle w:val="Hyperlink"/>
            <w:rFonts w:ascii="Times New Roman" w:hAnsi="Times New Roman"/>
          </w:rPr>
          <w:t>http://data.europa.eu/eli/reg/2020/1056/oj</w:t>
        </w:r>
      </w:hyperlink>
      <w:r w:rsidR="00D239AC" w:rsidRPr="00617205">
        <w:rPr>
          <w:rFonts w:ascii="Times New Roman" w:hAnsi="Times New Roman"/>
          <w:color w:val="0563C1"/>
          <w:u w:val="single"/>
        </w:rPr>
        <w:t>).</w:t>
      </w:r>
    </w:p>
  </w:footnote>
  <w:footnote w:id="7">
    <w:p w14:paraId="5437D0CA" w14:textId="486ACC23" w:rsidR="00674E62" w:rsidRPr="00F23D87" w:rsidRDefault="00137D3A" w:rsidP="00C871A2">
      <w:pPr>
        <w:pStyle w:val="FootnoteText"/>
        <w:spacing w:after="0"/>
        <w:ind w:left="142" w:hanging="153"/>
      </w:pPr>
      <w:r w:rsidRPr="000057E0">
        <w:rPr>
          <w:rStyle w:val="FootnoteReference"/>
          <w:rFonts w:cs="Calibri"/>
        </w:rPr>
        <w:footnoteRef/>
      </w:r>
      <w:r w:rsidRPr="00D239AC">
        <w:rPr>
          <w:rStyle w:val="FootnoteReference"/>
          <w:rFonts w:ascii="Times New Roman" w:hAnsi="Times New Roman"/>
        </w:rPr>
        <w:t xml:space="preserve"> </w:t>
      </w:r>
      <w:r w:rsidR="00674E62" w:rsidRPr="00F23D87">
        <w:rPr>
          <w:rFonts w:ascii="Times New Roman" w:hAnsi="Times New Roman"/>
        </w:rPr>
        <w:t>COM(2021) 324 final, 24.6.2021</w:t>
      </w:r>
      <w:r w:rsidR="002114C6" w:rsidRPr="00F23D87">
        <w:rPr>
          <w:rFonts w:ascii="Times New Roman" w:hAnsi="Times New Roman"/>
        </w:rPr>
        <w:t>;</w:t>
      </w:r>
    </w:p>
    <w:p w14:paraId="40F6AEE3" w14:textId="698D8BD8" w:rsidR="00137D3A" w:rsidRPr="00F23D87" w:rsidRDefault="00E85004" w:rsidP="00D239AC">
      <w:pPr>
        <w:pStyle w:val="FootnoteText"/>
        <w:spacing w:after="60"/>
        <w:ind w:left="142" w:hanging="153"/>
      </w:pPr>
      <w:hyperlink r:id="rId7" w:history="1">
        <w:r w:rsidR="00674E62" w:rsidRPr="00F23D87">
          <w:rPr>
            <w:rStyle w:val="Hyperlink"/>
            <w:rFonts w:ascii="Times New Roman" w:hAnsi="Times New Roman"/>
          </w:rPr>
          <w:t>https://eur-lex.europa.eu/legal-content/EN/TXT/?uri=celex%3A52021DC0324</w:t>
        </w:r>
      </w:hyperlink>
      <w:r w:rsidR="00F80787" w:rsidRPr="00F23D87">
        <w:t>.</w:t>
      </w:r>
      <w:hyperlink w:history="1"/>
    </w:p>
  </w:footnote>
  <w:footnote w:id="8">
    <w:p w14:paraId="67CB8C15" w14:textId="0FD4C03B" w:rsidR="00F75149" w:rsidRPr="00D239AC" w:rsidRDefault="00F75149" w:rsidP="00D239AC">
      <w:pPr>
        <w:pStyle w:val="FootnoteText"/>
        <w:spacing w:after="60"/>
        <w:rPr>
          <w:rFonts w:ascii="Times New Roman" w:hAnsi="Times New Roman"/>
          <w:lang w:val="en-IE"/>
        </w:rPr>
      </w:pPr>
      <w:r w:rsidRPr="000057E0">
        <w:rPr>
          <w:rStyle w:val="FootnoteReference"/>
          <w:rFonts w:cs="Calibri"/>
        </w:rPr>
        <w:footnoteRef/>
      </w:r>
      <w:r w:rsidRPr="000057E0">
        <w:rPr>
          <w:rStyle w:val="FootnoteReference"/>
          <w:rFonts w:cs="Calibri"/>
        </w:rPr>
        <w:t xml:space="preserve"> </w:t>
      </w:r>
      <w:r w:rsidR="00D239AC" w:rsidRPr="00617205">
        <w:rPr>
          <w:rFonts w:ascii="Times New Roman" w:hAnsi="Times New Roman"/>
        </w:rPr>
        <w:t>Directive (EU) 2025/2482 of the European Parliament and of the Council of 26 November 2025 amending Directive 2005/44/EC on harmonised river information services (RIS) on inland waterways in the Community (</w:t>
      </w:r>
      <w:r w:rsidR="00C871A2" w:rsidRPr="00617205">
        <w:rPr>
          <w:rFonts w:ascii="Times New Roman" w:hAnsi="Times New Roman"/>
        </w:rPr>
        <w:t>OJ L, 2025/2482, </w:t>
      </w:r>
      <w:r w:rsidR="00D239AC" w:rsidRPr="00617205">
        <w:rPr>
          <w:rFonts w:ascii="Times New Roman" w:hAnsi="Times New Roman"/>
        </w:rPr>
        <w:t>12.12.2025; ELI: </w:t>
      </w:r>
      <w:hyperlink r:id="rId8" w:tooltip="Gives access to this document through its ELI URI." w:history="1">
        <w:r w:rsidR="00D239AC" w:rsidRPr="00617205">
          <w:rPr>
            <w:rStyle w:val="Hyperlink"/>
            <w:rFonts w:ascii="Times New Roman" w:hAnsi="Times New Roman"/>
          </w:rPr>
          <w:t>http://data.europa.eu/eli/dir/2025/2482/oj</w:t>
        </w:r>
      </w:hyperlink>
      <w:r w:rsidR="00D239AC" w:rsidRPr="00617205">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4D4786" w14:textId="77777777" w:rsidR="00E85004" w:rsidRPr="00E85004" w:rsidRDefault="00E85004" w:rsidP="00E85004">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FC0694" w14:textId="77777777" w:rsidR="00E85004" w:rsidRPr="00E85004" w:rsidRDefault="00E85004" w:rsidP="00E8500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EC92C7" w14:textId="77777777" w:rsidR="00E85004" w:rsidRPr="00E85004" w:rsidRDefault="00E85004" w:rsidP="00E8500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65FE70" w14:textId="77777777" w:rsidR="00912476" w:rsidRPr="00F23D87" w:rsidRDefault="0091247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BB623" w14:textId="77777777" w:rsidR="00912476" w:rsidRPr="00F23D87" w:rsidRDefault="0091247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72C9B4" w14:textId="77777777" w:rsidR="00912476" w:rsidRPr="00F23D87" w:rsidRDefault="009124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6610C4"/>
    <w:multiLevelType w:val="hybridMultilevel"/>
    <w:tmpl w:val="E15881B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6412804"/>
    <w:multiLevelType w:val="hybridMultilevel"/>
    <w:tmpl w:val="9906E0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76717618-F035-4A6A-9D20-5DA5E7347AAC"/>
    <w:docVar w:name="LW_COVERPAGE_TYPE" w:val="1"/>
    <w:docVar w:name="LW_CROSSREFERENCE" w:val="&lt;UNUSED&gt;"/>
    <w:docVar w:name="LW_DocType" w:val="NORMAL"/>
    <w:docVar w:name="LW_EMISSION" w:val="21.5.2026"/>
    <w:docVar w:name="LW_EMISSION_ISODATE" w:val="2026-05-21"/>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24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exercising the power to adopt delegated acts conferred on the Commission pursuant to Regulation (EU) 2018/974 on statistics of goods transport by inland waterways"/>
    <w:docVar w:name="LW_TYPE.DOC.CP" w:val="REPORT FROM THE COMMISSION TO THE EUROPEAN PARLIAMENT AND THE COUNCIL"/>
    <w:docVar w:name="LwApiVersions" w:val="LW4CoDe 1.24.5.0; LW 9.2, Build 20251112"/>
  </w:docVars>
  <w:rsids>
    <w:rsidRoot w:val="004E0D54"/>
    <w:rsid w:val="000057E0"/>
    <w:rsid w:val="00066C98"/>
    <w:rsid w:val="000811B5"/>
    <w:rsid w:val="000A05EE"/>
    <w:rsid w:val="000D109C"/>
    <w:rsid w:val="0011370A"/>
    <w:rsid w:val="00113F82"/>
    <w:rsid w:val="00137A52"/>
    <w:rsid w:val="00137D3A"/>
    <w:rsid w:val="001A06C6"/>
    <w:rsid w:val="001B6C1C"/>
    <w:rsid w:val="001D5A18"/>
    <w:rsid w:val="002114C6"/>
    <w:rsid w:val="002A3225"/>
    <w:rsid w:val="002B5452"/>
    <w:rsid w:val="00305977"/>
    <w:rsid w:val="0030608C"/>
    <w:rsid w:val="0034245C"/>
    <w:rsid w:val="003822BD"/>
    <w:rsid w:val="003A5378"/>
    <w:rsid w:val="003A65D0"/>
    <w:rsid w:val="003D5701"/>
    <w:rsid w:val="00447779"/>
    <w:rsid w:val="00463DB2"/>
    <w:rsid w:val="00470441"/>
    <w:rsid w:val="00474222"/>
    <w:rsid w:val="00485740"/>
    <w:rsid w:val="00494FCA"/>
    <w:rsid w:val="004C7A09"/>
    <w:rsid w:val="004D58A5"/>
    <w:rsid w:val="004E0D54"/>
    <w:rsid w:val="00516740"/>
    <w:rsid w:val="00540AA0"/>
    <w:rsid w:val="005871CC"/>
    <w:rsid w:val="005D017D"/>
    <w:rsid w:val="005F5FA6"/>
    <w:rsid w:val="00617205"/>
    <w:rsid w:val="006409B0"/>
    <w:rsid w:val="006561F3"/>
    <w:rsid w:val="00667433"/>
    <w:rsid w:val="00674E62"/>
    <w:rsid w:val="00677379"/>
    <w:rsid w:val="006A4A82"/>
    <w:rsid w:val="00713C21"/>
    <w:rsid w:val="0076771A"/>
    <w:rsid w:val="007719D3"/>
    <w:rsid w:val="007B2011"/>
    <w:rsid w:val="007B2AA1"/>
    <w:rsid w:val="007E65F6"/>
    <w:rsid w:val="0083499C"/>
    <w:rsid w:val="00846857"/>
    <w:rsid w:val="00846BB6"/>
    <w:rsid w:val="00857B0C"/>
    <w:rsid w:val="00861B9C"/>
    <w:rsid w:val="00910939"/>
    <w:rsid w:val="00912476"/>
    <w:rsid w:val="00914436"/>
    <w:rsid w:val="00930026"/>
    <w:rsid w:val="00937731"/>
    <w:rsid w:val="00960AF9"/>
    <w:rsid w:val="009A3941"/>
    <w:rsid w:val="009D63FF"/>
    <w:rsid w:val="009E5D6C"/>
    <w:rsid w:val="009F307C"/>
    <w:rsid w:val="00A07DEE"/>
    <w:rsid w:val="00A22F58"/>
    <w:rsid w:val="00A32B6C"/>
    <w:rsid w:val="00A4336E"/>
    <w:rsid w:val="00A7524A"/>
    <w:rsid w:val="00B00AE1"/>
    <w:rsid w:val="00B5052A"/>
    <w:rsid w:val="00B5491B"/>
    <w:rsid w:val="00B57660"/>
    <w:rsid w:val="00B77B4E"/>
    <w:rsid w:val="00B92AB7"/>
    <w:rsid w:val="00BA2270"/>
    <w:rsid w:val="00C2364B"/>
    <w:rsid w:val="00C30595"/>
    <w:rsid w:val="00C62273"/>
    <w:rsid w:val="00C65544"/>
    <w:rsid w:val="00C73A59"/>
    <w:rsid w:val="00C871A2"/>
    <w:rsid w:val="00C97ED0"/>
    <w:rsid w:val="00CF01E4"/>
    <w:rsid w:val="00D05895"/>
    <w:rsid w:val="00D239AC"/>
    <w:rsid w:val="00D378B0"/>
    <w:rsid w:val="00D424F0"/>
    <w:rsid w:val="00DA2431"/>
    <w:rsid w:val="00DD0F6C"/>
    <w:rsid w:val="00DD601F"/>
    <w:rsid w:val="00E57ED5"/>
    <w:rsid w:val="00E76F10"/>
    <w:rsid w:val="00E83EBC"/>
    <w:rsid w:val="00E85004"/>
    <w:rsid w:val="00E94992"/>
    <w:rsid w:val="00EC7006"/>
    <w:rsid w:val="00F23D87"/>
    <w:rsid w:val="00F544C5"/>
    <w:rsid w:val="00F55733"/>
    <w:rsid w:val="00F70291"/>
    <w:rsid w:val="00F75149"/>
    <w:rsid w:val="00F80787"/>
    <w:rsid w:val="00FB2783"/>
    <w:rsid w:val="00FC08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5C8897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0D54"/>
    <w:rPr>
      <w:rFonts w:eastAsiaTheme="minorEastAsia"/>
      <w:kern w:val="0"/>
      <w:lang w:eastAsia="ja-JP"/>
      <w14:ligatures w14:val="none"/>
    </w:rPr>
  </w:style>
  <w:style w:type="paragraph" w:styleId="Heading1">
    <w:name w:val="heading 1"/>
    <w:basedOn w:val="Normal"/>
    <w:next w:val="Normal"/>
    <w:link w:val="Heading1Char"/>
    <w:uiPriority w:val="9"/>
    <w:qFormat/>
    <w:rsid w:val="004E0D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0D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0D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0D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0D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0D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0D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0D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0D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0D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0D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0D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0D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0D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0D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0D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0D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0D54"/>
    <w:rPr>
      <w:rFonts w:eastAsiaTheme="majorEastAsia" w:cstheme="majorBidi"/>
      <w:color w:val="272727" w:themeColor="text1" w:themeTint="D8"/>
    </w:rPr>
  </w:style>
  <w:style w:type="paragraph" w:styleId="Title">
    <w:name w:val="Title"/>
    <w:basedOn w:val="Normal"/>
    <w:next w:val="Normal"/>
    <w:link w:val="TitleChar"/>
    <w:uiPriority w:val="10"/>
    <w:qFormat/>
    <w:rsid w:val="004E0D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0D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0D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0D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0D54"/>
    <w:pPr>
      <w:spacing w:before="160"/>
      <w:jc w:val="center"/>
    </w:pPr>
    <w:rPr>
      <w:i/>
      <w:iCs/>
      <w:color w:val="404040" w:themeColor="text1" w:themeTint="BF"/>
    </w:rPr>
  </w:style>
  <w:style w:type="character" w:customStyle="1" w:styleId="QuoteChar">
    <w:name w:val="Quote Char"/>
    <w:basedOn w:val="DefaultParagraphFont"/>
    <w:link w:val="Quote"/>
    <w:uiPriority w:val="29"/>
    <w:rsid w:val="004E0D54"/>
    <w:rPr>
      <w:i/>
      <w:iCs/>
      <w:color w:val="404040" w:themeColor="text1" w:themeTint="BF"/>
    </w:rPr>
  </w:style>
  <w:style w:type="paragraph" w:styleId="ListParagraph">
    <w:name w:val="List Paragraph"/>
    <w:basedOn w:val="Normal"/>
    <w:uiPriority w:val="34"/>
    <w:qFormat/>
    <w:rsid w:val="004E0D54"/>
    <w:pPr>
      <w:ind w:left="720"/>
      <w:contextualSpacing/>
    </w:pPr>
  </w:style>
  <w:style w:type="character" w:styleId="IntenseEmphasis">
    <w:name w:val="Intense Emphasis"/>
    <w:basedOn w:val="DefaultParagraphFont"/>
    <w:uiPriority w:val="21"/>
    <w:qFormat/>
    <w:rsid w:val="004E0D54"/>
    <w:rPr>
      <w:i/>
      <w:iCs/>
      <w:color w:val="0F4761" w:themeColor="accent1" w:themeShade="BF"/>
    </w:rPr>
  </w:style>
  <w:style w:type="paragraph" w:styleId="IntenseQuote">
    <w:name w:val="Intense Quote"/>
    <w:basedOn w:val="Normal"/>
    <w:next w:val="Normal"/>
    <w:link w:val="IntenseQuoteChar"/>
    <w:uiPriority w:val="30"/>
    <w:qFormat/>
    <w:rsid w:val="004E0D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0D54"/>
    <w:rPr>
      <w:i/>
      <w:iCs/>
      <w:color w:val="0F4761" w:themeColor="accent1" w:themeShade="BF"/>
    </w:rPr>
  </w:style>
  <w:style w:type="character" w:styleId="IntenseReference">
    <w:name w:val="Intense Reference"/>
    <w:basedOn w:val="DefaultParagraphFont"/>
    <w:uiPriority w:val="32"/>
    <w:qFormat/>
    <w:rsid w:val="004E0D54"/>
    <w:rPr>
      <w:b/>
      <w:bCs/>
      <w:smallCaps/>
      <w:color w:val="0F4761" w:themeColor="accent1" w:themeShade="BF"/>
      <w:spacing w:val="5"/>
    </w:rPr>
  </w:style>
  <w:style w:type="paragraph" w:customStyle="1" w:styleId="Pagedecouverture">
    <w:name w:val="Page de couverture"/>
    <w:basedOn w:val="Normal"/>
    <w:next w:val="Normal"/>
    <w:rsid w:val="004E0D54"/>
    <w:pPr>
      <w:spacing w:after="0" w:line="240" w:lineRule="auto"/>
      <w:jc w:val="both"/>
    </w:pPr>
    <w:rPr>
      <w:rFonts w:ascii="Times New Roman" w:eastAsiaTheme="minorHAnsi" w:hAnsi="Times New Roman" w:cs="Times New Roman"/>
      <w:sz w:val="24"/>
      <w:lang w:eastAsia="en-US"/>
    </w:rPr>
  </w:style>
  <w:style w:type="paragraph" w:styleId="Header">
    <w:name w:val="header"/>
    <w:basedOn w:val="Normal"/>
    <w:link w:val="HeaderChar"/>
    <w:uiPriority w:val="99"/>
    <w:unhideWhenUsed/>
    <w:rsid w:val="004E0D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0D54"/>
    <w:rPr>
      <w:rFonts w:eastAsiaTheme="minorEastAsia"/>
      <w:kern w:val="0"/>
      <w:lang w:eastAsia="ja-JP"/>
      <w14:ligatures w14:val="none"/>
    </w:rPr>
  </w:style>
  <w:style w:type="paragraph" w:styleId="Footer">
    <w:name w:val="footer"/>
    <w:basedOn w:val="Normal"/>
    <w:link w:val="FooterChar"/>
    <w:uiPriority w:val="99"/>
    <w:unhideWhenUsed/>
    <w:rsid w:val="004E0D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0D54"/>
    <w:rPr>
      <w:rFonts w:eastAsiaTheme="minorEastAsia"/>
      <w:kern w:val="0"/>
      <w:lang w:eastAsia="ja-JP"/>
      <w14:ligatures w14:val="none"/>
    </w:rPr>
  </w:style>
  <w:style w:type="paragraph" w:customStyle="1" w:styleId="FooterCoverPage">
    <w:name w:val="Footer Cover Page"/>
    <w:basedOn w:val="Normal"/>
    <w:link w:val="FooterCoverPageChar"/>
    <w:rsid w:val="004E0D54"/>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4E0D54"/>
    <w:rPr>
      <w:rFonts w:ascii="Times New Roman" w:eastAsiaTheme="minorEastAsia" w:hAnsi="Times New Roman" w:cs="Times New Roman"/>
      <w:kern w:val="0"/>
      <w:sz w:val="24"/>
      <w:lang w:eastAsia="ja-JP"/>
      <w14:ligatures w14:val="none"/>
    </w:rPr>
  </w:style>
  <w:style w:type="paragraph" w:styleId="FootnoteText">
    <w:name w:val="footnote text"/>
    <w:basedOn w:val="Normal"/>
    <w:unhideWhenUsed/>
    <w:qFormat/>
    <w:rsid w:val="004E0D54"/>
    <w:pPr>
      <w:spacing w:after="200" w:line="276" w:lineRule="auto"/>
    </w:pPr>
    <w:rPr>
      <w:rFonts w:ascii="Calibri" w:eastAsia="Calibri" w:hAnsi="Calibri" w:cs="Times New Roman"/>
      <w:sz w:val="20"/>
      <w:szCs w:val="20"/>
      <w:lang w:eastAsia="en-US"/>
    </w:rPr>
  </w:style>
  <w:style w:type="character" w:customStyle="1" w:styleId="FootnoteTextChar">
    <w:name w:val="Footnote Text Char"/>
    <w:aliases w:val="Footnote Text Char2 Char,Footnote Text Char1 Char Char,Footnote Text Char2 Char Char Char,Footnote Text Char1 Char Char Char Char,Footnote Text Char2 Char Char Char Char Char,Footnote Text Char Char1 Char Char Char Char Char"/>
    <w:basedOn w:val="DefaultParagraphFont"/>
    <w:qFormat/>
    <w:rsid w:val="004E0D54"/>
    <w:rPr>
      <w:rFonts w:ascii="Calibri" w:eastAsia="Calibri" w:hAnsi="Calibri" w:cs="Times New Roman"/>
      <w:kern w:val="0"/>
      <w:sz w:val="20"/>
      <w:szCs w:val="20"/>
      <w14:ligatures w14:val="none"/>
    </w:rPr>
  </w:style>
  <w:style w:type="character" w:styleId="FootnoteReference">
    <w:name w:val="footnote reference"/>
    <w:aliases w:val=" BVI fnr,BVI fnr, BVI fnr Car Car,BVI fnr Car, BVI fnr Car Car Car Car, BVI fnr Car Car Car Car Char,Footnote symbol,Footnote reference number,Footnote,Times 10 Point,Exposant 3 Point,Ref,de nota al pie,note TESI,SUPERS,EN Footnote te"/>
    <w:link w:val="Char2"/>
    <w:qFormat/>
    <w:rsid w:val="004E0D54"/>
    <w:rPr>
      <w:shd w:val="clear" w:color="auto" w:fill="auto"/>
      <w:vertAlign w:val="superscript"/>
    </w:rPr>
  </w:style>
  <w:style w:type="character" w:styleId="Hyperlink">
    <w:name w:val="Hyperlink"/>
    <w:uiPriority w:val="99"/>
    <w:unhideWhenUsed/>
    <w:rsid w:val="004E0D54"/>
    <w:rPr>
      <w:color w:val="0563C1"/>
      <w:u w:val="single"/>
    </w:rPr>
  </w:style>
  <w:style w:type="character" w:customStyle="1" w:styleId="Marker">
    <w:name w:val="Marker"/>
    <w:basedOn w:val="DefaultParagraphFont"/>
    <w:rsid w:val="004E0D54"/>
    <w:rPr>
      <w:color w:val="0000FF"/>
      <w:shd w:val="clear" w:color="auto" w:fill="auto"/>
    </w:rPr>
  </w:style>
  <w:style w:type="paragraph" w:customStyle="1" w:styleId="FooterSensitivity">
    <w:name w:val="Footer Sensitivity"/>
    <w:basedOn w:val="Normal"/>
    <w:link w:val="FooterSensitivityChar"/>
    <w:rsid w:val="004E0D54"/>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4E0D54"/>
    <w:rPr>
      <w:rFonts w:ascii="Times New Roman" w:eastAsiaTheme="minorEastAsia" w:hAnsi="Times New Roman" w:cs="Times New Roman"/>
      <w:b/>
      <w:kern w:val="0"/>
      <w:sz w:val="32"/>
      <w:lang w:eastAsia="ja-JP"/>
      <w14:ligatures w14:val="none"/>
    </w:rPr>
  </w:style>
  <w:style w:type="paragraph" w:customStyle="1" w:styleId="HeaderCoverPage">
    <w:name w:val="Header Cover Page"/>
    <w:basedOn w:val="Normal"/>
    <w:link w:val="HeaderCoverPageChar"/>
    <w:rsid w:val="004E0D54"/>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4E0D54"/>
    <w:rPr>
      <w:rFonts w:ascii="Times New Roman" w:eastAsiaTheme="minorEastAsia" w:hAnsi="Times New Roman" w:cs="Times New Roman"/>
      <w:kern w:val="0"/>
      <w:sz w:val="24"/>
      <w:lang w:eastAsia="ja-JP"/>
      <w14:ligatures w14:val="none"/>
    </w:rPr>
  </w:style>
  <w:style w:type="paragraph" w:customStyle="1" w:styleId="HeaderSensitivity">
    <w:name w:val="Header Sensitivity"/>
    <w:basedOn w:val="Normal"/>
    <w:link w:val="HeaderSensitivityChar"/>
    <w:rsid w:val="004E0D54"/>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4E0D54"/>
    <w:rPr>
      <w:rFonts w:ascii="Times New Roman" w:eastAsiaTheme="minorEastAsia" w:hAnsi="Times New Roman" w:cs="Times New Roman"/>
      <w:b/>
      <w:kern w:val="0"/>
      <w:sz w:val="32"/>
      <w:lang w:eastAsia="ja-JP"/>
      <w14:ligatures w14:val="none"/>
    </w:rPr>
  </w:style>
  <w:style w:type="paragraph" w:customStyle="1" w:styleId="HeaderSensitivityRight">
    <w:name w:val="Header Sensitivity Right"/>
    <w:basedOn w:val="Normal"/>
    <w:link w:val="HeaderSensitivityRightChar"/>
    <w:rsid w:val="004E0D54"/>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4E0D54"/>
    <w:rPr>
      <w:rFonts w:ascii="Times New Roman" w:eastAsiaTheme="minorEastAsia" w:hAnsi="Times New Roman" w:cs="Times New Roman"/>
      <w:kern w:val="0"/>
      <w:sz w:val="28"/>
      <w:lang w:eastAsia="ja-JP"/>
      <w14:ligatures w14:val="none"/>
    </w:rPr>
  </w:style>
  <w:style w:type="character" w:styleId="CommentReference">
    <w:name w:val="annotation reference"/>
    <w:basedOn w:val="DefaultParagraphFont"/>
    <w:uiPriority w:val="99"/>
    <w:semiHidden/>
    <w:unhideWhenUsed/>
    <w:rsid w:val="00137A52"/>
    <w:rPr>
      <w:sz w:val="16"/>
      <w:szCs w:val="16"/>
    </w:rPr>
  </w:style>
  <w:style w:type="paragraph" w:styleId="CommentText">
    <w:name w:val="annotation text"/>
    <w:basedOn w:val="Normal"/>
    <w:link w:val="CommentTextChar"/>
    <w:uiPriority w:val="99"/>
    <w:unhideWhenUsed/>
    <w:rsid w:val="00137A52"/>
    <w:pPr>
      <w:spacing w:line="240" w:lineRule="auto"/>
    </w:pPr>
    <w:rPr>
      <w:sz w:val="20"/>
      <w:szCs w:val="20"/>
    </w:rPr>
  </w:style>
  <w:style w:type="character" w:customStyle="1" w:styleId="CommentTextChar">
    <w:name w:val="Comment Text Char"/>
    <w:basedOn w:val="DefaultParagraphFont"/>
    <w:link w:val="CommentText"/>
    <w:uiPriority w:val="99"/>
    <w:rsid w:val="00137A52"/>
    <w:rPr>
      <w:rFonts w:eastAsiaTheme="minorEastAsia"/>
      <w:kern w:val="0"/>
      <w:sz w:val="20"/>
      <w:szCs w:val="20"/>
      <w:lang w:eastAsia="ja-JP"/>
      <w14:ligatures w14:val="none"/>
    </w:rPr>
  </w:style>
  <w:style w:type="paragraph" w:styleId="CommentSubject">
    <w:name w:val="annotation subject"/>
    <w:basedOn w:val="CommentText"/>
    <w:next w:val="CommentText"/>
    <w:link w:val="CommentSubjectChar"/>
    <w:uiPriority w:val="99"/>
    <w:semiHidden/>
    <w:unhideWhenUsed/>
    <w:rsid w:val="00137A52"/>
    <w:rPr>
      <w:b/>
      <w:bCs/>
    </w:rPr>
  </w:style>
  <w:style w:type="character" w:customStyle="1" w:styleId="CommentSubjectChar">
    <w:name w:val="Comment Subject Char"/>
    <w:basedOn w:val="CommentTextChar"/>
    <w:link w:val="CommentSubject"/>
    <w:uiPriority w:val="99"/>
    <w:semiHidden/>
    <w:rsid w:val="00137A52"/>
    <w:rPr>
      <w:rFonts w:eastAsiaTheme="minorEastAsia"/>
      <w:b/>
      <w:bCs/>
      <w:kern w:val="0"/>
      <w:sz w:val="20"/>
      <w:szCs w:val="20"/>
      <w:lang w:eastAsia="ja-JP"/>
      <w14:ligatures w14:val="none"/>
    </w:rPr>
  </w:style>
  <w:style w:type="paragraph" w:styleId="Revision">
    <w:name w:val="Revision"/>
    <w:hidden/>
    <w:uiPriority w:val="99"/>
    <w:semiHidden/>
    <w:rsid w:val="00137A52"/>
    <w:pPr>
      <w:spacing w:after="0" w:line="240" w:lineRule="auto"/>
    </w:pPr>
    <w:rPr>
      <w:rFonts w:eastAsiaTheme="minorEastAsia"/>
      <w:kern w:val="0"/>
      <w:lang w:eastAsia="ja-JP"/>
      <w14:ligatures w14:val="none"/>
    </w:rPr>
  </w:style>
  <w:style w:type="character" w:customStyle="1" w:styleId="UnresolvedMention">
    <w:name w:val="Unresolved Mention"/>
    <w:basedOn w:val="DefaultParagraphFont"/>
    <w:uiPriority w:val="99"/>
    <w:semiHidden/>
    <w:unhideWhenUsed/>
    <w:rsid w:val="00C30595"/>
    <w:rPr>
      <w:color w:val="605E5C"/>
      <w:shd w:val="clear" w:color="auto" w:fill="E1DFDD"/>
    </w:rPr>
  </w:style>
  <w:style w:type="character" w:styleId="FollowedHyperlink">
    <w:name w:val="FollowedHyperlink"/>
    <w:basedOn w:val="DefaultParagraphFont"/>
    <w:uiPriority w:val="99"/>
    <w:semiHidden/>
    <w:unhideWhenUsed/>
    <w:rsid w:val="00C62273"/>
    <w:rPr>
      <w:color w:val="96607D" w:themeColor="followedHyperlink"/>
      <w:u w:val="single"/>
    </w:rPr>
  </w:style>
  <w:style w:type="paragraph" w:customStyle="1" w:styleId="Char2">
    <w:name w:val="Char2"/>
    <w:basedOn w:val="Normal"/>
    <w:link w:val="FootnoteReference"/>
    <w:uiPriority w:val="99"/>
    <w:rsid w:val="00137D3A"/>
    <w:pPr>
      <w:spacing w:line="240" w:lineRule="exact"/>
    </w:pPr>
    <w:rPr>
      <w:rFonts w:eastAsiaTheme="minorHAnsi"/>
      <w:kern w:val="2"/>
      <w:vertAlign w:val="superscript"/>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305862">
      <w:bodyDiv w:val="1"/>
      <w:marLeft w:val="0"/>
      <w:marRight w:val="0"/>
      <w:marTop w:val="0"/>
      <w:marBottom w:val="0"/>
      <w:divBdr>
        <w:top w:val="none" w:sz="0" w:space="0" w:color="auto"/>
        <w:left w:val="none" w:sz="0" w:space="0" w:color="auto"/>
        <w:bottom w:val="none" w:sz="0" w:space="0" w:color="auto"/>
        <w:right w:val="none" w:sz="0" w:space="0" w:color="auto"/>
      </w:divBdr>
    </w:div>
    <w:div w:id="1545174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5/2482/oj" TargetMode="External"/><Relationship Id="rId3" Type="http://schemas.openxmlformats.org/officeDocument/2006/relationships/hyperlink" Target="https://eur-lex.europa.eu/legal-content/TXT/?uri=CELEX%3A52021DC0117" TargetMode="External"/><Relationship Id="rId7" Type="http://schemas.openxmlformats.org/officeDocument/2006/relationships/hyperlink" Target="https://eur-lex.europa.eu/legal-content/EN/TXT/?uri=celex%3A52021DC0324" TargetMode="External"/><Relationship Id="rId2" Type="http://schemas.openxmlformats.org/officeDocument/2006/relationships/hyperlink" Target="http://data.europa.eu/eli/agree_interinstit/2016/512/oj" TargetMode="External"/><Relationship Id="rId1" Type="http://schemas.openxmlformats.org/officeDocument/2006/relationships/hyperlink" Target="http://data.europa.eu/eli/reg/2018/974/oj" TargetMode="External"/><Relationship Id="rId6" Type="http://schemas.openxmlformats.org/officeDocument/2006/relationships/hyperlink" Target="http://data.europa.eu/eli/reg/2020/1056/oj" TargetMode="External"/><Relationship Id="rId5" Type="http://schemas.openxmlformats.org/officeDocument/2006/relationships/hyperlink" Target="http://data.europa.eu/eli/reg/2024/1679/oj" TargetMode="External"/><Relationship Id="rId4" Type="http://schemas.openxmlformats.org/officeDocument/2006/relationships/hyperlink" Target="https://eur-lex.europa.eu/legal-content/TXT/?uri=CELEX%3A52020DC07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475</Words>
  <Characters>2710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2026-04-09T07:31:00Z</dcterms:created>
  <dcterms:modified xsi:type="dcterms:W3CDTF">2026-05-21T07:38:00Z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2026-03-27T09:14:19Z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83f84116-7a31-4e26-a556-e71895e01b1f</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CP-006</vt:lpwstr>
  </property>
</Properties>
</file>