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C2050" w14:textId="315F0712" w:rsidR="004E0D54" w:rsidRPr="00F23D87" w:rsidRDefault="00F320F6" w:rsidP="00F320F6">
      <w:pPr>
        <w:pStyle w:val="Pagedecouverture"/>
        <w:rPr>
          <w:noProof/>
        </w:rPr>
      </w:pPr>
      <w:bookmarkStart w:id="0" w:name="LW_BM_COVERPAGE"/>
      <w:r>
        <w:rPr>
          <w:noProof/>
        </w:rPr>
        <w:pict w14:anchorId="6BA02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2F025F9-1A16-42D7-BC92-C7EE030CEAE3" style="width:455.25pt;height:300pt">
            <v:imagedata r:id="rId7" o:title=""/>
          </v:shape>
        </w:pict>
      </w:r>
    </w:p>
    <w:bookmarkEnd w:id="0"/>
    <w:p w14:paraId="5F404453" w14:textId="77777777" w:rsidR="004E0D54" w:rsidRPr="00F23D87" w:rsidRDefault="004E0D54" w:rsidP="004E0D54">
      <w:pPr>
        <w:rPr>
          <w:noProof/>
        </w:rPr>
        <w:sectPr w:rsidR="004E0D54" w:rsidRPr="00F23D87" w:rsidSect="00F320F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3F8A04E3" w14:textId="77777777" w:rsidR="004E0D54" w:rsidRPr="00F23D87" w:rsidRDefault="004E0D54" w:rsidP="004E0D54">
      <w:pPr>
        <w:spacing w:before="480" w:after="240" w:line="240" w:lineRule="auto"/>
        <w:jc w:val="center"/>
        <w:rPr>
          <w:rFonts w:ascii="Times New Roman" w:eastAsia="Calibri" w:hAnsi="Times New Roman" w:cs="Times New Roman"/>
          <w:b/>
          <w:noProof/>
          <w:sz w:val="24"/>
          <w:szCs w:val="24"/>
        </w:rPr>
      </w:pPr>
      <w:bookmarkStart w:id="1" w:name="_GoBack"/>
      <w:bookmarkEnd w:id="1"/>
      <w:r>
        <w:rPr>
          <w:rFonts w:ascii="Times New Roman" w:hAnsi="Times New Roman"/>
          <w:b/>
          <w:noProof/>
          <w:sz w:val="24"/>
        </w:rPr>
        <w:lastRenderedPageBreak/>
        <w:t>RAPPORT DE LA COMMISSION AU PARLEMENT EUROPÉEN ET AU CONSEIL</w:t>
      </w:r>
    </w:p>
    <w:p w14:paraId="2CEA3F0C" w14:textId="0536763E" w:rsidR="004E0D54" w:rsidRPr="00F23D87" w:rsidRDefault="004E0D54" w:rsidP="00B57660">
      <w:pPr>
        <w:spacing w:after="0" w:line="276" w:lineRule="auto"/>
        <w:jc w:val="center"/>
        <w:rPr>
          <w:rFonts w:ascii="Times New Roman" w:eastAsia="Calibri" w:hAnsi="Times New Roman" w:cs="Times New Roman"/>
          <w:b/>
          <w:noProof/>
          <w:sz w:val="24"/>
          <w:szCs w:val="24"/>
        </w:rPr>
      </w:pPr>
      <w:r>
        <w:rPr>
          <w:rFonts w:ascii="Times New Roman" w:hAnsi="Times New Roman"/>
          <w:b/>
          <w:noProof/>
          <w:sz w:val="24"/>
        </w:rPr>
        <w:t>concernant l’exercice du pouvoir d’adopter des actes délégués conféré à la Commission en vertu du règlement (UE) 2018/974 relatif aux statistiques des transports de marchandises par voies navigables intérieures</w:t>
      </w:r>
    </w:p>
    <w:p w14:paraId="31818D3F" w14:textId="77777777" w:rsidR="004E0D54" w:rsidRPr="00F23D87"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rPr>
      </w:pPr>
      <w:r>
        <w:rPr>
          <w:rFonts w:ascii="Times New Roman" w:hAnsi="Times New Roman"/>
          <w:b/>
          <w:noProof/>
          <w:sz w:val="24"/>
        </w:rPr>
        <w:t>INTRODUCTION</w:t>
      </w:r>
    </w:p>
    <w:p w14:paraId="52147437" w14:textId="797DF5AF" w:rsidR="004E0D54" w:rsidRPr="00F23D87" w:rsidRDefault="004E0D54" w:rsidP="004E0D54">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Le règlement (UE) 2018/974 du Parlement européen et du Conseil(</w:t>
      </w:r>
      <w:r>
        <w:rPr>
          <w:rStyle w:val="FootnoteReference"/>
          <w:rFonts w:ascii="Times New Roman" w:eastAsia="Calibri" w:hAnsi="Times New Roman" w:cs="Times New Roman"/>
          <w:noProof/>
          <w:sz w:val="24"/>
          <w:szCs w:val="24"/>
          <w:lang w:eastAsia="en-US"/>
        </w:rPr>
        <w:footnoteReference w:id="1"/>
      </w:r>
      <w:r>
        <w:rPr>
          <w:rFonts w:ascii="Times New Roman" w:hAnsi="Times New Roman"/>
          <w:noProof/>
          <w:sz w:val="24"/>
        </w:rPr>
        <w:t>) habilite la Commission à adopter des actes délégués, conformément à l’article 10 dudit règlement, aux fins suivantes:</w:t>
      </w:r>
    </w:p>
    <w:p w14:paraId="75BB4302" w14:textId="704738C0" w:rsidR="004E0D54" w:rsidRPr="00F23D87" w:rsidRDefault="004E0D54" w:rsidP="004E0D54">
      <w:pPr>
        <w:numPr>
          <w:ilvl w:val="0"/>
          <w:numId w:val="2"/>
        </w:numPr>
        <w:spacing w:before="120" w:after="120" w:line="276" w:lineRule="auto"/>
        <w:ind w:left="681" w:hanging="397"/>
        <w:jc w:val="both"/>
        <w:rPr>
          <w:rFonts w:ascii="Times New Roman" w:eastAsia="Calibri" w:hAnsi="Times New Roman" w:cs="Times New Roman"/>
          <w:noProof/>
          <w:sz w:val="24"/>
          <w:szCs w:val="24"/>
        </w:rPr>
      </w:pPr>
      <w:r>
        <w:rPr>
          <w:rFonts w:ascii="Times New Roman" w:hAnsi="Times New Roman"/>
          <w:noProof/>
          <w:sz w:val="24"/>
        </w:rPr>
        <w:t>pour augmenter le seuil de couverture statistique des transports de marchandises par voies navigables intérieures, afin de prendre en compte les évolutions économiques et techniques (voir article 2, paragraphe 5);</w:t>
      </w:r>
    </w:p>
    <w:p w14:paraId="2C06AC8C" w14:textId="77591974" w:rsidR="004E0D54" w:rsidRPr="00F23D87" w:rsidRDefault="004E0D54" w:rsidP="004E0D54">
      <w:pPr>
        <w:numPr>
          <w:ilvl w:val="0"/>
          <w:numId w:val="2"/>
        </w:numPr>
        <w:spacing w:before="120" w:after="120" w:line="276" w:lineRule="auto"/>
        <w:ind w:left="681" w:hanging="397"/>
        <w:jc w:val="both"/>
        <w:rPr>
          <w:rFonts w:ascii="Times New Roman" w:eastAsia="Calibri" w:hAnsi="Times New Roman" w:cs="Times New Roman"/>
          <w:noProof/>
          <w:sz w:val="24"/>
          <w:szCs w:val="24"/>
        </w:rPr>
      </w:pPr>
      <w:r>
        <w:rPr>
          <w:rFonts w:ascii="Times New Roman" w:hAnsi="Times New Roman"/>
          <w:noProof/>
          <w:sz w:val="24"/>
        </w:rPr>
        <w:t>pour adapter les définitions ou prévoir de nouvelles définitions, afin de prendre en compte les définitions pertinentes modifiées ou adoptées au niveau international (voir article 3);</w:t>
      </w:r>
    </w:p>
    <w:p w14:paraId="1716446A" w14:textId="1A7843F6" w:rsidR="004E0D54" w:rsidRPr="00F23D87" w:rsidRDefault="004E0D54" w:rsidP="004E0D54">
      <w:pPr>
        <w:numPr>
          <w:ilvl w:val="0"/>
          <w:numId w:val="2"/>
        </w:numPr>
        <w:spacing w:before="120" w:after="240" w:line="276" w:lineRule="auto"/>
        <w:ind w:left="681" w:hanging="397"/>
        <w:jc w:val="both"/>
        <w:rPr>
          <w:rFonts w:ascii="Times New Roman" w:eastAsia="Calibri" w:hAnsi="Times New Roman" w:cs="Times New Roman"/>
          <w:noProof/>
          <w:sz w:val="24"/>
          <w:szCs w:val="24"/>
        </w:rPr>
      </w:pPr>
      <w:r>
        <w:rPr>
          <w:rFonts w:ascii="Times New Roman" w:hAnsi="Times New Roman"/>
          <w:noProof/>
          <w:sz w:val="24"/>
        </w:rPr>
        <w:t>pour prendre en compte les modifications intervenues dans la codification et la nomenclature au niveau international ou dans les actes législatifs pertinents de l’UE (voir article 4, paragraphe 4).</w:t>
      </w:r>
    </w:p>
    <w:p w14:paraId="4C4B49E8" w14:textId="44A7DB68" w:rsidR="004E0D54" w:rsidRPr="00F23D87" w:rsidRDefault="004E0D54" w:rsidP="004E0D54">
      <w:pPr>
        <w:spacing w:after="240" w:line="276" w:lineRule="auto"/>
        <w:jc w:val="both"/>
        <w:rPr>
          <w:rFonts w:ascii="Times New Roman" w:eastAsia="Calibri" w:hAnsi="Times New Roman" w:cs="Times New Roman"/>
          <w:noProof/>
          <w:sz w:val="24"/>
          <w:szCs w:val="24"/>
        </w:rPr>
      </w:pPr>
      <w:r>
        <w:rPr>
          <w:rFonts w:ascii="Times New Roman" w:hAnsi="Times New Roman"/>
          <w:noProof/>
          <w:sz w:val="24"/>
        </w:rPr>
        <w:t>En vertu de l’article 2, paragraphe 5, de l’article 3 et de l’article 4, paragraphe 4, lorsqu’elle exerce cette compétence, la Commission doit veiller à ce que les actes délégués n’imposent pas une charge supplémentaire significative aux États membres ou aux répondants. En outre, la Commission doit motiver les mesures statistiques prévues dans ces actes délégués, en recourant, le cas échéant, à une analyse du rapport coût-efficacité qui évalue la charge pesant sur les répondants et les coûts de production.</w:t>
      </w:r>
    </w:p>
    <w:p w14:paraId="7F5F3A58" w14:textId="26FCEE96" w:rsidR="004E0D54" w:rsidRPr="00F23D87" w:rsidRDefault="004E0D54" w:rsidP="00B57660">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Comme indiqué à l’article 10, paragraphe 4, avant l’adoption d’un acte délégué, la Commission doit consulter les experts désignés par chaque État membre, conformément aux principes définis dans l’accord interinstitutionnel du 13 avril 2016 «Mieux légiférer»(</w:t>
      </w:r>
      <w:r>
        <w:rPr>
          <w:rStyle w:val="FootnoteReference"/>
          <w:rFonts w:ascii="Times New Roman" w:eastAsia="Calibri" w:hAnsi="Times New Roman" w:cs="Times New Roman"/>
          <w:noProof/>
          <w:sz w:val="24"/>
          <w:szCs w:val="24"/>
          <w:lang w:eastAsia="en-US"/>
        </w:rPr>
        <w:footnoteReference w:id="2"/>
      </w:r>
      <w:r>
        <w:rPr>
          <w:rFonts w:ascii="Times New Roman" w:hAnsi="Times New Roman"/>
          <w:noProof/>
          <w:sz w:val="24"/>
        </w:rPr>
        <w:t>).</w:t>
      </w:r>
    </w:p>
    <w:p w14:paraId="034E45D9" w14:textId="77777777" w:rsidR="004E0D54" w:rsidRPr="00F23D87"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rPr>
      </w:pPr>
      <w:r>
        <w:rPr>
          <w:rFonts w:ascii="Times New Roman" w:hAnsi="Times New Roman"/>
          <w:b/>
          <w:noProof/>
          <w:sz w:val="24"/>
        </w:rPr>
        <w:t>BASE JURIDIQUE</w:t>
      </w:r>
    </w:p>
    <w:p w14:paraId="6CDA3D51" w14:textId="33B88E5B" w:rsidR="004E0D54" w:rsidRPr="00F23D87" w:rsidRDefault="004E0D54" w:rsidP="00463DB2">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Le présent rapport est requis au titre du règlement (UE) 2018/974, qui, à son article 10, paragraphe 2, indique que le pouvoir d’adopter des actes délégués est conféré à la Commission pour une période de cinq ans à compter du 7 décembre 2016. La Commission est tenue d’élaborer un rapport relatif à la délégation de pouvoir au plus tard neuf mois avant la fin de la période de cinq ans. La Commission a présenté un premier rapport en 2021(</w:t>
      </w:r>
      <w:r>
        <w:rPr>
          <w:rStyle w:val="FootnoteReference"/>
          <w:rFonts w:ascii="Times New Roman" w:eastAsia="Calibri" w:hAnsi="Times New Roman" w:cs="Times New Roman"/>
          <w:noProof/>
          <w:sz w:val="24"/>
          <w:szCs w:val="24"/>
          <w:lang w:eastAsia="en-US"/>
        </w:rPr>
        <w:footnoteReference w:id="3"/>
      </w:r>
      <w:r>
        <w:rPr>
          <w:rFonts w:ascii="Times New Roman" w:hAnsi="Times New Roman"/>
          <w:noProof/>
          <w:sz w:val="24"/>
        </w:rPr>
        <w:t>). Le présent document constitue le deuxième rapport.</w:t>
      </w:r>
    </w:p>
    <w:p w14:paraId="0B6F4212" w14:textId="77777777" w:rsidR="004E0D54" w:rsidRPr="00F23D87"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rPr>
      </w:pPr>
      <w:r>
        <w:rPr>
          <w:rFonts w:ascii="Times New Roman" w:hAnsi="Times New Roman"/>
          <w:b/>
          <w:noProof/>
          <w:sz w:val="24"/>
        </w:rPr>
        <w:t>EXERCICE DE LA DÉLÉGATION</w:t>
      </w:r>
    </w:p>
    <w:p w14:paraId="46465779" w14:textId="77777777" w:rsidR="004E0D54" w:rsidRPr="00F23D87" w:rsidRDefault="004E0D54" w:rsidP="004E0D54">
      <w:pPr>
        <w:spacing w:after="240"/>
        <w:jc w:val="both"/>
        <w:rPr>
          <w:noProof/>
        </w:rPr>
      </w:pPr>
      <w:r>
        <w:rPr>
          <w:rFonts w:ascii="Times New Roman" w:hAnsi="Times New Roman"/>
          <w:noProof/>
          <w:sz w:val="24"/>
        </w:rPr>
        <w:t>La Commission n’a pas encore exercé le pouvoir d’adopter des actes délégués qui lui a été conféré par le règlement (UE) 2018/974.</w:t>
      </w:r>
    </w:p>
    <w:p w14:paraId="139699DF" w14:textId="7D164105" w:rsidR="004E0D54" w:rsidRPr="00F23D87" w:rsidRDefault="004E0D54" w:rsidP="004E0D54">
      <w:pPr>
        <w:spacing w:after="240"/>
        <w:jc w:val="both"/>
        <w:rPr>
          <w:rFonts w:ascii="Times New Roman" w:hAnsi="Times New Roman"/>
          <w:noProof/>
          <w:sz w:val="24"/>
        </w:rPr>
      </w:pPr>
      <w:r>
        <w:rPr>
          <w:rFonts w:ascii="Times New Roman" w:hAnsi="Times New Roman"/>
          <w:noProof/>
          <w:sz w:val="24"/>
        </w:rPr>
        <w:t>La Commission examine régulièrement les améliorations qui pourraient être apportées aux statistiques des transports par voies navigables intérieures avec le groupe d’experts sur les statistiques des transports par voies navigables intérieures et le groupe de coordination des statistiques des transports. Lors de ces discussions, il est également tenu compte des coûts et charges susceptibles de peser sur les pays ou sur les répondants.</w:t>
      </w:r>
    </w:p>
    <w:p w14:paraId="3C771330" w14:textId="0FDA2261" w:rsidR="00470441" w:rsidRPr="00470441" w:rsidRDefault="00470441" w:rsidP="00470441">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Des statistiques sont nécessaires afin de suivre la mise en œuvre de la stratégie de mobilité durable et intelligente (objectifs 2020-2050)(</w:t>
      </w:r>
      <w:r>
        <w:rPr>
          <w:rFonts w:ascii="Times New Roman" w:hAnsi="Times New Roman"/>
          <w:noProof/>
          <w:sz w:val="24"/>
          <w:szCs w:val="24"/>
          <w:vertAlign w:val="superscript"/>
          <w:lang w:eastAsia="de-DE"/>
        </w:rPr>
        <w:footnoteReference w:id="4"/>
      </w:r>
      <w:r>
        <w:rPr>
          <w:rFonts w:ascii="Times New Roman" w:hAnsi="Times New Roman"/>
          <w:noProof/>
          <w:sz w:val="24"/>
        </w:rPr>
        <w:t>)</w:t>
      </w:r>
      <w:bookmarkStart w:id="2" w:name="_Hlk221880333"/>
      <w:r>
        <w:rPr>
          <w:noProof/>
        </w:rPr>
        <w:t xml:space="preserve"> </w:t>
      </w:r>
      <w:r>
        <w:rPr>
          <w:rFonts w:ascii="Times New Roman" w:hAnsi="Times New Roman"/>
          <w:noProof/>
          <w:sz w:val="24"/>
        </w:rPr>
        <w:t>et de soutenir les actions complémentaires, telles que la politique de l’UE relative au réseau transeuropéen de transport(</w:t>
      </w:r>
      <w:r>
        <w:rPr>
          <w:rStyle w:val="FootnoteReference"/>
          <w:rFonts w:ascii="Times New Roman" w:hAnsi="Times New Roman"/>
          <w:noProof/>
          <w:sz w:val="24"/>
          <w:szCs w:val="24"/>
          <w:lang w:eastAsia="de-DE"/>
        </w:rPr>
        <w:footnoteReference w:id="5"/>
      </w:r>
      <w:r>
        <w:rPr>
          <w:rFonts w:ascii="Times New Roman" w:hAnsi="Times New Roman"/>
          <w:noProof/>
          <w:sz w:val="24"/>
        </w:rPr>
        <w:t>)</w:t>
      </w:r>
      <w:bookmarkEnd w:id="2"/>
      <w:r>
        <w:rPr>
          <w:rFonts w:ascii="Times New Roman" w:hAnsi="Times New Roman"/>
          <w:noProof/>
          <w:sz w:val="24"/>
        </w:rPr>
        <w:t>, le règlement concernant les informations électroniques relatives au transport de marchandises (eFTI)(</w:t>
      </w:r>
      <w:r>
        <w:rPr>
          <w:rStyle w:val="FootnoteReference"/>
          <w:rFonts w:ascii="Times New Roman" w:eastAsia="Calibri" w:hAnsi="Times New Roman" w:cs="Times New Roman"/>
          <w:noProof/>
          <w:sz w:val="24"/>
          <w:szCs w:val="24"/>
          <w:lang w:eastAsia="en-US"/>
        </w:rPr>
        <w:footnoteReference w:id="6"/>
      </w:r>
      <w:r>
        <w:rPr>
          <w:rFonts w:ascii="Times New Roman" w:hAnsi="Times New Roman"/>
          <w:noProof/>
          <w:sz w:val="24"/>
        </w:rPr>
        <w:t>), le programme d’action Naiades III(</w:t>
      </w:r>
      <w:r>
        <w:rPr>
          <w:rFonts w:ascii="Times New Roman" w:hAnsi="Times New Roman"/>
          <w:noProof/>
          <w:sz w:val="24"/>
          <w:szCs w:val="24"/>
          <w:vertAlign w:val="superscript"/>
          <w:lang w:eastAsia="de-DE"/>
        </w:rPr>
        <w:footnoteReference w:id="7"/>
      </w:r>
      <w:r>
        <w:rPr>
          <w:rFonts w:ascii="Times New Roman" w:hAnsi="Times New Roman"/>
          <w:noProof/>
          <w:sz w:val="24"/>
        </w:rPr>
        <w:t>) et la directive relative à des services d’information fluviale(</w:t>
      </w:r>
      <w:r>
        <w:rPr>
          <w:rStyle w:val="FootnoteReference"/>
          <w:rFonts w:ascii="Times New Roman" w:eastAsia="Calibri" w:hAnsi="Times New Roman" w:cs="Times New Roman"/>
          <w:noProof/>
          <w:sz w:val="24"/>
          <w:szCs w:val="24"/>
          <w:lang w:eastAsia="en-US"/>
        </w:rPr>
        <w:footnoteReference w:id="8"/>
      </w:r>
      <w:r>
        <w:rPr>
          <w:rFonts w:ascii="Times New Roman" w:hAnsi="Times New Roman"/>
          <w:noProof/>
          <w:sz w:val="24"/>
        </w:rPr>
        <w:t>). Ces actions peuvent nécessiter que la Commission adopte des actes délégués afin d’adapter les statistiques des transports par voies navigables intérieures aux évolutions économiques et techniques conformément à l’article 2, paragraphe 5, du règlement (UE) 2018/974 et pour tenir compte des modifications apportées aux définitions, à la codification et à la nomenclature au niveau de l’UE ou au niveau international.</w:t>
      </w:r>
    </w:p>
    <w:p w14:paraId="61C2E58F" w14:textId="77777777" w:rsidR="00470441" w:rsidRPr="00F23D87" w:rsidRDefault="00470441" w:rsidP="002B5452">
      <w:pPr>
        <w:spacing w:after="0" w:line="276" w:lineRule="auto"/>
        <w:jc w:val="both"/>
        <w:rPr>
          <w:rFonts w:ascii="Times New Roman" w:eastAsia="Calibri" w:hAnsi="Times New Roman" w:cs="Times New Roman"/>
          <w:noProof/>
          <w:sz w:val="24"/>
          <w:szCs w:val="24"/>
          <w:lang w:eastAsia="en-US"/>
        </w:rPr>
      </w:pPr>
    </w:p>
    <w:p w14:paraId="0E5C4881" w14:textId="77777777" w:rsidR="004E0D54" w:rsidRPr="00F23D87" w:rsidRDefault="004E0D54" w:rsidP="004E0D54">
      <w:pPr>
        <w:spacing w:after="240" w:line="276" w:lineRule="auto"/>
        <w:jc w:val="both"/>
        <w:rPr>
          <w:noProof/>
        </w:rPr>
      </w:pPr>
    </w:p>
    <w:p w14:paraId="05563224" w14:textId="77777777" w:rsidR="004E0D54" w:rsidRPr="00F23D87" w:rsidRDefault="004E0D54" w:rsidP="004E0D54">
      <w:pPr>
        <w:spacing w:after="240" w:line="276" w:lineRule="auto"/>
        <w:jc w:val="both"/>
        <w:rPr>
          <w:noProof/>
        </w:rPr>
      </w:pPr>
    </w:p>
    <w:p w14:paraId="56CE482C" w14:textId="77777777" w:rsidR="004E0D54" w:rsidRPr="00F23D87" w:rsidRDefault="004E0D54" w:rsidP="004E0D54">
      <w:pPr>
        <w:spacing w:after="240" w:line="276" w:lineRule="auto"/>
        <w:jc w:val="both"/>
        <w:rPr>
          <w:noProof/>
        </w:rPr>
      </w:pPr>
    </w:p>
    <w:p w14:paraId="42B3A98F" w14:textId="77777777" w:rsidR="004E0D54" w:rsidRPr="00F23D87" w:rsidRDefault="004E0D54" w:rsidP="004E0D54">
      <w:pPr>
        <w:spacing w:after="240" w:line="276" w:lineRule="auto"/>
        <w:jc w:val="both"/>
        <w:rPr>
          <w:noProof/>
        </w:rPr>
      </w:pPr>
    </w:p>
    <w:p w14:paraId="017CAA2B" w14:textId="77777777" w:rsidR="004E0D54" w:rsidRPr="00F23D87" w:rsidRDefault="004E0D54" w:rsidP="004E0D54">
      <w:pPr>
        <w:spacing w:after="240" w:line="276" w:lineRule="auto"/>
        <w:jc w:val="both"/>
        <w:rPr>
          <w:noProof/>
        </w:rPr>
      </w:pPr>
    </w:p>
    <w:p w14:paraId="59FE88F4" w14:textId="77777777" w:rsidR="00FC0857" w:rsidRPr="00F23D87" w:rsidRDefault="00FC0857">
      <w:pPr>
        <w:rPr>
          <w:noProof/>
        </w:rPr>
      </w:pPr>
    </w:p>
    <w:sectPr w:rsidR="00FC0857" w:rsidRPr="00F23D87" w:rsidSect="00B57660">
      <w:headerReference w:type="even" r:id="rId14"/>
      <w:headerReference w:type="default" r:id="rId15"/>
      <w:footerReference w:type="even" r:id="rId16"/>
      <w:footerReference w:type="default" r:id="rId17"/>
      <w:headerReference w:type="first" r:id="rId18"/>
      <w:footerReference w:type="first" r:id="rId19"/>
      <w:pgSz w:w="11906" w:h="16838"/>
      <w:pgMar w:top="993"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CC8ED" w14:textId="77777777" w:rsidR="00A32B6C" w:rsidRPr="00F23D87" w:rsidRDefault="00A32B6C" w:rsidP="004E0D54">
      <w:pPr>
        <w:spacing w:after="0" w:line="240" w:lineRule="auto"/>
      </w:pPr>
      <w:r>
        <w:separator/>
      </w:r>
    </w:p>
  </w:endnote>
  <w:endnote w:type="continuationSeparator" w:id="0">
    <w:p w14:paraId="6F94FFEE" w14:textId="77777777" w:rsidR="00A32B6C" w:rsidRPr="00F23D87" w:rsidRDefault="00A32B6C" w:rsidP="004E0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5C8E" w14:textId="1AE9EF70" w:rsidR="00F320F6" w:rsidRPr="00F320F6" w:rsidRDefault="00F320F6" w:rsidP="00F320F6">
    <w:pPr>
      <w:pStyle w:val="FooterCoverPage"/>
      <w:rPr>
        <w:rFonts w:ascii="Arial" w:hAnsi="Arial" w:cs="Arial"/>
        <w:b/>
        <w:sz w:val="48"/>
      </w:rPr>
    </w:pPr>
    <w:r w:rsidRPr="00F320F6">
      <w:rPr>
        <w:rFonts w:ascii="Arial" w:hAnsi="Arial" w:cs="Arial"/>
        <w:b/>
        <w:sz w:val="48"/>
      </w:rPr>
      <w:t>FR</w:t>
    </w:r>
    <w:r w:rsidRPr="00F320F6">
      <w:rPr>
        <w:rFonts w:ascii="Arial" w:hAnsi="Arial" w:cs="Arial"/>
        <w:b/>
        <w:sz w:val="48"/>
      </w:rPr>
      <w:tab/>
    </w:r>
    <w:r w:rsidRPr="00F320F6">
      <w:rPr>
        <w:rFonts w:ascii="Arial" w:hAnsi="Arial" w:cs="Arial"/>
        <w:b/>
        <w:sz w:val="48"/>
      </w:rPr>
      <w:tab/>
    </w:r>
    <w:r w:rsidRPr="00F320F6">
      <w:tab/>
    </w:r>
    <w:r w:rsidRPr="00F320F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59C47" w14:textId="3383BE10" w:rsidR="00F320F6" w:rsidRPr="00F320F6" w:rsidRDefault="00F320F6" w:rsidP="00F320F6">
    <w:pPr>
      <w:pStyle w:val="FooterCoverPage"/>
      <w:rPr>
        <w:rFonts w:ascii="Arial" w:hAnsi="Arial" w:cs="Arial"/>
        <w:b/>
        <w:sz w:val="48"/>
      </w:rPr>
    </w:pPr>
    <w:r w:rsidRPr="00F320F6">
      <w:rPr>
        <w:rFonts w:ascii="Arial" w:hAnsi="Arial" w:cs="Arial"/>
        <w:b/>
        <w:sz w:val="48"/>
      </w:rPr>
      <w:t>FR</w:t>
    </w:r>
    <w:r w:rsidRPr="00F320F6">
      <w:rPr>
        <w:rFonts w:ascii="Arial" w:hAnsi="Arial" w:cs="Arial"/>
        <w:b/>
        <w:sz w:val="48"/>
      </w:rPr>
      <w:tab/>
    </w:r>
    <w:r w:rsidRPr="00F320F6">
      <w:rPr>
        <w:rFonts w:ascii="Arial" w:hAnsi="Arial" w:cs="Arial"/>
        <w:b/>
        <w:sz w:val="48"/>
      </w:rPr>
      <w:tab/>
    </w:r>
    <w:r w:rsidRPr="00F320F6">
      <w:tab/>
    </w:r>
    <w:r w:rsidRPr="00F320F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4AA54" w14:textId="77777777" w:rsidR="00F320F6" w:rsidRPr="00F320F6" w:rsidRDefault="00F320F6" w:rsidP="00F320F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1ABE1" w14:textId="77777777" w:rsidR="00912476" w:rsidRPr="00F23D87" w:rsidRDefault="009124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6099"/>
      <w:docPartObj>
        <w:docPartGallery w:val="Page Numbers (Bottom of Page)"/>
        <w:docPartUnique/>
      </w:docPartObj>
    </w:sdtPr>
    <w:sdtEndPr>
      <w:rPr>
        <w:rFonts w:ascii="Times New Roman" w:hAnsi="Times New Roman" w:cs="Times New Roman"/>
      </w:rPr>
    </w:sdtEndPr>
    <w:sdtContent>
      <w:p w14:paraId="5625CE37" w14:textId="2ADA84C1" w:rsidR="00912476" w:rsidRPr="00F23D87" w:rsidRDefault="00912476" w:rsidP="003F6EF0">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F320F6">
          <w:rPr>
            <w:rFonts w:ascii="Times New Roman" w:hAnsi="Times New Roman" w:cs="Times New Roman"/>
            <w:noProof/>
          </w:rPr>
          <w:t>3</w:t>
        </w:r>
        <w:r>
          <w:rPr>
            <w:rFonts w:ascii="Times New Roman" w:hAnsi="Times New Roman" w:cs="Times New Roman"/>
          </w:rPr>
          <w:fldChar w:fldCharType="end"/>
        </w:r>
      </w:p>
    </w:sdtContent>
  </w:sdt>
  <w:p w14:paraId="0365031A" w14:textId="77777777" w:rsidR="00912476" w:rsidRPr="00F23D87" w:rsidRDefault="0091247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391494"/>
      <w:docPartObj>
        <w:docPartGallery w:val="Page Numbers (Bottom of Page)"/>
        <w:docPartUnique/>
      </w:docPartObj>
    </w:sdtPr>
    <w:sdtEndPr>
      <w:rPr>
        <w:rFonts w:ascii="Times New Roman" w:hAnsi="Times New Roman" w:cs="Times New Roman"/>
      </w:rPr>
    </w:sdtEndPr>
    <w:sdtContent>
      <w:p w14:paraId="2F18E1F0" w14:textId="59B1BDC4" w:rsidR="00912476" w:rsidRPr="00F23D87" w:rsidRDefault="00912476" w:rsidP="003F6EF0">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F320F6">
          <w:rPr>
            <w:rFonts w:ascii="Times New Roman" w:hAnsi="Times New Roman" w:cs="Times New Roman"/>
            <w:noProof/>
          </w:rPr>
          <w:t>1</w:t>
        </w:r>
        <w:r>
          <w:rPr>
            <w:rFonts w:ascii="Times New Roman" w:hAnsi="Times New Roman" w:cs="Times New Roman"/>
          </w:rPr>
          <w:fldChar w:fldCharType="end"/>
        </w:r>
      </w:p>
    </w:sdtContent>
  </w:sdt>
  <w:p w14:paraId="68A091D9" w14:textId="77777777" w:rsidR="00912476" w:rsidRPr="00F23D87" w:rsidRDefault="00912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2BEAF" w14:textId="77777777" w:rsidR="00A32B6C" w:rsidRPr="00F23D87" w:rsidRDefault="00A32B6C" w:rsidP="004E0D54">
      <w:pPr>
        <w:spacing w:after="0" w:line="240" w:lineRule="auto"/>
      </w:pPr>
      <w:r>
        <w:separator/>
      </w:r>
    </w:p>
  </w:footnote>
  <w:footnote w:type="continuationSeparator" w:id="0">
    <w:p w14:paraId="020131BC" w14:textId="77777777" w:rsidR="00A32B6C" w:rsidRPr="00F23D87" w:rsidRDefault="00A32B6C" w:rsidP="004E0D54">
      <w:pPr>
        <w:spacing w:after="0" w:line="240" w:lineRule="auto"/>
      </w:pPr>
      <w:r>
        <w:continuationSeparator/>
      </w:r>
    </w:p>
  </w:footnote>
  <w:footnote w:id="1">
    <w:p w14:paraId="555EDF4D" w14:textId="42E25188" w:rsidR="004E0D54" w:rsidRPr="00470441" w:rsidRDefault="004E0D54" w:rsidP="00A7524A">
      <w:pPr>
        <w:pStyle w:val="FootnoteText"/>
        <w:spacing w:after="0" w:line="240" w:lineRule="auto"/>
        <w:rPr>
          <w:rStyle w:val="Hyperlink"/>
          <w:rFonts w:ascii="Times New Roman" w:hAnsi="Times New Roman"/>
          <w:color w:val="auto"/>
        </w:rPr>
      </w:pPr>
      <w:r>
        <w:rPr>
          <w:rStyle w:val="FootnoteReference"/>
          <w:rFonts w:cs="Calibri"/>
        </w:rPr>
        <w:footnoteRef/>
      </w:r>
      <w:r>
        <w:rPr>
          <w:rFonts w:ascii="Times New Roman" w:hAnsi="Times New Roman"/>
        </w:rPr>
        <w:t xml:space="preserve">Règlement (UE) 2018/974 du Parlement européen et du Conseil du 4 juillet 2018 relatif aux statistiques des transports de marchandises par voies navigables intérieures (JO L 179 du 16.7.2018, p. 14, ELI: </w:t>
      </w:r>
      <w:hyperlink r:id="rId1" w:history="1">
        <w:r>
          <w:rPr>
            <w:rStyle w:val="Hyperlink"/>
            <w:rFonts w:ascii="Times New Roman" w:hAnsi="Times New Roman"/>
          </w:rPr>
          <w:t>http://data.europa.eu/eli/reg/2018/974/oj</w:t>
        </w:r>
      </w:hyperlink>
      <w:r>
        <w:rPr>
          <w:rFonts w:ascii="Times New Roman" w:hAnsi="Times New Roman"/>
        </w:rPr>
        <w:t>)</w:t>
      </w:r>
      <w:r>
        <w:rPr>
          <w:rStyle w:val="Hyperlink"/>
          <w:rFonts w:ascii="Times New Roman" w:hAnsi="Times New Roman"/>
          <w:color w:val="auto"/>
          <w:u w:val="none"/>
        </w:rPr>
        <w:t>.</w:t>
      </w:r>
    </w:p>
  </w:footnote>
  <w:footnote w:id="2">
    <w:p w14:paraId="33A97FF4" w14:textId="51A3E6A3" w:rsidR="004E0D54" w:rsidRPr="00470441" w:rsidRDefault="004E0D54" w:rsidP="00617205">
      <w:pPr>
        <w:pStyle w:val="FootnoteText"/>
        <w:spacing w:before="60" w:after="0"/>
        <w:rPr>
          <w:rStyle w:val="Hyperlink"/>
          <w:rFonts w:ascii="Times New Roman" w:hAnsi="Times New Roman"/>
          <w:color w:val="auto"/>
        </w:rPr>
      </w:pPr>
      <w:r>
        <w:rPr>
          <w:rStyle w:val="FootnoteReference"/>
          <w:rFonts w:cs="Calibri"/>
        </w:rPr>
        <w:footnoteRef/>
      </w:r>
      <w:r>
        <w:rPr>
          <w:rFonts w:ascii="Times New Roman" w:hAnsi="Times New Roman"/>
        </w:rPr>
        <w:t xml:space="preserve">Accord interinstitutionnel entre le Parlement européen, le Conseil de l’Union européenne et la Commission européenne «Mieux légiférer» (JO L 123 du 12.5.2016, p. 1, ELI: </w:t>
      </w:r>
      <w:hyperlink r:id="rId2" w:history="1">
        <w:r>
          <w:rPr>
            <w:rStyle w:val="Hyperlink"/>
            <w:rFonts w:ascii="Times New Roman" w:hAnsi="Times New Roman"/>
          </w:rPr>
          <w:t>http://data.europa.eu/eli/agree_interinstit/2016/512/oj</w:t>
        </w:r>
      </w:hyperlink>
      <w:r>
        <w:rPr>
          <w:rFonts w:ascii="Times New Roman" w:hAnsi="Times New Roman"/>
        </w:rPr>
        <w:t>).</w:t>
      </w:r>
    </w:p>
  </w:footnote>
  <w:footnote w:id="3">
    <w:p w14:paraId="3E81D4A8" w14:textId="0DFB2F0F" w:rsidR="00846857" w:rsidRPr="00F23D87" w:rsidRDefault="00846857" w:rsidP="00A7524A">
      <w:pPr>
        <w:pStyle w:val="FootnoteText"/>
        <w:spacing w:before="60" w:after="0"/>
        <w:rPr>
          <w:rFonts w:ascii="Times New Roman" w:hAnsi="Times New Roman"/>
        </w:rPr>
      </w:pPr>
      <w:r>
        <w:rPr>
          <w:rStyle w:val="FootnoteReference"/>
          <w:rFonts w:cs="Calibri"/>
        </w:rPr>
        <w:footnoteRef/>
      </w:r>
      <w:r>
        <w:rPr>
          <w:rFonts w:ascii="Times New Roman" w:hAnsi="Times New Roman"/>
        </w:rPr>
        <w:t xml:space="preserve"> Rapport de la Commission au Parlement européen et au Conseil concernant l’exercice du pouvoir d’adopter des actes délégués conféré à la Commission en vertu du règlement (UE) 2018/974 relatif aux statistiques des transports de marchandises par voies navigables intérieures [COM(2021) 117 final, 12.3.2021, </w:t>
      </w:r>
      <w:r>
        <w:t xml:space="preserve"> </w:t>
      </w:r>
      <w:r>
        <w:br/>
      </w:r>
      <w:hyperlink r:id="rId3" w:history="1">
        <w:r>
          <w:rPr>
            <w:rStyle w:val="Hyperlink"/>
            <w:rFonts w:ascii="Times New Roman" w:hAnsi="Times New Roman"/>
          </w:rPr>
          <w:t>https://eur-lex.europa.eu/legal-content/TXT/?uri=CELEX%3A52021DC0117</w:t>
        </w:r>
      </w:hyperlink>
      <w:r>
        <w:rPr>
          <w:rFonts w:ascii="Times New Roman" w:hAnsi="Times New Roman"/>
        </w:rPr>
        <w:t>].</w:t>
      </w:r>
    </w:p>
  </w:footnote>
  <w:footnote w:id="4">
    <w:p w14:paraId="089E6FE3" w14:textId="559DD30E" w:rsidR="004E0D54" w:rsidRPr="00200467" w:rsidRDefault="004E0D54" w:rsidP="00D239AC">
      <w:pPr>
        <w:pStyle w:val="FootnoteText"/>
        <w:spacing w:after="60"/>
        <w:rPr>
          <w:rFonts w:ascii="Times New Roman" w:hAnsi="Times New Roman"/>
          <w:lang w:val="en-US"/>
        </w:rPr>
      </w:pPr>
      <w:r>
        <w:rPr>
          <w:rStyle w:val="FootnoteReference"/>
          <w:rFonts w:cs="Calibri"/>
        </w:rPr>
        <w:footnoteRef/>
      </w:r>
      <w:r w:rsidRPr="00200467">
        <w:rPr>
          <w:rFonts w:ascii="Times New Roman" w:hAnsi="Times New Roman"/>
          <w:lang w:val="en-US"/>
        </w:rPr>
        <w:t xml:space="preserve"> COM(2020) 789 final, 9.12.2020, </w:t>
      </w:r>
      <w:r w:rsidRPr="00200467">
        <w:rPr>
          <w:lang w:val="en-US"/>
        </w:rPr>
        <w:t xml:space="preserve"> </w:t>
      </w:r>
      <w:r w:rsidRPr="00200467">
        <w:rPr>
          <w:lang w:val="en-US"/>
        </w:rPr>
        <w:br/>
      </w:r>
      <w:hyperlink r:id="rId4" w:history="1">
        <w:r w:rsidRPr="00200467">
          <w:rPr>
            <w:rStyle w:val="Hyperlink"/>
            <w:rFonts w:ascii="Times New Roman" w:hAnsi="Times New Roman"/>
            <w:lang w:val="en-US"/>
          </w:rPr>
          <w:t>https://eur-lex.europa.eu/legal-content/TXT/?uri=CELEX%3A52020DC0789</w:t>
        </w:r>
      </w:hyperlink>
      <w:r w:rsidRPr="00200467">
        <w:rPr>
          <w:rFonts w:ascii="Times New Roman" w:hAnsi="Times New Roman"/>
          <w:lang w:val="en-US"/>
        </w:rPr>
        <w:t>.</w:t>
      </w:r>
    </w:p>
  </w:footnote>
  <w:footnote w:id="5">
    <w:p w14:paraId="1C290E88" w14:textId="5CBA78F5" w:rsidR="00137D3A" w:rsidRPr="00F23D87" w:rsidRDefault="00137D3A" w:rsidP="00D239AC">
      <w:pPr>
        <w:pStyle w:val="FootnoteText"/>
        <w:spacing w:after="60"/>
      </w:pPr>
      <w:r>
        <w:rPr>
          <w:rStyle w:val="FootnoteReference"/>
          <w:rFonts w:cs="Calibri"/>
        </w:rPr>
        <w:footnoteRef/>
      </w:r>
      <w:r>
        <w:rPr>
          <w:rStyle w:val="FootnoteReference"/>
          <w:rFonts w:ascii="Times New Roman" w:hAnsi="Times New Roman"/>
        </w:rPr>
        <w:t xml:space="preserve"> </w:t>
      </w:r>
      <w:r>
        <w:rPr>
          <w:rFonts w:ascii="Times New Roman" w:hAnsi="Times New Roman"/>
        </w:rPr>
        <w:t>Règlement (UE) 2024/1679 du Parlement européen et du Conseil du 13 juin 2024 sur les orientations de l’Union pour le développement du réseau transeuropéen de transport, modifiant les règlements (UE) 2021/1153 et (UE) nº 913/2010 et abrogeant le règlement (UE) nº 1315/2013 (JO L, 2024/1679, 28.6.2024, ELI: </w:t>
      </w:r>
      <w:hyperlink r:id="rId5" w:tgtFrame="_blank" w:tooltip="Permet d’accéder à ce document par l’intermédiaire de son URI ELI." w:history="1">
        <w:r>
          <w:rPr>
            <w:rStyle w:val="Hyperlink"/>
            <w:rFonts w:ascii="Times New Roman" w:hAnsi="Times New Roman"/>
          </w:rPr>
          <w:t>http://data.europa.eu/eli/reg/2024/1679/oj</w:t>
        </w:r>
      </w:hyperlink>
      <w:r>
        <w:rPr>
          <w:rFonts w:ascii="Times New Roman" w:hAnsi="Times New Roman"/>
        </w:rPr>
        <w:t>).</w:t>
      </w:r>
    </w:p>
  </w:footnote>
  <w:footnote w:id="6">
    <w:p w14:paraId="2A3B78CD" w14:textId="5842EF16" w:rsidR="00F75149" w:rsidRPr="00F75149" w:rsidRDefault="00F75149" w:rsidP="00D239AC">
      <w:pPr>
        <w:pStyle w:val="FootnoteText"/>
        <w:spacing w:after="60"/>
      </w:pPr>
      <w:r>
        <w:rPr>
          <w:rStyle w:val="FootnoteReference"/>
          <w:rFonts w:cs="Calibri"/>
        </w:rPr>
        <w:footnoteRef/>
      </w:r>
      <w:r>
        <w:t xml:space="preserve"> </w:t>
      </w:r>
      <w:r>
        <w:rPr>
          <w:rFonts w:ascii="Times New Roman" w:hAnsi="Times New Roman"/>
        </w:rPr>
        <w:t>Règlement (UE) 2020/1056 du Parlement européen et du Conseil du 15 juillet 2020 concernant les informations électroniques relatives au transport de marchandises (JO L 249 du 31.7.2020, p. 33, ELI:</w:t>
      </w:r>
      <w:r>
        <w:rPr>
          <w:rStyle w:val="Hyperlink"/>
          <w:rFonts w:ascii="Times New Roman" w:hAnsi="Times New Roman"/>
        </w:rPr>
        <w:t xml:space="preserve"> </w:t>
      </w:r>
      <w:hyperlink r:id="rId6" w:tooltip="Permet d’accéder à ce document par l’intermédiaire de son URI ELI." w:history="1">
        <w:r>
          <w:rPr>
            <w:rStyle w:val="Hyperlink"/>
            <w:rFonts w:ascii="Times New Roman" w:hAnsi="Times New Roman"/>
          </w:rPr>
          <w:t>http://data.europa.eu/eli/reg/2020/1056/oj</w:t>
        </w:r>
      </w:hyperlink>
      <w:r>
        <w:rPr>
          <w:rFonts w:ascii="Times New Roman" w:hAnsi="Times New Roman"/>
          <w:color w:val="0563C1"/>
          <w:u w:val="single"/>
        </w:rPr>
        <w:t>).</w:t>
      </w:r>
    </w:p>
  </w:footnote>
  <w:footnote w:id="7">
    <w:p w14:paraId="5437D0CA" w14:textId="486ACC23" w:rsidR="00674E62" w:rsidRPr="00200467" w:rsidRDefault="00137D3A" w:rsidP="00C871A2">
      <w:pPr>
        <w:pStyle w:val="FootnoteText"/>
        <w:spacing w:after="0"/>
        <w:ind w:left="142" w:hanging="153"/>
        <w:rPr>
          <w:lang w:val="en-US"/>
        </w:rPr>
      </w:pPr>
      <w:r>
        <w:rPr>
          <w:rStyle w:val="FootnoteReference"/>
          <w:rFonts w:cs="Calibri"/>
        </w:rPr>
        <w:footnoteRef/>
      </w:r>
      <w:r w:rsidRPr="00200467">
        <w:rPr>
          <w:rStyle w:val="FootnoteReference"/>
          <w:rFonts w:ascii="Times New Roman" w:hAnsi="Times New Roman"/>
          <w:lang w:val="en-US"/>
        </w:rPr>
        <w:t xml:space="preserve"> </w:t>
      </w:r>
      <w:r w:rsidRPr="00200467">
        <w:rPr>
          <w:rFonts w:ascii="Times New Roman" w:hAnsi="Times New Roman"/>
          <w:lang w:val="en-US"/>
        </w:rPr>
        <w:t>COM(2021) 324 final, 24.6.2021,</w:t>
      </w:r>
    </w:p>
    <w:p w14:paraId="40F6AEE3" w14:textId="698D8BD8" w:rsidR="00137D3A" w:rsidRPr="00200467" w:rsidRDefault="00F320F6" w:rsidP="00D239AC">
      <w:pPr>
        <w:pStyle w:val="FootnoteText"/>
        <w:spacing w:after="60"/>
        <w:ind w:left="142" w:hanging="153"/>
        <w:rPr>
          <w:lang w:val="en-US"/>
        </w:rPr>
      </w:pPr>
      <w:hyperlink r:id="rId7" w:history="1">
        <w:r w:rsidR="00674E62" w:rsidRPr="00200467">
          <w:rPr>
            <w:rStyle w:val="Hyperlink"/>
            <w:rFonts w:ascii="Times New Roman" w:hAnsi="Times New Roman"/>
            <w:lang w:val="en-US"/>
          </w:rPr>
          <w:t>https://eur-lex.europa.eu/legal-content/FR/TXT/?uri=celex%3A52021DC0324</w:t>
        </w:r>
      </w:hyperlink>
      <w:r w:rsidR="00674E62" w:rsidRPr="00200467">
        <w:rPr>
          <w:lang w:val="en-US"/>
        </w:rPr>
        <w:t>.</w:t>
      </w:r>
    </w:p>
  </w:footnote>
  <w:footnote w:id="8">
    <w:p w14:paraId="67CB8C15" w14:textId="0FD4C03B" w:rsidR="00F75149" w:rsidRPr="00D239AC" w:rsidRDefault="00F75149" w:rsidP="00D239AC">
      <w:pPr>
        <w:pStyle w:val="FootnoteText"/>
        <w:spacing w:after="60"/>
        <w:rPr>
          <w:rFonts w:ascii="Times New Roman" w:hAnsi="Times New Roman"/>
        </w:rPr>
      </w:pPr>
      <w:r>
        <w:rPr>
          <w:rStyle w:val="FootnoteReference"/>
          <w:rFonts w:cs="Calibri"/>
        </w:rPr>
        <w:footnoteRef/>
      </w:r>
      <w:r>
        <w:rPr>
          <w:rStyle w:val="FootnoteReference"/>
        </w:rPr>
        <w:t xml:space="preserve"> </w:t>
      </w:r>
      <w:r>
        <w:rPr>
          <w:rFonts w:ascii="Times New Roman" w:hAnsi="Times New Roman"/>
        </w:rPr>
        <w:t>Directive (UE) 2025/2482 du Parlement européen et du Conseil du 26 novembre 2025 modifiant la directive 2005/44/CE relative à des services d’information fluviale (SIF) harmonisés sur les voies navigables communautaires (JO L, 2025/2482, 12.12.2025, ELI: </w:t>
      </w:r>
      <w:hyperlink r:id="rId8" w:tooltip="Permet d’accéder à ce document par l’intermédiaire de son URI ELI." w:history="1">
        <w:r>
          <w:rPr>
            <w:rStyle w:val="Hyperlink"/>
            <w:rFonts w:ascii="Times New Roman" w:hAnsi="Times New Roman"/>
          </w:rPr>
          <w:t>http://data.europa.eu/eli/dir/2025/2482/oj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2A32C" w14:textId="77777777" w:rsidR="00F320F6" w:rsidRPr="00F320F6" w:rsidRDefault="00F320F6" w:rsidP="00F320F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9D187" w14:textId="77777777" w:rsidR="00F320F6" w:rsidRPr="00F320F6" w:rsidRDefault="00F320F6" w:rsidP="00F320F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7C8A6" w14:textId="77777777" w:rsidR="00F320F6" w:rsidRPr="00F320F6" w:rsidRDefault="00F320F6" w:rsidP="00F320F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5FE70" w14:textId="77777777" w:rsidR="00912476" w:rsidRPr="00F23D87" w:rsidRDefault="009124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BB623" w14:textId="77777777" w:rsidR="00912476" w:rsidRPr="00F23D87" w:rsidRDefault="009124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2C9B4" w14:textId="77777777" w:rsidR="00912476" w:rsidRPr="00F23D87" w:rsidRDefault="009124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610C4"/>
    <w:multiLevelType w:val="hybridMultilevel"/>
    <w:tmpl w:val="E1588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412804"/>
    <w:multiLevelType w:val="hybridMultilevel"/>
    <w:tmpl w:val="9906E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2F025F9-1A16-42D7-BC92-C7EE030CEAE3"/>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cernant l\u8217?exercice du pouvoir d\u8217?adopter des actes délégués conféré à la Commission en vertu du règlement (UE) 2018/974 relatif aux statistiques des transports de marchandises par voies navigables intérieures&lt;/FMT&gt;"/>
    <w:docVar w:name="LW_TYPE.DOC.CP" w:val="RAPPORT DE LA COMMISSION AU PARLEMENT EUROPÉEN ET AU CONSEIL"/>
    <w:docVar w:name="LwApiVersions" w:val="LW4CoDe 1.24.5.0; LW 9.2, Build 20251112"/>
  </w:docVars>
  <w:rsids>
    <w:rsidRoot w:val="004E0D54"/>
    <w:rsid w:val="00003B03"/>
    <w:rsid w:val="000057E0"/>
    <w:rsid w:val="00066C98"/>
    <w:rsid w:val="000811B5"/>
    <w:rsid w:val="000A05EE"/>
    <w:rsid w:val="000D109C"/>
    <w:rsid w:val="0011370A"/>
    <w:rsid w:val="00113F82"/>
    <w:rsid w:val="00137A52"/>
    <w:rsid w:val="00137D3A"/>
    <w:rsid w:val="001A06C6"/>
    <w:rsid w:val="001B6C1C"/>
    <w:rsid w:val="001D5A18"/>
    <w:rsid w:val="00200467"/>
    <w:rsid w:val="002114C6"/>
    <w:rsid w:val="002A3225"/>
    <w:rsid w:val="002B5452"/>
    <w:rsid w:val="00305977"/>
    <w:rsid w:val="0030608C"/>
    <w:rsid w:val="0034245C"/>
    <w:rsid w:val="003822BD"/>
    <w:rsid w:val="003A5378"/>
    <w:rsid w:val="003A65D0"/>
    <w:rsid w:val="003C1E2E"/>
    <w:rsid w:val="003D5701"/>
    <w:rsid w:val="00447779"/>
    <w:rsid w:val="00463DB2"/>
    <w:rsid w:val="00470441"/>
    <w:rsid w:val="00474222"/>
    <w:rsid w:val="00485740"/>
    <w:rsid w:val="00494FCA"/>
    <w:rsid w:val="004C7A09"/>
    <w:rsid w:val="004D58A5"/>
    <w:rsid w:val="004E0D54"/>
    <w:rsid w:val="00516740"/>
    <w:rsid w:val="00540AA0"/>
    <w:rsid w:val="005871CC"/>
    <w:rsid w:val="005D017D"/>
    <w:rsid w:val="005F47F8"/>
    <w:rsid w:val="005F5FA6"/>
    <w:rsid w:val="00617205"/>
    <w:rsid w:val="006409B0"/>
    <w:rsid w:val="006561F3"/>
    <w:rsid w:val="00667433"/>
    <w:rsid w:val="00674E62"/>
    <w:rsid w:val="006A4A82"/>
    <w:rsid w:val="00713C21"/>
    <w:rsid w:val="0076771A"/>
    <w:rsid w:val="007719D3"/>
    <w:rsid w:val="007B2011"/>
    <w:rsid w:val="007B2AA1"/>
    <w:rsid w:val="007E65F6"/>
    <w:rsid w:val="0083499C"/>
    <w:rsid w:val="00846857"/>
    <w:rsid w:val="00846BB6"/>
    <w:rsid w:val="00857B0C"/>
    <w:rsid w:val="00861B9C"/>
    <w:rsid w:val="00910939"/>
    <w:rsid w:val="00912476"/>
    <w:rsid w:val="00914436"/>
    <w:rsid w:val="00930026"/>
    <w:rsid w:val="00937731"/>
    <w:rsid w:val="00960AF9"/>
    <w:rsid w:val="009A3941"/>
    <w:rsid w:val="009D63FF"/>
    <w:rsid w:val="009E5D6C"/>
    <w:rsid w:val="009F307C"/>
    <w:rsid w:val="00A07DEE"/>
    <w:rsid w:val="00A22F58"/>
    <w:rsid w:val="00A32B6C"/>
    <w:rsid w:val="00A4336E"/>
    <w:rsid w:val="00A7524A"/>
    <w:rsid w:val="00B00AE1"/>
    <w:rsid w:val="00B5052A"/>
    <w:rsid w:val="00B5491B"/>
    <w:rsid w:val="00B57660"/>
    <w:rsid w:val="00B77B4E"/>
    <w:rsid w:val="00B92AB7"/>
    <w:rsid w:val="00BA2270"/>
    <w:rsid w:val="00C2364B"/>
    <w:rsid w:val="00C30595"/>
    <w:rsid w:val="00C62273"/>
    <w:rsid w:val="00C65544"/>
    <w:rsid w:val="00C73A59"/>
    <w:rsid w:val="00C871A2"/>
    <w:rsid w:val="00C97ED0"/>
    <w:rsid w:val="00CF01E4"/>
    <w:rsid w:val="00D05895"/>
    <w:rsid w:val="00D239AC"/>
    <w:rsid w:val="00D378B0"/>
    <w:rsid w:val="00D424F0"/>
    <w:rsid w:val="00DA2431"/>
    <w:rsid w:val="00DD0F6C"/>
    <w:rsid w:val="00DD601F"/>
    <w:rsid w:val="00E57ED5"/>
    <w:rsid w:val="00E76F10"/>
    <w:rsid w:val="00E83EBC"/>
    <w:rsid w:val="00E94992"/>
    <w:rsid w:val="00EC7006"/>
    <w:rsid w:val="00F23D87"/>
    <w:rsid w:val="00F320F6"/>
    <w:rsid w:val="00F544C5"/>
    <w:rsid w:val="00F55733"/>
    <w:rsid w:val="00F70291"/>
    <w:rsid w:val="00F75149"/>
    <w:rsid w:val="00F80787"/>
    <w:rsid w:val="00FB2783"/>
    <w:rsid w:val="00FC0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C889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D54"/>
    <w:rPr>
      <w:rFonts w:eastAsiaTheme="minorEastAsia"/>
      <w:kern w:val="0"/>
      <w:lang w:eastAsia="ja-JP"/>
      <w14:ligatures w14:val="none"/>
    </w:rPr>
  </w:style>
  <w:style w:type="paragraph" w:styleId="Heading1">
    <w:name w:val="heading 1"/>
    <w:basedOn w:val="Normal"/>
    <w:next w:val="Normal"/>
    <w:link w:val="Heading1Char"/>
    <w:uiPriority w:val="9"/>
    <w:qFormat/>
    <w:rsid w:val="004E0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D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D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D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D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D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D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D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D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D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D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D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D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D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D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D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D54"/>
    <w:rPr>
      <w:rFonts w:eastAsiaTheme="majorEastAsia" w:cstheme="majorBidi"/>
      <w:color w:val="272727" w:themeColor="text1" w:themeTint="D8"/>
    </w:rPr>
  </w:style>
  <w:style w:type="paragraph" w:styleId="Title">
    <w:name w:val="Title"/>
    <w:basedOn w:val="Normal"/>
    <w:next w:val="Normal"/>
    <w:link w:val="TitleChar"/>
    <w:uiPriority w:val="10"/>
    <w:qFormat/>
    <w:rsid w:val="004E0D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D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D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D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D54"/>
    <w:pPr>
      <w:spacing w:before="160"/>
      <w:jc w:val="center"/>
    </w:pPr>
    <w:rPr>
      <w:i/>
      <w:iCs/>
      <w:color w:val="404040" w:themeColor="text1" w:themeTint="BF"/>
    </w:rPr>
  </w:style>
  <w:style w:type="character" w:customStyle="1" w:styleId="QuoteChar">
    <w:name w:val="Quote Char"/>
    <w:basedOn w:val="DefaultParagraphFont"/>
    <w:link w:val="Quote"/>
    <w:uiPriority w:val="29"/>
    <w:rsid w:val="004E0D54"/>
    <w:rPr>
      <w:i/>
      <w:iCs/>
      <w:color w:val="404040" w:themeColor="text1" w:themeTint="BF"/>
    </w:rPr>
  </w:style>
  <w:style w:type="paragraph" w:styleId="ListParagraph">
    <w:name w:val="List Paragraph"/>
    <w:basedOn w:val="Normal"/>
    <w:uiPriority w:val="34"/>
    <w:qFormat/>
    <w:rsid w:val="004E0D54"/>
    <w:pPr>
      <w:ind w:left="720"/>
      <w:contextualSpacing/>
    </w:pPr>
  </w:style>
  <w:style w:type="character" w:styleId="IntenseEmphasis">
    <w:name w:val="Intense Emphasis"/>
    <w:basedOn w:val="DefaultParagraphFont"/>
    <w:uiPriority w:val="21"/>
    <w:qFormat/>
    <w:rsid w:val="004E0D54"/>
    <w:rPr>
      <w:i/>
      <w:iCs/>
      <w:color w:val="0F4761" w:themeColor="accent1" w:themeShade="BF"/>
    </w:rPr>
  </w:style>
  <w:style w:type="paragraph" w:styleId="IntenseQuote">
    <w:name w:val="Intense Quote"/>
    <w:basedOn w:val="Normal"/>
    <w:next w:val="Normal"/>
    <w:link w:val="IntenseQuoteChar"/>
    <w:uiPriority w:val="30"/>
    <w:qFormat/>
    <w:rsid w:val="004E0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D54"/>
    <w:rPr>
      <w:i/>
      <w:iCs/>
      <w:color w:val="0F4761" w:themeColor="accent1" w:themeShade="BF"/>
    </w:rPr>
  </w:style>
  <w:style w:type="character" w:styleId="IntenseReference">
    <w:name w:val="Intense Reference"/>
    <w:basedOn w:val="DefaultParagraphFont"/>
    <w:uiPriority w:val="32"/>
    <w:qFormat/>
    <w:rsid w:val="004E0D54"/>
    <w:rPr>
      <w:b/>
      <w:bCs/>
      <w:smallCaps/>
      <w:color w:val="0F4761" w:themeColor="accent1" w:themeShade="BF"/>
      <w:spacing w:val="5"/>
    </w:rPr>
  </w:style>
  <w:style w:type="paragraph" w:customStyle="1" w:styleId="Pagedecouverture">
    <w:name w:val="Page de couverture"/>
    <w:basedOn w:val="Normal"/>
    <w:next w:val="Normal"/>
    <w:rsid w:val="004E0D54"/>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rsid w:val="004E0D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D54"/>
    <w:rPr>
      <w:rFonts w:eastAsiaTheme="minorEastAsia"/>
      <w:kern w:val="0"/>
      <w:lang w:eastAsia="ja-JP"/>
      <w14:ligatures w14:val="none"/>
    </w:rPr>
  </w:style>
  <w:style w:type="paragraph" w:styleId="Footer">
    <w:name w:val="footer"/>
    <w:basedOn w:val="Normal"/>
    <w:link w:val="FooterChar"/>
    <w:uiPriority w:val="99"/>
    <w:unhideWhenUsed/>
    <w:rsid w:val="004E0D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D54"/>
    <w:rPr>
      <w:rFonts w:eastAsiaTheme="minorEastAsia"/>
      <w:kern w:val="0"/>
      <w:lang w:eastAsia="ja-JP"/>
      <w14:ligatures w14:val="none"/>
    </w:rPr>
  </w:style>
  <w:style w:type="paragraph" w:customStyle="1" w:styleId="FooterCoverPage">
    <w:name w:val="Footer Cover Page"/>
    <w:basedOn w:val="Normal"/>
    <w:link w:val="FooterCoverPageChar"/>
    <w:rsid w:val="004E0D5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E0D54"/>
    <w:rPr>
      <w:rFonts w:ascii="Times New Roman" w:eastAsiaTheme="minorEastAsia" w:hAnsi="Times New Roman" w:cs="Times New Roman"/>
      <w:kern w:val="0"/>
      <w:sz w:val="24"/>
      <w:lang w:eastAsia="ja-JP"/>
      <w14:ligatures w14:val="none"/>
    </w:rPr>
  </w:style>
  <w:style w:type="paragraph" w:styleId="FootnoteText">
    <w:name w:val="footnote text"/>
    <w:basedOn w:val="Normal"/>
    <w:unhideWhenUsed/>
    <w:qFormat/>
    <w:rsid w:val="004E0D54"/>
    <w:pPr>
      <w:spacing w:after="200" w:line="276" w:lineRule="auto"/>
    </w:pPr>
    <w:rPr>
      <w:rFonts w:ascii="Calibri" w:eastAsia="Calibri" w:hAnsi="Calibri" w:cs="Times New Roman"/>
      <w:sz w:val="20"/>
      <w:szCs w:val="20"/>
      <w:lang w:eastAsia="en-US"/>
    </w:rPr>
  </w:style>
  <w:style w:type="character" w:customStyle="1" w:styleId="FootnoteTextChar">
    <w:name w:val="Footnote Text Char"/>
    <w:aliases w:val="Footnote Text Char2 Char,Footnote Text Char1 Char Char,Footnote Text Char2 Char Char Char,Footnote Text Char1 Char Char Char Char,Footnote Text Char2 Char Char Char Char Char,Footnote Text Char Char1 Char Char Char Char Char"/>
    <w:basedOn w:val="DefaultParagraphFont"/>
    <w:qFormat/>
    <w:rsid w:val="004E0D54"/>
    <w:rPr>
      <w:rFonts w:ascii="Calibri" w:eastAsia="Calibri" w:hAnsi="Calibri" w:cs="Times New Roman"/>
      <w:kern w:val="0"/>
      <w:sz w:val="20"/>
      <w:szCs w:val="20"/>
      <w14:ligatures w14:val="none"/>
    </w:rPr>
  </w:style>
  <w:style w:type="character" w:styleId="FootnoteReference">
    <w:name w:val="footnote reference"/>
    <w:aliases w:val=" BVI fnr,BVI fnr, BVI fnr Car Car,BVI fnr Car, BVI fnr Car Car Car Car, BVI fnr Car Car Car Car Char,Footnote symbol,Footnote reference number,Footnote,Times 10 Point,Exposant 3 Point,Ref,de nota al pie,note TESI,SUPERS,EN Footnote te"/>
    <w:link w:val="Char2"/>
    <w:qFormat/>
    <w:rsid w:val="004E0D54"/>
    <w:rPr>
      <w:shd w:val="clear" w:color="auto" w:fill="auto"/>
      <w:vertAlign w:val="superscript"/>
    </w:rPr>
  </w:style>
  <w:style w:type="character" w:styleId="Hyperlink">
    <w:name w:val="Hyperlink"/>
    <w:uiPriority w:val="99"/>
    <w:unhideWhenUsed/>
    <w:rsid w:val="004E0D54"/>
    <w:rPr>
      <w:color w:val="0563C1"/>
      <w:u w:val="single"/>
    </w:rPr>
  </w:style>
  <w:style w:type="character" w:customStyle="1" w:styleId="Marker">
    <w:name w:val="Marker"/>
    <w:basedOn w:val="DefaultParagraphFont"/>
    <w:rsid w:val="004E0D54"/>
    <w:rPr>
      <w:color w:val="0000FF"/>
      <w:shd w:val="clear" w:color="auto" w:fill="auto"/>
    </w:rPr>
  </w:style>
  <w:style w:type="paragraph" w:customStyle="1" w:styleId="FooterSensitivity">
    <w:name w:val="Footer Sensitivity"/>
    <w:basedOn w:val="Normal"/>
    <w:link w:val="FooterSensitivityChar"/>
    <w:rsid w:val="004E0D5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E0D54"/>
    <w:rPr>
      <w:rFonts w:ascii="Times New Roman" w:eastAsiaTheme="minorEastAsia" w:hAnsi="Times New Roman" w:cs="Times New Roman"/>
      <w:b/>
      <w:kern w:val="0"/>
      <w:sz w:val="32"/>
      <w:lang w:eastAsia="ja-JP"/>
      <w14:ligatures w14:val="none"/>
    </w:rPr>
  </w:style>
  <w:style w:type="paragraph" w:customStyle="1" w:styleId="HeaderCoverPage">
    <w:name w:val="Header Cover Page"/>
    <w:basedOn w:val="Normal"/>
    <w:link w:val="HeaderCoverPageChar"/>
    <w:rsid w:val="004E0D5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E0D54"/>
    <w:rPr>
      <w:rFonts w:ascii="Times New Roman" w:eastAsiaTheme="minorEastAsia" w:hAnsi="Times New Roman" w:cs="Times New Roman"/>
      <w:kern w:val="0"/>
      <w:sz w:val="24"/>
      <w:lang w:eastAsia="ja-JP"/>
      <w14:ligatures w14:val="none"/>
    </w:rPr>
  </w:style>
  <w:style w:type="paragraph" w:customStyle="1" w:styleId="HeaderSensitivity">
    <w:name w:val="Header Sensitivity"/>
    <w:basedOn w:val="Normal"/>
    <w:link w:val="HeaderSensitivityChar"/>
    <w:rsid w:val="004E0D5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E0D54"/>
    <w:rPr>
      <w:rFonts w:ascii="Times New Roman" w:eastAsiaTheme="minorEastAsia" w:hAnsi="Times New Roman" w:cs="Times New Roman"/>
      <w:b/>
      <w:kern w:val="0"/>
      <w:sz w:val="32"/>
      <w:lang w:eastAsia="ja-JP"/>
      <w14:ligatures w14:val="none"/>
    </w:rPr>
  </w:style>
  <w:style w:type="paragraph" w:customStyle="1" w:styleId="HeaderSensitivityRight">
    <w:name w:val="Header Sensitivity Right"/>
    <w:basedOn w:val="Normal"/>
    <w:link w:val="HeaderSensitivityRightChar"/>
    <w:rsid w:val="004E0D5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E0D54"/>
    <w:rPr>
      <w:rFonts w:ascii="Times New Roman" w:eastAsiaTheme="minorEastAsia" w:hAnsi="Times New Roman" w:cs="Times New Roman"/>
      <w:kern w:val="0"/>
      <w:sz w:val="28"/>
      <w:lang w:eastAsia="ja-JP"/>
      <w14:ligatures w14:val="none"/>
    </w:rPr>
  </w:style>
  <w:style w:type="character" w:styleId="CommentReference">
    <w:name w:val="annotation reference"/>
    <w:basedOn w:val="DefaultParagraphFont"/>
    <w:uiPriority w:val="99"/>
    <w:semiHidden/>
    <w:unhideWhenUsed/>
    <w:rsid w:val="00137A52"/>
    <w:rPr>
      <w:sz w:val="16"/>
      <w:szCs w:val="16"/>
    </w:rPr>
  </w:style>
  <w:style w:type="paragraph" w:styleId="CommentText">
    <w:name w:val="annotation text"/>
    <w:basedOn w:val="Normal"/>
    <w:link w:val="CommentTextChar"/>
    <w:uiPriority w:val="99"/>
    <w:unhideWhenUsed/>
    <w:rsid w:val="00137A52"/>
    <w:pPr>
      <w:spacing w:line="240" w:lineRule="auto"/>
    </w:pPr>
    <w:rPr>
      <w:sz w:val="20"/>
      <w:szCs w:val="20"/>
    </w:rPr>
  </w:style>
  <w:style w:type="character" w:customStyle="1" w:styleId="CommentTextChar">
    <w:name w:val="Comment Text Char"/>
    <w:basedOn w:val="DefaultParagraphFont"/>
    <w:link w:val="CommentText"/>
    <w:uiPriority w:val="99"/>
    <w:rsid w:val="00137A52"/>
    <w:rPr>
      <w:rFonts w:eastAsiaTheme="minorEastAsia"/>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137A52"/>
    <w:rPr>
      <w:b/>
      <w:bCs/>
    </w:rPr>
  </w:style>
  <w:style w:type="character" w:customStyle="1" w:styleId="CommentSubjectChar">
    <w:name w:val="Comment Subject Char"/>
    <w:basedOn w:val="CommentTextChar"/>
    <w:link w:val="CommentSubject"/>
    <w:uiPriority w:val="99"/>
    <w:semiHidden/>
    <w:rsid w:val="00137A52"/>
    <w:rPr>
      <w:rFonts w:eastAsiaTheme="minorEastAsia"/>
      <w:b/>
      <w:bCs/>
      <w:kern w:val="0"/>
      <w:sz w:val="20"/>
      <w:szCs w:val="20"/>
      <w:lang w:eastAsia="ja-JP"/>
      <w14:ligatures w14:val="none"/>
    </w:rPr>
  </w:style>
  <w:style w:type="paragraph" w:styleId="Revision">
    <w:name w:val="Revision"/>
    <w:hidden/>
    <w:uiPriority w:val="99"/>
    <w:semiHidden/>
    <w:rsid w:val="00137A52"/>
    <w:pPr>
      <w:spacing w:after="0" w:line="240" w:lineRule="auto"/>
    </w:pPr>
    <w:rPr>
      <w:rFonts w:eastAsiaTheme="minorEastAsia"/>
      <w:kern w:val="0"/>
      <w:lang w:eastAsia="ja-JP"/>
      <w14:ligatures w14:val="none"/>
    </w:rPr>
  </w:style>
  <w:style w:type="character" w:customStyle="1" w:styleId="UnresolvedMention">
    <w:name w:val="Unresolved Mention"/>
    <w:basedOn w:val="DefaultParagraphFont"/>
    <w:uiPriority w:val="99"/>
    <w:semiHidden/>
    <w:unhideWhenUsed/>
    <w:rsid w:val="00C30595"/>
    <w:rPr>
      <w:color w:val="605E5C"/>
      <w:shd w:val="clear" w:color="auto" w:fill="E1DFDD"/>
    </w:rPr>
  </w:style>
  <w:style w:type="character" w:styleId="FollowedHyperlink">
    <w:name w:val="FollowedHyperlink"/>
    <w:basedOn w:val="DefaultParagraphFont"/>
    <w:uiPriority w:val="99"/>
    <w:semiHidden/>
    <w:unhideWhenUsed/>
    <w:rsid w:val="00C62273"/>
    <w:rPr>
      <w:color w:val="96607D" w:themeColor="followedHyperlink"/>
      <w:u w:val="single"/>
    </w:rPr>
  </w:style>
  <w:style w:type="paragraph" w:customStyle="1" w:styleId="Char2">
    <w:name w:val="Char2"/>
    <w:basedOn w:val="Normal"/>
    <w:link w:val="FootnoteReference"/>
    <w:uiPriority w:val="99"/>
    <w:rsid w:val="00137D3A"/>
    <w:pPr>
      <w:spacing w:line="240" w:lineRule="exact"/>
    </w:pPr>
    <w:rPr>
      <w:rFonts w:eastAsiaTheme="minorHAnsi"/>
      <w:kern w:val="2"/>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05862">
      <w:bodyDiv w:val="1"/>
      <w:marLeft w:val="0"/>
      <w:marRight w:val="0"/>
      <w:marTop w:val="0"/>
      <w:marBottom w:val="0"/>
      <w:divBdr>
        <w:top w:val="none" w:sz="0" w:space="0" w:color="auto"/>
        <w:left w:val="none" w:sz="0" w:space="0" w:color="auto"/>
        <w:bottom w:val="none" w:sz="0" w:space="0" w:color="auto"/>
        <w:right w:val="none" w:sz="0" w:space="0" w:color="auto"/>
      </w:divBdr>
    </w:div>
    <w:div w:id="15451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5/2482/oj" TargetMode="External"/><Relationship Id="rId3" Type="http://schemas.openxmlformats.org/officeDocument/2006/relationships/hyperlink" Target="https://eur-lex.europa.eu/legal-content/TXT/?uri=CELEX%3A52021DC0117" TargetMode="External"/><Relationship Id="rId7" Type="http://schemas.openxmlformats.org/officeDocument/2006/relationships/hyperlink" Target="https://eur-lex.europa.eu/legal-content/FR/TXT/?uri=celex%3A52021DC0324"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data.europa.eu/eli/reg/2018/974/oj" TargetMode="External"/><Relationship Id="rId6" Type="http://schemas.openxmlformats.org/officeDocument/2006/relationships/hyperlink" Target="http://data.europa.eu/eli/reg/2020/1056/oj" TargetMode="External"/><Relationship Id="rId5" Type="http://schemas.openxmlformats.org/officeDocument/2006/relationships/hyperlink" Target="http://data.europa.eu/eli/reg/2024/1679/oj" TargetMode="External"/><Relationship Id="rId4" Type="http://schemas.openxmlformats.org/officeDocument/2006/relationships/hyperlink" Target="https://eur-lex.europa.eu/legal-content/TXT/?uri=CELEX%3A52020DC0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2026-04-09T07:31:00Z</dcterms:created>
  <dcterms:modified xsi:type="dcterms:W3CDTF">2026-05-21T07:38:00Z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2026-03-27T09:14:19Z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83f84116-7a31-4e26-a556-e71895e01b1f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