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C2050" w14:textId="735D57D5" w:rsidR="004E0D54" w:rsidRPr="00EB1143" w:rsidRDefault="00600801" w:rsidP="00600801">
      <w:pPr>
        <w:pStyle w:val="Pagedecouverture"/>
        <w:rPr>
          <w:noProof/>
        </w:rPr>
      </w:pPr>
      <w:bookmarkStart w:id="0" w:name="LW_BM_COVERPAGE"/>
      <w:r>
        <w:rPr>
          <w:noProof/>
        </w:rPr>
        <w:pict w14:anchorId="44D6E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166BDD-E04A-46A8-873E-F1EB2AF421F3" style="width:455.25pt;height:300pt">
            <v:imagedata r:id="rId7" o:title=""/>
          </v:shape>
        </w:pict>
      </w:r>
    </w:p>
    <w:bookmarkEnd w:id="0"/>
    <w:p w14:paraId="5F404453" w14:textId="77777777" w:rsidR="004E0D54" w:rsidRPr="00EB1143" w:rsidRDefault="004E0D54" w:rsidP="004E0D54">
      <w:pPr>
        <w:rPr>
          <w:noProof/>
        </w:rPr>
        <w:sectPr w:rsidR="004E0D54" w:rsidRPr="00EB1143" w:rsidSect="0060080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3F8A04E3" w14:textId="77777777" w:rsidR="004E0D54" w:rsidRPr="00EB1143" w:rsidRDefault="004E0D54" w:rsidP="004E0D54">
      <w:pPr>
        <w:spacing w:before="480" w:after="240" w:line="240" w:lineRule="auto"/>
        <w:jc w:val="center"/>
        <w:rPr>
          <w:rFonts w:ascii="Times New Roman" w:eastAsia="Calibri" w:hAnsi="Times New Roman" w:cs="Times New Roman"/>
          <w:b/>
          <w:noProof/>
          <w:sz w:val="24"/>
          <w:szCs w:val="24"/>
        </w:rPr>
      </w:pPr>
      <w:bookmarkStart w:id="1" w:name="_GoBack"/>
      <w:bookmarkEnd w:id="1"/>
      <w:r w:rsidRPr="00EB1143">
        <w:rPr>
          <w:rFonts w:ascii="Times New Roman" w:hAnsi="Times New Roman"/>
          <w:b/>
          <w:noProof/>
          <w:sz w:val="24"/>
        </w:rPr>
        <w:lastRenderedPageBreak/>
        <w:t>RAPORT AL COMISIEI CĂTRE PARLAMENTUL EUROPEAN ȘI CONSILIU</w:t>
      </w:r>
    </w:p>
    <w:p w14:paraId="2CEA3F0C" w14:textId="0536763E" w:rsidR="004E0D54" w:rsidRPr="00EB1143" w:rsidRDefault="004E0D54" w:rsidP="00B57660">
      <w:pPr>
        <w:spacing w:after="0" w:line="276" w:lineRule="auto"/>
        <w:jc w:val="center"/>
        <w:rPr>
          <w:rFonts w:ascii="Times New Roman" w:eastAsia="Calibri" w:hAnsi="Times New Roman" w:cs="Times New Roman"/>
          <w:b/>
          <w:noProof/>
          <w:sz w:val="24"/>
          <w:szCs w:val="24"/>
        </w:rPr>
      </w:pPr>
      <w:r w:rsidRPr="00EB1143">
        <w:rPr>
          <w:rFonts w:ascii="Times New Roman" w:hAnsi="Times New Roman"/>
          <w:b/>
          <w:noProof/>
          <w:sz w:val="24"/>
        </w:rPr>
        <w:t>privind exercitarea competenței de a adopta acte delegate conferită Comisiei în temeiul Regulamentului (UE) 2018/974 privind statistica transportului de mărfuri pe căi navigabile interioare</w:t>
      </w:r>
    </w:p>
    <w:p w14:paraId="31818D3F" w14:textId="77777777" w:rsidR="004E0D54" w:rsidRPr="00EB1143"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sidRPr="00EB1143">
        <w:rPr>
          <w:rFonts w:ascii="Times New Roman" w:hAnsi="Times New Roman"/>
          <w:b/>
          <w:noProof/>
          <w:sz w:val="24"/>
        </w:rPr>
        <w:t>INTRODUCERE</w:t>
      </w:r>
    </w:p>
    <w:p w14:paraId="52147437" w14:textId="1D4475BB" w:rsidR="004E0D54" w:rsidRPr="00EB1143" w:rsidRDefault="004E0D54" w:rsidP="004E0D54">
      <w:pPr>
        <w:spacing w:after="120" w:line="276" w:lineRule="auto"/>
        <w:jc w:val="both"/>
        <w:rPr>
          <w:rFonts w:ascii="Times New Roman" w:eastAsia="Calibri" w:hAnsi="Times New Roman" w:cs="Times New Roman"/>
          <w:noProof/>
          <w:sz w:val="24"/>
          <w:szCs w:val="24"/>
        </w:rPr>
      </w:pPr>
      <w:r w:rsidRPr="00EB1143">
        <w:rPr>
          <w:rFonts w:ascii="Times New Roman" w:hAnsi="Times New Roman"/>
          <w:noProof/>
          <w:sz w:val="24"/>
        </w:rPr>
        <w:t>Regulamentul (UE) 2018/974 al Parlamentului European și al Consiliului</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eastAsia="Calibri" w:hAnsi="Times New Roman" w:cs="Times New Roman"/>
          <w:noProof/>
          <w:sz w:val="24"/>
          <w:szCs w:val="24"/>
          <w:lang w:eastAsia="en-US"/>
        </w:rPr>
        <w:footnoteReference w:id="1"/>
      </w:r>
      <w:r w:rsidRPr="00EB1143">
        <w:rPr>
          <w:rFonts w:ascii="Times New Roman" w:hAnsi="Times New Roman"/>
          <w:noProof/>
          <w:sz w:val="24"/>
        </w:rPr>
        <w:t>) împuternicește Comisia să adopte acte delegate în temeiul articolului 10 din regulamentul susmenționat în următoarele scopuri:</w:t>
      </w:r>
    </w:p>
    <w:p w14:paraId="75BB4302" w14:textId="704738C0" w:rsidR="004E0D54" w:rsidRPr="00EB1143"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rPr>
      </w:pPr>
      <w:r w:rsidRPr="00EB1143">
        <w:rPr>
          <w:rFonts w:ascii="Times New Roman" w:hAnsi="Times New Roman"/>
          <w:noProof/>
          <w:sz w:val="24"/>
        </w:rPr>
        <w:t>ridicarea pragului de acoperire statistică a transportului de mărfuri pe căi navigabile interioare, pentru a lua în considerare tendințele economice și tehnice [a se vedea articolul 2 alineatul (5)];</w:t>
      </w:r>
    </w:p>
    <w:p w14:paraId="2C06AC8C" w14:textId="77591974" w:rsidR="004E0D54" w:rsidRPr="00EB1143" w:rsidRDefault="004E0D54" w:rsidP="004E0D54">
      <w:pPr>
        <w:numPr>
          <w:ilvl w:val="0"/>
          <w:numId w:val="2"/>
        </w:numPr>
        <w:spacing w:before="120" w:after="120" w:line="276" w:lineRule="auto"/>
        <w:ind w:left="681" w:hanging="397"/>
        <w:jc w:val="both"/>
        <w:rPr>
          <w:rFonts w:ascii="Times New Roman" w:eastAsia="Calibri" w:hAnsi="Times New Roman" w:cs="Times New Roman"/>
          <w:noProof/>
          <w:sz w:val="24"/>
          <w:szCs w:val="24"/>
        </w:rPr>
      </w:pPr>
      <w:r w:rsidRPr="00EB1143">
        <w:rPr>
          <w:rFonts w:ascii="Times New Roman" w:hAnsi="Times New Roman"/>
          <w:noProof/>
          <w:sz w:val="24"/>
        </w:rPr>
        <w:t>adaptarea definițiilor existente sau adoptarea unor definiții noi, pentru a lua în considerare definițiile relevante modificate sau adoptate la nivel internațional (a se vedea articolul 3);</w:t>
      </w:r>
    </w:p>
    <w:p w14:paraId="1716446A" w14:textId="1A7843F6" w:rsidR="004E0D54" w:rsidRPr="00EB1143" w:rsidRDefault="004E0D54" w:rsidP="004E0D54">
      <w:pPr>
        <w:numPr>
          <w:ilvl w:val="0"/>
          <w:numId w:val="2"/>
        </w:numPr>
        <w:spacing w:before="120" w:after="240" w:line="276" w:lineRule="auto"/>
        <w:ind w:left="681" w:hanging="397"/>
        <w:jc w:val="both"/>
        <w:rPr>
          <w:rFonts w:ascii="Times New Roman" w:eastAsia="Calibri" w:hAnsi="Times New Roman" w:cs="Times New Roman"/>
          <w:noProof/>
          <w:sz w:val="24"/>
          <w:szCs w:val="24"/>
        </w:rPr>
      </w:pPr>
      <w:r w:rsidRPr="00EB1143">
        <w:rPr>
          <w:rFonts w:ascii="Times New Roman" w:hAnsi="Times New Roman"/>
          <w:noProof/>
          <w:sz w:val="24"/>
        </w:rPr>
        <w:t>reflectarea modificărilor aduse codificării și nomenclatorului la nivel internațional sau în actele legislative relevante ale UE [a se vedea articolul 4 alineatul (4)].</w:t>
      </w:r>
    </w:p>
    <w:p w14:paraId="4C4B49E8" w14:textId="44A7DB68" w:rsidR="004E0D54" w:rsidRPr="00EB1143" w:rsidRDefault="004E0D54" w:rsidP="004E0D54">
      <w:pPr>
        <w:spacing w:after="240" w:line="276" w:lineRule="auto"/>
        <w:jc w:val="both"/>
        <w:rPr>
          <w:rFonts w:ascii="Times New Roman" w:eastAsia="Calibri" w:hAnsi="Times New Roman" w:cs="Times New Roman"/>
          <w:noProof/>
          <w:sz w:val="24"/>
          <w:szCs w:val="24"/>
        </w:rPr>
      </w:pPr>
      <w:r w:rsidRPr="00EB1143">
        <w:rPr>
          <w:rFonts w:ascii="Times New Roman" w:hAnsi="Times New Roman"/>
          <w:noProof/>
          <w:sz w:val="24"/>
        </w:rPr>
        <w:t>Conform articolului 2 alineatul (5), articolului 3 și articolului 4 alineatul (4), în exercitarea acestei competențe, Comisia trebuie să se asigure că actele delegate nu impun o sarcină suplimentară considerabilă pentru statele membre sau pentru respondenți. În plus, Comisia trebuie să justifice acțiunile prevăzute în actele delegate respective, utilizând, după caz, o analiză a raportului cost-eficacitate care evaluează sarcina respondenților și costurile de producție.</w:t>
      </w:r>
    </w:p>
    <w:p w14:paraId="7F5F3A58" w14:textId="54C0BCD7" w:rsidR="004E0D54" w:rsidRPr="00EB1143" w:rsidRDefault="004E0D54" w:rsidP="00B57660">
      <w:pPr>
        <w:spacing w:after="0" w:line="276" w:lineRule="auto"/>
        <w:jc w:val="both"/>
        <w:rPr>
          <w:rFonts w:ascii="Times New Roman" w:eastAsia="Calibri" w:hAnsi="Times New Roman" w:cs="Times New Roman"/>
          <w:noProof/>
          <w:sz w:val="24"/>
          <w:szCs w:val="24"/>
        </w:rPr>
      </w:pPr>
      <w:r w:rsidRPr="00EB1143">
        <w:rPr>
          <w:rFonts w:ascii="Times New Roman" w:hAnsi="Times New Roman"/>
          <w:noProof/>
          <w:sz w:val="24"/>
        </w:rPr>
        <w:t>Astfel cum se precizează la articolul 10 alineatul (4), înainte de adoptarea unui act delegat, Comisia trebuie să consulte experții desemnați de fiecare stat membru în conformitate cu principiile prevăzute în Acordul interinstituțional din 13 aprilie 2016 privind o mai bună legiferare</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eastAsia="Calibri" w:hAnsi="Times New Roman" w:cs="Times New Roman"/>
          <w:noProof/>
          <w:sz w:val="24"/>
          <w:szCs w:val="24"/>
          <w:lang w:eastAsia="en-US"/>
        </w:rPr>
        <w:footnoteReference w:id="2"/>
      </w:r>
      <w:r w:rsidRPr="00EB1143">
        <w:rPr>
          <w:rFonts w:ascii="Times New Roman" w:hAnsi="Times New Roman"/>
          <w:noProof/>
          <w:sz w:val="24"/>
        </w:rPr>
        <w:t>).</w:t>
      </w:r>
    </w:p>
    <w:p w14:paraId="034E45D9" w14:textId="77777777" w:rsidR="004E0D54" w:rsidRPr="00EB1143"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sidRPr="00EB1143">
        <w:rPr>
          <w:rFonts w:ascii="Times New Roman" w:hAnsi="Times New Roman"/>
          <w:b/>
          <w:noProof/>
          <w:sz w:val="24"/>
        </w:rPr>
        <w:t>TEMEIUL JURIDIC</w:t>
      </w:r>
    </w:p>
    <w:p w14:paraId="6CDA3D51" w14:textId="482F9C50" w:rsidR="004E0D54" w:rsidRPr="00EB1143" w:rsidRDefault="004E0D54" w:rsidP="00463DB2">
      <w:pPr>
        <w:spacing w:after="0" w:line="276" w:lineRule="auto"/>
        <w:jc w:val="both"/>
        <w:rPr>
          <w:rFonts w:ascii="Times New Roman" w:eastAsia="Calibri" w:hAnsi="Times New Roman" w:cs="Times New Roman"/>
          <w:noProof/>
          <w:sz w:val="24"/>
          <w:szCs w:val="24"/>
        </w:rPr>
      </w:pPr>
      <w:r w:rsidRPr="00EB1143">
        <w:rPr>
          <w:rFonts w:ascii="Times New Roman" w:hAnsi="Times New Roman"/>
          <w:noProof/>
          <w:sz w:val="24"/>
        </w:rPr>
        <w:t>Prezentul raport este obligatoriu în temeiul Regulamentului (UE) 2018/974, care precizează, la articolul 10 alineatul (2), că se conferă Comisiei competența de a adopta acte delegate pentru o perioadă de cinci ani de la data de 7 decembrie 2016. Cel târziu cu nouă luni înainte de încheierea perioadei de cinci ani, Comisia are obligația să elaboreze un raport privind delegarea de competențe. Comisia a prezentat un prim raport în 2021</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eastAsia="Calibri" w:hAnsi="Times New Roman" w:cs="Times New Roman"/>
          <w:noProof/>
          <w:sz w:val="24"/>
          <w:szCs w:val="24"/>
          <w:lang w:eastAsia="en-US"/>
        </w:rPr>
        <w:footnoteReference w:id="3"/>
      </w:r>
      <w:r w:rsidRPr="00EB1143">
        <w:rPr>
          <w:rFonts w:ascii="Times New Roman" w:hAnsi="Times New Roman"/>
          <w:noProof/>
          <w:sz w:val="24"/>
        </w:rPr>
        <w:t>). Acesta este cel de-al doilea raport.</w:t>
      </w:r>
    </w:p>
    <w:p w14:paraId="0B6F4212" w14:textId="77777777" w:rsidR="004E0D54" w:rsidRPr="00EB1143" w:rsidRDefault="004E0D54" w:rsidP="004E0D54">
      <w:pPr>
        <w:numPr>
          <w:ilvl w:val="0"/>
          <w:numId w:val="1"/>
        </w:numPr>
        <w:spacing w:before="480" w:after="240" w:line="276" w:lineRule="auto"/>
        <w:ind w:left="680" w:hanging="680"/>
        <w:jc w:val="both"/>
        <w:rPr>
          <w:rFonts w:ascii="Times New Roman" w:eastAsia="Calibri" w:hAnsi="Times New Roman" w:cs="Times New Roman"/>
          <w:b/>
          <w:noProof/>
          <w:sz w:val="24"/>
          <w:szCs w:val="24"/>
        </w:rPr>
      </w:pPr>
      <w:r w:rsidRPr="00EB1143">
        <w:rPr>
          <w:rFonts w:ascii="Times New Roman" w:hAnsi="Times New Roman"/>
          <w:b/>
          <w:noProof/>
          <w:sz w:val="24"/>
        </w:rPr>
        <w:t>EXERCITAREA DELEGĂRII</w:t>
      </w:r>
    </w:p>
    <w:p w14:paraId="46465779" w14:textId="77777777" w:rsidR="004E0D54" w:rsidRPr="00EB1143" w:rsidRDefault="004E0D54" w:rsidP="004E0D54">
      <w:pPr>
        <w:spacing w:after="240"/>
        <w:jc w:val="both"/>
        <w:rPr>
          <w:noProof/>
        </w:rPr>
      </w:pPr>
      <w:r w:rsidRPr="00EB1143">
        <w:rPr>
          <w:rFonts w:ascii="Times New Roman" w:hAnsi="Times New Roman"/>
          <w:noProof/>
          <w:sz w:val="24"/>
        </w:rPr>
        <w:t>Până în acest moment, Comisia nu și-a exercitat competența de a adopta acte delegate, conferită prin Regulamentul (UE) 2018/974.</w:t>
      </w:r>
    </w:p>
    <w:p w14:paraId="139699DF" w14:textId="7D164105" w:rsidR="004E0D54" w:rsidRPr="00EB1143" w:rsidRDefault="004E0D54" w:rsidP="004E0D54">
      <w:pPr>
        <w:spacing w:after="240"/>
        <w:jc w:val="both"/>
        <w:rPr>
          <w:rFonts w:ascii="Times New Roman" w:hAnsi="Times New Roman"/>
          <w:noProof/>
          <w:sz w:val="24"/>
        </w:rPr>
      </w:pPr>
      <w:r w:rsidRPr="00EB1143">
        <w:rPr>
          <w:rFonts w:ascii="Times New Roman" w:hAnsi="Times New Roman"/>
          <w:noProof/>
          <w:sz w:val="24"/>
        </w:rPr>
        <w:t>Comisia discută periodic cu Grupul de experți pentru statisticile privind transportul pe căile navigabile interioare și cu Grupul de coordonare pentru statisticile privind transporturile în legătură posibilele îmbunătățiri ale statisticilor privind transportul de mărfuri pe căile navigabile interioare. Aceste discuții iau totodată în considerare posibilele costuri și sarcini pentru țări și respondenți.</w:t>
      </w:r>
    </w:p>
    <w:p w14:paraId="3C771330" w14:textId="4519FAAB" w:rsidR="00470441" w:rsidRPr="00EB1143" w:rsidRDefault="00470441" w:rsidP="00470441">
      <w:pPr>
        <w:spacing w:after="0" w:line="276" w:lineRule="auto"/>
        <w:jc w:val="both"/>
        <w:rPr>
          <w:rFonts w:ascii="Times New Roman" w:eastAsia="Calibri" w:hAnsi="Times New Roman" w:cs="Times New Roman"/>
          <w:noProof/>
          <w:sz w:val="24"/>
          <w:szCs w:val="24"/>
        </w:rPr>
      </w:pPr>
      <w:r w:rsidRPr="00EB1143">
        <w:rPr>
          <w:rFonts w:ascii="Times New Roman" w:hAnsi="Times New Roman"/>
          <w:noProof/>
          <w:sz w:val="24"/>
        </w:rPr>
        <w:t>Statisticile sunt necesare pentru a monitoriza punerea în aplicare a Strategiei pentru o mobilitate durabilă și inteligentă (obiectivele pentru perioada 2020-2050)</w:t>
      </w:r>
      <w:r w:rsidR="00F171DB" w:rsidRPr="00EB1143">
        <w:rPr>
          <w:rFonts w:ascii="Times New Roman" w:hAnsi="Times New Roman"/>
          <w:noProof/>
          <w:sz w:val="24"/>
        </w:rPr>
        <w:t> </w:t>
      </w:r>
      <w:r w:rsidRPr="00EB1143">
        <w:rPr>
          <w:rFonts w:ascii="Times New Roman" w:hAnsi="Times New Roman"/>
          <w:noProof/>
          <w:sz w:val="24"/>
        </w:rPr>
        <w:t>(</w:t>
      </w:r>
      <w:r w:rsidRPr="00EB1143">
        <w:rPr>
          <w:rFonts w:ascii="Times New Roman" w:hAnsi="Times New Roman"/>
          <w:noProof/>
          <w:sz w:val="24"/>
          <w:szCs w:val="24"/>
          <w:vertAlign w:val="superscript"/>
          <w:lang w:eastAsia="de-DE"/>
        </w:rPr>
        <w:footnoteReference w:id="4"/>
      </w:r>
      <w:r w:rsidRPr="00EB1143">
        <w:rPr>
          <w:rFonts w:ascii="Times New Roman" w:hAnsi="Times New Roman"/>
          <w:noProof/>
          <w:sz w:val="24"/>
        </w:rPr>
        <w:t xml:space="preserve">) </w:t>
      </w:r>
      <w:bookmarkStart w:id="2" w:name="_Hlk221880333"/>
      <w:r w:rsidRPr="00EB1143">
        <w:rPr>
          <w:rFonts w:ascii="Times New Roman" w:hAnsi="Times New Roman"/>
          <w:noProof/>
          <w:sz w:val="24"/>
        </w:rPr>
        <w:t>și a unor acțiuni complementare</w:t>
      </w:r>
      <w:bookmarkEnd w:id="2"/>
      <w:r w:rsidRPr="00EB1143">
        <w:rPr>
          <w:rFonts w:ascii="Times New Roman" w:hAnsi="Times New Roman"/>
          <w:noProof/>
          <w:sz w:val="24"/>
        </w:rPr>
        <w:t>, cum ar fi politica UE privind rețeaua transeuropeană de transport (TEN-T)</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hAnsi="Times New Roman"/>
          <w:noProof/>
          <w:sz w:val="24"/>
          <w:szCs w:val="24"/>
          <w:lang w:eastAsia="de-DE"/>
        </w:rPr>
        <w:footnoteReference w:id="5"/>
      </w:r>
      <w:r w:rsidRPr="00EB1143">
        <w:rPr>
          <w:rFonts w:ascii="Times New Roman" w:hAnsi="Times New Roman"/>
          <w:noProof/>
          <w:sz w:val="24"/>
        </w:rPr>
        <w:t>), Regulamentul privind informațiile electronice referitoare la transportul de mărfuri (eFTI)</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eastAsia="Calibri" w:hAnsi="Times New Roman" w:cs="Times New Roman"/>
          <w:noProof/>
          <w:sz w:val="24"/>
          <w:szCs w:val="24"/>
          <w:lang w:eastAsia="en-US"/>
        </w:rPr>
        <w:footnoteReference w:id="6"/>
      </w:r>
      <w:r w:rsidRPr="00EB1143">
        <w:rPr>
          <w:rFonts w:ascii="Times New Roman" w:hAnsi="Times New Roman"/>
          <w:noProof/>
          <w:sz w:val="24"/>
        </w:rPr>
        <w:t>), Programul de acțiune Naiades III</w:t>
      </w:r>
      <w:r w:rsidR="00F171DB" w:rsidRPr="00EB1143">
        <w:rPr>
          <w:rFonts w:ascii="Times New Roman" w:hAnsi="Times New Roman"/>
          <w:noProof/>
          <w:sz w:val="24"/>
        </w:rPr>
        <w:t> </w:t>
      </w:r>
      <w:r w:rsidRPr="00EB1143">
        <w:rPr>
          <w:rFonts w:ascii="Times New Roman" w:hAnsi="Times New Roman"/>
          <w:noProof/>
          <w:sz w:val="24"/>
        </w:rPr>
        <w:t>(</w:t>
      </w:r>
      <w:r w:rsidRPr="00EB1143">
        <w:rPr>
          <w:rFonts w:ascii="Times New Roman" w:hAnsi="Times New Roman"/>
          <w:noProof/>
          <w:sz w:val="24"/>
          <w:szCs w:val="24"/>
          <w:vertAlign w:val="superscript"/>
          <w:lang w:eastAsia="de-DE"/>
        </w:rPr>
        <w:footnoteReference w:id="7"/>
      </w:r>
      <w:r w:rsidRPr="00EB1143">
        <w:rPr>
          <w:rFonts w:ascii="Times New Roman" w:hAnsi="Times New Roman"/>
          <w:noProof/>
          <w:sz w:val="24"/>
        </w:rPr>
        <w:t>) și Directiva privind serviciile de informații fluviale</w:t>
      </w:r>
      <w:r w:rsidR="00F171DB" w:rsidRPr="00EB1143">
        <w:rPr>
          <w:rFonts w:ascii="Times New Roman" w:hAnsi="Times New Roman"/>
          <w:noProof/>
          <w:sz w:val="24"/>
        </w:rPr>
        <w:t> </w:t>
      </w:r>
      <w:r w:rsidRPr="00EB1143">
        <w:rPr>
          <w:rFonts w:ascii="Times New Roman" w:hAnsi="Times New Roman"/>
          <w:noProof/>
          <w:sz w:val="24"/>
        </w:rPr>
        <w:t>(</w:t>
      </w:r>
      <w:r w:rsidRPr="00EB1143">
        <w:rPr>
          <w:rStyle w:val="FootnoteReference"/>
          <w:rFonts w:ascii="Times New Roman" w:eastAsia="Calibri" w:hAnsi="Times New Roman" w:cs="Times New Roman"/>
          <w:noProof/>
          <w:sz w:val="24"/>
          <w:szCs w:val="24"/>
          <w:lang w:eastAsia="en-US"/>
        </w:rPr>
        <w:footnoteReference w:id="8"/>
      </w:r>
      <w:r w:rsidRPr="00EB1143">
        <w:rPr>
          <w:rFonts w:ascii="Times New Roman" w:hAnsi="Times New Roman"/>
          <w:noProof/>
          <w:sz w:val="24"/>
        </w:rPr>
        <w:t>). Astfel de acțiuni pot necesita adoptarea de către Comisie a unor acte delegate vizând adaptarea statisticilor privind transportul de mărfuri pe căi navigabile interioare la tendințele economice și tehnice în conformitate cu articolul 2 alineatul (5) din Regulamentul (UE) 2018/974 și pentru a reflecta modificările definițiilor, codificării și nomenclatorului la nivelul UE sau la nivel internațional.</w:t>
      </w:r>
    </w:p>
    <w:p w14:paraId="61C2E58F" w14:textId="77777777" w:rsidR="00470441" w:rsidRPr="00EB1143" w:rsidRDefault="00470441" w:rsidP="002B5452">
      <w:pPr>
        <w:spacing w:after="0" w:line="276" w:lineRule="auto"/>
        <w:jc w:val="both"/>
        <w:rPr>
          <w:rFonts w:ascii="Times New Roman" w:eastAsia="Calibri" w:hAnsi="Times New Roman" w:cs="Times New Roman"/>
          <w:noProof/>
          <w:sz w:val="24"/>
          <w:szCs w:val="24"/>
          <w:lang w:eastAsia="en-US"/>
        </w:rPr>
      </w:pPr>
    </w:p>
    <w:p w14:paraId="59FE88F4" w14:textId="77777777" w:rsidR="00FC0857" w:rsidRPr="00F23D87" w:rsidRDefault="00FC0857">
      <w:pPr>
        <w:rPr>
          <w:noProof/>
        </w:rPr>
      </w:pPr>
    </w:p>
    <w:sectPr w:rsidR="00FC0857" w:rsidRPr="00F23D87" w:rsidSect="00B57660">
      <w:headerReference w:type="even" r:id="rId14"/>
      <w:headerReference w:type="default" r:id="rId15"/>
      <w:footerReference w:type="even" r:id="rId16"/>
      <w:footerReference w:type="default" r:id="rId17"/>
      <w:headerReference w:type="first" r:id="rId18"/>
      <w:footerReference w:type="first" r:id="rId19"/>
      <w:pgSz w:w="11906" w:h="16838"/>
      <w:pgMar w:top="993"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CC8ED" w14:textId="77777777" w:rsidR="00A32B6C" w:rsidRPr="00EB1143" w:rsidRDefault="00A32B6C" w:rsidP="004E0D54">
      <w:pPr>
        <w:spacing w:after="0" w:line="240" w:lineRule="auto"/>
      </w:pPr>
      <w:r w:rsidRPr="00EB1143">
        <w:separator/>
      </w:r>
    </w:p>
  </w:endnote>
  <w:endnote w:type="continuationSeparator" w:id="0">
    <w:p w14:paraId="6F94FFEE" w14:textId="77777777" w:rsidR="00A32B6C" w:rsidRPr="00EB1143" w:rsidRDefault="00A32B6C" w:rsidP="004E0D54">
      <w:pPr>
        <w:spacing w:after="0" w:line="240" w:lineRule="auto"/>
      </w:pPr>
      <w:r w:rsidRPr="00EB11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55DB" w14:textId="6295138A" w:rsidR="00600801" w:rsidRPr="00600801" w:rsidRDefault="00600801" w:rsidP="00600801">
    <w:pPr>
      <w:pStyle w:val="FooterCoverPage"/>
      <w:rPr>
        <w:rFonts w:ascii="Arial" w:hAnsi="Arial" w:cs="Arial"/>
        <w:b/>
        <w:sz w:val="48"/>
      </w:rPr>
    </w:pPr>
    <w:r w:rsidRPr="00600801">
      <w:rPr>
        <w:rFonts w:ascii="Arial" w:hAnsi="Arial" w:cs="Arial"/>
        <w:b/>
        <w:sz w:val="48"/>
      </w:rPr>
      <w:t>RO</w:t>
    </w:r>
    <w:r w:rsidRPr="00600801">
      <w:rPr>
        <w:rFonts w:ascii="Arial" w:hAnsi="Arial" w:cs="Arial"/>
        <w:b/>
        <w:sz w:val="48"/>
      </w:rPr>
      <w:tab/>
    </w:r>
    <w:r w:rsidRPr="00600801">
      <w:rPr>
        <w:rFonts w:ascii="Arial" w:hAnsi="Arial" w:cs="Arial"/>
        <w:b/>
        <w:sz w:val="48"/>
      </w:rPr>
      <w:tab/>
    </w:r>
    <w:r w:rsidRPr="00600801">
      <w:tab/>
    </w:r>
    <w:r w:rsidRPr="0060080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B9963" w14:textId="3062E59B" w:rsidR="00600801" w:rsidRPr="00600801" w:rsidRDefault="00600801" w:rsidP="00600801">
    <w:pPr>
      <w:pStyle w:val="FooterCoverPage"/>
      <w:rPr>
        <w:rFonts w:ascii="Arial" w:hAnsi="Arial" w:cs="Arial"/>
        <w:b/>
        <w:sz w:val="48"/>
      </w:rPr>
    </w:pPr>
    <w:r w:rsidRPr="00600801">
      <w:rPr>
        <w:rFonts w:ascii="Arial" w:hAnsi="Arial" w:cs="Arial"/>
        <w:b/>
        <w:sz w:val="48"/>
      </w:rPr>
      <w:t>RO</w:t>
    </w:r>
    <w:r w:rsidRPr="00600801">
      <w:rPr>
        <w:rFonts w:ascii="Arial" w:hAnsi="Arial" w:cs="Arial"/>
        <w:b/>
        <w:sz w:val="48"/>
      </w:rPr>
      <w:tab/>
    </w:r>
    <w:r w:rsidRPr="00600801">
      <w:rPr>
        <w:rFonts w:ascii="Arial" w:hAnsi="Arial" w:cs="Arial"/>
        <w:b/>
        <w:sz w:val="48"/>
      </w:rPr>
      <w:tab/>
    </w:r>
    <w:r w:rsidRPr="00600801">
      <w:tab/>
    </w:r>
    <w:r w:rsidRPr="006008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5CC82" w14:textId="77777777" w:rsidR="00600801" w:rsidRPr="00600801" w:rsidRDefault="00600801" w:rsidP="006008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ABE1" w14:textId="77777777" w:rsidR="00912476" w:rsidRPr="00EB1143" w:rsidRDefault="009124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099"/>
      <w:docPartObj>
        <w:docPartGallery w:val="Page Numbers (Bottom of Page)"/>
        <w:docPartUnique/>
      </w:docPartObj>
    </w:sdtPr>
    <w:sdtEndPr>
      <w:rPr>
        <w:rFonts w:ascii="Times New Roman" w:hAnsi="Times New Roman" w:cs="Times New Roman"/>
      </w:rPr>
    </w:sdtEndPr>
    <w:sdtContent>
      <w:p w14:paraId="5625CE37" w14:textId="390E32AB" w:rsidR="00912476" w:rsidRPr="00EB1143" w:rsidRDefault="00912476" w:rsidP="003F6EF0">
        <w:pPr>
          <w:pStyle w:val="Footer"/>
          <w:jc w:val="center"/>
          <w:rPr>
            <w:rFonts w:ascii="Times New Roman" w:hAnsi="Times New Roman" w:cs="Times New Roman"/>
          </w:rPr>
        </w:pPr>
        <w:r w:rsidRPr="00EB1143">
          <w:rPr>
            <w:rFonts w:ascii="Times New Roman" w:hAnsi="Times New Roman" w:cs="Times New Roman"/>
          </w:rPr>
          <w:fldChar w:fldCharType="begin"/>
        </w:r>
        <w:r w:rsidRPr="00EB1143">
          <w:rPr>
            <w:rFonts w:ascii="Times New Roman" w:hAnsi="Times New Roman" w:cs="Times New Roman"/>
          </w:rPr>
          <w:instrText xml:space="preserve"> PAGE   \* MERGEFORMAT </w:instrText>
        </w:r>
        <w:r w:rsidRPr="00EB1143">
          <w:rPr>
            <w:rFonts w:ascii="Times New Roman" w:hAnsi="Times New Roman" w:cs="Times New Roman"/>
          </w:rPr>
          <w:fldChar w:fldCharType="separate"/>
        </w:r>
        <w:r w:rsidR="00600801">
          <w:rPr>
            <w:rFonts w:ascii="Times New Roman" w:hAnsi="Times New Roman" w:cs="Times New Roman"/>
            <w:noProof/>
          </w:rPr>
          <w:t>2</w:t>
        </w:r>
        <w:r w:rsidRPr="00EB1143">
          <w:rPr>
            <w:rFonts w:ascii="Times New Roman" w:hAnsi="Times New Roman" w:cs="Times New Roman"/>
          </w:rPr>
          <w:fldChar w:fldCharType="end"/>
        </w:r>
      </w:p>
    </w:sdtContent>
  </w:sdt>
  <w:p w14:paraId="0365031A" w14:textId="77777777" w:rsidR="00912476" w:rsidRPr="00EB1143" w:rsidRDefault="009124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391494"/>
      <w:docPartObj>
        <w:docPartGallery w:val="Page Numbers (Bottom of Page)"/>
        <w:docPartUnique/>
      </w:docPartObj>
    </w:sdtPr>
    <w:sdtEndPr>
      <w:rPr>
        <w:rFonts w:ascii="Times New Roman" w:hAnsi="Times New Roman" w:cs="Times New Roman"/>
      </w:rPr>
    </w:sdtEndPr>
    <w:sdtContent>
      <w:p w14:paraId="2F18E1F0" w14:textId="5717037A" w:rsidR="00912476" w:rsidRPr="00EB1143" w:rsidRDefault="00912476" w:rsidP="003F6EF0">
        <w:pPr>
          <w:pStyle w:val="Footer"/>
          <w:jc w:val="center"/>
          <w:rPr>
            <w:rFonts w:ascii="Times New Roman" w:hAnsi="Times New Roman" w:cs="Times New Roman"/>
          </w:rPr>
        </w:pPr>
        <w:r w:rsidRPr="00EB1143">
          <w:rPr>
            <w:rFonts w:ascii="Times New Roman" w:hAnsi="Times New Roman" w:cs="Times New Roman"/>
          </w:rPr>
          <w:fldChar w:fldCharType="begin"/>
        </w:r>
        <w:r w:rsidRPr="00EB1143">
          <w:rPr>
            <w:rFonts w:ascii="Times New Roman" w:hAnsi="Times New Roman" w:cs="Times New Roman"/>
          </w:rPr>
          <w:instrText xml:space="preserve"> PAGE   \* MERGEFORMAT </w:instrText>
        </w:r>
        <w:r w:rsidRPr="00EB1143">
          <w:rPr>
            <w:rFonts w:ascii="Times New Roman" w:hAnsi="Times New Roman" w:cs="Times New Roman"/>
          </w:rPr>
          <w:fldChar w:fldCharType="separate"/>
        </w:r>
        <w:r w:rsidR="00600801">
          <w:rPr>
            <w:rFonts w:ascii="Times New Roman" w:hAnsi="Times New Roman" w:cs="Times New Roman"/>
            <w:noProof/>
          </w:rPr>
          <w:t>1</w:t>
        </w:r>
        <w:r w:rsidRPr="00EB1143">
          <w:rPr>
            <w:rFonts w:ascii="Times New Roman" w:hAnsi="Times New Roman" w:cs="Times New Roman"/>
          </w:rPr>
          <w:fldChar w:fldCharType="end"/>
        </w:r>
      </w:p>
    </w:sdtContent>
  </w:sdt>
  <w:p w14:paraId="68A091D9" w14:textId="77777777" w:rsidR="00912476" w:rsidRPr="00EB1143" w:rsidRDefault="0091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2BEAF" w14:textId="77777777" w:rsidR="00A32B6C" w:rsidRPr="00EB1143" w:rsidRDefault="00A32B6C" w:rsidP="004E0D54">
      <w:pPr>
        <w:spacing w:after="0" w:line="240" w:lineRule="auto"/>
      </w:pPr>
      <w:r w:rsidRPr="00EB1143">
        <w:separator/>
      </w:r>
    </w:p>
  </w:footnote>
  <w:footnote w:type="continuationSeparator" w:id="0">
    <w:p w14:paraId="020131BC" w14:textId="77777777" w:rsidR="00A32B6C" w:rsidRPr="00EB1143" w:rsidRDefault="00A32B6C" w:rsidP="004E0D54">
      <w:pPr>
        <w:spacing w:after="0" w:line="240" w:lineRule="auto"/>
      </w:pPr>
      <w:r w:rsidRPr="00EB1143">
        <w:continuationSeparator/>
      </w:r>
    </w:p>
  </w:footnote>
  <w:footnote w:id="1">
    <w:p w14:paraId="555EDF4D" w14:textId="42E25188" w:rsidR="004E0D54" w:rsidRPr="00EB1143" w:rsidRDefault="004E0D54" w:rsidP="00A7524A">
      <w:pPr>
        <w:pStyle w:val="FootnoteText"/>
        <w:spacing w:after="0" w:line="240" w:lineRule="auto"/>
        <w:rPr>
          <w:rStyle w:val="Hyperlink"/>
          <w:rFonts w:ascii="Times New Roman" w:hAnsi="Times New Roman"/>
          <w:color w:val="auto"/>
        </w:rPr>
      </w:pPr>
      <w:r w:rsidRPr="00EB1143">
        <w:rPr>
          <w:rStyle w:val="FootnoteReference"/>
          <w:rFonts w:cs="Calibri"/>
        </w:rPr>
        <w:footnoteRef/>
      </w:r>
      <w:r w:rsidRPr="00EB1143">
        <w:rPr>
          <w:rFonts w:ascii="Times New Roman" w:hAnsi="Times New Roman"/>
        </w:rPr>
        <w:t xml:space="preserve"> Regulamentul (UE) 2018/974 al Parlamentului European și al Consiliului din 4 iulie 2018 privind statistica transportului de mărfuri pe căi navigabile interioare (JO L 179, 16.7.2018, p. 14; ELI: </w:t>
      </w:r>
      <w:hyperlink r:id="rId1" w:history="1">
        <w:r w:rsidRPr="00EB1143">
          <w:rPr>
            <w:rStyle w:val="Hyperlink"/>
            <w:rFonts w:ascii="Times New Roman" w:hAnsi="Times New Roman"/>
          </w:rPr>
          <w:t>http://data.europa.eu/eli/reg/2018/974/oj</w:t>
        </w:r>
      </w:hyperlink>
      <w:r w:rsidRPr="00EB1143">
        <w:rPr>
          <w:rFonts w:ascii="Times New Roman" w:hAnsi="Times New Roman"/>
        </w:rPr>
        <w:t>)</w:t>
      </w:r>
      <w:r w:rsidRPr="00EB1143">
        <w:rPr>
          <w:rStyle w:val="Hyperlink"/>
          <w:rFonts w:ascii="Times New Roman" w:hAnsi="Times New Roman"/>
          <w:color w:val="auto"/>
          <w:u w:val="none"/>
        </w:rPr>
        <w:t>.</w:t>
      </w:r>
    </w:p>
  </w:footnote>
  <w:footnote w:id="2">
    <w:p w14:paraId="33A97FF4" w14:textId="51A3E6A3" w:rsidR="004E0D54" w:rsidRPr="00EB1143" w:rsidRDefault="004E0D54" w:rsidP="00617205">
      <w:pPr>
        <w:pStyle w:val="FootnoteText"/>
        <w:spacing w:before="60" w:after="0"/>
        <w:rPr>
          <w:rStyle w:val="Hyperlink"/>
          <w:rFonts w:ascii="Times New Roman" w:hAnsi="Times New Roman"/>
          <w:color w:val="auto"/>
        </w:rPr>
      </w:pPr>
      <w:r w:rsidRPr="00EB1143">
        <w:rPr>
          <w:rStyle w:val="FootnoteReference"/>
          <w:rFonts w:cs="Calibri"/>
        </w:rPr>
        <w:footnoteRef/>
      </w:r>
      <w:r w:rsidRPr="00EB1143">
        <w:rPr>
          <w:rFonts w:ascii="Times New Roman" w:hAnsi="Times New Roman"/>
        </w:rPr>
        <w:t xml:space="preserve"> Acordul interinstituțional dintre Parlamentul European, Consiliul Uniunii Europene și Comisia Europeană privind o mai bună legiferare (JO L 123, 12.5.2016, p. 1; ELI: </w:t>
      </w:r>
      <w:hyperlink r:id="rId2" w:history="1">
        <w:r w:rsidRPr="00EB1143">
          <w:rPr>
            <w:rStyle w:val="Hyperlink"/>
            <w:rFonts w:ascii="Times New Roman" w:hAnsi="Times New Roman"/>
          </w:rPr>
          <w:t>http://data.europa.eu/eli/agree_interinstit/2016/512/oj</w:t>
        </w:r>
      </w:hyperlink>
      <w:r w:rsidRPr="00EB1143">
        <w:rPr>
          <w:rFonts w:ascii="Times New Roman" w:hAnsi="Times New Roman"/>
        </w:rPr>
        <w:t>).</w:t>
      </w:r>
    </w:p>
  </w:footnote>
  <w:footnote w:id="3">
    <w:p w14:paraId="3E81D4A8" w14:textId="437F263A" w:rsidR="00846857" w:rsidRPr="00EB1143" w:rsidRDefault="00846857" w:rsidP="00A7524A">
      <w:pPr>
        <w:pStyle w:val="FootnoteText"/>
        <w:spacing w:before="60" w:after="0"/>
        <w:rPr>
          <w:rFonts w:ascii="Times New Roman" w:hAnsi="Times New Roman"/>
        </w:rPr>
      </w:pPr>
      <w:r w:rsidRPr="00EB1143">
        <w:rPr>
          <w:rStyle w:val="FootnoteReference"/>
          <w:rFonts w:cs="Calibri"/>
        </w:rPr>
        <w:footnoteRef/>
      </w:r>
      <w:r w:rsidRPr="00EB1143">
        <w:rPr>
          <w:rFonts w:ascii="Times New Roman" w:hAnsi="Times New Roman"/>
        </w:rPr>
        <w:t xml:space="preserve"> Raport al Comisiei către Parlamentul European și Consiliu privind exercitarea competenței de a adopta acte delegate conferită Comisiei în temeiul Regulamentului (UE) 2018/974 privind statistica transportului de mărfuri pe căi navigabile interioare [COM(2021) 117 final, 12.3.2021;</w:t>
      </w:r>
      <w:r w:rsidR="00F171DB" w:rsidRPr="00EB1143">
        <w:rPr>
          <w:rFonts w:ascii="Times New Roman" w:hAnsi="Times New Roman"/>
        </w:rPr>
        <w:t xml:space="preserve"> </w:t>
      </w:r>
      <w:r w:rsidRPr="00EB1143">
        <w:br/>
      </w:r>
      <w:hyperlink r:id="rId3" w:history="1">
        <w:r w:rsidRPr="00EB1143">
          <w:rPr>
            <w:rStyle w:val="Hyperlink"/>
            <w:rFonts w:ascii="Times New Roman" w:hAnsi="Times New Roman"/>
          </w:rPr>
          <w:t>https://eur-lex.europa.eu/legal-content/TXT/?uri=CELEX%3A52021DC0117</w:t>
        </w:r>
      </w:hyperlink>
      <w:r w:rsidRPr="00EB1143">
        <w:rPr>
          <w:rFonts w:ascii="Times New Roman" w:hAnsi="Times New Roman"/>
        </w:rPr>
        <w:t>).</w:t>
      </w:r>
    </w:p>
  </w:footnote>
  <w:footnote w:id="4">
    <w:p w14:paraId="089E6FE3" w14:textId="5DEE6278" w:rsidR="004E0D54" w:rsidRPr="00EB1143" w:rsidRDefault="004E0D54" w:rsidP="00D239AC">
      <w:pPr>
        <w:pStyle w:val="FootnoteText"/>
        <w:spacing w:after="60"/>
        <w:rPr>
          <w:rFonts w:ascii="Times New Roman" w:hAnsi="Times New Roman"/>
        </w:rPr>
      </w:pPr>
      <w:r w:rsidRPr="00EB1143">
        <w:rPr>
          <w:rStyle w:val="FootnoteReference"/>
          <w:rFonts w:cs="Calibri"/>
        </w:rPr>
        <w:footnoteRef/>
      </w:r>
      <w:r w:rsidRPr="00EB1143">
        <w:rPr>
          <w:rFonts w:ascii="Times New Roman" w:hAnsi="Times New Roman"/>
        </w:rPr>
        <w:t xml:space="preserve"> COM(2020) 789 final, 9.12.2020;</w:t>
      </w:r>
      <w:r w:rsidR="00F171DB" w:rsidRPr="00EB1143">
        <w:rPr>
          <w:rFonts w:ascii="Times New Roman" w:hAnsi="Times New Roman"/>
        </w:rPr>
        <w:t xml:space="preserve"> </w:t>
      </w:r>
      <w:r w:rsidRPr="00EB1143">
        <w:br/>
      </w:r>
      <w:hyperlink r:id="rId4" w:history="1">
        <w:r w:rsidRPr="00EB1143">
          <w:rPr>
            <w:rStyle w:val="Hyperlink"/>
            <w:rFonts w:ascii="Times New Roman" w:hAnsi="Times New Roman"/>
          </w:rPr>
          <w:t>https://eur-lex.europa.eu/legal-content/RO/TXT/HTML/?uri=CELEX:52020DC0789</w:t>
        </w:r>
      </w:hyperlink>
      <w:r w:rsidRPr="00EB1143">
        <w:rPr>
          <w:rFonts w:ascii="Times New Roman" w:hAnsi="Times New Roman"/>
        </w:rPr>
        <w:t>.</w:t>
      </w:r>
    </w:p>
  </w:footnote>
  <w:footnote w:id="5">
    <w:p w14:paraId="1C290E88" w14:textId="06406C45" w:rsidR="00137D3A" w:rsidRPr="00EB1143" w:rsidRDefault="00137D3A" w:rsidP="00D239AC">
      <w:pPr>
        <w:pStyle w:val="FootnoteText"/>
        <w:spacing w:after="60"/>
      </w:pPr>
      <w:r w:rsidRPr="00EB1143">
        <w:rPr>
          <w:rStyle w:val="FootnoteReference"/>
          <w:rFonts w:cs="Calibri"/>
        </w:rPr>
        <w:footnoteRef/>
      </w:r>
      <w:r w:rsidRPr="00EB1143">
        <w:rPr>
          <w:rStyle w:val="FootnoteReference"/>
        </w:rPr>
        <w:t xml:space="preserve"> </w:t>
      </w:r>
      <w:r w:rsidRPr="00EB1143">
        <w:rPr>
          <w:rFonts w:ascii="Times New Roman" w:hAnsi="Times New Roman"/>
        </w:rPr>
        <w:t>Regulamentul</w:t>
      </w:r>
      <w:r w:rsidR="00F171DB" w:rsidRPr="00EB1143">
        <w:rPr>
          <w:rFonts w:ascii="Times New Roman" w:hAnsi="Times New Roman"/>
        </w:rPr>
        <w:t xml:space="preserve"> (UE)</w:t>
      </w:r>
      <w:r w:rsidRPr="00EB1143">
        <w:rPr>
          <w:rFonts w:ascii="Times New Roman" w:hAnsi="Times New Roman"/>
        </w:rPr>
        <w:t xml:space="preserve"> 2024/1679 al Parlamentului European și al Consiliului din 13 iunie 2024 privind orientările Uniunii pentru dezvoltarea rețelei transeuropene de transport, de modificare a Regulamentelor (UE) 2021/1153 și (UE) nr. 913/2010 și de abrogare a Regulamentului (UE) nr. 1315/2013 (JO L, 2024/1679, 28.6.2024; ELI: </w:t>
      </w:r>
      <w:hyperlink r:id="rId5" w:tgtFrame="_blank" w:tooltip="Oferă acces la acest document prin identificatorul său uniform de resurse ELI." w:history="1">
        <w:r w:rsidRPr="00EB1143">
          <w:rPr>
            <w:rStyle w:val="Hyperlink"/>
            <w:rFonts w:ascii="Times New Roman" w:hAnsi="Times New Roman"/>
          </w:rPr>
          <w:t>http://data.europa.eu/eli/reg/2024/1679/oj</w:t>
        </w:r>
      </w:hyperlink>
      <w:r w:rsidRPr="00EB1143">
        <w:rPr>
          <w:rFonts w:ascii="Times New Roman" w:hAnsi="Times New Roman"/>
        </w:rPr>
        <w:t>).</w:t>
      </w:r>
    </w:p>
  </w:footnote>
  <w:footnote w:id="6">
    <w:p w14:paraId="2A3B78CD" w14:textId="5842EF16" w:rsidR="00F75149" w:rsidRPr="00EB1143" w:rsidRDefault="00F75149" w:rsidP="00D239AC">
      <w:pPr>
        <w:pStyle w:val="FootnoteText"/>
        <w:spacing w:after="60"/>
      </w:pPr>
      <w:r w:rsidRPr="00EB1143">
        <w:rPr>
          <w:rStyle w:val="FootnoteReference"/>
          <w:rFonts w:cs="Calibri"/>
        </w:rPr>
        <w:footnoteRef/>
      </w:r>
      <w:r w:rsidRPr="00EB1143">
        <w:t xml:space="preserve"> </w:t>
      </w:r>
      <w:r w:rsidRPr="00EB1143">
        <w:rPr>
          <w:rFonts w:ascii="Times New Roman" w:hAnsi="Times New Roman"/>
        </w:rPr>
        <w:t>Regulamentul (UE) 2020/1056 al Parlamentului European și al Consiliului din 15 iulie 2020 privind informațiile electronice referitoare la transportul de mărfuri (JO L 249, 31.7.2020, p. 33; ELI:</w:t>
      </w:r>
      <w:r w:rsidRPr="00EB1143">
        <w:rPr>
          <w:rStyle w:val="Hyperlink"/>
          <w:rFonts w:ascii="Times New Roman" w:hAnsi="Times New Roman"/>
        </w:rPr>
        <w:t xml:space="preserve"> </w:t>
      </w:r>
      <w:hyperlink r:id="rId6" w:tooltip="Oferă acces la acest document prin identificatorul său uniform de resurse ELI." w:history="1">
        <w:r w:rsidRPr="00EB1143">
          <w:rPr>
            <w:rStyle w:val="Hyperlink"/>
            <w:rFonts w:ascii="Times New Roman" w:hAnsi="Times New Roman"/>
          </w:rPr>
          <w:t>http://data.europa.eu/eli/reg/2020/1056/oj</w:t>
        </w:r>
      </w:hyperlink>
      <w:r w:rsidRPr="00EB1143">
        <w:rPr>
          <w:rFonts w:ascii="Times New Roman" w:hAnsi="Times New Roman"/>
          <w:color w:val="0563C1"/>
          <w:u w:val="single"/>
        </w:rPr>
        <w:t>).</w:t>
      </w:r>
    </w:p>
  </w:footnote>
  <w:footnote w:id="7">
    <w:p w14:paraId="5437D0CA" w14:textId="486ACC23" w:rsidR="00674E62" w:rsidRPr="00EB1143" w:rsidRDefault="00137D3A" w:rsidP="00C871A2">
      <w:pPr>
        <w:pStyle w:val="FootnoteText"/>
        <w:spacing w:after="0"/>
        <w:ind w:left="142" w:hanging="153"/>
      </w:pPr>
      <w:r w:rsidRPr="00EB1143">
        <w:rPr>
          <w:rStyle w:val="FootnoteReference"/>
          <w:rFonts w:cs="Calibri"/>
        </w:rPr>
        <w:footnoteRef/>
      </w:r>
      <w:r w:rsidRPr="00EB1143">
        <w:rPr>
          <w:rStyle w:val="FootnoteReference"/>
          <w:rFonts w:ascii="Times New Roman" w:hAnsi="Times New Roman"/>
        </w:rPr>
        <w:t xml:space="preserve"> </w:t>
      </w:r>
      <w:r w:rsidRPr="00EB1143">
        <w:rPr>
          <w:rFonts w:ascii="Times New Roman" w:hAnsi="Times New Roman"/>
        </w:rPr>
        <w:t>COM(2021) 324 final, 24.6.2021;</w:t>
      </w:r>
    </w:p>
    <w:p w14:paraId="40F6AEE3" w14:textId="698D8BD8" w:rsidR="00137D3A" w:rsidRPr="00EB1143" w:rsidRDefault="00600801" w:rsidP="00D239AC">
      <w:pPr>
        <w:pStyle w:val="FootnoteText"/>
        <w:spacing w:after="60"/>
        <w:ind w:left="142" w:hanging="153"/>
      </w:pPr>
      <w:hyperlink r:id="rId7" w:history="1">
        <w:r w:rsidR="00674E62" w:rsidRPr="00EB1143">
          <w:rPr>
            <w:rStyle w:val="Hyperlink"/>
            <w:rFonts w:ascii="Times New Roman" w:hAnsi="Times New Roman"/>
          </w:rPr>
          <w:t>https://eur-lex.europa.eu/legal-content/EN/TXT/?uri=celex%3A52021DC0324</w:t>
        </w:r>
      </w:hyperlink>
      <w:r w:rsidR="00674E62" w:rsidRPr="00EB1143">
        <w:t>.</w:t>
      </w:r>
    </w:p>
  </w:footnote>
  <w:footnote w:id="8">
    <w:p w14:paraId="67CB8C15" w14:textId="0FD4C03B" w:rsidR="00F75149" w:rsidRPr="00D239AC" w:rsidRDefault="00F75149" w:rsidP="00D239AC">
      <w:pPr>
        <w:pStyle w:val="FootnoteText"/>
        <w:spacing w:after="60"/>
        <w:rPr>
          <w:rFonts w:ascii="Times New Roman" w:hAnsi="Times New Roman"/>
        </w:rPr>
      </w:pPr>
      <w:r w:rsidRPr="00EB1143">
        <w:rPr>
          <w:rStyle w:val="FootnoteReference"/>
          <w:rFonts w:cs="Calibri"/>
        </w:rPr>
        <w:footnoteRef/>
      </w:r>
      <w:r w:rsidRPr="00EB1143">
        <w:rPr>
          <w:rStyle w:val="FootnoteReference"/>
        </w:rPr>
        <w:t xml:space="preserve"> </w:t>
      </w:r>
      <w:r w:rsidRPr="00EB1143">
        <w:rPr>
          <w:rFonts w:ascii="Times New Roman" w:hAnsi="Times New Roman"/>
        </w:rPr>
        <w:t>Directiva (UE) 2025/2482 a Parlamentului European și a Consiliului din 26 noiembrie 2025 de modificare a Directivei 2005/44/CE privind serviciile de informații fluviale (RIS) armonizate pe căile navigabile interioare de pe teritoriul Comunității (JO L, 2025/2482, 12.12.2025; ELI: </w:t>
      </w:r>
      <w:hyperlink r:id="rId8" w:tooltip="Oferă acces la acest document prin identificatorul său uniform de resurse ELI." w:history="1">
        <w:r w:rsidRPr="00EB1143">
          <w:rPr>
            <w:rStyle w:val="Hyperlink"/>
            <w:rFonts w:ascii="Times New Roman" w:hAnsi="Times New Roman"/>
          </w:rPr>
          <w:t>http://data.europa.eu/eli/dir/2025/2482/oj</w:t>
        </w:r>
      </w:hyperlink>
      <w:r w:rsidRPr="00EB1143">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73117" w14:textId="77777777" w:rsidR="00600801" w:rsidRPr="00600801" w:rsidRDefault="00600801" w:rsidP="0060080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D8C6" w14:textId="77777777" w:rsidR="00600801" w:rsidRPr="00600801" w:rsidRDefault="00600801" w:rsidP="006008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CB340" w14:textId="77777777" w:rsidR="00600801" w:rsidRPr="00600801" w:rsidRDefault="00600801" w:rsidP="006008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FE70" w14:textId="77777777" w:rsidR="00912476" w:rsidRPr="00EB1143" w:rsidRDefault="009124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BB623" w14:textId="77777777" w:rsidR="00912476" w:rsidRPr="00EB1143" w:rsidRDefault="009124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2C9B4" w14:textId="77777777" w:rsidR="00912476" w:rsidRPr="00EB1143" w:rsidRDefault="00912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D166BDD-E04A-46A8-873E-F1EB2AF421F3"/>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xercitarea competen\u539?ei de a adopta acte delegate conferit\u259? Comisiei în temeiul Regulamentului (UE) 2018/974 privind statistica transportului de m\u259?rfuri pe c\u259?i navigabile interioare&lt;/FMT&gt;"/>
    <w:docVar w:name="LW_TYPE.DOC.CP" w:val="RAPORT AL COMISIEI C\u258?TRE PARLAMENTUL EUROPEAN \u536?I CONSILIU"/>
    <w:docVar w:name="LwApiVersions" w:val="LW4CoDe 1.24.5.0; LW 9.2, Build 20251112"/>
  </w:docVars>
  <w:rsids>
    <w:rsidRoot w:val="004E0D54"/>
    <w:rsid w:val="000057E0"/>
    <w:rsid w:val="00066C98"/>
    <w:rsid w:val="000811B5"/>
    <w:rsid w:val="000A05EE"/>
    <w:rsid w:val="000D109C"/>
    <w:rsid w:val="0011370A"/>
    <w:rsid w:val="00113F82"/>
    <w:rsid w:val="00137A52"/>
    <w:rsid w:val="00137D3A"/>
    <w:rsid w:val="001A06C6"/>
    <w:rsid w:val="001B6C1C"/>
    <w:rsid w:val="001D5A18"/>
    <w:rsid w:val="002114C6"/>
    <w:rsid w:val="002A3225"/>
    <w:rsid w:val="002B5452"/>
    <w:rsid w:val="00305977"/>
    <w:rsid w:val="0030608C"/>
    <w:rsid w:val="0034245C"/>
    <w:rsid w:val="003822BD"/>
    <w:rsid w:val="003A5378"/>
    <w:rsid w:val="003A65D0"/>
    <w:rsid w:val="003D5701"/>
    <w:rsid w:val="00447779"/>
    <w:rsid w:val="00463DB2"/>
    <w:rsid w:val="00470441"/>
    <w:rsid w:val="00474222"/>
    <w:rsid w:val="00476500"/>
    <w:rsid w:val="00485740"/>
    <w:rsid w:val="00494FCA"/>
    <w:rsid w:val="004C7A09"/>
    <w:rsid w:val="004D58A5"/>
    <w:rsid w:val="004E0D54"/>
    <w:rsid w:val="00516740"/>
    <w:rsid w:val="00540AA0"/>
    <w:rsid w:val="005871CC"/>
    <w:rsid w:val="005D017D"/>
    <w:rsid w:val="005F5FA6"/>
    <w:rsid w:val="00600801"/>
    <w:rsid w:val="00617205"/>
    <w:rsid w:val="006409B0"/>
    <w:rsid w:val="006561F3"/>
    <w:rsid w:val="00667433"/>
    <w:rsid w:val="00674E62"/>
    <w:rsid w:val="006A4A82"/>
    <w:rsid w:val="006B67CE"/>
    <w:rsid w:val="00713C21"/>
    <w:rsid w:val="0076771A"/>
    <w:rsid w:val="007719D3"/>
    <w:rsid w:val="007B2011"/>
    <w:rsid w:val="007B2AA1"/>
    <w:rsid w:val="007E65F6"/>
    <w:rsid w:val="0083499C"/>
    <w:rsid w:val="00846857"/>
    <w:rsid w:val="00846BB6"/>
    <w:rsid w:val="00857B0C"/>
    <w:rsid w:val="00861B9C"/>
    <w:rsid w:val="00910939"/>
    <w:rsid w:val="00912476"/>
    <w:rsid w:val="00914436"/>
    <w:rsid w:val="00930026"/>
    <w:rsid w:val="00937731"/>
    <w:rsid w:val="00960AF9"/>
    <w:rsid w:val="009A3941"/>
    <w:rsid w:val="009D63FF"/>
    <w:rsid w:val="009E5D6C"/>
    <w:rsid w:val="009F307C"/>
    <w:rsid w:val="00A07DEE"/>
    <w:rsid w:val="00A22F58"/>
    <w:rsid w:val="00A32B6C"/>
    <w:rsid w:val="00A4336E"/>
    <w:rsid w:val="00A7524A"/>
    <w:rsid w:val="00B00AE1"/>
    <w:rsid w:val="00B5052A"/>
    <w:rsid w:val="00B5491B"/>
    <w:rsid w:val="00B57660"/>
    <w:rsid w:val="00B64FC3"/>
    <w:rsid w:val="00B77B4E"/>
    <w:rsid w:val="00B80D35"/>
    <w:rsid w:val="00B92AB7"/>
    <w:rsid w:val="00BA2270"/>
    <w:rsid w:val="00C2364B"/>
    <w:rsid w:val="00C30595"/>
    <w:rsid w:val="00C62273"/>
    <w:rsid w:val="00C65544"/>
    <w:rsid w:val="00C73A59"/>
    <w:rsid w:val="00C871A2"/>
    <w:rsid w:val="00C97ED0"/>
    <w:rsid w:val="00CF01E4"/>
    <w:rsid w:val="00D05895"/>
    <w:rsid w:val="00D1411D"/>
    <w:rsid w:val="00D14C75"/>
    <w:rsid w:val="00D239AC"/>
    <w:rsid w:val="00D301C5"/>
    <w:rsid w:val="00D378B0"/>
    <w:rsid w:val="00D424F0"/>
    <w:rsid w:val="00DA2431"/>
    <w:rsid w:val="00DD0F6C"/>
    <w:rsid w:val="00DD601F"/>
    <w:rsid w:val="00E57ED5"/>
    <w:rsid w:val="00E76F10"/>
    <w:rsid w:val="00E83EBC"/>
    <w:rsid w:val="00E94992"/>
    <w:rsid w:val="00EB1143"/>
    <w:rsid w:val="00EC7006"/>
    <w:rsid w:val="00F171DB"/>
    <w:rsid w:val="00F23D87"/>
    <w:rsid w:val="00F544C5"/>
    <w:rsid w:val="00F55733"/>
    <w:rsid w:val="00F70291"/>
    <w:rsid w:val="00F75149"/>
    <w:rsid w:val="00F80787"/>
    <w:rsid w:val="00FB2783"/>
    <w:rsid w:val="00FC08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C88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D54"/>
    <w:rPr>
      <w:rFonts w:eastAsiaTheme="minorEastAsia"/>
      <w:kern w:val="0"/>
      <w:lang w:eastAsia="ja-JP"/>
      <w14:ligatures w14:val="none"/>
    </w:rPr>
  </w:style>
  <w:style w:type="paragraph" w:styleId="Heading1">
    <w:name w:val="heading 1"/>
    <w:basedOn w:val="Normal"/>
    <w:next w:val="Normal"/>
    <w:link w:val="Heading1Char"/>
    <w:uiPriority w:val="9"/>
    <w:qFormat/>
    <w:rsid w:val="004E0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D54"/>
    <w:rPr>
      <w:rFonts w:eastAsiaTheme="majorEastAsia" w:cstheme="majorBidi"/>
      <w:color w:val="272727" w:themeColor="text1" w:themeTint="D8"/>
    </w:rPr>
  </w:style>
  <w:style w:type="paragraph" w:styleId="Title">
    <w:name w:val="Title"/>
    <w:basedOn w:val="Normal"/>
    <w:next w:val="Normal"/>
    <w:link w:val="TitleChar"/>
    <w:uiPriority w:val="10"/>
    <w:qFormat/>
    <w:rsid w:val="004E0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D54"/>
    <w:pPr>
      <w:spacing w:before="160"/>
      <w:jc w:val="center"/>
    </w:pPr>
    <w:rPr>
      <w:i/>
      <w:iCs/>
      <w:color w:val="404040" w:themeColor="text1" w:themeTint="BF"/>
    </w:rPr>
  </w:style>
  <w:style w:type="character" w:customStyle="1" w:styleId="QuoteChar">
    <w:name w:val="Quote Char"/>
    <w:basedOn w:val="DefaultParagraphFont"/>
    <w:link w:val="Quote"/>
    <w:uiPriority w:val="29"/>
    <w:rsid w:val="004E0D54"/>
    <w:rPr>
      <w:i/>
      <w:iCs/>
      <w:color w:val="404040" w:themeColor="text1" w:themeTint="BF"/>
    </w:rPr>
  </w:style>
  <w:style w:type="paragraph" w:styleId="ListParagraph">
    <w:name w:val="List Paragraph"/>
    <w:basedOn w:val="Normal"/>
    <w:uiPriority w:val="34"/>
    <w:qFormat/>
    <w:rsid w:val="004E0D54"/>
    <w:pPr>
      <w:ind w:left="720"/>
      <w:contextualSpacing/>
    </w:pPr>
  </w:style>
  <w:style w:type="character" w:styleId="IntenseEmphasis">
    <w:name w:val="Intense Emphasis"/>
    <w:basedOn w:val="DefaultParagraphFont"/>
    <w:uiPriority w:val="21"/>
    <w:qFormat/>
    <w:rsid w:val="004E0D54"/>
    <w:rPr>
      <w:i/>
      <w:iCs/>
      <w:color w:val="0F4761" w:themeColor="accent1" w:themeShade="BF"/>
    </w:rPr>
  </w:style>
  <w:style w:type="paragraph" w:styleId="IntenseQuote">
    <w:name w:val="Intense Quote"/>
    <w:basedOn w:val="Normal"/>
    <w:next w:val="Normal"/>
    <w:link w:val="IntenseQuoteChar"/>
    <w:uiPriority w:val="30"/>
    <w:qFormat/>
    <w:rsid w:val="004E0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D54"/>
    <w:rPr>
      <w:i/>
      <w:iCs/>
      <w:color w:val="0F4761" w:themeColor="accent1" w:themeShade="BF"/>
    </w:rPr>
  </w:style>
  <w:style w:type="character" w:styleId="IntenseReference">
    <w:name w:val="Intense Reference"/>
    <w:basedOn w:val="DefaultParagraphFont"/>
    <w:uiPriority w:val="32"/>
    <w:qFormat/>
    <w:rsid w:val="004E0D54"/>
    <w:rPr>
      <w:b/>
      <w:bCs/>
      <w:smallCaps/>
      <w:color w:val="0F4761" w:themeColor="accent1" w:themeShade="BF"/>
      <w:spacing w:val="5"/>
    </w:rPr>
  </w:style>
  <w:style w:type="paragraph" w:customStyle="1" w:styleId="Pagedecouverture">
    <w:name w:val="Page de couverture"/>
    <w:basedOn w:val="Normal"/>
    <w:next w:val="Normal"/>
    <w:rsid w:val="004E0D54"/>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rsid w:val="004E0D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D54"/>
    <w:rPr>
      <w:rFonts w:eastAsiaTheme="minorEastAsia"/>
      <w:kern w:val="0"/>
      <w:lang w:eastAsia="ja-JP"/>
      <w14:ligatures w14:val="none"/>
    </w:rPr>
  </w:style>
  <w:style w:type="paragraph" w:styleId="Footer">
    <w:name w:val="footer"/>
    <w:basedOn w:val="Normal"/>
    <w:link w:val="FooterChar"/>
    <w:uiPriority w:val="99"/>
    <w:unhideWhenUsed/>
    <w:rsid w:val="004E0D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D54"/>
    <w:rPr>
      <w:rFonts w:eastAsiaTheme="minorEastAsia"/>
      <w:kern w:val="0"/>
      <w:lang w:eastAsia="ja-JP"/>
      <w14:ligatures w14:val="none"/>
    </w:rPr>
  </w:style>
  <w:style w:type="paragraph" w:customStyle="1" w:styleId="FooterCoverPage">
    <w:name w:val="Footer Cover Page"/>
    <w:basedOn w:val="Normal"/>
    <w:link w:val="FooterCoverPageChar"/>
    <w:rsid w:val="004E0D5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E0D54"/>
    <w:rPr>
      <w:rFonts w:ascii="Times New Roman" w:eastAsiaTheme="minorEastAsia" w:hAnsi="Times New Roman" w:cs="Times New Roman"/>
      <w:kern w:val="0"/>
      <w:sz w:val="24"/>
      <w:lang w:eastAsia="ja-JP"/>
      <w14:ligatures w14:val="none"/>
    </w:rPr>
  </w:style>
  <w:style w:type="paragraph" w:styleId="FootnoteText">
    <w:name w:val="footnote text"/>
    <w:basedOn w:val="Normal"/>
    <w:unhideWhenUsed/>
    <w:qFormat/>
    <w:rsid w:val="004E0D54"/>
    <w:pPr>
      <w:spacing w:after="200" w:line="276" w:lineRule="auto"/>
    </w:pPr>
    <w:rPr>
      <w:rFonts w:ascii="Calibri" w:eastAsia="Calibri" w:hAnsi="Calibri" w:cs="Times New Roman"/>
      <w:sz w:val="20"/>
      <w:szCs w:val="20"/>
      <w:lang w:eastAsia="en-US"/>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qFormat/>
    <w:rsid w:val="004E0D54"/>
    <w:rPr>
      <w:rFonts w:ascii="Calibri" w:eastAsia="Calibri" w:hAnsi="Calibri" w:cs="Times New Roman"/>
      <w:kern w:val="0"/>
      <w:sz w:val="20"/>
      <w:szCs w:val="20"/>
      <w14:ligatures w14:val="non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qFormat/>
    <w:rsid w:val="004E0D54"/>
    <w:rPr>
      <w:shd w:val="clear" w:color="auto" w:fill="auto"/>
      <w:vertAlign w:val="superscript"/>
    </w:rPr>
  </w:style>
  <w:style w:type="character" w:styleId="Hyperlink">
    <w:name w:val="Hyperlink"/>
    <w:uiPriority w:val="99"/>
    <w:unhideWhenUsed/>
    <w:rsid w:val="004E0D54"/>
    <w:rPr>
      <w:color w:val="0563C1"/>
      <w:u w:val="single"/>
    </w:rPr>
  </w:style>
  <w:style w:type="character" w:customStyle="1" w:styleId="Marker">
    <w:name w:val="Marker"/>
    <w:basedOn w:val="DefaultParagraphFont"/>
    <w:rsid w:val="004E0D54"/>
    <w:rPr>
      <w:color w:val="0000FF"/>
      <w:shd w:val="clear" w:color="auto" w:fill="auto"/>
    </w:rPr>
  </w:style>
  <w:style w:type="paragraph" w:customStyle="1" w:styleId="FooterSensitivity">
    <w:name w:val="Footer Sensitivity"/>
    <w:basedOn w:val="Normal"/>
    <w:link w:val="FooterSensitivityChar"/>
    <w:rsid w:val="004E0D5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E0D54"/>
    <w:rPr>
      <w:rFonts w:ascii="Times New Roman" w:eastAsiaTheme="minorEastAsia" w:hAnsi="Times New Roman" w:cs="Times New Roman"/>
      <w:b/>
      <w:kern w:val="0"/>
      <w:sz w:val="32"/>
      <w:lang w:eastAsia="ja-JP"/>
      <w14:ligatures w14:val="none"/>
    </w:rPr>
  </w:style>
  <w:style w:type="paragraph" w:customStyle="1" w:styleId="HeaderCoverPage">
    <w:name w:val="Header Cover Page"/>
    <w:basedOn w:val="Normal"/>
    <w:link w:val="HeaderCoverPageChar"/>
    <w:rsid w:val="004E0D5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E0D54"/>
    <w:rPr>
      <w:rFonts w:ascii="Times New Roman" w:eastAsiaTheme="minorEastAsia" w:hAnsi="Times New Roman" w:cs="Times New Roman"/>
      <w:kern w:val="0"/>
      <w:sz w:val="24"/>
      <w:lang w:eastAsia="ja-JP"/>
      <w14:ligatures w14:val="none"/>
    </w:rPr>
  </w:style>
  <w:style w:type="paragraph" w:customStyle="1" w:styleId="HeaderSensitivity">
    <w:name w:val="Header Sensitivity"/>
    <w:basedOn w:val="Normal"/>
    <w:link w:val="HeaderSensitivityChar"/>
    <w:rsid w:val="004E0D5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E0D54"/>
    <w:rPr>
      <w:rFonts w:ascii="Times New Roman" w:eastAsiaTheme="minorEastAsia" w:hAnsi="Times New Roman" w:cs="Times New Roman"/>
      <w:b/>
      <w:kern w:val="0"/>
      <w:sz w:val="32"/>
      <w:lang w:eastAsia="ja-JP"/>
      <w14:ligatures w14:val="none"/>
    </w:rPr>
  </w:style>
  <w:style w:type="paragraph" w:customStyle="1" w:styleId="HeaderSensitivityRight">
    <w:name w:val="Header Sensitivity Right"/>
    <w:basedOn w:val="Normal"/>
    <w:link w:val="HeaderSensitivityRightChar"/>
    <w:rsid w:val="004E0D5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E0D54"/>
    <w:rPr>
      <w:rFonts w:ascii="Times New Roman" w:eastAsiaTheme="minorEastAsia" w:hAnsi="Times New Roman" w:cs="Times New Roman"/>
      <w:kern w:val="0"/>
      <w:sz w:val="28"/>
      <w:lang w:eastAsia="ja-JP"/>
      <w14:ligatures w14:val="none"/>
    </w:rPr>
  </w:style>
  <w:style w:type="character" w:styleId="CommentReference">
    <w:name w:val="annotation reference"/>
    <w:basedOn w:val="DefaultParagraphFont"/>
    <w:uiPriority w:val="99"/>
    <w:semiHidden/>
    <w:unhideWhenUsed/>
    <w:rsid w:val="00137A52"/>
    <w:rPr>
      <w:sz w:val="16"/>
      <w:szCs w:val="16"/>
    </w:rPr>
  </w:style>
  <w:style w:type="paragraph" w:styleId="CommentText">
    <w:name w:val="annotation text"/>
    <w:basedOn w:val="Normal"/>
    <w:link w:val="CommentTextChar"/>
    <w:uiPriority w:val="99"/>
    <w:unhideWhenUsed/>
    <w:rsid w:val="00137A52"/>
    <w:pPr>
      <w:spacing w:line="240" w:lineRule="auto"/>
    </w:pPr>
    <w:rPr>
      <w:sz w:val="20"/>
      <w:szCs w:val="20"/>
    </w:rPr>
  </w:style>
  <w:style w:type="character" w:customStyle="1" w:styleId="CommentTextChar">
    <w:name w:val="Comment Text Char"/>
    <w:basedOn w:val="DefaultParagraphFont"/>
    <w:link w:val="CommentText"/>
    <w:uiPriority w:val="99"/>
    <w:rsid w:val="00137A52"/>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137A52"/>
    <w:rPr>
      <w:b/>
      <w:bCs/>
    </w:rPr>
  </w:style>
  <w:style w:type="character" w:customStyle="1" w:styleId="CommentSubjectChar">
    <w:name w:val="Comment Subject Char"/>
    <w:basedOn w:val="CommentTextChar"/>
    <w:link w:val="CommentSubject"/>
    <w:uiPriority w:val="99"/>
    <w:semiHidden/>
    <w:rsid w:val="00137A52"/>
    <w:rPr>
      <w:rFonts w:eastAsiaTheme="minorEastAsia"/>
      <w:b/>
      <w:bCs/>
      <w:kern w:val="0"/>
      <w:sz w:val="20"/>
      <w:szCs w:val="20"/>
      <w:lang w:eastAsia="ja-JP"/>
      <w14:ligatures w14:val="none"/>
    </w:rPr>
  </w:style>
  <w:style w:type="paragraph" w:styleId="Revision">
    <w:name w:val="Revision"/>
    <w:hidden/>
    <w:uiPriority w:val="99"/>
    <w:semiHidden/>
    <w:rsid w:val="00137A52"/>
    <w:pPr>
      <w:spacing w:after="0" w:line="240" w:lineRule="auto"/>
    </w:pPr>
    <w:rPr>
      <w:rFonts w:eastAsiaTheme="minorEastAsia"/>
      <w:kern w:val="0"/>
      <w:lang w:eastAsia="ja-JP"/>
      <w14:ligatures w14:val="none"/>
    </w:rPr>
  </w:style>
  <w:style w:type="character" w:customStyle="1" w:styleId="UnresolvedMention">
    <w:name w:val="Unresolved Mention"/>
    <w:basedOn w:val="DefaultParagraphFont"/>
    <w:uiPriority w:val="99"/>
    <w:semiHidden/>
    <w:unhideWhenUsed/>
    <w:rsid w:val="00C30595"/>
    <w:rPr>
      <w:color w:val="605E5C"/>
      <w:shd w:val="clear" w:color="auto" w:fill="E1DFDD"/>
    </w:rPr>
  </w:style>
  <w:style w:type="character" w:styleId="FollowedHyperlink">
    <w:name w:val="FollowedHyperlink"/>
    <w:basedOn w:val="DefaultParagraphFont"/>
    <w:uiPriority w:val="99"/>
    <w:semiHidden/>
    <w:unhideWhenUsed/>
    <w:rsid w:val="00C62273"/>
    <w:rPr>
      <w:color w:val="96607D" w:themeColor="followedHyperlink"/>
      <w:u w:val="single"/>
    </w:rPr>
  </w:style>
  <w:style w:type="paragraph" w:customStyle="1" w:styleId="Char2">
    <w:name w:val="Char2"/>
    <w:basedOn w:val="Normal"/>
    <w:link w:val="FootnoteReference"/>
    <w:uiPriority w:val="99"/>
    <w:rsid w:val="00137D3A"/>
    <w:pPr>
      <w:spacing w:line="240" w:lineRule="exact"/>
    </w:pPr>
    <w:rPr>
      <w:rFonts w:eastAsiaTheme="minorHAnsi"/>
      <w:kern w:val="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05862">
      <w:bodyDiv w:val="1"/>
      <w:marLeft w:val="0"/>
      <w:marRight w:val="0"/>
      <w:marTop w:val="0"/>
      <w:marBottom w:val="0"/>
      <w:divBdr>
        <w:top w:val="none" w:sz="0" w:space="0" w:color="auto"/>
        <w:left w:val="none" w:sz="0" w:space="0" w:color="auto"/>
        <w:bottom w:val="none" w:sz="0" w:space="0" w:color="auto"/>
        <w:right w:val="none" w:sz="0" w:space="0" w:color="auto"/>
      </w:divBdr>
    </w:div>
    <w:div w:id="15451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5/2482/oj" TargetMode="External"/><Relationship Id="rId3" Type="http://schemas.openxmlformats.org/officeDocument/2006/relationships/hyperlink" Target="https://eur-lex.europa.eu/legal-content/TXT/?uri=CELEX%3A52021DC0117" TargetMode="External"/><Relationship Id="rId7" Type="http://schemas.openxmlformats.org/officeDocument/2006/relationships/hyperlink" Target="https://eur-lex.europa.eu/legal-content/EN/TXT/?uri=celex%3A52021DC0324"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reg/2018/974/oj" TargetMode="External"/><Relationship Id="rId6" Type="http://schemas.openxmlformats.org/officeDocument/2006/relationships/hyperlink" Target="http://data.europa.eu/eli/reg/2020/1056/oj" TargetMode="External"/><Relationship Id="rId5" Type="http://schemas.openxmlformats.org/officeDocument/2006/relationships/hyperlink" Target="http://data.europa.eu/eli/reg/2024/1679/oj" TargetMode="External"/><Relationship Id="rId4" Type="http://schemas.openxmlformats.org/officeDocument/2006/relationships/hyperlink" Target="https://eur-lex.europa.eu/legal-content/RO/TXT/HTML/?uri=CELEX: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2026-04-09T07:31:00Z</dcterms:created>
  <dcterms:modified xsi:type="dcterms:W3CDTF">2026-05-21T07:38:00Z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2026-03-27T09:14:19Z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83f84116-7a31-4e26-a556-e71895e01b1f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