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D124" w14:textId="146FBFEB" w:rsidR="00ED3E19" w:rsidRDefault="00D44CAF" w:rsidP="00D44CAF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84160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883EB91-974C-46D6-9CFF-94249E0DC7B5" style="width:455.25pt;height:300pt">
            <v:imagedata r:id="rId11" o:title=""/>
          </v:shape>
        </w:pict>
      </w:r>
    </w:p>
    <w:bookmarkEnd w:id="0"/>
    <w:p w14:paraId="0D2A0974" w14:textId="77777777" w:rsidR="00ED3E19" w:rsidRDefault="00ED3E19">
      <w:pPr>
        <w:spacing w:line="240" w:lineRule="auto"/>
        <w:rPr>
          <w:noProof/>
        </w:rPr>
        <w:sectPr w:rsidR="00ED3E19" w:rsidSect="00D44CA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20B96389" w14:textId="77777777" w:rsidR="00ED3E19" w:rsidRDefault="00A5644E">
      <w:pPr>
        <w:spacing w:before="360" w:after="24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en-US"/>
        </w:rPr>
      </w:pPr>
      <w:bookmarkStart w:id="1" w:name="_GoBack"/>
      <w:bookmarkEnd w:id="1"/>
      <w:r>
        <w:rPr>
          <w:rFonts w:ascii="Times New Roman" w:eastAsia="Calibri" w:hAnsi="Times New Roman" w:cs="Times New Roman"/>
          <w:b/>
          <w:noProof/>
          <w:sz w:val="24"/>
          <w:szCs w:val="24"/>
          <w:lang w:eastAsia="en-US"/>
        </w:rPr>
        <w:lastRenderedPageBreak/>
        <w:t>REPORT FROM THE COMMISSION TO THE EUROPEAN PARLIAMENT AND THE COUNCIL</w:t>
      </w:r>
    </w:p>
    <w:p w14:paraId="032C41AF" w14:textId="791ED94A" w:rsidR="00ED3E19" w:rsidRDefault="00A5644E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on exercis</w:t>
      </w:r>
      <w:r w:rsidR="0092138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ing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the power to adopt delegated acts conferred on the Commission  pursuant to Regulation (EU) 2018/643 on rail transport statistics</w:t>
      </w:r>
    </w:p>
    <w:p w14:paraId="694AB8D1" w14:textId="77777777" w:rsidR="00ED3E19" w:rsidRDefault="00A5644E" w:rsidP="0070488F">
      <w:pPr>
        <w:numPr>
          <w:ilvl w:val="0"/>
          <w:numId w:val="2"/>
        </w:numPr>
        <w:spacing w:before="480" w:after="240" w:line="240" w:lineRule="auto"/>
        <w:ind w:left="680" w:hanging="680"/>
        <w:jc w:val="both"/>
        <w:rPr>
          <w:rFonts w:ascii="Times New Roman" w:eastAsia="Calibri" w:hAnsi="Times New Roman" w:cs="Times New Roman"/>
          <w:b/>
          <w:smallCaps/>
          <w:noProof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mallCaps/>
          <w:noProof/>
          <w:sz w:val="24"/>
          <w:szCs w:val="24"/>
          <w:lang w:eastAsia="en-US"/>
        </w:rPr>
        <w:t>I</w:t>
      </w:r>
      <w:r>
        <w:rPr>
          <w:rFonts w:ascii="Times New Roman" w:eastAsia="Calibri" w:hAnsi="Times New Roman" w:cs="Times New Roman"/>
          <w:b/>
          <w:caps/>
          <w:noProof/>
          <w:sz w:val="24"/>
          <w:szCs w:val="24"/>
          <w:lang w:eastAsia="en-US"/>
        </w:rPr>
        <w:t>ntroduction</w:t>
      </w:r>
    </w:p>
    <w:p w14:paraId="72A10F9A" w14:textId="047A58D3" w:rsidR="00ED3E19" w:rsidRDefault="00A5644E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Article 3(2) of Regulation (EU) 2018/643 of the European Parliament and of the Council</w:t>
      </w:r>
      <w:r w:rsidR="00A13160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(</w:t>
      </w:r>
      <w:r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eastAsia="en-US"/>
        </w:rPr>
        <w:footnoteReference w:id="1"/>
      </w:r>
      <w:r w:rsidR="00A13160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)</w:t>
      </w:r>
      <w:r w:rsidR="009D39D8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empowers the Commission to adopt delegated acts </w:t>
      </w:r>
      <w:r w:rsidR="00A12B5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in accordance with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Article 10</w:t>
      </w:r>
      <w:r w:rsidR="00921384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of that Regulation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. The Commission can exercise this power to take account of new developments </w:t>
      </w:r>
      <w:r w:rsidR="00921384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that require certain technical details to be defined to ensure the harmonisation of statistics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. More specifically, the Commission can adopt delegated acts in order to:</w:t>
      </w:r>
    </w:p>
    <w:p w14:paraId="27E07371" w14:textId="77777777" w:rsidR="00ED3E19" w:rsidRDefault="00A5644E" w:rsidP="003C239E">
      <w:pPr>
        <w:pStyle w:val="ListParagraph"/>
        <w:numPr>
          <w:ilvl w:val="0"/>
          <w:numId w:val="8"/>
        </w:numPr>
        <w:spacing w:after="0" w:line="276" w:lineRule="auto"/>
        <w:ind w:left="681" w:hanging="397"/>
        <w:contextualSpacing w:val="0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4"/>
          <w:szCs w:val="24"/>
        </w:rPr>
        <w:t>adapt the technical definitions set out in points (8), (9), (10), (21), (22) and (23) of paragraph 1 of Article 3;</w:t>
      </w:r>
    </w:p>
    <w:p w14:paraId="68B9907D" w14:textId="7263C1C1" w:rsidR="00ED3E19" w:rsidRDefault="008C210D" w:rsidP="003C239E">
      <w:pPr>
        <w:pStyle w:val="ListParagraph"/>
        <w:numPr>
          <w:ilvl w:val="0"/>
          <w:numId w:val="8"/>
        </w:numPr>
        <w:spacing w:before="120" w:after="240" w:line="276" w:lineRule="auto"/>
        <w:ind w:left="681" w:hanging="397"/>
        <w:contextualSpacing w:val="0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lay down </w:t>
      </w:r>
      <w:r w:rsidR="00A5644E">
        <w:rPr>
          <w:rFonts w:ascii="Times New Roman" w:hAnsi="Times New Roman" w:cs="Times New Roman"/>
          <w:noProof/>
          <w:sz w:val="24"/>
          <w:szCs w:val="24"/>
        </w:rPr>
        <w:t>additional technical definitions.</w:t>
      </w:r>
    </w:p>
    <w:p w14:paraId="31E8EE77" w14:textId="4663BEEE" w:rsidR="00ED3E19" w:rsidRDefault="00A5644E">
      <w:pPr>
        <w:spacing w:after="24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When exercising </w:t>
      </w:r>
      <w:r w:rsidR="008C210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its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power, the Commission must ensure that the delegated acts do not impose a significant additional burden on the Member States or respondents. Furthermore, the Commission must justify the statistical actions </w:t>
      </w:r>
      <w:r w:rsidR="008C210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laid down in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those delegated acts, using, where appropriate, a cost-effectiveness analysis that assesses the burden on respondents and the production costs.</w:t>
      </w:r>
    </w:p>
    <w:p w14:paraId="50112A04" w14:textId="74881CEF" w:rsidR="00ED3E19" w:rsidRDefault="00A5644E" w:rsidP="00BD34F0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As specified in Article 10(4), before adopting a delegated act, the Commission must consult experts designated by each Member State in accordance with the principles laid down in the Interinstitutional Agreement of 13 April 2016 on Better Law-Making</w:t>
      </w:r>
      <w:r w:rsidR="00A13160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(</w:t>
      </w:r>
      <w:r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eastAsia="en-US"/>
        </w:rPr>
        <w:footnoteReference w:id="2"/>
      </w:r>
      <w:r w:rsidR="00A13160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. </w:t>
      </w:r>
    </w:p>
    <w:p w14:paraId="3D85ACAD" w14:textId="77777777" w:rsidR="00ED3E19" w:rsidRDefault="00A5644E" w:rsidP="0070488F">
      <w:pPr>
        <w:numPr>
          <w:ilvl w:val="0"/>
          <w:numId w:val="2"/>
        </w:numPr>
        <w:spacing w:before="480" w:after="240" w:line="240" w:lineRule="auto"/>
        <w:ind w:left="680" w:hanging="680"/>
        <w:jc w:val="both"/>
        <w:rPr>
          <w:rFonts w:ascii="Times New Roman" w:eastAsia="Calibri" w:hAnsi="Times New Roman" w:cs="Times New Roman"/>
          <w:b/>
          <w:caps/>
          <w:noProof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aps/>
          <w:noProof/>
          <w:sz w:val="24"/>
          <w:szCs w:val="24"/>
          <w:lang w:eastAsia="en-US"/>
        </w:rPr>
        <w:t>Legal Basis</w:t>
      </w:r>
    </w:p>
    <w:p w14:paraId="0AFBB256" w14:textId="42DD00EE" w:rsidR="00ED3E19" w:rsidRDefault="00A5644E" w:rsidP="00BD34F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Under Article 10(2) of Regulation (EU) 2018/643, the power to adopt delegated acts referred to in Article 3(2) </w:t>
      </w:r>
      <w:r w:rsidR="008C210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of that Regulation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is conferred on the Commission for a period of </w:t>
      </w:r>
      <w:r w:rsidR="008C210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five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years from 13 December 2016.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The delegation of power is to be tacitly extended for periods of </w:t>
      </w:r>
      <w:r w:rsidR="008C210D">
        <w:rPr>
          <w:rFonts w:ascii="Times New Roman" w:hAnsi="Times New Roman" w:cs="Times New Roman"/>
          <w:noProof/>
          <w:sz w:val="24"/>
          <w:szCs w:val="24"/>
        </w:rPr>
        <w:t>five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years, unless the European Parliament or the Council opposes such extension.</w:t>
      </w:r>
      <w:r w:rsidR="00E5608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The Commission must draw up a report </w:t>
      </w:r>
      <w:r w:rsidR="008C210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on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the delegation of power not later than </w:t>
      </w:r>
      <w:r w:rsidR="008C210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nine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months before the end of the </w:t>
      </w:r>
      <w:r w:rsidR="008C210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five</w:t>
      </w:r>
      <w:r w:rsidR="00894BF4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-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year period</w:t>
      </w:r>
      <w:r w:rsidR="00DD77C6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. </w:t>
      </w:r>
      <w:r w:rsidR="00DD77C6" w:rsidRPr="00DD77C6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The Commission submitted a first report in 2021</w:t>
      </w:r>
      <w:r w:rsidR="0053043B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(</w:t>
      </w:r>
      <w:r w:rsidR="0053043B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eastAsia="en-US"/>
        </w:rPr>
        <w:footnoteReference w:id="3"/>
      </w:r>
      <w:r w:rsidR="0053043B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)</w:t>
      </w:r>
      <w:r w:rsidR="00DD77C6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. </w:t>
      </w:r>
      <w:r>
        <w:rPr>
          <w:rFonts w:ascii="Times New Roman" w:hAnsi="Times New Roman" w:cs="Times New Roman"/>
          <w:noProof/>
          <w:sz w:val="24"/>
          <w:lang w:eastAsia="en-GB"/>
        </w:rPr>
        <w:t xml:space="preserve">This </w:t>
      </w:r>
      <w:r w:rsidR="008C210D">
        <w:rPr>
          <w:rFonts w:ascii="Times New Roman" w:hAnsi="Times New Roman" w:cs="Times New Roman"/>
          <w:noProof/>
          <w:sz w:val="24"/>
          <w:lang w:eastAsia="en-GB"/>
        </w:rPr>
        <w:t>is the second report</w:t>
      </w:r>
      <w:r>
        <w:rPr>
          <w:rFonts w:ascii="Times New Roman" w:hAnsi="Times New Roman" w:cs="Times New Roman"/>
          <w:noProof/>
          <w:sz w:val="24"/>
          <w:lang w:eastAsia="en-GB"/>
        </w:rPr>
        <w:t>.</w:t>
      </w:r>
    </w:p>
    <w:p w14:paraId="74F556BE" w14:textId="77777777" w:rsidR="00ED3E19" w:rsidRDefault="00A5644E" w:rsidP="007B1B64">
      <w:pPr>
        <w:numPr>
          <w:ilvl w:val="0"/>
          <w:numId w:val="2"/>
        </w:numPr>
        <w:spacing w:before="480" w:after="240" w:line="240" w:lineRule="auto"/>
        <w:ind w:left="680" w:hanging="680"/>
        <w:jc w:val="both"/>
        <w:rPr>
          <w:rFonts w:ascii="Times New Roman" w:eastAsia="Calibri" w:hAnsi="Times New Roman" w:cs="Times New Roman"/>
          <w:b/>
          <w:caps/>
          <w:noProof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aps/>
          <w:noProof/>
          <w:sz w:val="24"/>
          <w:szCs w:val="24"/>
          <w:lang w:eastAsia="en-US"/>
        </w:rPr>
        <w:t>Exercise of the Delegation</w:t>
      </w:r>
    </w:p>
    <w:p w14:paraId="030DBE7F" w14:textId="1A15DF12" w:rsidR="00ED3E19" w:rsidRDefault="00A803FB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4"/>
          <w:lang w:eastAsia="en-GB"/>
        </w:rPr>
        <w:t>Since Regulation (EU) 2018/643 entered into force, t</w:t>
      </w:r>
      <w:r w:rsidR="00A5644E">
        <w:rPr>
          <w:rFonts w:ascii="Times New Roman" w:hAnsi="Times New Roman" w:cs="Times New Roman"/>
          <w:noProof/>
          <w:sz w:val="24"/>
          <w:lang w:eastAsia="en-GB"/>
        </w:rPr>
        <w:t xml:space="preserve">he Commission has not yet exercised the power to adopt delegated acts </w:t>
      </w:r>
      <w:r w:rsidR="00A12B5D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in accordance with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</w:t>
      </w:r>
      <w:r w:rsidR="002D08C1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A</w:t>
      </w:r>
      <w:r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rticle 10</w:t>
      </w:r>
      <w:r w:rsidR="00220B20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of that Regulation</w:t>
      </w:r>
      <w:r w:rsidR="00A5644E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.</w:t>
      </w:r>
      <w:r w:rsidR="0069342C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</w:t>
      </w:r>
    </w:p>
    <w:p w14:paraId="75B22785" w14:textId="49383CEF" w:rsidR="00A803FB" w:rsidRDefault="00A12B5D">
      <w:pPr>
        <w:spacing w:before="240" w:after="0" w:line="276" w:lineRule="auto"/>
        <w:jc w:val="both"/>
        <w:rPr>
          <w:rFonts w:ascii="Times New Roman" w:hAnsi="Times New Roman" w:cs="Times New Roman"/>
          <w:noProof/>
          <w:sz w:val="24"/>
          <w:lang w:eastAsia="en-GB"/>
        </w:rPr>
      </w:pPr>
      <w:r>
        <w:rPr>
          <w:rFonts w:ascii="Times New Roman" w:hAnsi="Times New Roman" w:cs="Times New Roman"/>
          <w:noProof/>
          <w:sz w:val="24"/>
          <w:lang w:eastAsia="en-GB"/>
        </w:rPr>
        <w:t>P</w:t>
      </w:r>
      <w:r w:rsidR="00A803FB">
        <w:rPr>
          <w:rFonts w:ascii="Times New Roman" w:hAnsi="Times New Roman" w:cs="Times New Roman"/>
          <w:noProof/>
          <w:sz w:val="24"/>
          <w:lang w:eastAsia="en-GB"/>
        </w:rPr>
        <w:t xml:space="preserve">ossible improvements to rail transport statistics </w:t>
      </w:r>
      <w:r w:rsidR="00E45594">
        <w:rPr>
          <w:rFonts w:ascii="Times New Roman" w:hAnsi="Times New Roman" w:cs="Times New Roman"/>
          <w:noProof/>
          <w:sz w:val="24"/>
          <w:lang w:eastAsia="en-GB"/>
        </w:rPr>
        <w:t xml:space="preserve">have been </w:t>
      </w:r>
      <w:r w:rsidR="00220B20">
        <w:rPr>
          <w:rFonts w:ascii="Times New Roman" w:hAnsi="Times New Roman" w:cs="Times New Roman"/>
          <w:noProof/>
          <w:sz w:val="24"/>
          <w:lang w:eastAsia="en-GB"/>
        </w:rPr>
        <w:t>debated</w:t>
      </w:r>
      <w:r w:rsidR="007F0EC6">
        <w:rPr>
          <w:rFonts w:ascii="Times New Roman" w:hAnsi="Times New Roman" w:cs="Times New Roman"/>
          <w:noProof/>
          <w:sz w:val="24"/>
          <w:lang w:eastAsia="en-GB"/>
        </w:rPr>
        <w:t>,</w:t>
      </w:r>
      <w:r w:rsidR="00220B20">
        <w:rPr>
          <w:rFonts w:ascii="Times New Roman" w:hAnsi="Times New Roman" w:cs="Times New Roman"/>
          <w:noProof/>
          <w:sz w:val="24"/>
          <w:lang w:eastAsia="en-GB"/>
        </w:rPr>
        <w:t xml:space="preserve"> </w:t>
      </w:r>
      <w:r w:rsidR="00E45594">
        <w:rPr>
          <w:rFonts w:ascii="Times New Roman" w:hAnsi="Times New Roman" w:cs="Times New Roman"/>
          <w:noProof/>
          <w:sz w:val="24"/>
          <w:lang w:eastAsia="en-GB"/>
        </w:rPr>
        <w:t>and will be debated in the future</w:t>
      </w:r>
      <w:r w:rsidR="007F0EC6">
        <w:rPr>
          <w:rFonts w:ascii="Times New Roman" w:hAnsi="Times New Roman" w:cs="Times New Roman"/>
          <w:noProof/>
          <w:sz w:val="24"/>
          <w:lang w:eastAsia="en-GB"/>
        </w:rPr>
        <w:t>,</w:t>
      </w:r>
      <w:r w:rsidR="00A803FB">
        <w:rPr>
          <w:rFonts w:ascii="Times New Roman" w:hAnsi="Times New Roman" w:cs="Times New Roman"/>
          <w:noProof/>
          <w:sz w:val="24"/>
          <w:lang w:eastAsia="en-GB"/>
        </w:rPr>
        <w:t xml:space="preserve"> </w:t>
      </w:r>
      <w:r w:rsidR="00E45594">
        <w:rPr>
          <w:rFonts w:ascii="Times New Roman" w:hAnsi="Times New Roman" w:cs="Times New Roman"/>
          <w:noProof/>
          <w:sz w:val="24"/>
          <w:lang w:eastAsia="en-GB"/>
        </w:rPr>
        <w:t>by</w:t>
      </w:r>
      <w:r w:rsidR="00A803FB">
        <w:rPr>
          <w:rFonts w:ascii="Times New Roman" w:hAnsi="Times New Roman" w:cs="Times New Roman"/>
          <w:noProof/>
          <w:sz w:val="24"/>
          <w:lang w:eastAsia="en-GB"/>
        </w:rPr>
        <w:t xml:space="preserve"> </w:t>
      </w:r>
      <w:r w:rsidR="00A5644E">
        <w:rPr>
          <w:rFonts w:ascii="Times New Roman" w:hAnsi="Times New Roman" w:cs="Times New Roman"/>
          <w:noProof/>
          <w:sz w:val="24"/>
          <w:lang w:eastAsia="en-GB"/>
        </w:rPr>
        <w:t xml:space="preserve">the Expert Group on Rail Transport Statistics and the 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>Coordinating Group for Statistics on Transport</w:t>
      </w:r>
      <w:r w:rsidR="00A803FB">
        <w:rPr>
          <w:rFonts w:ascii="Times New Roman" w:hAnsi="Times New Roman" w:cs="Times New Roman"/>
          <w:noProof/>
          <w:sz w:val="24"/>
          <w:lang w:eastAsia="en-GB"/>
        </w:rPr>
        <w:t>, where the potential costs and burdens for Member States are regularly discussed</w:t>
      </w:r>
      <w:r w:rsidR="00A5644E">
        <w:rPr>
          <w:rFonts w:ascii="Times New Roman" w:hAnsi="Times New Roman" w:cs="Times New Roman"/>
          <w:noProof/>
          <w:sz w:val="24"/>
          <w:lang w:eastAsia="en-GB"/>
        </w:rPr>
        <w:t>.</w:t>
      </w:r>
    </w:p>
    <w:p w14:paraId="3493BEC7" w14:textId="0A3261C5" w:rsidR="00B74A11" w:rsidRDefault="00067E9D">
      <w:pPr>
        <w:spacing w:before="240"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de-DE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w:t>E</w:t>
      </w:r>
      <w:r w:rsidR="00B74A11">
        <w:rPr>
          <w:rFonts w:ascii="Times New Roman" w:hAnsi="Times New Roman" w:cs="Times New Roman"/>
          <w:noProof/>
          <w:sz w:val="24"/>
          <w:szCs w:val="24"/>
          <w:lang w:eastAsia="de-DE"/>
        </w:rPr>
        <w:t>volving s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>tatistical needs</w:t>
      </w:r>
      <w:r w:rsidR="008A58B4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B74A11">
        <w:rPr>
          <w:rFonts w:ascii="Times New Roman" w:hAnsi="Times New Roman" w:cs="Times New Roman"/>
          <w:noProof/>
          <w:sz w:val="24"/>
          <w:szCs w:val="24"/>
          <w:lang w:eastAsia="de-DE"/>
        </w:rPr>
        <w:t>stemming from</w:t>
      </w:r>
      <w:r w:rsidR="00B13552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the </w:t>
      </w:r>
      <w:r w:rsidR="007F0EC6">
        <w:rPr>
          <w:rFonts w:ascii="Times New Roman" w:hAnsi="Times New Roman" w:cs="Times New Roman"/>
          <w:noProof/>
          <w:sz w:val="24"/>
          <w:szCs w:val="24"/>
          <w:lang w:eastAsia="de-DE"/>
        </w:rPr>
        <w:t>S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ustainable and </w:t>
      </w:r>
      <w:r w:rsidR="007F0EC6">
        <w:rPr>
          <w:rFonts w:ascii="Times New Roman" w:hAnsi="Times New Roman" w:cs="Times New Roman"/>
          <w:noProof/>
          <w:sz w:val="24"/>
          <w:szCs w:val="24"/>
          <w:lang w:eastAsia="de-DE"/>
        </w:rPr>
        <w:t>S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mart </w:t>
      </w:r>
      <w:r w:rsidR="007F0EC6">
        <w:rPr>
          <w:rFonts w:ascii="Times New Roman" w:hAnsi="Times New Roman" w:cs="Times New Roman"/>
          <w:noProof/>
          <w:sz w:val="24"/>
          <w:szCs w:val="24"/>
          <w:lang w:eastAsia="de-DE"/>
        </w:rPr>
        <w:t>M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obility </w:t>
      </w:r>
      <w:r w:rsidR="007F0EC6">
        <w:rPr>
          <w:rFonts w:ascii="Times New Roman" w:hAnsi="Times New Roman" w:cs="Times New Roman"/>
          <w:noProof/>
          <w:sz w:val="24"/>
          <w:szCs w:val="24"/>
          <w:lang w:eastAsia="de-DE"/>
        </w:rPr>
        <w:t>S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>trategy</w:t>
      </w:r>
      <w:r w:rsidR="008A58B4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F24B5E">
        <w:rPr>
          <w:rFonts w:ascii="Times New Roman" w:hAnsi="Times New Roman"/>
          <w:noProof/>
          <w:sz w:val="24"/>
          <w:szCs w:val="24"/>
          <w:lang w:eastAsia="de-DE"/>
        </w:rPr>
        <w:t>(2020</w:t>
      </w:r>
      <w:r w:rsidR="007F0EC6">
        <w:rPr>
          <w:rFonts w:ascii="Times New Roman" w:hAnsi="Times New Roman"/>
          <w:noProof/>
          <w:sz w:val="24"/>
          <w:szCs w:val="24"/>
          <w:lang w:eastAsia="de-DE"/>
        </w:rPr>
        <w:t>-</w:t>
      </w:r>
      <w:r w:rsidR="00F24B5E">
        <w:rPr>
          <w:rFonts w:ascii="Times New Roman" w:hAnsi="Times New Roman"/>
          <w:noProof/>
          <w:sz w:val="24"/>
          <w:szCs w:val="24"/>
          <w:lang w:eastAsia="de-DE"/>
        </w:rPr>
        <w:t xml:space="preserve">2050 targets) </w:t>
      </w:r>
      <w:r w:rsidR="008A58B4">
        <w:rPr>
          <w:rFonts w:ascii="Times New Roman" w:hAnsi="Times New Roman" w:cs="Times New Roman"/>
          <w:noProof/>
          <w:sz w:val="24"/>
          <w:szCs w:val="24"/>
          <w:lang w:eastAsia="de-DE"/>
        </w:rPr>
        <w:t>(</w:t>
      </w:r>
      <w:r w:rsidR="00A5644E">
        <w:rPr>
          <w:rStyle w:val="FootnoteReference"/>
          <w:rFonts w:ascii="Times New Roman" w:hAnsi="Times New Roman" w:cs="Times New Roman"/>
          <w:noProof/>
          <w:sz w:val="24"/>
          <w:szCs w:val="24"/>
          <w:lang w:eastAsia="de-DE"/>
        </w:rPr>
        <w:footnoteReference w:id="4"/>
      </w:r>
      <w:r w:rsidR="008A58B4">
        <w:rPr>
          <w:rFonts w:ascii="Times New Roman" w:hAnsi="Times New Roman" w:cs="Times New Roman"/>
          <w:noProof/>
          <w:sz w:val="24"/>
          <w:szCs w:val="24"/>
          <w:lang w:eastAsia="de-DE"/>
        </w:rPr>
        <w:t>)</w:t>
      </w:r>
      <w:r w:rsidR="00EC736F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8A58B4">
        <w:rPr>
          <w:rFonts w:ascii="Times New Roman" w:hAnsi="Times New Roman"/>
          <w:noProof/>
          <w:sz w:val="24"/>
          <w:szCs w:val="24"/>
          <w:lang w:eastAsia="de-DE"/>
        </w:rPr>
        <w:t>and other</w:t>
      </w:r>
      <w:r w:rsidR="008A58B4" w:rsidRPr="00903D5C">
        <w:rPr>
          <w:rFonts w:ascii="Times New Roman" w:hAnsi="Times New Roman"/>
          <w:noProof/>
          <w:sz w:val="24"/>
          <w:szCs w:val="24"/>
          <w:lang w:eastAsia="de-DE"/>
        </w:rPr>
        <w:t xml:space="preserve"> policy initiatives</w:t>
      </w:r>
      <w:r w:rsidR="002019B6">
        <w:rPr>
          <w:rFonts w:ascii="Times New Roman" w:hAnsi="Times New Roman"/>
          <w:noProof/>
          <w:sz w:val="24"/>
          <w:szCs w:val="24"/>
          <w:lang w:eastAsia="de-DE"/>
        </w:rPr>
        <w:t>,</w:t>
      </w:r>
      <w:r w:rsidR="00B74A1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EC736F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such as </w:t>
      </w:r>
      <w:r w:rsidR="00EC736F">
        <w:rPr>
          <w:rFonts w:ascii="Times New Roman" w:hAnsi="Times New Roman"/>
          <w:noProof/>
          <w:sz w:val="24"/>
          <w:szCs w:val="24"/>
          <w:lang w:eastAsia="de-DE"/>
        </w:rPr>
        <w:t>t</w:t>
      </w:r>
      <w:r w:rsidR="00EC736F" w:rsidRPr="00E201C5">
        <w:rPr>
          <w:rFonts w:ascii="Times New Roman" w:hAnsi="Times New Roman"/>
          <w:noProof/>
          <w:sz w:val="24"/>
          <w:szCs w:val="24"/>
          <w:lang w:eastAsia="de-DE"/>
        </w:rPr>
        <w:t xml:space="preserve">he EU’s trans-European transport network </w:t>
      </w:r>
      <w:r w:rsidR="00EC736F">
        <w:rPr>
          <w:rFonts w:ascii="Times New Roman" w:hAnsi="Times New Roman"/>
          <w:noProof/>
          <w:sz w:val="24"/>
          <w:szCs w:val="24"/>
          <w:lang w:eastAsia="de-DE"/>
        </w:rPr>
        <w:t xml:space="preserve">(TEN-T) </w:t>
      </w:r>
      <w:r w:rsidR="00EC736F" w:rsidRPr="00E201C5">
        <w:rPr>
          <w:rFonts w:ascii="Times New Roman" w:hAnsi="Times New Roman"/>
          <w:noProof/>
          <w:sz w:val="24"/>
          <w:szCs w:val="24"/>
          <w:lang w:eastAsia="de-DE"/>
        </w:rPr>
        <w:t>policy</w:t>
      </w:r>
      <w:r w:rsidR="00EC736F">
        <w:rPr>
          <w:rFonts w:ascii="Times New Roman" w:hAnsi="Times New Roman"/>
          <w:noProof/>
          <w:sz w:val="24"/>
          <w:szCs w:val="24"/>
          <w:lang w:eastAsia="de-DE"/>
        </w:rPr>
        <w:t xml:space="preserve"> (</w:t>
      </w:r>
      <w:r w:rsidR="00EC736F">
        <w:rPr>
          <w:rStyle w:val="FootnoteReference"/>
          <w:rFonts w:ascii="Times New Roman" w:hAnsi="Times New Roman"/>
          <w:noProof/>
          <w:sz w:val="24"/>
          <w:szCs w:val="24"/>
          <w:lang w:eastAsia="de-DE"/>
        </w:rPr>
        <w:footnoteReference w:id="5"/>
      </w:r>
      <w:r w:rsidR="00EC736F">
        <w:rPr>
          <w:rFonts w:ascii="Times New Roman" w:hAnsi="Times New Roman"/>
          <w:noProof/>
          <w:sz w:val="24"/>
          <w:szCs w:val="24"/>
          <w:lang w:eastAsia="de-DE"/>
        </w:rPr>
        <w:t>)</w:t>
      </w:r>
      <w:r w:rsidR="004A6EA1">
        <w:rPr>
          <w:rFonts w:ascii="Times New Roman" w:hAnsi="Times New Roman"/>
          <w:noProof/>
          <w:sz w:val="24"/>
          <w:szCs w:val="24"/>
          <w:lang w:eastAsia="de-DE"/>
        </w:rPr>
        <w:t xml:space="preserve">, 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the </w:t>
      </w:r>
      <w:r w:rsidR="004A6EA1" w:rsidRPr="00B5710D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electronic 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>f</w:t>
      </w:r>
      <w:r w:rsidR="004A6EA1" w:rsidRPr="00B5710D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reight 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>t</w:t>
      </w:r>
      <w:r w:rsidR="004A6EA1" w:rsidRPr="00B5710D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ransport 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>i</w:t>
      </w:r>
      <w:r w:rsidR="004A6EA1" w:rsidRPr="00B5710D">
        <w:rPr>
          <w:rFonts w:ascii="Times New Roman" w:hAnsi="Times New Roman" w:cs="Times New Roman"/>
          <w:noProof/>
          <w:sz w:val="24"/>
          <w:szCs w:val="24"/>
          <w:lang w:eastAsia="de-DE"/>
        </w:rPr>
        <w:t>nformation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4A6EA1" w:rsidRPr="00B5710D">
        <w:rPr>
          <w:rFonts w:ascii="Times New Roman" w:hAnsi="Times New Roman" w:cs="Times New Roman"/>
          <w:noProof/>
          <w:sz w:val="24"/>
          <w:szCs w:val="24"/>
          <w:lang w:eastAsia="de-DE"/>
        </w:rPr>
        <w:t>(eFTI)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Regulation (</w:t>
      </w:r>
      <w:r w:rsidR="004A6EA1">
        <w:rPr>
          <w:rStyle w:val="FootnoteReference"/>
          <w:rFonts w:ascii="Times New Roman" w:hAnsi="Times New Roman" w:cs="Times New Roman"/>
          <w:noProof/>
          <w:sz w:val="24"/>
          <w:szCs w:val="24"/>
          <w:lang w:eastAsia="de-DE"/>
        </w:rPr>
        <w:footnoteReference w:id="6"/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), the </w:t>
      </w:r>
      <w:r w:rsidR="004E77A3">
        <w:rPr>
          <w:rFonts w:ascii="Times New Roman" w:hAnsi="Times New Roman" w:cs="Times New Roman"/>
          <w:noProof/>
          <w:sz w:val="24"/>
          <w:szCs w:val="24"/>
          <w:lang w:eastAsia="de-DE"/>
        </w:rPr>
        <w:t>EU’s h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>igh</w:t>
      </w:r>
      <w:r w:rsidR="004E77A3">
        <w:rPr>
          <w:rFonts w:ascii="Times New Roman" w:hAnsi="Times New Roman" w:cs="Times New Roman"/>
          <w:noProof/>
          <w:sz w:val="24"/>
          <w:szCs w:val="24"/>
          <w:lang w:eastAsia="de-DE"/>
        </w:rPr>
        <w:t>-s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peed </w:t>
      </w:r>
      <w:r w:rsidR="004E77A3">
        <w:rPr>
          <w:rFonts w:ascii="Times New Roman" w:hAnsi="Times New Roman" w:cs="Times New Roman"/>
          <w:noProof/>
          <w:sz w:val="24"/>
          <w:szCs w:val="24"/>
          <w:lang w:eastAsia="de-DE"/>
        </w:rPr>
        <w:t>rail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4E77A3">
        <w:rPr>
          <w:rFonts w:ascii="Times New Roman" w:hAnsi="Times New Roman" w:cs="Times New Roman"/>
          <w:noProof/>
          <w:sz w:val="24"/>
          <w:szCs w:val="24"/>
          <w:lang w:eastAsia="de-DE"/>
        </w:rPr>
        <w:t>p</w:t>
      </w:r>
      <w:r w:rsidR="004A6EA1">
        <w:rPr>
          <w:rFonts w:ascii="Times New Roman" w:hAnsi="Times New Roman" w:cs="Times New Roman"/>
          <w:noProof/>
          <w:sz w:val="24"/>
          <w:szCs w:val="24"/>
          <w:lang w:eastAsia="de-DE"/>
        </w:rPr>
        <w:t>lan</w:t>
      </w:r>
      <w:r w:rsidR="009056B9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(</w:t>
      </w:r>
      <w:r w:rsidR="004A6EA1">
        <w:rPr>
          <w:rStyle w:val="FootnoteReference"/>
          <w:rFonts w:ascii="Times New Roman" w:hAnsi="Times New Roman" w:cs="Times New Roman"/>
          <w:noProof/>
          <w:sz w:val="24"/>
          <w:szCs w:val="24"/>
          <w:lang w:eastAsia="de-DE"/>
        </w:rPr>
        <w:footnoteReference w:id="7"/>
      </w:r>
      <w:r w:rsidR="009056B9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) </w:t>
      </w:r>
      <w:r w:rsidR="00EC736F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and policies on </w:t>
      </w:r>
      <w:r w:rsidR="00EC736F" w:rsidRPr="002019B6">
        <w:rPr>
          <w:rFonts w:ascii="Times New Roman" w:hAnsi="Times New Roman" w:cs="Times New Roman"/>
          <w:noProof/>
          <w:sz w:val="24"/>
          <w:szCs w:val="24"/>
          <w:lang w:eastAsia="de-DE"/>
        </w:rPr>
        <w:t>the use of railway infrastructure capacity in the single European railway area</w:t>
      </w:r>
      <w:r w:rsidR="00EC736F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(</w:t>
      </w:r>
      <w:r w:rsidR="00EC736F">
        <w:rPr>
          <w:rStyle w:val="FootnoteReference"/>
          <w:rFonts w:ascii="Times New Roman" w:hAnsi="Times New Roman" w:cs="Times New Roman"/>
          <w:noProof/>
          <w:sz w:val="24"/>
          <w:szCs w:val="24"/>
          <w:lang w:eastAsia="de-DE"/>
        </w:rPr>
        <w:footnoteReference w:id="8"/>
      </w:r>
      <w:r w:rsidR="00EC736F">
        <w:rPr>
          <w:rFonts w:ascii="Times New Roman" w:hAnsi="Times New Roman" w:cs="Times New Roman"/>
          <w:noProof/>
          <w:sz w:val="24"/>
          <w:szCs w:val="24"/>
          <w:lang w:eastAsia="de-DE"/>
        </w:rPr>
        <w:t>)</w:t>
      </w:r>
      <w:r w:rsidR="002019B6">
        <w:rPr>
          <w:rFonts w:ascii="Times New Roman" w:hAnsi="Times New Roman" w:cs="Times New Roman"/>
          <w:noProof/>
          <w:sz w:val="24"/>
          <w:szCs w:val="24"/>
          <w:lang w:eastAsia="de-DE"/>
        </w:rPr>
        <w:t>,</w:t>
      </w:r>
      <w:r w:rsidR="00EC736F" w:rsidRPr="00EC736F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 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may </w:t>
      </w:r>
      <w:r w:rsidR="00B74A1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in the future 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require the Commission to adopt delegated acts </w:t>
      </w:r>
      <w:r w:rsidR="00B74A11">
        <w:rPr>
          <w:rFonts w:ascii="Times New Roman" w:hAnsi="Times New Roman" w:cs="Times New Roman"/>
          <w:noProof/>
          <w:sz w:val="24"/>
          <w:szCs w:val="24"/>
          <w:lang w:eastAsia="de-DE"/>
        </w:rPr>
        <w:t xml:space="preserve">in order to adapt or supplement the </w:t>
      </w:r>
      <w:r w:rsidR="00A5644E">
        <w:rPr>
          <w:rFonts w:ascii="Times New Roman" w:hAnsi="Times New Roman" w:cs="Times New Roman"/>
          <w:noProof/>
          <w:sz w:val="24"/>
          <w:szCs w:val="24"/>
          <w:lang w:eastAsia="de-DE"/>
        </w:rPr>
        <w:t>technical definitions in Regulation (EU) 2018/643.</w:t>
      </w:r>
    </w:p>
    <w:p w14:paraId="1D8C0A25" w14:textId="77777777" w:rsidR="00ED3E19" w:rsidRDefault="00ED3E19" w:rsidP="002F00E0">
      <w:pPr>
        <w:tabs>
          <w:tab w:val="left" w:pos="142"/>
        </w:tabs>
        <w:spacing w:after="240" w:line="240" w:lineRule="auto"/>
        <w:jc w:val="both"/>
        <w:rPr>
          <w:rFonts w:ascii="Times New Roman" w:hAnsi="Times New Roman" w:cs="Times New Roman"/>
          <w:noProof/>
        </w:rPr>
      </w:pPr>
    </w:p>
    <w:p w14:paraId="3A4AF0A1" w14:textId="42B243AE" w:rsidR="004A6EA1" w:rsidRDefault="004A6EA1" w:rsidP="002F00E0">
      <w:pPr>
        <w:tabs>
          <w:tab w:val="left" w:pos="142"/>
        </w:tabs>
        <w:spacing w:after="240" w:line="240" w:lineRule="auto"/>
        <w:jc w:val="both"/>
        <w:rPr>
          <w:rFonts w:ascii="Times New Roman" w:hAnsi="Times New Roman" w:cs="Times New Roman"/>
          <w:noProof/>
        </w:rPr>
      </w:pPr>
    </w:p>
    <w:sectPr w:rsidR="004A6EA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8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F2340" w14:textId="77777777" w:rsidR="002751D9" w:rsidRDefault="002751D9">
      <w:pPr>
        <w:spacing w:after="0" w:line="240" w:lineRule="auto"/>
      </w:pPr>
      <w:r>
        <w:separator/>
      </w:r>
    </w:p>
  </w:endnote>
  <w:endnote w:type="continuationSeparator" w:id="0">
    <w:p w14:paraId="6B4FD95D" w14:textId="77777777" w:rsidR="002751D9" w:rsidRDefault="00275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D0DF9" w14:textId="4D8C4540" w:rsidR="00D44CAF" w:rsidRPr="00D44CAF" w:rsidRDefault="00D44CAF" w:rsidP="00D44CAF">
    <w:pPr>
      <w:pStyle w:val="FooterCoverPage"/>
      <w:rPr>
        <w:rFonts w:ascii="Arial" w:hAnsi="Arial" w:cs="Arial"/>
        <w:b/>
        <w:sz w:val="48"/>
      </w:rPr>
    </w:pPr>
    <w:r w:rsidRPr="00D44CAF">
      <w:rPr>
        <w:rFonts w:ascii="Arial" w:hAnsi="Arial" w:cs="Arial"/>
        <w:b/>
        <w:sz w:val="48"/>
      </w:rPr>
      <w:t>EN</w:t>
    </w:r>
    <w:r w:rsidRPr="00D44CAF">
      <w:rPr>
        <w:rFonts w:ascii="Arial" w:hAnsi="Arial" w:cs="Arial"/>
        <w:b/>
        <w:sz w:val="48"/>
      </w:rPr>
      <w:tab/>
    </w:r>
    <w:r w:rsidRPr="00D44CAF">
      <w:rPr>
        <w:rFonts w:ascii="Arial" w:hAnsi="Arial" w:cs="Arial"/>
        <w:b/>
        <w:sz w:val="48"/>
      </w:rPr>
      <w:tab/>
    </w:r>
    <w:r w:rsidRPr="00D44CAF">
      <w:tab/>
    </w:r>
    <w:r w:rsidRPr="00D44CAF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167D5" w14:textId="6FE2ABFA" w:rsidR="00D44CAF" w:rsidRPr="00D44CAF" w:rsidRDefault="00D44CAF" w:rsidP="00D44CAF">
    <w:pPr>
      <w:pStyle w:val="FooterCoverPage"/>
      <w:rPr>
        <w:rFonts w:ascii="Arial" w:hAnsi="Arial" w:cs="Arial"/>
        <w:b/>
        <w:sz w:val="48"/>
      </w:rPr>
    </w:pPr>
    <w:r w:rsidRPr="00D44CAF">
      <w:rPr>
        <w:rFonts w:ascii="Arial" w:hAnsi="Arial" w:cs="Arial"/>
        <w:b/>
        <w:sz w:val="48"/>
      </w:rPr>
      <w:t>EN</w:t>
    </w:r>
    <w:r w:rsidRPr="00D44CAF">
      <w:rPr>
        <w:rFonts w:ascii="Arial" w:hAnsi="Arial" w:cs="Arial"/>
        <w:b/>
        <w:sz w:val="48"/>
      </w:rPr>
      <w:tab/>
    </w:r>
    <w:r w:rsidRPr="00D44CAF">
      <w:rPr>
        <w:rFonts w:ascii="Arial" w:hAnsi="Arial" w:cs="Arial"/>
        <w:b/>
        <w:sz w:val="48"/>
      </w:rPr>
      <w:tab/>
    </w:r>
    <w:r w:rsidRPr="00D44CAF">
      <w:tab/>
    </w:r>
    <w:r w:rsidRPr="00D44CAF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8672A" w14:textId="77777777" w:rsidR="00D44CAF" w:rsidRPr="00D44CAF" w:rsidRDefault="00D44CAF" w:rsidP="00D44CAF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FD07E" w14:textId="77777777" w:rsidR="00ED3E19" w:rsidRDefault="00ED3E1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706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763D87" w14:textId="3C9455C1" w:rsidR="00ED3E19" w:rsidRDefault="00A5644E">
        <w:pPr>
          <w:pStyle w:val="Footer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D44CAF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7233724" w14:textId="77777777" w:rsidR="00ED3E19" w:rsidRDefault="00ED3E1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745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B40B25" w14:textId="1759B63A" w:rsidR="00ED3E19" w:rsidRDefault="00A5644E">
        <w:pPr>
          <w:pStyle w:val="Footer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D44CAF"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81C7165" w14:textId="77777777" w:rsidR="00ED3E19" w:rsidRDefault="00ED3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59189" w14:textId="77777777" w:rsidR="002751D9" w:rsidRDefault="002751D9">
      <w:pPr>
        <w:spacing w:after="0" w:line="240" w:lineRule="auto"/>
      </w:pPr>
      <w:r>
        <w:separator/>
      </w:r>
    </w:p>
  </w:footnote>
  <w:footnote w:type="continuationSeparator" w:id="0">
    <w:p w14:paraId="4E1BC7C5" w14:textId="77777777" w:rsidR="002751D9" w:rsidRDefault="002751D9">
      <w:pPr>
        <w:spacing w:after="0" w:line="240" w:lineRule="auto"/>
      </w:pPr>
      <w:r>
        <w:continuationSeparator/>
      </w:r>
    </w:p>
  </w:footnote>
  <w:footnote w:id="1">
    <w:p w14:paraId="3596447E" w14:textId="30A594AE" w:rsidR="00ED3E19" w:rsidRPr="00817E34" w:rsidRDefault="00A5644E" w:rsidP="00A0743E">
      <w:pPr>
        <w:spacing w:before="60" w:after="0"/>
        <w:rPr>
          <w:rStyle w:val="Hyperlink"/>
          <w:rFonts w:ascii="Times New Roman" w:hAnsi="Times New Roman" w:cs="Times New Roman"/>
          <w:bCs/>
          <w:color w:val="000000"/>
          <w:sz w:val="20"/>
          <w:szCs w:val="20"/>
          <w:u w:val="none"/>
          <w:lang w:val="en-US"/>
        </w:rPr>
      </w:pPr>
      <w:r w:rsidRPr="0062530C">
        <w:rPr>
          <w:rStyle w:val="FootnoteReference"/>
          <w:rFonts w:cstheme="minorHAnsi"/>
          <w:sz w:val="20"/>
          <w:szCs w:val="20"/>
        </w:rPr>
        <w:footnoteRef/>
      </w:r>
      <w:r w:rsidRPr="0062530C">
        <w:rPr>
          <w:rFonts w:cstheme="minorHAnsi"/>
          <w:bCs/>
          <w:color w:val="000000"/>
          <w:sz w:val="20"/>
          <w:szCs w:val="20"/>
          <w:lang w:val="en-US"/>
        </w:rPr>
        <w:t xml:space="preserve"> </w:t>
      </w:r>
      <w:r w:rsidRPr="00817E34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Regulation (EU) 2018/643 of the European Parliament and of the Council of 18 April 2018 on rail transport statistics (OJ L 112, 2.5.2018, p. 1</w:t>
      </w:r>
      <w:r w:rsidR="00232D90" w:rsidRPr="004A2DD4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; </w:t>
      </w:r>
      <w:r w:rsidR="00232D90" w:rsidRPr="00817E34">
        <w:rPr>
          <w:rFonts w:ascii="Times New Roman" w:hAnsi="Times New Roman" w:cs="Times New Roman"/>
          <w:bCs/>
          <w:color w:val="000000"/>
          <w:sz w:val="20"/>
          <w:szCs w:val="20"/>
        </w:rPr>
        <w:t>ELI: </w:t>
      </w:r>
      <w:hyperlink r:id="rId1" w:tooltip="Gives access to this document through its ELI URI." w:history="1">
        <w:r w:rsidR="00232D90" w:rsidRPr="00817E34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http://data.europa.eu/eli/reg/2018/643/oj</w:t>
        </w:r>
      </w:hyperlink>
      <w:r w:rsidRPr="00817E34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).</w:t>
      </w:r>
    </w:p>
  </w:footnote>
  <w:footnote w:id="2">
    <w:p w14:paraId="60CE5F0D" w14:textId="680707CF" w:rsidR="00ED3E19" w:rsidRPr="003C239E" w:rsidRDefault="00A5644E" w:rsidP="00472CD7">
      <w:pPr>
        <w:pStyle w:val="FootnoteText"/>
        <w:spacing w:before="60" w:after="0"/>
        <w:rPr>
          <w:rStyle w:val="Hyperlink"/>
          <w:rFonts w:ascii="Times New Roman" w:hAnsi="Times New Roman"/>
          <w:color w:val="auto"/>
          <w:u w:val="none"/>
          <w:lang w:val="pl-PL"/>
        </w:rPr>
      </w:pPr>
      <w:r w:rsidRPr="0062530C">
        <w:rPr>
          <w:rStyle w:val="FootnoteReference"/>
          <w:rFonts w:asciiTheme="minorHAnsi" w:hAnsiTheme="minorHAnsi" w:cstheme="minorHAnsi"/>
        </w:rPr>
        <w:footnoteRef/>
      </w:r>
      <w:r w:rsidRPr="003C239E">
        <w:rPr>
          <w:rFonts w:ascii="Times New Roman" w:hAnsi="Times New Roman"/>
          <w:lang w:val="pl-PL"/>
        </w:rPr>
        <w:t xml:space="preserve"> </w:t>
      </w:r>
      <w:r w:rsidR="00472CD7" w:rsidRPr="00617205">
        <w:rPr>
          <w:rFonts w:ascii="Times New Roman" w:hAnsi="Times New Roman"/>
        </w:rPr>
        <w:t>Interinstitutional Agreement between the European Parliament, the Council of the European Union and the European Commission on Better Law-Making (</w:t>
      </w:r>
      <w:r w:rsidR="00472CD7" w:rsidRPr="00617205">
        <w:rPr>
          <w:rFonts w:ascii="Times New Roman" w:hAnsi="Times New Roman"/>
          <w:lang w:val="de-DE"/>
        </w:rPr>
        <w:t xml:space="preserve">OJ L 123, 12.5.2016, p. 1; ELI: </w:t>
      </w:r>
      <w:hyperlink r:id="rId2" w:history="1">
        <w:r w:rsidR="00472CD7" w:rsidRPr="00617205">
          <w:rPr>
            <w:rStyle w:val="Hyperlink"/>
            <w:rFonts w:ascii="Times New Roman" w:hAnsi="Times New Roman"/>
            <w:lang w:val="de-DE"/>
          </w:rPr>
          <w:t>http://data.europa.eu/eli/agree_interinstit/2016/512/oj</w:t>
        </w:r>
      </w:hyperlink>
      <w:r w:rsidR="00472CD7" w:rsidRPr="00617205">
        <w:rPr>
          <w:rFonts w:ascii="Times New Roman" w:hAnsi="Times New Roman"/>
        </w:rPr>
        <w:t>)</w:t>
      </w:r>
      <w:r w:rsidR="00472CD7" w:rsidRPr="00617205">
        <w:rPr>
          <w:rFonts w:ascii="Times New Roman" w:hAnsi="Times New Roman"/>
          <w:lang w:val="de-DE"/>
        </w:rPr>
        <w:t>.</w:t>
      </w:r>
    </w:p>
  </w:footnote>
  <w:footnote w:id="3">
    <w:p w14:paraId="0959ECB9" w14:textId="7D60EE80" w:rsidR="0053043B" w:rsidRPr="009D39D8" w:rsidRDefault="0053043B" w:rsidP="00472CD7">
      <w:pPr>
        <w:pStyle w:val="FootnoteText"/>
        <w:spacing w:before="60" w:after="0"/>
        <w:rPr>
          <w:rFonts w:ascii="Times New Roman" w:hAnsi="Times New Roman"/>
          <w:lang w:val="en-IE"/>
        </w:rPr>
      </w:pPr>
      <w:r w:rsidRPr="0062530C">
        <w:rPr>
          <w:rStyle w:val="FootnoteReference"/>
          <w:rFonts w:asciiTheme="minorHAnsi" w:hAnsiTheme="minorHAnsi" w:cstheme="minorHAnsi"/>
        </w:rPr>
        <w:footnoteRef/>
      </w:r>
      <w:r w:rsidRPr="003C239E">
        <w:rPr>
          <w:rFonts w:ascii="Times New Roman" w:hAnsi="Times New Roman"/>
        </w:rPr>
        <w:t xml:space="preserve"> </w:t>
      </w:r>
      <w:r w:rsidRPr="00817E34">
        <w:rPr>
          <w:rFonts w:ascii="Times New Roman" w:hAnsi="Times New Roman"/>
        </w:rPr>
        <w:t>Report from the Commission to the European Parliament and the Council on the exercise of the power to adopt delegated acts conferred on the Commission pursuant to Regulation (EU) 2018/643 on rail transport statistics</w:t>
      </w:r>
      <w:r w:rsidR="002620E0" w:rsidRPr="00817E34">
        <w:rPr>
          <w:rFonts w:ascii="Times New Roman" w:hAnsi="Times New Roman"/>
        </w:rPr>
        <w:t xml:space="preserve"> (</w:t>
      </w:r>
      <w:r w:rsidRPr="00817E34">
        <w:rPr>
          <w:rFonts w:ascii="Times New Roman" w:hAnsi="Times New Roman"/>
        </w:rPr>
        <w:t>COM</w:t>
      </w:r>
      <w:r w:rsidR="002620E0" w:rsidRPr="00817E34">
        <w:rPr>
          <w:rFonts w:ascii="Times New Roman" w:hAnsi="Times New Roman"/>
        </w:rPr>
        <w:t>(</w:t>
      </w:r>
      <w:r w:rsidRPr="00817E34">
        <w:rPr>
          <w:rFonts w:ascii="Times New Roman" w:hAnsi="Times New Roman"/>
        </w:rPr>
        <w:t>2021</w:t>
      </w:r>
      <w:r w:rsidR="002620E0" w:rsidRPr="00817E34">
        <w:rPr>
          <w:rFonts w:ascii="Times New Roman" w:hAnsi="Times New Roman"/>
        </w:rPr>
        <w:t xml:space="preserve">) </w:t>
      </w:r>
      <w:r w:rsidRPr="00817E34">
        <w:rPr>
          <w:rFonts w:ascii="Times New Roman" w:hAnsi="Times New Roman"/>
        </w:rPr>
        <w:t>98 final</w:t>
      </w:r>
      <w:r w:rsidR="002620E0" w:rsidRPr="00817E34">
        <w:rPr>
          <w:rFonts w:ascii="Times New Roman" w:hAnsi="Times New Roman"/>
        </w:rPr>
        <w:t>, 2.3.2021</w:t>
      </w:r>
      <w:r w:rsidR="00817E34" w:rsidRPr="00817E34">
        <w:rPr>
          <w:rFonts w:ascii="Times New Roman" w:hAnsi="Times New Roman"/>
        </w:rPr>
        <w:t xml:space="preserve">; </w:t>
      </w:r>
      <w:r w:rsidR="00E73855">
        <w:rPr>
          <w:rFonts w:ascii="Times New Roman" w:hAnsi="Times New Roman"/>
        </w:rPr>
        <w:br/>
      </w:r>
      <w:hyperlink r:id="rId3" w:history="1">
        <w:r w:rsidR="00A83AA6">
          <w:rPr>
            <w:rStyle w:val="Hyperlink"/>
            <w:rFonts w:ascii="Times New Roman" w:hAnsi="Times New Roman"/>
          </w:rPr>
          <w:t>https://eur-lex.europa.eu/legal-content/TXT/?uri=CELEX%3A52021DC0098</w:t>
        </w:r>
      </w:hyperlink>
      <w:r w:rsidR="002620E0" w:rsidRPr="00817E34">
        <w:rPr>
          <w:rFonts w:ascii="Times New Roman" w:hAnsi="Times New Roman"/>
        </w:rPr>
        <w:t>)</w:t>
      </w:r>
      <w:r w:rsidRPr="00817E34">
        <w:rPr>
          <w:rFonts w:ascii="Times New Roman" w:hAnsi="Times New Roman"/>
        </w:rPr>
        <w:t>.</w:t>
      </w:r>
    </w:p>
  </w:footnote>
  <w:footnote w:id="4">
    <w:p w14:paraId="68216849" w14:textId="58C77131" w:rsidR="00ED3E19" w:rsidRPr="003C239E" w:rsidRDefault="00A5644E" w:rsidP="00A0743E">
      <w:pPr>
        <w:pStyle w:val="FootnoteText"/>
        <w:spacing w:before="60" w:after="0"/>
        <w:rPr>
          <w:rFonts w:ascii="Times New Roman" w:hAnsi="Times New Roman"/>
        </w:rPr>
      </w:pPr>
      <w:r w:rsidRPr="0062530C">
        <w:rPr>
          <w:rFonts w:asciiTheme="minorHAnsi" w:hAnsiTheme="minorHAnsi" w:cstheme="minorHAnsi"/>
          <w:vertAlign w:val="superscript"/>
        </w:rPr>
        <w:footnoteRef/>
      </w:r>
      <w:r w:rsidRPr="003C239E">
        <w:rPr>
          <w:rFonts w:ascii="Times New Roman" w:hAnsi="Times New Roman"/>
        </w:rPr>
        <w:t xml:space="preserve"> </w:t>
      </w:r>
      <w:r w:rsidRPr="00E73855">
        <w:rPr>
          <w:rFonts w:ascii="Times New Roman" w:hAnsi="Times New Roman"/>
        </w:rPr>
        <w:t>COM(2020) 789 final</w:t>
      </w:r>
      <w:r w:rsidR="00462814" w:rsidRPr="00E73855">
        <w:rPr>
          <w:rFonts w:ascii="Times New Roman" w:hAnsi="Times New Roman"/>
        </w:rPr>
        <w:t>, 9.12.2020</w:t>
      </w:r>
      <w:r w:rsidR="00F31438" w:rsidRPr="00E73855">
        <w:rPr>
          <w:rFonts w:ascii="Times New Roman" w:hAnsi="Times New Roman"/>
        </w:rPr>
        <w:t xml:space="preserve">; </w:t>
      </w:r>
      <w:r w:rsidR="00E73855" w:rsidRPr="00E73855">
        <w:rPr>
          <w:rFonts w:ascii="Times New Roman" w:hAnsi="Times New Roman"/>
        </w:rPr>
        <w:br/>
      </w:r>
      <w:hyperlink r:id="rId4" w:history="1">
        <w:r w:rsidR="00A83AA6">
          <w:rPr>
            <w:rStyle w:val="Hyperlink"/>
            <w:rFonts w:ascii="Times New Roman" w:hAnsi="Times New Roman"/>
          </w:rPr>
          <w:t>https://eur-lex.europa.eu/legal-content/TXT/?uri=CELEX%3A52020DC0789</w:t>
        </w:r>
      </w:hyperlink>
      <w:r w:rsidRPr="00E73855">
        <w:rPr>
          <w:rFonts w:ascii="Times New Roman" w:hAnsi="Times New Roman"/>
        </w:rPr>
        <w:t>.</w:t>
      </w:r>
    </w:p>
  </w:footnote>
  <w:footnote w:id="5">
    <w:p w14:paraId="157B16A7" w14:textId="58E557AD" w:rsidR="00EC736F" w:rsidRDefault="00EC736F" w:rsidP="00A0743E">
      <w:pPr>
        <w:pStyle w:val="FootnoteText"/>
        <w:spacing w:before="60" w:after="60"/>
      </w:pPr>
      <w:r>
        <w:rPr>
          <w:rStyle w:val="FootnoteReference"/>
        </w:rPr>
        <w:footnoteRef/>
      </w:r>
      <w:r>
        <w:t xml:space="preserve"> </w:t>
      </w:r>
      <w:r w:rsidRPr="0076226E">
        <w:rPr>
          <w:rFonts w:ascii="Times New Roman" w:hAnsi="Times New Roman"/>
        </w:rPr>
        <w:t>Regulation (EU) 2024/1679 of the European Parliament and of the Council of 13 June 2024 on Union guidelines for the development of the trans-European transport network, amending Regulations (EU) 2021/1153 and (EU) No 913/2010 and repealing Regulation (EU) No 1315/2013 (OJ L, 2024/1679, 28.6.2024</w:t>
      </w:r>
      <w:r w:rsidR="00E0206E">
        <w:rPr>
          <w:rFonts w:ascii="Times New Roman" w:hAnsi="Times New Roman"/>
        </w:rPr>
        <w:t>;</w:t>
      </w:r>
      <w:r w:rsidRPr="0076226E">
        <w:rPr>
          <w:rFonts w:ascii="Times New Roman" w:hAnsi="Times New Roman"/>
        </w:rPr>
        <w:t xml:space="preserve"> ELI: </w:t>
      </w:r>
      <w:hyperlink r:id="rId5" w:tgtFrame="_blank" w:tooltip="Gives access to this document through its ELI URI." w:history="1">
        <w:r w:rsidRPr="0076226E">
          <w:rPr>
            <w:rStyle w:val="Hyperlink"/>
            <w:rFonts w:ascii="Times New Roman" w:hAnsi="Times New Roman"/>
          </w:rPr>
          <w:t>http://data.europa.eu/eli/reg/2024/1679/oj</w:t>
        </w:r>
      </w:hyperlink>
      <w:r w:rsidRPr="0076226E">
        <w:rPr>
          <w:rFonts w:ascii="Times New Roman" w:hAnsi="Times New Roman"/>
        </w:rPr>
        <w:t>)</w:t>
      </w:r>
      <w:r w:rsidR="0062530C">
        <w:rPr>
          <w:rFonts w:ascii="Times New Roman" w:hAnsi="Times New Roman"/>
        </w:rPr>
        <w:t>.</w:t>
      </w:r>
    </w:p>
  </w:footnote>
  <w:footnote w:id="6">
    <w:p w14:paraId="5AB6180A" w14:textId="1CFBF965" w:rsidR="004A6EA1" w:rsidRPr="00A0743E" w:rsidRDefault="004A6EA1" w:rsidP="00A0743E">
      <w:pPr>
        <w:pStyle w:val="FootnoteText"/>
        <w:spacing w:before="60" w:after="0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="009056B9" w:rsidRPr="00D375F6">
        <w:rPr>
          <w:rFonts w:ascii="Times New Roman" w:hAnsi="Times New Roman"/>
        </w:rPr>
        <w:t>Regulation (EU) 2020/1056 of the European Parliament and of the Council of 15 July 2020 on electronic freight transport information</w:t>
      </w:r>
      <w:r w:rsidR="009056B9" w:rsidRPr="006522A0">
        <w:rPr>
          <w:rFonts w:ascii="Times New Roman" w:hAnsi="Times New Roman"/>
        </w:rPr>
        <w:t xml:space="preserve"> </w:t>
      </w:r>
      <w:r w:rsidR="009056B9" w:rsidRPr="00D375F6">
        <w:rPr>
          <w:rFonts w:ascii="Times New Roman" w:hAnsi="Times New Roman"/>
        </w:rPr>
        <w:t>(OJ L 249, 31.7.2020, p. 33; ELI: </w:t>
      </w:r>
      <w:hyperlink r:id="rId6" w:tooltip="Gives access to this document through its ELI URI." w:history="1">
        <w:r w:rsidR="009056B9" w:rsidRPr="00D375F6">
          <w:rPr>
            <w:rStyle w:val="Hyperlink"/>
            <w:rFonts w:ascii="Times New Roman" w:hAnsi="Times New Roman"/>
          </w:rPr>
          <w:t>http://data.europa.eu/eli/reg/2020/1056/oj</w:t>
        </w:r>
      </w:hyperlink>
      <w:r w:rsidR="009056B9" w:rsidRPr="00D375F6">
        <w:rPr>
          <w:rFonts w:ascii="Times New Roman" w:hAnsi="Times New Roman"/>
        </w:rPr>
        <w:t>)</w:t>
      </w:r>
      <w:r w:rsidR="009056B9">
        <w:rPr>
          <w:rFonts w:ascii="Times New Roman" w:hAnsi="Times New Roman"/>
        </w:rPr>
        <w:t>.</w:t>
      </w:r>
    </w:p>
  </w:footnote>
  <w:footnote w:id="7">
    <w:p w14:paraId="16C50BB5" w14:textId="3B8DA381" w:rsidR="004A6EA1" w:rsidRPr="00A0743E" w:rsidRDefault="004A6EA1" w:rsidP="00A0743E">
      <w:pPr>
        <w:pStyle w:val="FootnoteText"/>
        <w:spacing w:before="60" w:after="0"/>
        <w:rPr>
          <w:rFonts w:ascii="Times New Roman" w:hAnsi="Times New Roman"/>
          <w:lang w:val="en-IE"/>
        </w:rPr>
      </w:pPr>
      <w:r>
        <w:rPr>
          <w:rStyle w:val="FootnoteReference"/>
        </w:rPr>
        <w:footnoteRef/>
      </w:r>
      <w:r>
        <w:t xml:space="preserve"> </w:t>
      </w:r>
      <w:hyperlink r:id="rId7" w:history="1">
        <w:r w:rsidRPr="00A0743E">
          <w:rPr>
            <w:rStyle w:val="Hyperlink"/>
            <w:rFonts w:ascii="Times New Roman" w:hAnsi="Times New Roman"/>
          </w:rPr>
          <w:t>https://transport.ec.europa.eu/transport-modes/rail/high-speed-rail-plan_en</w:t>
        </w:r>
      </w:hyperlink>
      <w:r w:rsidRPr="00A0743E">
        <w:rPr>
          <w:rFonts w:ascii="Times New Roman" w:hAnsi="Times New Roman"/>
        </w:rPr>
        <w:t xml:space="preserve"> (Available only in English).</w:t>
      </w:r>
    </w:p>
  </w:footnote>
  <w:footnote w:id="8">
    <w:p w14:paraId="23C449E4" w14:textId="2FBCA106" w:rsidR="00EC736F" w:rsidRDefault="00EC736F" w:rsidP="00A0743E">
      <w:pPr>
        <w:pStyle w:val="FootnoteText"/>
        <w:spacing w:before="60" w:after="0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 w:rsidRPr="002019B6">
        <w:rPr>
          <w:rFonts w:ascii="Times New Roman" w:hAnsi="Times New Roman"/>
        </w:rPr>
        <w:t>COM(2023) 443 final, 11.7.2023;</w:t>
      </w:r>
    </w:p>
    <w:p w14:paraId="54F1F401" w14:textId="4640CEC6" w:rsidR="00EC736F" w:rsidRDefault="00D44CAF" w:rsidP="00A0743E">
      <w:pPr>
        <w:pStyle w:val="FootnoteText"/>
      </w:pPr>
      <w:hyperlink r:id="rId8" w:history="1">
        <w:r w:rsidR="008D3B33" w:rsidRPr="00D061CA">
          <w:rPr>
            <w:rStyle w:val="Hyperlink"/>
            <w:rFonts w:ascii="Times New Roman" w:hAnsi="Times New Roman"/>
          </w:rPr>
          <w:t>https://eur-lex.europa.eu/legal-content/EN/TXT/?uri=celex:52023PC0443</w:t>
        </w:r>
      </w:hyperlink>
      <w:r w:rsidR="0062530C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593F6" w14:textId="77777777" w:rsidR="00D44CAF" w:rsidRPr="00D44CAF" w:rsidRDefault="00D44CAF" w:rsidP="00D44CAF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40407" w14:textId="77777777" w:rsidR="00D44CAF" w:rsidRPr="00D44CAF" w:rsidRDefault="00D44CAF" w:rsidP="00D44CAF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B50E6" w14:textId="77777777" w:rsidR="00D44CAF" w:rsidRPr="00D44CAF" w:rsidRDefault="00D44CAF" w:rsidP="00D44CAF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EDA2C" w14:textId="77777777" w:rsidR="00ED3E19" w:rsidRDefault="00ED3E1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1758C" w14:textId="77777777" w:rsidR="00ED3E19" w:rsidRDefault="00ED3E1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CC328" w14:textId="77777777" w:rsidR="00ED3E19" w:rsidRDefault="00ED3E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610C4"/>
    <w:multiLevelType w:val="hybridMultilevel"/>
    <w:tmpl w:val="E15881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155F3"/>
    <w:multiLevelType w:val="hybridMultilevel"/>
    <w:tmpl w:val="2CAE6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AF2"/>
    <w:multiLevelType w:val="hybridMultilevel"/>
    <w:tmpl w:val="23CCC4EE"/>
    <w:lvl w:ilvl="0" w:tplc="01EC09CE">
      <w:start w:val="1"/>
      <w:numFmt w:val="bullet"/>
      <w:lvlText w:val=""/>
      <w:lvlJc w:val="left"/>
      <w:pPr>
        <w:ind w:left="22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3" w15:restartNumberingAfterBreak="0">
    <w:nsid w:val="355F3A3C"/>
    <w:multiLevelType w:val="hybridMultilevel"/>
    <w:tmpl w:val="0B1CA37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CA1B28"/>
    <w:multiLevelType w:val="hybridMultilevel"/>
    <w:tmpl w:val="3F1EBE02"/>
    <w:lvl w:ilvl="0" w:tplc="1809000B">
      <w:start w:val="1"/>
      <w:numFmt w:val="bullet"/>
      <w:lvlText w:val=""/>
      <w:lvlJc w:val="left"/>
      <w:pPr>
        <w:ind w:left="-23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</w:abstractNum>
  <w:abstractNum w:abstractNumId="5" w15:restartNumberingAfterBreak="0">
    <w:nsid w:val="50452026"/>
    <w:multiLevelType w:val="hybridMultilevel"/>
    <w:tmpl w:val="A028B11A"/>
    <w:lvl w:ilvl="0" w:tplc="F4B2E0B2">
      <w:numFmt w:val="bullet"/>
      <w:lvlText w:val="-"/>
      <w:lvlJc w:val="left"/>
      <w:pPr>
        <w:ind w:left="-231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</w:abstractNum>
  <w:abstractNum w:abstractNumId="6" w15:restartNumberingAfterBreak="0">
    <w:nsid w:val="66412804"/>
    <w:multiLevelType w:val="hybridMultilevel"/>
    <w:tmpl w:val="9906E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C207B"/>
    <w:multiLevelType w:val="hybridMultilevel"/>
    <w:tmpl w:val="6BA88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4883EB91-974C-46D6-9CFF-94249E0DC7B5"/>
    <w:docVar w:name="LW_COVERPAGE_TYPE" w:val="1"/>
    <w:docVar w:name="LW_CROSSREFERENCE" w:val="&lt;UNUSED&gt;"/>
    <w:docVar w:name="LW_DocType" w:val="NORMAL"/>
    <w:docVar w:name="LW_EMISSION" w:val="21.5.2026"/>
    <w:docVar w:name="LW_EMISSION_ISODATE" w:val="2026-05-21"/>
    <w:docVar w:name="LW_EMISSION_LOCATION" w:val="BRX"/>
    <w:docVar w:name="LW_EMISSION_PREFIX" w:val="Brussels, "/>
    <w:docVar w:name="LW_EMISSION_SUFFIX" w:val=" "/>
    <w:docVar w:name="LW_ID_DOCTYPE_NONLW" w:val="CP-006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6) 242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n exercising the power to adopt delegated acts conferred on the Commission pursuant to Regulation (EU) 2018/643 on rail transport statistics"/>
    <w:docVar w:name="LW_TYPE.DOC.CP" w:val="REPORT FROM THE COMMISSION TO THE EUROPEAN PARLIAMENT AND THE COUNCIL"/>
    <w:docVar w:name="LwApiVersions" w:val="LW4CoDe 1.24.5.0; LW 9.2, Build 20251112"/>
  </w:docVars>
  <w:rsids>
    <w:rsidRoot w:val="00ED3E19"/>
    <w:rsid w:val="00001B96"/>
    <w:rsid w:val="000164DD"/>
    <w:rsid w:val="00024461"/>
    <w:rsid w:val="0003326C"/>
    <w:rsid w:val="00063B4E"/>
    <w:rsid w:val="00067E9D"/>
    <w:rsid w:val="00117D6E"/>
    <w:rsid w:val="001208F6"/>
    <w:rsid w:val="00145FF0"/>
    <w:rsid w:val="00162E28"/>
    <w:rsid w:val="001D2BF5"/>
    <w:rsid w:val="001E44A5"/>
    <w:rsid w:val="002019B6"/>
    <w:rsid w:val="002137BB"/>
    <w:rsid w:val="00220B20"/>
    <w:rsid w:val="002322D5"/>
    <w:rsid w:val="00232D90"/>
    <w:rsid w:val="002620E0"/>
    <w:rsid w:val="002751D9"/>
    <w:rsid w:val="0028219B"/>
    <w:rsid w:val="002945D5"/>
    <w:rsid w:val="0029717D"/>
    <w:rsid w:val="002A13BF"/>
    <w:rsid w:val="002A3225"/>
    <w:rsid w:val="002C7C20"/>
    <w:rsid w:val="002D08C1"/>
    <w:rsid w:val="002E459F"/>
    <w:rsid w:val="002F00E0"/>
    <w:rsid w:val="0032314D"/>
    <w:rsid w:val="0035350C"/>
    <w:rsid w:val="003930A7"/>
    <w:rsid w:val="003C239E"/>
    <w:rsid w:val="003F6148"/>
    <w:rsid w:val="00401590"/>
    <w:rsid w:val="00424545"/>
    <w:rsid w:val="00430922"/>
    <w:rsid w:val="00462814"/>
    <w:rsid w:val="00472CD7"/>
    <w:rsid w:val="004A6EA1"/>
    <w:rsid w:val="004E77A3"/>
    <w:rsid w:val="0050435B"/>
    <w:rsid w:val="005127BB"/>
    <w:rsid w:val="0053043B"/>
    <w:rsid w:val="005871CC"/>
    <w:rsid w:val="005D2494"/>
    <w:rsid w:val="0060724E"/>
    <w:rsid w:val="006203FE"/>
    <w:rsid w:val="00625225"/>
    <w:rsid w:val="0062530C"/>
    <w:rsid w:val="006668B4"/>
    <w:rsid w:val="006778D6"/>
    <w:rsid w:val="0069342C"/>
    <w:rsid w:val="00696FEE"/>
    <w:rsid w:val="006D056C"/>
    <w:rsid w:val="006E6EAC"/>
    <w:rsid w:val="0070488F"/>
    <w:rsid w:val="007B1B64"/>
    <w:rsid w:val="007F0EC6"/>
    <w:rsid w:val="00817E34"/>
    <w:rsid w:val="00826EE9"/>
    <w:rsid w:val="00845849"/>
    <w:rsid w:val="00845A59"/>
    <w:rsid w:val="00856ECB"/>
    <w:rsid w:val="008922F3"/>
    <w:rsid w:val="00894BF4"/>
    <w:rsid w:val="008A58B4"/>
    <w:rsid w:val="008B01D6"/>
    <w:rsid w:val="008C210D"/>
    <w:rsid w:val="008D3B33"/>
    <w:rsid w:val="008D3BAF"/>
    <w:rsid w:val="009056B9"/>
    <w:rsid w:val="00921384"/>
    <w:rsid w:val="00934C42"/>
    <w:rsid w:val="009B40FD"/>
    <w:rsid w:val="009D39D8"/>
    <w:rsid w:val="009E5D6C"/>
    <w:rsid w:val="009F4C64"/>
    <w:rsid w:val="00A0743E"/>
    <w:rsid w:val="00A112DD"/>
    <w:rsid w:val="00A12B5D"/>
    <w:rsid w:val="00A13160"/>
    <w:rsid w:val="00A16902"/>
    <w:rsid w:val="00A407B6"/>
    <w:rsid w:val="00A4336E"/>
    <w:rsid w:val="00A5644E"/>
    <w:rsid w:val="00A641F1"/>
    <w:rsid w:val="00A803FB"/>
    <w:rsid w:val="00A83AA6"/>
    <w:rsid w:val="00AC2CDD"/>
    <w:rsid w:val="00AE5B39"/>
    <w:rsid w:val="00AE7753"/>
    <w:rsid w:val="00AF0FD4"/>
    <w:rsid w:val="00B13552"/>
    <w:rsid w:val="00B74A11"/>
    <w:rsid w:val="00BA2270"/>
    <w:rsid w:val="00BD34F0"/>
    <w:rsid w:val="00BE3759"/>
    <w:rsid w:val="00C15D53"/>
    <w:rsid w:val="00C24177"/>
    <w:rsid w:val="00C45C35"/>
    <w:rsid w:val="00CA3664"/>
    <w:rsid w:val="00CE29C0"/>
    <w:rsid w:val="00D32272"/>
    <w:rsid w:val="00D424F0"/>
    <w:rsid w:val="00D44CAF"/>
    <w:rsid w:val="00DD77C6"/>
    <w:rsid w:val="00E0206E"/>
    <w:rsid w:val="00E071C6"/>
    <w:rsid w:val="00E12BD7"/>
    <w:rsid w:val="00E13651"/>
    <w:rsid w:val="00E35B9E"/>
    <w:rsid w:val="00E45594"/>
    <w:rsid w:val="00E524E8"/>
    <w:rsid w:val="00E56084"/>
    <w:rsid w:val="00E73855"/>
    <w:rsid w:val="00EC736F"/>
    <w:rsid w:val="00ED3E19"/>
    <w:rsid w:val="00EF27D9"/>
    <w:rsid w:val="00F0372F"/>
    <w:rsid w:val="00F24B5E"/>
    <w:rsid w:val="00F31438"/>
    <w:rsid w:val="00F42D2D"/>
    <w:rsid w:val="00F87330"/>
    <w:rsid w:val="00FB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252B372"/>
  <w15:docId w15:val="{9F80187C-1483-451E-9746-BF6CB09B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eastAsiaTheme="minorHAnsi" w:hAnsi="Times New Roman" w:cs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117D6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semiHidden/>
    <w:unhideWhenUsed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Pr>
      <w:rFonts w:ascii="Calibri" w:eastAsia="Calibri" w:hAnsi="Calibri" w:cs="Times New Roman"/>
      <w:sz w:val="20"/>
      <w:szCs w:val="20"/>
      <w:lang w:eastAsia="en-US"/>
    </w:rPr>
  </w:style>
  <w:style w:type="character" w:styleId="FootnoteReference">
    <w:name w:val="footnote reference"/>
    <w:semiHidden/>
    <w:rPr>
      <w:shd w:val="clear" w:color="auto" w:fill="auto"/>
      <w:vertAlign w:val="superscript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0FD4"/>
    <w:pPr>
      <w:spacing w:after="0" w:line="240" w:lineRule="auto"/>
    </w:pPr>
  </w:style>
  <w:style w:type="paragraph" w:customStyle="1" w:styleId="SecurityMarking">
    <w:name w:val="SecurityMarking"/>
    <w:basedOn w:val="Normal"/>
    <w:rsid w:val="00117D6E"/>
    <w:pPr>
      <w:spacing w:after="0" w:line="276" w:lineRule="auto"/>
      <w:ind w:left="5103"/>
    </w:pPr>
    <w:rPr>
      <w:rFonts w:ascii="Times New Roman" w:eastAsiaTheme="minorHAnsi" w:hAnsi="Times New Roman" w:cs="Times New Roman"/>
      <w:sz w:val="28"/>
      <w:lang w:eastAsia="en-US"/>
    </w:rPr>
  </w:style>
  <w:style w:type="paragraph" w:customStyle="1" w:styleId="DateMarking">
    <w:name w:val="DateMarking"/>
    <w:basedOn w:val="Normal"/>
    <w:rsid w:val="00117D6E"/>
    <w:pPr>
      <w:spacing w:after="0" w:line="276" w:lineRule="auto"/>
      <w:ind w:left="5103"/>
    </w:pPr>
    <w:rPr>
      <w:rFonts w:ascii="Times New Roman" w:eastAsiaTheme="minorHAnsi" w:hAnsi="Times New Roman" w:cs="Times New Roman"/>
      <w:i/>
      <w:sz w:val="28"/>
      <w:lang w:eastAsia="en-US"/>
    </w:rPr>
  </w:style>
  <w:style w:type="paragraph" w:customStyle="1" w:styleId="ReleasableTo">
    <w:name w:val="ReleasableTo"/>
    <w:basedOn w:val="Normal"/>
    <w:rsid w:val="00117D6E"/>
    <w:pPr>
      <w:spacing w:after="0" w:line="276" w:lineRule="auto"/>
      <w:ind w:left="5103"/>
    </w:pPr>
    <w:rPr>
      <w:rFonts w:ascii="Times New Roman" w:eastAsiaTheme="minorHAnsi" w:hAnsi="Times New Roman" w:cs="Times New Roman"/>
      <w:i/>
      <w:sz w:val="28"/>
      <w:lang w:eastAsia="en-US"/>
    </w:rPr>
  </w:style>
  <w:style w:type="paragraph" w:customStyle="1" w:styleId="Languesfaisantfoi">
    <w:name w:val="Langues faisant foi"/>
    <w:basedOn w:val="Normal"/>
    <w:next w:val="Normal"/>
    <w:rsid w:val="00117D6E"/>
    <w:pPr>
      <w:spacing w:before="360" w:after="240" w:line="240" w:lineRule="auto"/>
      <w:jc w:val="center"/>
    </w:pPr>
    <w:rPr>
      <w:rFonts w:ascii="Times New Roman" w:eastAsiaTheme="minorHAnsi" w:hAnsi="Times New Roman" w:cs="Times New Roman"/>
      <w:sz w:val="24"/>
      <w:lang w:eastAsia="en-US"/>
    </w:rPr>
  </w:style>
  <w:style w:type="paragraph" w:customStyle="1" w:styleId="LanguesfaisantfoiPagedecouverture">
    <w:name w:val="Langues faisant foi (Page de couverture)"/>
    <w:basedOn w:val="Normal"/>
    <w:next w:val="Normal"/>
    <w:rsid w:val="00117D6E"/>
    <w:pPr>
      <w:spacing w:before="360" w:after="240" w:line="240" w:lineRule="auto"/>
      <w:jc w:val="center"/>
    </w:pPr>
    <w:rPr>
      <w:rFonts w:ascii="Times New Roman" w:eastAsiaTheme="minorHAnsi" w:hAnsi="Times New Roman" w:cs="Times New Roman"/>
      <w:sz w:val="24"/>
      <w:lang w:eastAsia="en-US"/>
    </w:rPr>
  </w:style>
  <w:style w:type="paragraph" w:customStyle="1" w:styleId="IntrtEEE">
    <w:name w:val="Intérêt EEE"/>
    <w:basedOn w:val="Languesfaisantfoi"/>
    <w:next w:val="Normal"/>
    <w:rsid w:val="00117D6E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117D6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E6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5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celex:52023PC0443" TargetMode="External"/><Relationship Id="rId3" Type="http://schemas.openxmlformats.org/officeDocument/2006/relationships/hyperlink" Target="https://eur-lex.europa.eu/legal-content/TXT/?uri=CELEX%3A52021DC0098" TargetMode="External"/><Relationship Id="rId7" Type="http://schemas.openxmlformats.org/officeDocument/2006/relationships/hyperlink" Target="https://transport.ec.europa.eu/transport-modes/rail/high-speed-rail-plan_en" TargetMode="External"/><Relationship Id="rId2" Type="http://schemas.openxmlformats.org/officeDocument/2006/relationships/hyperlink" Target="http://data.europa.eu/eli/agree_interinstit/2016/512/oj" TargetMode="External"/><Relationship Id="rId1" Type="http://schemas.openxmlformats.org/officeDocument/2006/relationships/hyperlink" Target="http://data.europa.eu/eli/reg/2018/643/oj" TargetMode="External"/><Relationship Id="rId6" Type="http://schemas.openxmlformats.org/officeDocument/2006/relationships/hyperlink" Target="http://data.europa.eu/eli/reg/2020/1056/oj" TargetMode="External"/><Relationship Id="rId5" Type="http://schemas.openxmlformats.org/officeDocument/2006/relationships/hyperlink" Target="http://data.europa.eu/eli/reg/2024/1679/oj" TargetMode="External"/><Relationship Id="rId4" Type="http://schemas.openxmlformats.org/officeDocument/2006/relationships/hyperlink" Target="https://eur-lex.europa.eu/legal-content/TXT/?uri=CELEX%3A52020DC07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A9062EACDD346A205950B04F12AAC" ma:contentTypeVersion="6" ma:contentTypeDescription="Create a new document." ma:contentTypeScope="" ma:versionID="bd22f3cee3b4fd1ab4144f1a9250558c">
  <xsd:schema xmlns:xsd="http://www.w3.org/2001/XMLSchema" xmlns:xs="http://www.w3.org/2001/XMLSchema" xmlns:p="http://schemas.microsoft.com/office/2006/metadata/properties" xmlns:ns2="26349085-4abb-4ce3-96c9-f14665167c5b" xmlns:ns3="e82c8cdf-f217-4668-b399-29698049ae3c" targetNamespace="http://schemas.microsoft.com/office/2006/metadata/properties" ma:root="true" ma:fieldsID="d21af6dd2bd7d1155dfdb8af6955d56f" ns2:_="" ns3:_="">
    <xsd:import namespace="26349085-4abb-4ce3-96c9-f14665167c5b"/>
    <xsd:import namespace="e82c8cdf-f217-4668-b399-29698049ae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49085-4abb-4ce3-96c9-f14665167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c8cdf-f217-4668-b399-29698049ae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7B521BA-FD71-4A62-B706-F0A7E5DC3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49085-4abb-4ce3-96c9-f14665167c5b"/>
    <ds:schemaRef ds:uri="e82c8cdf-f217-4668-b399-29698049a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818918-D502-4CB9-95D3-35132189BE1D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e82c8cdf-f217-4668-b399-29698049ae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26349085-4abb-4ce3-96c9-f14665167c5b"/>
  </ds:schemaRefs>
</ds:datastoreItem>
</file>

<file path=customXml/itemProps3.xml><?xml version="1.0" encoding="utf-8"?>
<ds:datastoreItem xmlns:ds="http://schemas.openxmlformats.org/officeDocument/2006/customXml" ds:itemID="{F0272053-A630-4A9E-ABC5-11B29CC85D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9E4445-4A02-4237-B0E2-2366B32FD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Rail_Commission_Report_Exercise of power delegated acts_2026</vt:lpstr>
    </vt:vector>
  </TitlesOfParts>
  <Manager/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Rail_Commission_Report_Exercise of power delegated acts_2026</dc:title>
  <dc:subject>Rail_Commission_Report_Exercise of power delegated acts_2026</dc:subject>
  <dc:creator/>
  <cp:keywords/>
  <dc:description/>
  <cp:lastModifiedBy>EC CoDe</cp:lastModifiedBy>
  <cp:revision>18</cp:revision>
  <dcterms:created xsi:type="dcterms:W3CDTF">2026-04-08T16:01:00Z</dcterms:created>
  <dcterms:modified xsi:type="dcterms:W3CDTF">2026-05-12T07:12:00Z</dcterms:modified>
  <cp:category>Rail transport statistics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CP-006</vt:lpwstr>
  </property>
  <property fmtid="{D5CDD505-2E9C-101B-9397-08002B2CF9AE}" pid="7" name="Last edited using">
    <vt:lpwstr>LW 9.2, Build 20250828</vt:lpwstr>
  </property>
  <property fmtid="{D5CDD505-2E9C-101B-9397-08002B2CF9AE}" pid="8" name="Created using">
    <vt:lpwstr>LW 7.0.1, Build 20190916</vt:lpwstr>
  </property>
  <property fmtid="{D5CDD505-2E9C-101B-9397-08002B2CF9AE}" pid="9" name="OP_sanitized">
    <vt:lpwstr>True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2025-12-07T17:06:12Z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096288ca-70a8-4b1a-87fa-92cb968af90a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MSIP_Label_6bd9ddd1-4d20-43f6-abfa-fc3c07406f94_Tag">
    <vt:lpwstr>10, 3, 0, 1</vt:lpwstr>
  </property>
  <property fmtid="{D5CDD505-2E9C-101B-9397-08002B2CF9AE}" pid="18" name="ContentTypeId">
    <vt:lpwstr>0x010100558A9062EACDD346A205950B04F12AAC</vt:lpwstr>
  </property>
</Properties>
</file>