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7ED124" w14:textId="01AFB678" w:rsidR="00ED3E19" w:rsidRDefault="00CC37E4" w:rsidP="00CC37E4">
      <w:pPr>
        <w:pStyle w:val="Pagedecouverture"/>
        <w:rPr>
          <w:noProof/>
        </w:rPr>
      </w:pPr>
      <w:bookmarkStart w:id="0" w:name="LW_BM_COVERPAGE"/>
      <w:r>
        <w:rPr>
          <w:noProof/>
        </w:rPr>
        <w:pict w14:anchorId="3D7EB9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1CD5A9B-47B3-4723-AD2F-0370ACE6FE7B" style="width:455.25pt;height:300pt">
            <v:imagedata r:id="rId11" o:title=""/>
          </v:shape>
        </w:pict>
      </w:r>
    </w:p>
    <w:bookmarkEnd w:id="0"/>
    <w:p w14:paraId="0D2A0974" w14:textId="77777777" w:rsidR="00ED3E19" w:rsidRDefault="00ED3E19">
      <w:pPr>
        <w:spacing w:line="240" w:lineRule="auto"/>
        <w:rPr>
          <w:noProof/>
        </w:rPr>
        <w:sectPr w:rsidR="00ED3E19" w:rsidSect="00CC37E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0B96389" w14:textId="77777777" w:rsidR="00ED3E19" w:rsidRDefault="00A5644E">
      <w:pPr>
        <w:spacing w:before="360" w:after="240" w:line="240" w:lineRule="auto"/>
        <w:jc w:val="center"/>
        <w:rPr>
          <w:rFonts w:ascii="Times New Roman" w:eastAsia="Calibri" w:hAnsi="Times New Roman" w:cs="Times New Roman"/>
          <w:b/>
          <w:noProof/>
          <w:sz w:val="24"/>
          <w:szCs w:val="24"/>
        </w:rPr>
      </w:pPr>
      <w:bookmarkStart w:id="1" w:name="_GoBack"/>
      <w:bookmarkEnd w:id="1"/>
      <w:r>
        <w:rPr>
          <w:rFonts w:ascii="Times New Roman" w:hAnsi="Times New Roman"/>
          <w:b/>
          <w:noProof/>
          <w:sz w:val="24"/>
        </w:rPr>
        <w:lastRenderedPageBreak/>
        <w:t>RAPPORT DE LA COMMISSION AU PARLEMENT EUROPÉEN ET AU CONSEIL</w:t>
      </w:r>
    </w:p>
    <w:p w14:paraId="032C41AF" w14:textId="791ED94A" w:rsidR="00ED3E19" w:rsidRDefault="00A5644E">
      <w:pPr>
        <w:spacing w:after="0" w:line="240" w:lineRule="auto"/>
        <w:jc w:val="center"/>
        <w:rPr>
          <w:rFonts w:ascii="Times New Roman" w:hAnsi="Times New Roman" w:cs="Times New Roman"/>
          <w:b/>
          <w:bCs/>
          <w:noProof/>
          <w:sz w:val="24"/>
          <w:szCs w:val="24"/>
        </w:rPr>
      </w:pPr>
      <w:r>
        <w:rPr>
          <w:rFonts w:ascii="Times New Roman" w:hAnsi="Times New Roman"/>
          <w:b/>
          <w:noProof/>
          <w:sz w:val="24"/>
        </w:rPr>
        <w:t>concernant l’exercice du pouvoir d’adopter des actes délégués conféré à la Commission en vertu du règlement (UE) 2018/643 relatif aux statistiques des transports par chemin de fer</w:t>
      </w:r>
    </w:p>
    <w:p w14:paraId="694AB8D1" w14:textId="77777777" w:rsidR="00ED3E19" w:rsidRDefault="00A5644E" w:rsidP="0070488F">
      <w:pPr>
        <w:numPr>
          <w:ilvl w:val="0"/>
          <w:numId w:val="2"/>
        </w:numPr>
        <w:spacing w:before="480" w:after="240" w:line="240" w:lineRule="auto"/>
        <w:ind w:left="680" w:hanging="680"/>
        <w:jc w:val="both"/>
        <w:rPr>
          <w:rFonts w:ascii="Times New Roman" w:eastAsia="Calibri" w:hAnsi="Times New Roman" w:cs="Times New Roman"/>
          <w:b/>
          <w:smallCaps/>
          <w:noProof/>
          <w:sz w:val="24"/>
          <w:szCs w:val="24"/>
        </w:rPr>
      </w:pPr>
      <w:r>
        <w:rPr>
          <w:rFonts w:ascii="Times New Roman" w:hAnsi="Times New Roman"/>
          <w:b/>
          <w:smallCaps/>
          <w:noProof/>
          <w:sz w:val="24"/>
        </w:rPr>
        <w:t>Introduction</w:t>
      </w:r>
    </w:p>
    <w:p w14:paraId="72A10F9A" w14:textId="047A58D3" w:rsidR="00ED3E19" w:rsidRDefault="00A5644E">
      <w:pPr>
        <w:spacing w:after="120" w:line="276" w:lineRule="auto"/>
        <w:jc w:val="both"/>
        <w:rPr>
          <w:rFonts w:ascii="Times New Roman" w:eastAsia="Calibri" w:hAnsi="Times New Roman" w:cs="Times New Roman"/>
          <w:noProof/>
          <w:sz w:val="24"/>
          <w:szCs w:val="24"/>
        </w:rPr>
      </w:pPr>
      <w:r>
        <w:rPr>
          <w:rFonts w:ascii="Times New Roman" w:hAnsi="Times New Roman"/>
          <w:noProof/>
          <w:sz w:val="24"/>
        </w:rPr>
        <w:t>L’article 3, paragraphe 2, du règlement (UE) 2018/643 du Parlement européen et du Conseil(</w:t>
      </w:r>
      <w:r>
        <w:rPr>
          <w:rStyle w:val="FootnoteReference"/>
          <w:rFonts w:ascii="Times New Roman" w:eastAsia="Calibri" w:hAnsi="Times New Roman" w:cs="Times New Roman"/>
          <w:noProof/>
          <w:sz w:val="24"/>
          <w:szCs w:val="24"/>
          <w:lang w:eastAsia="en-US"/>
        </w:rPr>
        <w:footnoteReference w:id="1"/>
      </w:r>
      <w:r>
        <w:rPr>
          <w:rFonts w:ascii="Times New Roman" w:hAnsi="Times New Roman"/>
          <w:noProof/>
          <w:sz w:val="24"/>
        </w:rPr>
        <w:t>) habilite la Commission à adopter des actes délégués conformément à l’article 10 dudit règlement. La Commission peut exercer ce pouvoir pour tenir compte de nouvelles évolutions qui exigent de définir certains détails techniques pour assurer l’harmonisation des statistiques. Plus précisément, la Commission peut adopter des actes délégués aux fins suivantes:</w:t>
      </w:r>
    </w:p>
    <w:p w14:paraId="27E07371" w14:textId="77777777" w:rsidR="00ED3E19" w:rsidRDefault="00A5644E" w:rsidP="003C239E">
      <w:pPr>
        <w:pStyle w:val="ListParagraph"/>
        <w:numPr>
          <w:ilvl w:val="0"/>
          <w:numId w:val="8"/>
        </w:numPr>
        <w:spacing w:after="0" w:line="276" w:lineRule="auto"/>
        <w:ind w:left="681" w:hanging="397"/>
        <w:contextualSpacing w:val="0"/>
        <w:jc w:val="both"/>
        <w:rPr>
          <w:rFonts w:ascii="Times New Roman" w:eastAsia="Calibri" w:hAnsi="Times New Roman" w:cs="Times New Roman"/>
          <w:noProof/>
          <w:sz w:val="24"/>
          <w:szCs w:val="24"/>
        </w:rPr>
      </w:pPr>
      <w:r>
        <w:rPr>
          <w:rFonts w:ascii="Times New Roman" w:hAnsi="Times New Roman"/>
          <w:noProof/>
          <w:sz w:val="24"/>
        </w:rPr>
        <w:t>adapter les définitions techniques énoncées à l’article 3, paragraphe 1, points 8), 9), 10), 21), 22) et 23);</w:t>
      </w:r>
    </w:p>
    <w:p w14:paraId="68B9907D" w14:textId="7263C1C1" w:rsidR="00ED3E19" w:rsidRDefault="008C210D" w:rsidP="003C239E">
      <w:pPr>
        <w:pStyle w:val="ListParagraph"/>
        <w:numPr>
          <w:ilvl w:val="0"/>
          <w:numId w:val="8"/>
        </w:numPr>
        <w:spacing w:before="120" w:after="240" w:line="276" w:lineRule="auto"/>
        <w:ind w:left="681" w:hanging="397"/>
        <w:contextualSpacing w:val="0"/>
        <w:jc w:val="both"/>
        <w:rPr>
          <w:rFonts w:ascii="Times New Roman" w:eastAsia="Calibri" w:hAnsi="Times New Roman" w:cs="Times New Roman"/>
          <w:noProof/>
          <w:sz w:val="24"/>
          <w:szCs w:val="24"/>
        </w:rPr>
      </w:pPr>
      <w:r>
        <w:rPr>
          <w:rFonts w:ascii="Times New Roman" w:hAnsi="Times New Roman"/>
          <w:noProof/>
          <w:sz w:val="24"/>
        </w:rPr>
        <w:t>ajouter de nouvelles définitions techniques.</w:t>
      </w:r>
    </w:p>
    <w:p w14:paraId="31E8EE77" w14:textId="4663BEEE" w:rsidR="00ED3E19" w:rsidRDefault="00A5644E">
      <w:pPr>
        <w:spacing w:after="240" w:line="276" w:lineRule="auto"/>
        <w:jc w:val="both"/>
        <w:rPr>
          <w:rFonts w:ascii="Times New Roman" w:eastAsia="Calibri" w:hAnsi="Times New Roman" w:cs="Times New Roman"/>
          <w:noProof/>
          <w:sz w:val="24"/>
          <w:szCs w:val="24"/>
        </w:rPr>
      </w:pPr>
      <w:r>
        <w:rPr>
          <w:rFonts w:ascii="Times New Roman" w:hAnsi="Times New Roman"/>
          <w:noProof/>
          <w:sz w:val="24"/>
        </w:rPr>
        <w:t>Lorsqu’elle exerce son pouvoir, la Commission doit veiller à ce que les actes délégués ne fassent pas peser une charge supplémentaire importante sur les États membres ou les répondants. En outre, la Commission doit motiver les mesures statistiques prévues dans ces actes délégués en recourant, le cas échéant, à une analyse du rapport coût-efficacité qui évalue la charge pesant sur les répondants et les coûts de production.</w:t>
      </w:r>
    </w:p>
    <w:p w14:paraId="50112A04" w14:textId="74881CEF" w:rsidR="00ED3E19" w:rsidRDefault="00A5644E" w:rsidP="00BD34F0">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Comme indiqué à l’article 10, paragraphe 4, avant l’adoption d’un acte délégué, la Commission doit consulter les experts désignés par chaque État membre, conformément aux principes définis dans l’accord interinstitutionnel du 13 avril 2016 «Mieux légiférer»(</w:t>
      </w:r>
      <w:r>
        <w:rPr>
          <w:rStyle w:val="FootnoteReference"/>
          <w:rFonts w:ascii="Times New Roman" w:eastAsia="Calibri" w:hAnsi="Times New Roman" w:cs="Times New Roman"/>
          <w:noProof/>
          <w:sz w:val="24"/>
          <w:szCs w:val="24"/>
          <w:lang w:eastAsia="en-US"/>
        </w:rPr>
        <w:footnoteReference w:id="2"/>
      </w:r>
      <w:r>
        <w:rPr>
          <w:rFonts w:ascii="Times New Roman" w:hAnsi="Times New Roman"/>
          <w:noProof/>
          <w:sz w:val="24"/>
        </w:rPr>
        <w:t xml:space="preserve">). </w:t>
      </w:r>
    </w:p>
    <w:p w14:paraId="3D85ACAD" w14:textId="77777777" w:rsidR="00ED3E19" w:rsidRDefault="00A5644E" w:rsidP="0070488F">
      <w:pPr>
        <w:numPr>
          <w:ilvl w:val="0"/>
          <w:numId w:val="2"/>
        </w:numPr>
        <w:spacing w:before="480" w:after="240" w:line="240" w:lineRule="auto"/>
        <w:ind w:left="680" w:hanging="680"/>
        <w:jc w:val="both"/>
        <w:rPr>
          <w:rFonts w:ascii="Times New Roman" w:eastAsia="Calibri" w:hAnsi="Times New Roman" w:cs="Times New Roman"/>
          <w:b/>
          <w:caps/>
          <w:noProof/>
          <w:sz w:val="24"/>
          <w:szCs w:val="24"/>
        </w:rPr>
      </w:pPr>
      <w:r>
        <w:rPr>
          <w:rFonts w:ascii="Times New Roman" w:hAnsi="Times New Roman"/>
          <w:b/>
          <w:caps/>
          <w:noProof/>
          <w:sz w:val="24"/>
        </w:rPr>
        <w:t>Base juridique</w:t>
      </w:r>
    </w:p>
    <w:p w14:paraId="0AFBB256" w14:textId="42DD00EE" w:rsidR="00ED3E19" w:rsidRDefault="00A5644E" w:rsidP="00BD34F0">
      <w:pPr>
        <w:spacing w:after="0" w:line="276" w:lineRule="auto"/>
        <w:jc w:val="both"/>
        <w:rPr>
          <w:rFonts w:ascii="Times New Roman" w:hAnsi="Times New Roman" w:cs="Times New Roman"/>
          <w:noProof/>
          <w:sz w:val="24"/>
          <w:szCs w:val="24"/>
        </w:rPr>
      </w:pPr>
      <w:r>
        <w:rPr>
          <w:rFonts w:ascii="Times New Roman" w:hAnsi="Times New Roman"/>
          <w:noProof/>
          <w:sz w:val="24"/>
        </w:rPr>
        <w:t>En vertu de l’article 10, paragraphe 2, du règlement (UE) 2018/643, le pouvoir d’adopter des actes délégués prévu à l’article 3, paragraphe 2, dudit règlement est conféré à la Commission pour une période de cinq ans à compter du 13 décembre 2016. La délégation de pouvoir est tacitement prorogée pour des périodes de cinq ans supplémentaires, sauf si le Parlement européen ou le Conseil s’oppose à cette prorogation. La Commission doit élaborer un rapport relatif à la délégation de pouvoir au plus tard neuf mois avant la fin de la période de cinq ans. La Commission a présenté un premier rapport en 2021(</w:t>
      </w:r>
      <w:r>
        <w:rPr>
          <w:rStyle w:val="FootnoteReference"/>
          <w:rFonts w:ascii="Times New Roman" w:eastAsia="Calibri" w:hAnsi="Times New Roman" w:cs="Times New Roman"/>
          <w:noProof/>
          <w:sz w:val="24"/>
          <w:szCs w:val="24"/>
          <w:lang w:eastAsia="en-US"/>
        </w:rPr>
        <w:footnoteReference w:id="3"/>
      </w:r>
      <w:r>
        <w:rPr>
          <w:rFonts w:ascii="Times New Roman" w:hAnsi="Times New Roman"/>
          <w:noProof/>
          <w:sz w:val="24"/>
        </w:rPr>
        <w:t>). Le présent document constitue le deuxième rapport.</w:t>
      </w:r>
    </w:p>
    <w:p w14:paraId="74F556BE" w14:textId="77777777" w:rsidR="00ED3E19" w:rsidRDefault="00A5644E" w:rsidP="007B1B64">
      <w:pPr>
        <w:numPr>
          <w:ilvl w:val="0"/>
          <w:numId w:val="2"/>
        </w:numPr>
        <w:spacing w:before="480" w:after="240" w:line="240" w:lineRule="auto"/>
        <w:ind w:left="680" w:hanging="680"/>
        <w:jc w:val="both"/>
        <w:rPr>
          <w:rFonts w:ascii="Times New Roman" w:eastAsia="Calibri" w:hAnsi="Times New Roman" w:cs="Times New Roman"/>
          <w:b/>
          <w:caps/>
          <w:noProof/>
          <w:sz w:val="24"/>
          <w:szCs w:val="24"/>
        </w:rPr>
      </w:pPr>
      <w:r>
        <w:rPr>
          <w:rFonts w:ascii="Times New Roman" w:hAnsi="Times New Roman"/>
          <w:b/>
          <w:caps/>
          <w:noProof/>
          <w:sz w:val="24"/>
        </w:rPr>
        <w:t>Exercice de la délégation</w:t>
      </w:r>
    </w:p>
    <w:p w14:paraId="030DBE7F" w14:textId="1A15DF12" w:rsidR="00ED3E19" w:rsidRDefault="00A803FB">
      <w:pPr>
        <w:spacing w:after="0" w:line="276" w:lineRule="auto"/>
        <w:jc w:val="both"/>
        <w:rPr>
          <w:rFonts w:ascii="Times New Roman" w:eastAsia="Calibri" w:hAnsi="Times New Roman" w:cs="Times New Roman"/>
          <w:noProof/>
          <w:sz w:val="24"/>
          <w:szCs w:val="24"/>
        </w:rPr>
      </w:pPr>
      <w:r>
        <w:rPr>
          <w:rFonts w:ascii="Times New Roman" w:hAnsi="Times New Roman"/>
          <w:noProof/>
          <w:sz w:val="24"/>
        </w:rPr>
        <w:t xml:space="preserve">Depuis l’entrée en vigueur du règlement (UE) 2018/643, la Commission n’a pas encore exercé le pouvoir d’adopter des actes délégués conformément à l’article 10 dudit règlement. </w:t>
      </w:r>
    </w:p>
    <w:p w14:paraId="75B22785" w14:textId="49383CEF" w:rsidR="00A803FB" w:rsidRDefault="00A12B5D">
      <w:pPr>
        <w:spacing w:before="240" w:after="0" w:line="276" w:lineRule="auto"/>
        <w:jc w:val="both"/>
        <w:rPr>
          <w:rFonts w:ascii="Times New Roman" w:hAnsi="Times New Roman" w:cs="Times New Roman"/>
          <w:noProof/>
          <w:sz w:val="24"/>
        </w:rPr>
      </w:pPr>
      <w:r>
        <w:rPr>
          <w:rFonts w:ascii="Times New Roman" w:hAnsi="Times New Roman"/>
          <w:noProof/>
          <w:sz w:val="24"/>
        </w:rPr>
        <w:t>Les possibilités d’amélioration des statistiques des transports par chemin de fer sont débattues, et continueront de l’être, par le groupe d’experts sur les statistiques des transports par chemin de fer et le groupe de coordination des statistiques des transports, au sein desquels les coûts et charges susceptibles de peser sur les États membres sont régulièrement examinés.</w:t>
      </w:r>
    </w:p>
    <w:p w14:paraId="3493BEC7" w14:textId="0A3261C5" w:rsidR="00B74A11" w:rsidRDefault="00067E9D">
      <w:pPr>
        <w:spacing w:before="240" w:after="0" w:line="276" w:lineRule="auto"/>
        <w:jc w:val="both"/>
        <w:rPr>
          <w:rFonts w:ascii="Times New Roman" w:hAnsi="Times New Roman" w:cs="Times New Roman"/>
          <w:noProof/>
          <w:sz w:val="24"/>
          <w:szCs w:val="24"/>
        </w:rPr>
      </w:pPr>
      <w:r>
        <w:rPr>
          <w:rFonts w:ascii="Times New Roman" w:hAnsi="Times New Roman"/>
          <w:noProof/>
          <w:sz w:val="24"/>
        </w:rPr>
        <w:t>L’évolution des besoins statistiques découlant de la stratégie de mobilité durable et intelligente (objectifs 2020-2050)(</w:t>
      </w:r>
      <w:r>
        <w:rPr>
          <w:rStyle w:val="FootnoteReference"/>
          <w:rFonts w:ascii="Times New Roman" w:hAnsi="Times New Roman" w:cs="Times New Roman"/>
          <w:noProof/>
          <w:sz w:val="24"/>
          <w:szCs w:val="24"/>
          <w:lang w:eastAsia="de-DE"/>
        </w:rPr>
        <w:footnoteReference w:id="4"/>
      </w:r>
      <w:r>
        <w:rPr>
          <w:rFonts w:ascii="Times New Roman" w:hAnsi="Times New Roman"/>
          <w:noProof/>
          <w:sz w:val="24"/>
        </w:rPr>
        <w:t>) ainsi que d’autres initiatives stratégiques, telles que la nouvelle politique de l’UE relative au réseau transeuropéen de transport(</w:t>
      </w:r>
      <w:r>
        <w:rPr>
          <w:rStyle w:val="FootnoteReference"/>
          <w:rFonts w:ascii="Times New Roman" w:hAnsi="Times New Roman"/>
          <w:noProof/>
          <w:sz w:val="24"/>
          <w:szCs w:val="24"/>
          <w:lang w:eastAsia="de-DE"/>
        </w:rPr>
        <w:footnoteReference w:id="5"/>
      </w:r>
      <w:r>
        <w:rPr>
          <w:rFonts w:ascii="Times New Roman" w:hAnsi="Times New Roman"/>
          <w:noProof/>
          <w:sz w:val="24"/>
        </w:rPr>
        <w:t>), le règlement concernant les informations électroniques relatives au transport de marchandises (eFTI)(</w:t>
      </w:r>
      <w:r>
        <w:rPr>
          <w:rStyle w:val="FootnoteReference"/>
          <w:rFonts w:ascii="Times New Roman" w:hAnsi="Times New Roman" w:cs="Times New Roman"/>
          <w:noProof/>
          <w:sz w:val="24"/>
          <w:szCs w:val="24"/>
          <w:lang w:eastAsia="de-DE"/>
        </w:rPr>
        <w:footnoteReference w:id="6"/>
      </w:r>
      <w:r>
        <w:rPr>
          <w:rFonts w:ascii="Times New Roman" w:hAnsi="Times New Roman"/>
          <w:noProof/>
          <w:sz w:val="24"/>
        </w:rPr>
        <w:t>), le plan de l’UE pour un réseau ferroviaire européen à grande vitesse(</w:t>
      </w:r>
      <w:r>
        <w:rPr>
          <w:rStyle w:val="FootnoteReference"/>
          <w:rFonts w:ascii="Times New Roman" w:hAnsi="Times New Roman" w:cs="Times New Roman"/>
          <w:noProof/>
          <w:sz w:val="24"/>
          <w:szCs w:val="24"/>
          <w:lang w:eastAsia="de-DE"/>
        </w:rPr>
        <w:footnoteReference w:id="7"/>
      </w:r>
      <w:r>
        <w:rPr>
          <w:rFonts w:ascii="Times New Roman" w:hAnsi="Times New Roman"/>
          <w:noProof/>
          <w:sz w:val="24"/>
        </w:rPr>
        <w:t>) et les politiques sur l’utilisation des capacités de l’infrastructure ferroviaire dans l’espace ferroviaire unique européen(</w:t>
      </w:r>
      <w:r>
        <w:rPr>
          <w:rStyle w:val="FootnoteReference"/>
          <w:rFonts w:ascii="Times New Roman" w:hAnsi="Times New Roman" w:cs="Times New Roman"/>
          <w:noProof/>
          <w:sz w:val="24"/>
          <w:szCs w:val="24"/>
          <w:lang w:eastAsia="de-DE"/>
        </w:rPr>
        <w:footnoteReference w:id="8"/>
      </w:r>
      <w:r>
        <w:rPr>
          <w:rFonts w:ascii="Times New Roman" w:hAnsi="Times New Roman"/>
          <w:noProof/>
          <w:sz w:val="24"/>
        </w:rPr>
        <w:t>), pourraient nécessiter que la Commission adopte des actes délégués afin d’adapter ou de compléter les définitions techniques du règlement (UE) 2018/643.</w:t>
      </w:r>
    </w:p>
    <w:p w14:paraId="1D8C0A25" w14:textId="77777777" w:rsidR="00ED3E19" w:rsidRDefault="00ED3E19" w:rsidP="002F00E0">
      <w:pPr>
        <w:tabs>
          <w:tab w:val="left" w:pos="142"/>
        </w:tabs>
        <w:spacing w:after="240" w:line="240" w:lineRule="auto"/>
        <w:jc w:val="both"/>
        <w:rPr>
          <w:rFonts w:ascii="Times New Roman" w:hAnsi="Times New Roman" w:cs="Times New Roman"/>
          <w:noProof/>
        </w:rPr>
      </w:pPr>
    </w:p>
    <w:p w14:paraId="3A4AF0A1" w14:textId="42B243AE" w:rsidR="004A6EA1" w:rsidRDefault="004A6EA1" w:rsidP="002F00E0">
      <w:pPr>
        <w:tabs>
          <w:tab w:val="left" w:pos="142"/>
        </w:tabs>
        <w:spacing w:after="240" w:line="240" w:lineRule="auto"/>
        <w:jc w:val="both"/>
        <w:rPr>
          <w:rFonts w:ascii="Times New Roman" w:hAnsi="Times New Roman" w:cs="Times New Roman"/>
          <w:noProof/>
        </w:rPr>
      </w:pPr>
    </w:p>
    <w:sectPr w:rsidR="004A6EA1">
      <w:headerReference w:type="even" r:id="rId18"/>
      <w:headerReference w:type="default" r:id="rId19"/>
      <w:footerReference w:type="even" r:id="rId20"/>
      <w:footerReference w:type="default" r:id="rId21"/>
      <w:headerReference w:type="first" r:id="rId22"/>
      <w:footerReference w:type="first" r:id="rId23"/>
      <w:pgSz w:w="11906" w:h="16838"/>
      <w:pgMar w:top="1418"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F2340" w14:textId="77777777" w:rsidR="002751D9" w:rsidRDefault="002751D9">
      <w:pPr>
        <w:spacing w:after="0" w:line="240" w:lineRule="auto"/>
      </w:pPr>
      <w:r>
        <w:separator/>
      </w:r>
    </w:p>
  </w:endnote>
  <w:endnote w:type="continuationSeparator" w:id="0">
    <w:p w14:paraId="6B4FD95D" w14:textId="77777777" w:rsidR="002751D9" w:rsidRDefault="00275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1A701" w14:textId="3CC3E156" w:rsidR="00CC37E4" w:rsidRPr="00CC37E4" w:rsidRDefault="00CC37E4" w:rsidP="00CC37E4">
    <w:pPr>
      <w:pStyle w:val="FooterCoverPage"/>
      <w:rPr>
        <w:rFonts w:ascii="Arial" w:hAnsi="Arial" w:cs="Arial"/>
        <w:b/>
        <w:sz w:val="48"/>
      </w:rPr>
    </w:pPr>
    <w:r w:rsidRPr="00CC37E4">
      <w:rPr>
        <w:rFonts w:ascii="Arial" w:hAnsi="Arial" w:cs="Arial"/>
        <w:b/>
        <w:sz w:val="48"/>
      </w:rPr>
      <w:t>FR</w:t>
    </w:r>
    <w:r w:rsidRPr="00CC37E4">
      <w:rPr>
        <w:rFonts w:ascii="Arial" w:hAnsi="Arial" w:cs="Arial"/>
        <w:b/>
        <w:sz w:val="48"/>
      </w:rPr>
      <w:tab/>
    </w:r>
    <w:r w:rsidRPr="00CC37E4">
      <w:rPr>
        <w:rFonts w:ascii="Arial" w:hAnsi="Arial" w:cs="Arial"/>
        <w:b/>
        <w:sz w:val="48"/>
      </w:rPr>
      <w:tab/>
    </w:r>
    <w:r w:rsidRPr="00CC37E4">
      <w:tab/>
    </w:r>
    <w:r w:rsidRPr="00CC37E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53E18" w14:textId="27116128" w:rsidR="00CC37E4" w:rsidRPr="00CC37E4" w:rsidRDefault="00CC37E4" w:rsidP="00CC37E4">
    <w:pPr>
      <w:pStyle w:val="FooterCoverPage"/>
      <w:rPr>
        <w:rFonts w:ascii="Arial" w:hAnsi="Arial" w:cs="Arial"/>
        <w:b/>
        <w:sz w:val="48"/>
      </w:rPr>
    </w:pPr>
    <w:r w:rsidRPr="00CC37E4">
      <w:rPr>
        <w:rFonts w:ascii="Arial" w:hAnsi="Arial" w:cs="Arial"/>
        <w:b/>
        <w:sz w:val="48"/>
      </w:rPr>
      <w:t>FR</w:t>
    </w:r>
    <w:r w:rsidRPr="00CC37E4">
      <w:rPr>
        <w:rFonts w:ascii="Arial" w:hAnsi="Arial" w:cs="Arial"/>
        <w:b/>
        <w:sz w:val="48"/>
      </w:rPr>
      <w:tab/>
    </w:r>
    <w:r w:rsidRPr="00CC37E4">
      <w:rPr>
        <w:rFonts w:ascii="Arial" w:hAnsi="Arial" w:cs="Arial"/>
        <w:b/>
        <w:sz w:val="48"/>
      </w:rPr>
      <w:tab/>
    </w:r>
    <w:r w:rsidRPr="00CC37E4">
      <w:tab/>
    </w:r>
    <w:r w:rsidRPr="00CC37E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7BBFE" w14:textId="77777777" w:rsidR="00CC37E4" w:rsidRPr="00CC37E4" w:rsidRDefault="00CC37E4" w:rsidP="00CC37E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FD07E" w14:textId="77777777" w:rsidR="00ED3E19" w:rsidRDefault="00ED3E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170645"/>
      <w:docPartObj>
        <w:docPartGallery w:val="Page Numbers (Bottom of Page)"/>
        <w:docPartUnique/>
      </w:docPartObj>
    </w:sdtPr>
    <w:sdtEndPr>
      <w:rPr>
        <w:noProof/>
      </w:rPr>
    </w:sdtEndPr>
    <w:sdtContent>
      <w:p w14:paraId="34763D87" w14:textId="7BDD04B0" w:rsidR="00ED3E19" w:rsidRDefault="00A5644E">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CC37E4">
          <w:rPr>
            <w:rFonts w:ascii="Times New Roman" w:hAnsi="Times New Roman" w:cs="Times New Roman"/>
            <w:noProof/>
          </w:rPr>
          <w:t>2</w:t>
        </w:r>
        <w:r>
          <w:rPr>
            <w:rFonts w:ascii="Times New Roman" w:hAnsi="Times New Roman" w:cs="Times New Roman"/>
          </w:rPr>
          <w:fldChar w:fldCharType="end"/>
        </w:r>
      </w:p>
    </w:sdtContent>
  </w:sdt>
  <w:p w14:paraId="37233724" w14:textId="77777777" w:rsidR="00ED3E19" w:rsidRDefault="00ED3E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745371"/>
      <w:docPartObj>
        <w:docPartGallery w:val="Page Numbers (Bottom of Page)"/>
        <w:docPartUnique/>
      </w:docPartObj>
    </w:sdtPr>
    <w:sdtEndPr>
      <w:rPr>
        <w:noProof/>
      </w:rPr>
    </w:sdtEndPr>
    <w:sdtContent>
      <w:p w14:paraId="5AB40B25" w14:textId="27063A7B" w:rsidR="00ED3E19" w:rsidRDefault="00A5644E">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CC37E4">
          <w:rPr>
            <w:rFonts w:ascii="Times New Roman" w:hAnsi="Times New Roman" w:cs="Times New Roman"/>
            <w:noProof/>
          </w:rPr>
          <w:t>1</w:t>
        </w:r>
        <w:r>
          <w:rPr>
            <w:rFonts w:ascii="Times New Roman" w:hAnsi="Times New Roman" w:cs="Times New Roman"/>
          </w:rPr>
          <w:fldChar w:fldCharType="end"/>
        </w:r>
      </w:p>
    </w:sdtContent>
  </w:sdt>
  <w:p w14:paraId="481C7165" w14:textId="77777777" w:rsidR="00ED3E19" w:rsidRDefault="00ED3E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59189" w14:textId="77777777" w:rsidR="002751D9" w:rsidRDefault="002751D9">
      <w:pPr>
        <w:spacing w:after="0" w:line="240" w:lineRule="auto"/>
      </w:pPr>
      <w:r>
        <w:separator/>
      </w:r>
    </w:p>
  </w:footnote>
  <w:footnote w:type="continuationSeparator" w:id="0">
    <w:p w14:paraId="4E1BC7C5" w14:textId="77777777" w:rsidR="002751D9" w:rsidRDefault="002751D9">
      <w:pPr>
        <w:spacing w:after="0" w:line="240" w:lineRule="auto"/>
      </w:pPr>
      <w:r>
        <w:continuationSeparator/>
      </w:r>
    </w:p>
  </w:footnote>
  <w:footnote w:id="1">
    <w:p w14:paraId="3596447E" w14:textId="30A594AE" w:rsidR="00ED3E19" w:rsidRPr="00817E34" w:rsidRDefault="00A5644E" w:rsidP="00A0743E">
      <w:pPr>
        <w:spacing w:before="60" w:after="0"/>
        <w:rPr>
          <w:rStyle w:val="Hyperlink"/>
          <w:rFonts w:ascii="Times New Roman" w:hAnsi="Times New Roman" w:cs="Times New Roman"/>
          <w:bCs/>
          <w:color w:val="000000"/>
          <w:sz w:val="20"/>
          <w:szCs w:val="20"/>
          <w:u w:val="none"/>
        </w:rPr>
      </w:pPr>
      <w:r>
        <w:rPr>
          <w:rStyle w:val="FootnoteReference"/>
          <w:rFonts w:cstheme="minorHAnsi"/>
          <w:sz w:val="20"/>
          <w:szCs w:val="20"/>
        </w:rPr>
        <w:footnoteRef/>
      </w:r>
      <w:r>
        <w:rPr>
          <w:color w:val="000000"/>
          <w:sz w:val="20"/>
        </w:rPr>
        <w:t xml:space="preserve"> </w:t>
      </w:r>
      <w:r>
        <w:rPr>
          <w:rFonts w:ascii="Times New Roman" w:hAnsi="Times New Roman"/>
          <w:color w:val="000000"/>
          <w:sz w:val="20"/>
        </w:rPr>
        <w:t>Règlement (UE) 2018/643 du Parlement européen et du Conseil du 18 avril 2018 relatif aux statistiques des transports par chemin de fer (JO L 112 du 2.5.2018, p. 1, ELI: </w:t>
      </w:r>
      <w:hyperlink r:id="rId1" w:tooltip="Permet d’accéder à ce document par l’intermédiaire de son URI ELI." w:history="1">
        <w:r>
          <w:rPr>
            <w:rStyle w:val="Hyperlink"/>
            <w:rFonts w:ascii="Times New Roman" w:hAnsi="Times New Roman"/>
            <w:sz w:val="20"/>
          </w:rPr>
          <w:t>http://data.europa.eu/eli/reg/2018/643/oj</w:t>
        </w:r>
      </w:hyperlink>
      <w:r>
        <w:rPr>
          <w:rFonts w:ascii="Times New Roman" w:hAnsi="Times New Roman"/>
          <w:color w:val="000000"/>
          <w:sz w:val="20"/>
        </w:rPr>
        <w:t>).</w:t>
      </w:r>
    </w:p>
  </w:footnote>
  <w:footnote w:id="2">
    <w:p w14:paraId="60CE5F0D" w14:textId="680707CF" w:rsidR="00ED3E19" w:rsidRPr="003C239E" w:rsidRDefault="00A5644E" w:rsidP="00472CD7">
      <w:pPr>
        <w:pStyle w:val="FootnoteText"/>
        <w:spacing w:before="60" w:after="0"/>
        <w:rPr>
          <w:rStyle w:val="Hyperlink"/>
          <w:rFonts w:ascii="Times New Roman" w:hAnsi="Times New Roman"/>
          <w:color w:val="auto"/>
          <w:u w:val="none"/>
        </w:rPr>
      </w:pPr>
      <w:r>
        <w:rPr>
          <w:rStyle w:val="FootnoteReference"/>
          <w:rFonts w:asciiTheme="minorHAnsi" w:hAnsiTheme="minorHAnsi" w:cstheme="minorHAnsi"/>
        </w:rPr>
        <w:footnoteRef/>
      </w:r>
      <w:r>
        <w:rPr>
          <w:rFonts w:ascii="Times New Roman" w:hAnsi="Times New Roman"/>
        </w:rPr>
        <w:t xml:space="preserve">Accord interinstitutionnel entre le Parlement européen, le Conseil de l’Union européenne et la Commission européenne «Mieux légiférer» (JO L 123 du 12.5.2016, p. 1, ELI: </w:t>
      </w:r>
      <w:hyperlink r:id="rId2" w:history="1">
        <w:r>
          <w:rPr>
            <w:rStyle w:val="Hyperlink"/>
            <w:rFonts w:ascii="Times New Roman" w:hAnsi="Times New Roman"/>
          </w:rPr>
          <w:t>http://data.europa.eu/eli/agree_interinstit/2016/512/oj</w:t>
        </w:r>
      </w:hyperlink>
      <w:r>
        <w:rPr>
          <w:rFonts w:ascii="Times New Roman" w:hAnsi="Times New Roman"/>
        </w:rPr>
        <w:t>).</w:t>
      </w:r>
    </w:p>
  </w:footnote>
  <w:footnote w:id="3">
    <w:p w14:paraId="0959ECB9" w14:textId="7D60EE80" w:rsidR="0053043B" w:rsidRPr="009D39D8" w:rsidRDefault="0053043B" w:rsidP="00472CD7">
      <w:pPr>
        <w:pStyle w:val="FootnoteText"/>
        <w:spacing w:before="60" w:after="0"/>
        <w:rPr>
          <w:rFonts w:ascii="Times New Roman" w:hAnsi="Times New Roman"/>
        </w:rPr>
      </w:pPr>
      <w:r>
        <w:rPr>
          <w:rStyle w:val="FootnoteReference"/>
          <w:rFonts w:asciiTheme="minorHAnsi" w:hAnsiTheme="minorHAnsi" w:cstheme="minorHAnsi"/>
        </w:rPr>
        <w:footnoteRef/>
      </w:r>
      <w:r>
        <w:rPr>
          <w:rFonts w:ascii="Times New Roman" w:hAnsi="Times New Roman"/>
        </w:rPr>
        <w:t xml:space="preserve"> Rapport de la Commission au Parlement européen et au Conseil concernant l’exercice du pouvoir d’adopter des actes délégués conféré à la Commission en vertu du règlement (UE) 2018/643 relatif aux statistiques des transports par chemin de fer [COM(2021) 98 final, 2.3.2021, </w:t>
      </w:r>
      <w:r>
        <w:t xml:space="preserve"> </w:t>
      </w:r>
      <w:r>
        <w:br/>
      </w:r>
      <w:hyperlink r:id="rId3" w:history="1">
        <w:r>
          <w:rPr>
            <w:rStyle w:val="Hyperlink"/>
            <w:rFonts w:ascii="Times New Roman" w:hAnsi="Times New Roman"/>
          </w:rPr>
          <w:t>https://eur-lex.europa.eu/legal-content/TXT/?uri=CELEX%3A52021DC0098</w:t>
        </w:r>
      </w:hyperlink>
      <w:r>
        <w:rPr>
          <w:rFonts w:ascii="Times New Roman" w:hAnsi="Times New Roman"/>
        </w:rPr>
        <w:t>].</w:t>
      </w:r>
    </w:p>
  </w:footnote>
  <w:footnote w:id="4">
    <w:p w14:paraId="68216849" w14:textId="58C77131" w:rsidR="00ED3E19" w:rsidRPr="009801FB" w:rsidRDefault="00A5644E" w:rsidP="00A0743E">
      <w:pPr>
        <w:pStyle w:val="FootnoteText"/>
        <w:spacing w:before="60" w:after="0"/>
        <w:rPr>
          <w:rFonts w:ascii="Times New Roman" w:hAnsi="Times New Roman"/>
          <w:lang w:val="en-US"/>
        </w:rPr>
      </w:pPr>
      <w:r>
        <w:rPr>
          <w:rFonts w:asciiTheme="minorHAnsi" w:hAnsiTheme="minorHAnsi" w:cstheme="minorHAnsi"/>
          <w:vertAlign w:val="superscript"/>
        </w:rPr>
        <w:footnoteRef/>
      </w:r>
      <w:r w:rsidRPr="009801FB">
        <w:rPr>
          <w:rFonts w:ascii="Times New Roman" w:hAnsi="Times New Roman"/>
          <w:lang w:val="en-US"/>
        </w:rPr>
        <w:t xml:space="preserve"> COM(2020) 789 final, 9.12.2020, </w:t>
      </w:r>
      <w:r w:rsidRPr="009801FB">
        <w:rPr>
          <w:lang w:val="en-US"/>
        </w:rPr>
        <w:t xml:space="preserve"> </w:t>
      </w:r>
      <w:r w:rsidRPr="009801FB">
        <w:rPr>
          <w:lang w:val="en-US"/>
        </w:rPr>
        <w:br/>
      </w:r>
      <w:hyperlink r:id="rId4" w:history="1">
        <w:r w:rsidRPr="009801FB">
          <w:rPr>
            <w:rStyle w:val="Hyperlink"/>
            <w:rFonts w:ascii="Times New Roman" w:hAnsi="Times New Roman"/>
            <w:lang w:val="en-US"/>
          </w:rPr>
          <w:t>https://eur-lex.europa.eu/legal-content/TXT/?uri=CELEX%3A52020DC0789</w:t>
        </w:r>
      </w:hyperlink>
      <w:r w:rsidRPr="009801FB">
        <w:rPr>
          <w:rFonts w:ascii="Times New Roman" w:hAnsi="Times New Roman"/>
          <w:lang w:val="en-US"/>
        </w:rPr>
        <w:t>.</w:t>
      </w:r>
    </w:p>
  </w:footnote>
  <w:footnote w:id="5">
    <w:p w14:paraId="157B16A7" w14:textId="58E557AD" w:rsidR="00EC736F" w:rsidRDefault="00EC736F" w:rsidP="00A0743E">
      <w:pPr>
        <w:pStyle w:val="FootnoteText"/>
        <w:spacing w:before="60" w:after="60"/>
      </w:pPr>
      <w:r>
        <w:rPr>
          <w:rStyle w:val="FootnoteReference"/>
        </w:rPr>
        <w:footnoteRef/>
      </w:r>
      <w:r>
        <w:rPr>
          <w:rFonts w:ascii="Times New Roman" w:hAnsi="Times New Roman"/>
        </w:rPr>
        <w:t>Règlement (UE) 2024/1679 du Parlement européen et du Conseil du 13 juin 2024 sur les orientations de l’Union pour le développement du réseau transeuropéen de transport, modifiant les règlements (UE) 2021/1153 et (UE) nº 913/2010 et abrogeant le règlement (UE) nº 1315/2013 (JO L, 2024/1679, 28.6.2024, ELI: </w:t>
      </w:r>
      <w:hyperlink r:id="rId5" w:tgtFrame="_blank" w:tooltip="Permet d’accéder à ce document par l’intermédiaire de son URI ELI." w:history="1">
        <w:r>
          <w:rPr>
            <w:rStyle w:val="Hyperlink"/>
            <w:rFonts w:ascii="Times New Roman" w:hAnsi="Times New Roman"/>
          </w:rPr>
          <w:t>http://data.europa.eu/eli/reg/2024/1679/oj</w:t>
        </w:r>
      </w:hyperlink>
      <w:r>
        <w:rPr>
          <w:rFonts w:ascii="Times New Roman" w:hAnsi="Times New Roman"/>
        </w:rPr>
        <w:t>).</w:t>
      </w:r>
    </w:p>
  </w:footnote>
  <w:footnote w:id="6">
    <w:p w14:paraId="5AB6180A" w14:textId="1CFBF965" w:rsidR="004A6EA1" w:rsidRPr="00A0743E" w:rsidRDefault="004A6EA1" w:rsidP="00A0743E">
      <w:pPr>
        <w:pStyle w:val="FootnoteText"/>
        <w:spacing w:before="60" w:after="0"/>
      </w:pPr>
      <w:r>
        <w:rPr>
          <w:rStyle w:val="FootnoteReference"/>
        </w:rPr>
        <w:footnoteRef/>
      </w:r>
      <w:r>
        <w:t xml:space="preserve"> </w:t>
      </w:r>
      <w:r>
        <w:rPr>
          <w:rFonts w:ascii="Times New Roman" w:hAnsi="Times New Roman"/>
        </w:rPr>
        <w:t>Règlement (UE) 2020/1056 du Parlement européen et du Conseil du 15 juillet 2020 concernant les informations électroniques relatives au transport de marchandises (JO L 249 du 31.7.2020, p. 33, ELI: </w:t>
      </w:r>
      <w:hyperlink r:id="rId6" w:tooltip="Permet d’accéder à ce document par l’intermédiaire de son URI ELI." w:history="1">
        <w:r>
          <w:rPr>
            <w:rStyle w:val="Hyperlink"/>
            <w:rFonts w:ascii="Times New Roman" w:hAnsi="Times New Roman"/>
          </w:rPr>
          <w:t>http://data.europa.eu/eli/reg/2020/1056/oj</w:t>
        </w:r>
      </w:hyperlink>
      <w:r>
        <w:rPr>
          <w:rFonts w:ascii="Times New Roman" w:hAnsi="Times New Roman"/>
        </w:rPr>
        <w:t>).</w:t>
      </w:r>
    </w:p>
  </w:footnote>
  <w:footnote w:id="7">
    <w:p w14:paraId="16C50BB5" w14:textId="3B8DA381" w:rsidR="004A6EA1" w:rsidRPr="00A0743E" w:rsidRDefault="004A6EA1" w:rsidP="00A0743E">
      <w:pPr>
        <w:pStyle w:val="FootnoteText"/>
        <w:spacing w:before="60" w:after="0"/>
        <w:rPr>
          <w:rFonts w:ascii="Times New Roman" w:hAnsi="Times New Roman"/>
        </w:rPr>
      </w:pPr>
      <w:r>
        <w:rPr>
          <w:rStyle w:val="FootnoteReference"/>
        </w:rPr>
        <w:footnoteRef/>
      </w:r>
      <w:r>
        <w:t xml:space="preserve"> </w:t>
      </w:r>
      <w:hyperlink r:id="rId7" w:history="1">
        <w:r>
          <w:rPr>
            <w:rStyle w:val="Hyperlink"/>
            <w:rFonts w:ascii="Times New Roman" w:hAnsi="Times New Roman"/>
          </w:rPr>
          <w:t>https://transport.ec.europa.eu/transport-modes/rail/high-speed-rail-plan_en</w:t>
        </w:r>
      </w:hyperlink>
      <w:r>
        <w:rPr>
          <w:rFonts w:ascii="Times New Roman" w:hAnsi="Times New Roman"/>
        </w:rPr>
        <w:t xml:space="preserve"> (uniquement disponible en anglais).</w:t>
      </w:r>
    </w:p>
  </w:footnote>
  <w:footnote w:id="8">
    <w:p w14:paraId="23C449E4" w14:textId="2FBCA106" w:rsidR="00EC736F" w:rsidRPr="009801FB" w:rsidRDefault="00EC736F" w:rsidP="00A0743E">
      <w:pPr>
        <w:pStyle w:val="FootnoteText"/>
        <w:spacing w:before="60" w:after="0"/>
        <w:rPr>
          <w:rFonts w:ascii="Times New Roman" w:hAnsi="Times New Roman"/>
          <w:lang w:val="en-US"/>
        </w:rPr>
      </w:pPr>
      <w:r>
        <w:rPr>
          <w:rStyle w:val="FootnoteReference"/>
        </w:rPr>
        <w:footnoteRef/>
      </w:r>
      <w:r w:rsidRPr="009801FB">
        <w:rPr>
          <w:lang w:val="en-US"/>
        </w:rPr>
        <w:t xml:space="preserve"> </w:t>
      </w:r>
      <w:r w:rsidRPr="009801FB">
        <w:rPr>
          <w:rFonts w:ascii="Times New Roman" w:hAnsi="Times New Roman"/>
          <w:lang w:val="en-US"/>
        </w:rPr>
        <w:t>COM(2023) 443 final, 11.7.2023,</w:t>
      </w:r>
    </w:p>
    <w:p w14:paraId="54F1F401" w14:textId="4640CEC6" w:rsidR="00EC736F" w:rsidRPr="009801FB" w:rsidRDefault="00CC37E4" w:rsidP="00A0743E">
      <w:pPr>
        <w:pStyle w:val="FootnoteText"/>
        <w:rPr>
          <w:lang w:val="en-US"/>
        </w:rPr>
      </w:pPr>
      <w:hyperlink r:id="rId8" w:history="1">
        <w:r w:rsidR="008D3B33" w:rsidRPr="009801FB">
          <w:rPr>
            <w:rStyle w:val="Hyperlink"/>
            <w:rFonts w:ascii="Times New Roman" w:hAnsi="Times New Roman"/>
            <w:lang w:val="en-US"/>
          </w:rPr>
          <w:t>https://eur-lex.europa.eu/legal-content/FR/TXT/?uri=celex:52023PC0443</w:t>
        </w:r>
      </w:hyperlink>
      <w:r w:rsidR="008D3B33" w:rsidRPr="009801FB">
        <w:rPr>
          <w:rFonts w:ascii="Times New Roman" w:hAnsi="Times New Roman"/>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D5E94" w14:textId="77777777" w:rsidR="00CC37E4" w:rsidRPr="00CC37E4" w:rsidRDefault="00CC37E4" w:rsidP="00CC37E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9F0EE" w14:textId="77777777" w:rsidR="00CC37E4" w:rsidRPr="00CC37E4" w:rsidRDefault="00CC37E4" w:rsidP="00CC37E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58D7A" w14:textId="77777777" w:rsidR="00CC37E4" w:rsidRPr="00CC37E4" w:rsidRDefault="00CC37E4" w:rsidP="00CC37E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DA2C" w14:textId="77777777" w:rsidR="00ED3E19" w:rsidRDefault="00ED3E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1758C" w14:textId="77777777" w:rsidR="00ED3E19" w:rsidRDefault="00ED3E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CC328" w14:textId="77777777" w:rsidR="00ED3E19" w:rsidRDefault="00ED3E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610C4"/>
    <w:multiLevelType w:val="hybridMultilevel"/>
    <w:tmpl w:val="E15881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B155F3"/>
    <w:multiLevelType w:val="hybridMultilevel"/>
    <w:tmpl w:val="2CAE6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063AF2"/>
    <w:multiLevelType w:val="hybridMultilevel"/>
    <w:tmpl w:val="23CCC4EE"/>
    <w:lvl w:ilvl="0" w:tplc="01EC09CE">
      <w:start w:val="1"/>
      <w:numFmt w:val="bullet"/>
      <w:lvlText w:val=""/>
      <w:lvlJc w:val="left"/>
      <w:pPr>
        <w:ind w:left="2216" w:hanging="360"/>
      </w:pPr>
      <w:rPr>
        <w:rFonts w:ascii="Symbol" w:hAnsi="Symbol" w:hint="default"/>
      </w:rPr>
    </w:lvl>
    <w:lvl w:ilvl="1" w:tplc="08090003" w:tentative="1">
      <w:start w:val="1"/>
      <w:numFmt w:val="bullet"/>
      <w:lvlText w:val="o"/>
      <w:lvlJc w:val="left"/>
      <w:pPr>
        <w:ind w:left="2936" w:hanging="360"/>
      </w:pPr>
      <w:rPr>
        <w:rFonts w:ascii="Courier New" w:hAnsi="Courier New" w:cs="Courier New" w:hint="default"/>
      </w:rPr>
    </w:lvl>
    <w:lvl w:ilvl="2" w:tplc="08090005" w:tentative="1">
      <w:start w:val="1"/>
      <w:numFmt w:val="bullet"/>
      <w:lvlText w:val=""/>
      <w:lvlJc w:val="left"/>
      <w:pPr>
        <w:ind w:left="3656" w:hanging="360"/>
      </w:pPr>
      <w:rPr>
        <w:rFonts w:ascii="Wingdings" w:hAnsi="Wingdings" w:hint="default"/>
      </w:rPr>
    </w:lvl>
    <w:lvl w:ilvl="3" w:tplc="08090001" w:tentative="1">
      <w:start w:val="1"/>
      <w:numFmt w:val="bullet"/>
      <w:lvlText w:val=""/>
      <w:lvlJc w:val="left"/>
      <w:pPr>
        <w:ind w:left="4376" w:hanging="360"/>
      </w:pPr>
      <w:rPr>
        <w:rFonts w:ascii="Symbol" w:hAnsi="Symbol" w:hint="default"/>
      </w:rPr>
    </w:lvl>
    <w:lvl w:ilvl="4" w:tplc="08090003" w:tentative="1">
      <w:start w:val="1"/>
      <w:numFmt w:val="bullet"/>
      <w:lvlText w:val="o"/>
      <w:lvlJc w:val="left"/>
      <w:pPr>
        <w:ind w:left="5096" w:hanging="360"/>
      </w:pPr>
      <w:rPr>
        <w:rFonts w:ascii="Courier New" w:hAnsi="Courier New" w:cs="Courier New" w:hint="default"/>
      </w:rPr>
    </w:lvl>
    <w:lvl w:ilvl="5" w:tplc="08090005" w:tentative="1">
      <w:start w:val="1"/>
      <w:numFmt w:val="bullet"/>
      <w:lvlText w:val=""/>
      <w:lvlJc w:val="left"/>
      <w:pPr>
        <w:ind w:left="5816" w:hanging="360"/>
      </w:pPr>
      <w:rPr>
        <w:rFonts w:ascii="Wingdings" w:hAnsi="Wingdings" w:hint="default"/>
      </w:rPr>
    </w:lvl>
    <w:lvl w:ilvl="6" w:tplc="08090001" w:tentative="1">
      <w:start w:val="1"/>
      <w:numFmt w:val="bullet"/>
      <w:lvlText w:val=""/>
      <w:lvlJc w:val="left"/>
      <w:pPr>
        <w:ind w:left="6536" w:hanging="360"/>
      </w:pPr>
      <w:rPr>
        <w:rFonts w:ascii="Symbol" w:hAnsi="Symbol" w:hint="default"/>
      </w:rPr>
    </w:lvl>
    <w:lvl w:ilvl="7" w:tplc="08090003" w:tentative="1">
      <w:start w:val="1"/>
      <w:numFmt w:val="bullet"/>
      <w:lvlText w:val="o"/>
      <w:lvlJc w:val="left"/>
      <w:pPr>
        <w:ind w:left="7256" w:hanging="360"/>
      </w:pPr>
      <w:rPr>
        <w:rFonts w:ascii="Courier New" w:hAnsi="Courier New" w:cs="Courier New" w:hint="default"/>
      </w:rPr>
    </w:lvl>
    <w:lvl w:ilvl="8" w:tplc="08090005" w:tentative="1">
      <w:start w:val="1"/>
      <w:numFmt w:val="bullet"/>
      <w:lvlText w:val=""/>
      <w:lvlJc w:val="left"/>
      <w:pPr>
        <w:ind w:left="7976" w:hanging="360"/>
      </w:pPr>
      <w:rPr>
        <w:rFonts w:ascii="Wingdings" w:hAnsi="Wingdings" w:hint="default"/>
      </w:rPr>
    </w:lvl>
  </w:abstractNum>
  <w:abstractNum w:abstractNumId="3" w15:restartNumberingAfterBreak="0">
    <w:nsid w:val="355F3A3C"/>
    <w:multiLevelType w:val="hybridMultilevel"/>
    <w:tmpl w:val="0B1CA37E"/>
    <w:lvl w:ilvl="0" w:tplc="08090017">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9CA1B28"/>
    <w:multiLevelType w:val="hybridMultilevel"/>
    <w:tmpl w:val="3F1EBE02"/>
    <w:lvl w:ilvl="0" w:tplc="1809000B">
      <w:start w:val="1"/>
      <w:numFmt w:val="bullet"/>
      <w:lvlText w:val=""/>
      <w:lvlJc w:val="left"/>
      <w:pPr>
        <w:ind w:left="-231" w:hanging="360"/>
      </w:pPr>
      <w:rPr>
        <w:rFonts w:ascii="Wingdings" w:hAnsi="Wingdings" w:hint="default"/>
      </w:rPr>
    </w:lvl>
    <w:lvl w:ilvl="1" w:tplc="FFFFFFFF" w:tentative="1">
      <w:start w:val="1"/>
      <w:numFmt w:val="bullet"/>
      <w:lvlText w:val="o"/>
      <w:lvlJc w:val="left"/>
      <w:pPr>
        <w:ind w:left="489" w:hanging="360"/>
      </w:pPr>
      <w:rPr>
        <w:rFonts w:ascii="Courier New" w:hAnsi="Courier New" w:cs="Courier New" w:hint="default"/>
      </w:rPr>
    </w:lvl>
    <w:lvl w:ilvl="2" w:tplc="FFFFFFFF" w:tentative="1">
      <w:start w:val="1"/>
      <w:numFmt w:val="bullet"/>
      <w:lvlText w:val=""/>
      <w:lvlJc w:val="left"/>
      <w:pPr>
        <w:ind w:left="1209" w:hanging="360"/>
      </w:pPr>
      <w:rPr>
        <w:rFonts w:ascii="Wingdings" w:hAnsi="Wingdings" w:hint="default"/>
      </w:rPr>
    </w:lvl>
    <w:lvl w:ilvl="3" w:tplc="FFFFFFFF" w:tentative="1">
      <w:start w:val="1"/>
      <w:numFmt w:val="bullet"/>
      <w:lvlText w:val=""/>
      <w:lvlJc w:val="left"/>
      <w:pPr>
        <w:ind w:left="1929" w:hanging="360"/>
      </w:pPr>
      <w:rPr>
        <w:rFonts w:ascii="Symbol" w:hAnsi="Symbol" w:hint="default"/>
      </w:rPr>
    </w:lvl>
    <w:lvl w:ilvl="4" w:tplc="FFFFFFFF" w:tentative="1">
      <w:start w:val="1"/>
      <w:numFmt w:val="bullet"/>
      <w:lvlText w:val="o"/>
      <w:lvlJc w:val="left"/>
      <w:pPr>
        <w:ind w:left="2649" w:hanging="360"/>
      </w:pPr>
      <w:rPr>
        <w:rFonts w:ascii="Courier New" w:hAnsi="Courier New" w:cs="Courier New" w:hint="default"/>
      </w:rPr>
    </w:lvl>
    <w:lvl w:ilvl="5" w:tplc="FFFFFFFF" w:tentative="1">
      <w:start w:val="1"/>
      <w:numFmt w:val="bullet"/>
      <w:lvlText w:val=""/>
      <w:lvlJc w:val="left"/>
      <w:pPr>
        <w:ind w:left="3369" w:hanging="360"/>
      </w:pPr>
      <w:rPr>
        <w:rFonts w:ascii="Wingdings" w:hAnsi="Wingdings" w:hint="default"/>
      </w:rPr>
    </w:lvl>
    <w:lvl w:ilvl="6" w:tplc="FFFFFFFF" w:tentative="1">
      <w:start w:val="1"/>
      <w:numFmt w:val="bullet"/>
      <w:lvlText w:val=""/>
      <w:lvlJc w:val="left"/>
      <w:pPr>
        <w:ind w:left="4089" w:hanging="360"/>
      </w:pPr>
      <w:rPr>
        <w:rFonts w:ascii="Symbol" w:hAnsi="Symbol" w:hint="default"/>
      </w:rPr>
    </w:lvl>
    <w:lvl w:ilvl="7" w:tplc="FFFFFFFF" w:tentative="1">
      <w:start w:val="1"/>
      <w:numFmt w:val="bullet"/>
      <w:lvlText w:val="o"/>
      <w:lvlJc w:val="left"/>
      <w:pPr>
        <w:ind w:left="4809" w:hanging="360"/>
      </w:pPr>
      <w:rPr>
        <w:rFonts w:ascii="Courier New" w:hAnsi="Courier New" w:cs="Courier New" w:hint="default"/>
      </w:rPr>
    </w:lvl>
    <w:lvl w:ilvl="8" w:tplc="FFFFFFFF" w:tentative="1">
      <w:start w:val="1"/>
      <w:numFmt w:val="bullet"/>
      <w:lvlText w:val=""/>
      <w:lvlJc w:val="left"/>
      <w:pPr>
        <w:ind w:left="5529" w:hanging="360"/>
      </w:pPr>
      <w:rPr>
        <w:rFonts w:ascii="Wingdings" w:hAnsi="Wingdings" w:hint="default"/>
      </w:rPr>
    </w:lvl>
  </w:abstractNum>
  <w:abstractNum w:abstractNumId="5" w15:restartNumberingAfterBreak="0">
    <w:nsid w:val="50452026"/>
    <w:multiLevelType w:val="hybridMultilevel"/>
    <w:tmpl w:val="A028B11A"/>
    <w:lvl w:ilvl="0" w:tplc="F4B2E0B2">
      <w:numFmt w:val="bullet"/>
      <w:lvlText w:val="-"/>
      <w:lvlJc w:val="left"/>
      <w:pPr>
        <w:ind w:left="-231" w:hanging="360"/>
      </w:pPr>
      <w:rPr>
        <w:rFonts w:ascii="Times New Roman" w:eastAsia="Calibri" w:hAnsi="Times New Roman" w:cs="Times New Roman" w:hint="default"/>
      </w:rPr>
    </w:lvl>
    <w:lvl w:ilvl="1" w:tplc="08090003" w:tentative="1">
      <w:start w:val="1"/>
      <w:numFmt w:val="bullet"/>
      <w:lvlText w:val="o"/>
      <w:lvlJc w:val="left"/>
      <w:pPr>
        <w:ind w:left="489" w:hanging="360"/>
      </w:pPr>
      <w:rPr>
        <w:rFonts w:ascii="Courier New" w:hAnsi="Courier New" w:cs="Courier New" w:hint="default"/>
      </w:rPr>
    </w:lvl>
    <w:lvl w:ilvl="2" w:tplc="08090005" w:tentative="1">
      <w:start w:val="1"/>
      <w:numFmt w:val="bullet"/>
      <w:lvlText w:val=""/>
      <w:lvlJc w:val="left"/>
      <w:pPr>
        <w:ind w:left="1209" w:hanging="360"/>
      </w:pPr>
      <w:rPr>
        <w:rFonts w:ascii="Wingdings" w:hAnsi="Wingdings" w:hint="default"/>
      </w:rPr>
    </w:lvl>
    <w:lvl w:ilvl="3" w:tplc="08090001" w:tentative="1">
      <w:start w:val="1"/>
      <w:numFmt w:val="bullet"/>
      <w:lvlText w:val=""/>
      <w:lvlJc w:val="left"/>
      <w:pPr>
        <w:ind w:left="1929" w:hanging="360"/>
      </w:pPr>
      <w:rPr>
        <w:rFonts w:ascii="Symbol" w:hAnsi="Symbol" w:hint="default"/>
      </w:rPr>
    </w:lvl>
    <w:lvl w:ilvl="4" w:tplc="08090003" w:tentative="1">
      <w:start w:val="1"/>
      <w:numFmt w:val="bullet"/>
      <w:lvlText w:val="o"/>
      <w:lvlJc w:val="left"/>
      <w:pPr>
        <w:ind w:left="2649" w:hanging="360"/>
      </w:pPr>
      <w:rPr>
        <w:rFonts w:ascii="Courier New" w:hAnsi="Courier New" w:cs="Courier New" w:hint="default"/>
      </w:rPr>
    </w:lvl>
    <w:lvl w:ilvl="5" w:tplc="08090005" w:tentative="1">
      <w:start w:val="1"/>
      <w:numFmt w:val="bullet"/>
      <w:lvlText w:val=""/>
      <w:lvlJc w:val="left"/>
      <w:pPr>
        <w:ind w:left="3369" w:hanging="360"/>
      </w:pPr>
      <w:rPr>
        <w:rFonts w:ascii="Wingdings" w:hAnsi="Wingdings" w:hint="default"/>
      </w:rPr>
    </w:lvl>
    <w:lvl w:ilvl="6" w:tplc="08090001" w:tentative="1">
      <w:start w:val="1"/>
      <w:numFmt w:val="bullet"/>
      <w:lvlText w:val=""/>
      <w:lvlJc w:val="left"/>
      <w:pPr>
        <w:ind w:left="4089" w:hanging="360"/>
      </w:pPr>
      <w:rPr>
        <w:rFonts w:ascii="Symbol" w:hAnsi="Symbol" w:hint="default"/>
      </w:rPr>
    </w:lvl>
    <w:lvl w:ilvl="7" w:tplc="08090003" w:tentative="1">
      <w:start w:val="1"/>
      <w:numFmt w:val="bullet"/>
      <w:lvlText w:val="o"/>
      <w:lvlJc w:val="left"/>
      <w:pPr>
        <w:ind w:left="4809" w:hanging="360"/>
      </w:pPr>
      <w:rPr>
        <w:rFonts w:ascii="Courier New" w:hAnsi="Courier New" w:cs="Courier New" w:hint="default"/>
      </w:rPr>
    </w:lvl>
    <w:lvl w:ilvl="8" w:tplc="08090005" w:tentative="1">
      <w:start w:val="1"/>
      <w:numFmt w:val="bullet"/>
      <w:lvlText w:val=""/>
      <w:lvlJc w:val="left"/>
      <w:pPr>
        <w:ind w:left="5529" w:hanging="360"/>
      </w:pPr>
      <w:rPr>
        <w:rFonts w:ascii="Wingdings" w:hAnsi="Wingdings" w:hint="default"/>
      </w:rPr>
    </w:lvl>
  </w:abstractNum>
  <w:abstractNum w:abstractNumId="6" w15:restartNumberingAfterBreak="0">
    <w:nsid w:val="66412804"/>
    <w:multiLevelType w:val="hybridMultilevel"/>
    <w:tmpl w:val="9906E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EC207B"/>
    <w:multiLevelType w:val="hybridMultilevel"/>
    <w:tmpl w:val="6BA88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3"/>
  </w:num>
  <w:num w:numId="4">
    <w:abstractNumId w:val="7"/>
  </w:num>
  <w:num w:numId="5">
    <w:abstractNumId w:val="0"/>
  </w:num>
  <w:num w:numId="6">
    <w:abstractNumId w:val="2"/>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01CD5A9B-47B3-4723-AD2F-0370ACE6FE7B"/>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oncernant l\u8217?exercice du pouvoir d\u8217?adopter des actes délégués conféré à la Commission en vertu du règlement (UE) 2018/643 relatif aux statistiques des transports par chemin de fer&lt;/FMT&gt;"/>
    <w:docVar w:name="LW_TYPE.DOC.CP" w:val="RAPPORT DE LA COMMISSION AU PARLEMENT EUROPÉEN ET AU CONSEIL"/>
    <w:docVar w:name="LwApiVersions" w:val="LW4CoDe 1.24.5.0; LW 9.2, Build 20251112"/>
  </w:docVars>
  <w:rsids>
    <w:rsidRoot w:val="00ED3E19"/>
    <w:rsid w:val="00001B96"/>
    <w:rsid w:val="00003B03"/>
    <w:rsid w:val="000164DD"/>
    <w:rsid w:val="00024461"/>
    <w:rsid w:val="0003326C"/>
    <w:rsid w:val="00063B4E"/>
    <w:rsid w:val="00067E9D"/>
    <w:rsid w:val="00117D6E"/>
    <w:rsid w:val="001208F6"/>
    <w:rsid w:val="00145FF0"/>
    <w:rsid w:val="00162E28"/>
    <w:rsid w:val="001D2BF5"/>
    <w:rsid w:val="001E44A5"/>
    <w:rsid w:val="002019B6"/>
    <w:rsid w:val="002137BB"/>
    <w:rsid w:val="00220B20"/>
    <w:rsid w:val="002322D5"/>
    <w:rsid w:val="00232D90"/>
    <w:rsid w:val="002620E0"/>
    <w:rsid w:val="002751D9"/>
    <w:rsid w:val="0028219B"/>
    <w:rsid w:val="002945D5"/>
    <w:rsid w:val="002A13BF"/>
    <w:rsid w:val="002A3225"/>
    <w:rsid w:val="002C7C20"/>
    <w:rsid w:val="002D08C1"/>
    <w:rsid w:val="002E459F"/>
    <w:rsid w:val="002F00E0"/>
    <w:rsid w:val="0032314D"/>
    <w:rsid w:val="0035350C"/>
    <w:rsid w:val="003930A7"/>
    <w:rsid w:val="003C239E"/>
    <w:rsid w:val="003F6148"/>
    <w:rsid w:val="00401590"/>
    <w:rsid w:val="00424545"/>
    <w:rsid w:val="00430922"/>
    <w:rsid w:val="00462814"/>
    <w:rsid w:val="00472CD7"/>
    <w:rsid w:val="004A6EA1"/>
    <w:rsid w:val="004E77A3"/>
    <w:rsid w:val="0050435B"/>
    <w:rsid w:val="005127BB"/>
    <w:rsid w:val="0053043B"/>
    <w:rsid w:val="005871CC"/>
    <w:rsid w:val="005D2494"/>
    <w:rsid w:val="0060724E"/>
    <w:rsid w:val="006203FE"/>
    <w:rsid w:val="00625225"/>
    <w:rsid w:val="0062530C"/>
    <w:rsid w:val="006668B4"/>
    <w:rsid w:val="006778D6"/>
    <w:rsid w:val="0069342C"/>
    <w:rsid w:val="00696FEE"/>
    <w:rsid w:val="006D056C"/>
    <w:rsid w:val="006E6EAC"/>
    <w:rsid w:val="0070488F"/>
    <w:rsid w:val="007B1B64"/>
    <w:rsid w:val="007F0EC6"/>
    <w:rsid w:val="00817E34"/>
    <w:rsid w:val="00826EE9"/>
    <w:rsid w:val="00845849"/>
    <w:rsid w:val="00845A59"/>
    <w:rsid w:val="00856ECB"/>
    <w:rsid w:val="008922F3"/>
    <w:rsid w:val="00894BF4"/>
    <w:rsid w:val="008A58B4"/>
    <w:rsid w:val="008B01D6"/>
    <w:rsid w:val="008C210D"/>
    <w:rsid w:val="008D3B33"/>
    <w:rsid w:val="008D3BAF"/>
    <w:rsid w:val="008E6746"/>
    <w:rsid w:val="009056B9"/>
    <w:rsid w:val="00921384"/>
    <w:rsid w:val="00934C42"/>
    <w:rsid w:val="009801FB"/>
    <w:rsid w:val="009B40FD"/>
    <w:rsid w:val="009D39D8"/>
    <w:rsid w:val="009E5D6C"/>
    <w:rsid w:val="009F4C64"/>
    <w:rsid w:val="00A0743E"/>
    <w:rsid w:val="00A112DD"/>
    <w:rsid w:val="00A12B5D"/>
    <w:rsid w:val="00A13160"/>
    <w:rsid w:val="00A16902"/>
    <w:rsid w:val="00A407B6"/>
    <w:rsid w:val="00A4336E"/>
    <w:rsid w:val="00A5644E"/>
    <w:rsid w:val="00A641F1"/>
    <w:rsid w:val="00A803FB"/>
    <w:rsid w:val="00A83AA6"/>
    <w:rsid w:val="00AC2CDD"/>
    <w:rsid w:val="00AE5B39"/>
    <w:rsid w:val="00AE7753"/>
    <w:rsid w:val="00AF0FD4"/>
    <w:rsid w:val="00B13552"/>
    <w:rsid w:val="00B74A11"/>
    <w:rsid w:val="00BA2270"/>
    <w:rsid w:val="00BD34F0"/>
    <w:rsid w:val="00BE3759"/>
    <w:rsid w:val="00C15D53"/>
    <w:rsid w:val="00C24177"/>
    <w:rsid w:val="00C45C35"/>
    <w:rsid w:val="00CA3664"/>
    <w:rsid w:val="00CC37E4"/>
    <w:rsid w:val="00CE29C0"/>
    <w:rsid w:val="00D32272"/>
    <w:rsid w:val="00D424F0"/>
    <w:rsid w:val="00D72700"/>
    <w:rsid w:val="00DD77C6"/>
    <w:rsid w:val="00E0206E"/>
    <w:rsid w:val="00E071C6"/>
    <w:rsid w:val="00E12BD7"/>
    <w:rsid w:val="00E13651"/>
    <w:rsid w:val="00E35B9E"/>
    <w:rsid w:val="00E45594"/>
    <w:rsid w:val="00E524E8"/>
    <w:rsid w:val="00E56084"/>
    <w:rsid w:val="00E73855"/>
    <w:rsid w:val="00EC736F"/>
    <w:rsid w:val="00ED3E19"/>
    <w:rsid w:val="00EF27D9"/>
    <w:rsid w:val="00F0372F"/>
    <w:rsid w:val="00F24B5E"/>
    <w:rsid w:val="00F31438"/>
    <w:rsid w:val="00F42D2D"/>
    <w:rsid w:val="00F87330"/>
    <w:rsid w:val="00FB393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52B372"/>
  <w15:docId w15:val="{9F80187C-1483-451E-9746-BF6CB09BF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117D6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FootnoteText">
    <w:name w:val="footnote text"/>
    <w:basedOn w:val="Normal"/>
    <w:link w:val="FootnoteTextChar"/>
    <w:semiHidden/>
    <w:unhideWhenUsed/>
    <w:pPr>
      <w:spacing w:after="200" w:line="276" w:lineRule="auto"/>
    </w:pPr>
    <w:rPr>
      <w:rFonts w:ascii="Calibri" w:eastAsia="Calibri" w:hAnsi="Calibri" w:cs="Times New Roman"/>
      <w:sz w:val="20"/>
      <w:szCs w:val="20"/>
      <w:lang w:eastAsia="en-US"/>
    </w:rPr>
  </w:style>
  <w:style w:type="character" w:customStyle="1" w:styleId="FootnoteTextChar">
    <w:name w:val="Footnote Text Char"/>
    <w:basedOn w:val="DefaultParagraphFont"/>
    <w:link w:val="FootnoteText"/>
    <w:semiHidden/>
    <w:rPr>
      <w:rFonts w:ascii="Calibri" w:eastAsia="Calibri" w:hAnsi="Calibri" w:cs="Times New Roman"/>
      <w:sz w:val="20"/>
      <w:szCs w:val="20"/>
      <w:lang w:eastAsia="en-US"/>
    </w:rPr>
  </w:style>
  <w:style w:type="character" w:styleId="FootnoteReference">
    <w:name w:val="footnote reference"/>
    <w:semiHidden/>
    <w:rPr>
      <w:shd w:val="clear" w:color="auto" w:fill="auto"/>
      <w:vertAlign w:val="superscript"/>
    </w:rPr>
  </w:style>
  <w:style w:type="character" w:styleId="Hyperlink">
    <w:name w:val="Hyperlink"/>
    <w:uiPriority w:val="99"/>
    <w:unhideWhenUsed/>
    <w:rPr>
      <w:color w:val="0563C1"/>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rsid w:val="00AF0FD4"/>
    <w:pPr>
      <w:spacing w:after="0" w:line="240" w:lineRule="auto"/>
    </w:pPr>
  </w:style>
  <w:style w:type="paragraph" w:customStyle="1" w:styleId="SecurityMarking">
    <w:name w:val="SecurityMarking"/>
    <w:basedOn w:val="Normal"/>
    <w:rsid w:val="00117D6E"/>
    <w:pPr>
      <w:spacing w:after="0" w:line="276" w:lineRule="auto"/>
      <w:ind w:left="5103"/>
    </w:pPr>
    <w:rPr>
      <w:rFonts w:ascii="Times New Roman" w:eastAsiaTheme="minorHAnsi" w:hAnsi="Times New Roman" w:cs="Times New Roman"/>
      <w:sz w:val="28"/>
      <w:lang w:eastAsia="en-US"/>
    </w:rPr>
  </w:style>
  <w:style w:type="paragraph" w:customStyle="1" w:styleId="DateMarking">
    <w:name w:val="DateMarking"/>
    <w:basedOn w:val="Normal"/>
    <w:rsid w:val="00117D6E"/>
    <w:pPr>
      <w:spacing w:after="0" w:line="276" w:lineRule="auto"/>
      <w:ind w:left="5103"/>
    </w:pPr>
    <w:rPr>
      <w:rFonts w:ascii="Times New Roman" w:eastAsiaTheme="minorHAnsi" w:hAnsi="Times New Roman" w:cs="Times New Roman"/>
      <w:i/>
      <w:sz w:val="28"/>
      <w:lang w:eastAsia="en-US"/>
    </w:rPr>
  </w:style>
  <w:style w:type="paragraph" w:customStyle="1" w:styleId="ReleasableTo">
    <w:name w:val="ReleasableTo"/>
    <w:basedOn w:val="Normal"/>
    <w:rsid w:val="00117D6E"/>
    <w:pPr>
      <w:spacing w:after="0" w:line="276" w:lineRule="auto"/>
      <w:ind w:left="5103"/>
    </w:pPr>
    <w:rPr>
      <w:rFonts w:ascii="Times New Roman" w:eastAsiaTheme="minorHAnsi" w:hAnsi="Times New Roman" w:cs="Times New Roman"/>
      <w:i/>
      <w:sz w:val="28"/>
      <w:lang w:eastAsia="en-US"/>
    </w:rPr>
  </w:style>
  <w:style w:type="paragraph" w:customStyle="1" w:styleId="Languesfaisantfoi">
    <w:name w:val="Langues faisant foi"/>
    <w:basedOn w:val="Normal"/>
    <w:next w:val="Normal"/>
    <w:rsid w:val="00117D6E"/>
    <w:pPr>
      <w:spacing w:before="360" w:after="240" w:line="240" w:lineRule="auto"/>
      <w:jc w:val="center"/>
    </w:pPr>
    <w:rPr>
      <w:rFonts w:ascii="Times New Roman" w:eastAsiaTheme="minorHAnsi" w:hAnsi="Times New Roman" w:cs="Times New Roman"/>
      <w:sz w:val="24"/>
      <w:lang w:eastAsia="en-US"/>
    </w:rPr>
  </w:style>
  <w:style w:type="paragraph" w:customStyle="1" w:styleId="LanguesfaisantfoiPagedecouverture">
    <w:name w:val="Langues faisant foi (Page de couverture)"/>
    <w:basedOn w:val="Normal"/>
    <w:next w:val="Normal"/>
    <w:rsid w:val="00117D6E"/>
    <w:pPr>
      <w:spacing w:before="360" w:after="240" w:line="240" w:lineRule="auto"/>
      <w:jc w:val="center"/>
    </w:pPr>
    <w:rPr>
      <w:rFonts w:ascii="Times New Roman" w:eastAsiaTheme="minorHAnsi" w:hAnsi="Times New Roman" w:cs="Times New Roman"/>
      <w:sz w:val="24"/>
      <w:lang w:eastAsia="en-US"/>
    </w:rPr>
  </w:style>
  <w:style w:type="paragraph" w:customStyle="1" w:styleId="IntrtEEE">
    <w:name w:val="Intérêt EEE"/>
    <w:basedOn w:val="Languesfaisantfoi"/>
    <w:next w:val="Normal"/>
    <w:rsid w:val="00117D6E"/>
    <w:pPr>
      <w:spacing w:after="0"/>
    </w:pPr>
  </w:style>
  <w:style w:type="paragraph" w:customStyle="1" w:styleId="IntrtEEEPagedecouverture">
    <w:name w:val="Intérêt EEE (Page de couverture)"/>
    <w:basedOn w:val="IntrtEEE"/>
    <w:next w:val="Normal"/>
    <w:rsid w:val="00117D6E"/>
  </w:style>
  <w:style w:type="character" w:customStyle="1" w:styleId="UnresolvedMention">
    <w:name w:val="Unresolved Mention"/>
    <w:basedOn w:val="DefaultParagraphFont"/>
    <w:uiPriority w:val="99"/>
    <w:semiHidden/>
    <w:unhideWhenUsed/>
    <w:rsid w:val="006E6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508183">
      <w:bodyDiv w:val="1"/>
      <w:marLeft w:val="0"/>
      <w:marRight w:val="0"/>
      <w:marTop w:val="0"/>
      <w:marBottom w:val="0"/>
      <w:divBdr>
        <w:top w:val="none" w:sz="0" w:space="0" w:color="auto"/>
        <w:left w:val="none" w:sz="0" w:space="0" w:color="auto"/>
        <w:bottom w:val="none" w:sz="0" w:space="0" w:color="auto"/>
        <w:right w:val="none" w:sz="0" w:space="0" w:color="auto"/>
      </w:divBdr>
    </w:div>
    <w:div w:id="547768253">
      <w:bodyDiv w:val="1"/>
      <w:marLeft w:val="0"/>
      <w:marRight w:val="0"/>
      <w:marTop w:val="0"/>
      <w:marBottom w:val="0"/>
      <w:divBdr>
        <w:top w:val="none" w:sz="0" w:space="0" w:color="auto"/>
        <w:left w:val="none" w:sz="0" w:space="0" w:color="auto"/>
        <w:bottom w:val="none" w:sz="0" w:space="0" w:color="auto"/>
        <w:right w:val="none" w:sz="0" w:space="0" w:color="auto"/>
      </w:divBdr>
    </w:div>
    <w:div w:id="1236816786">
      <w:bodyDiv w:val="1"/>
      <w:marLeft w:val="0"/>
      <w:marRight w:val="0"/>
      <w:marTop w:val="0"/>
      <w:marBottom w:val="0"/>
      <w:divBdr>
        <w:top w:val="none" w:sz="0" w:space="0" w:color="auto"/>
        <w:left w:val="none" w:sz="0" w:space="0" w:color="auto"/>
        <w:bottom w:val="none" w:sz="0" w:space="0" w:color="auto"/>
        <w:right w:val="none" w:sz="0" w:space="0" w:color="auto"/>
      </w:divBdr>
    </w:div>
    <w:div w:id="140784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52023PC0443" TargetMode="External"/><Relationship Id="rId3" Type="http://schemas.openxmlformats.org/officeDocument/2006/relationships/hyperlink" Target="https://eur-lex.europa.eu/legal-content/TXT/?uri=CELEX%3A52021DC0098" TargetMode="External"/><Relationship Id="rId7" Type="http://schemas.openxmlformats.org/officeDocument/2006/relationships/hyperlink" Target="https://transport.ec.europa.eu/transport-modes/rail/high-speed-rail-plan_en" TargetMode="External"/><Relationship Id="rId2" Type="http://schemas.openxmlformats.org/officeDocument/2006/relationships/hyperlink" Target="http://data.europa.eu/eli/agree_interinstit/2016/512/oj" TargetMode="External"/><Relationship Id="rId1" Type="http://schemas.openxmlformats.org/officeDocument/2006/relationships/hyperlink" Target="http://data.europa.eu/eli/reg/2018/643/oj" TargetMode="External"/><Relationship Id="rId6" Type="http://schemas.openxmlformats.org/officeDocument/2006/relationships/hyperlink" Target="http://data.europa.eu/eli/reg/2020/1056/oj" TargetMode="External"/><Relationship Id="rId5" Type="http://schemas.openxmlformats.org/officeDocument/2006/relationships/hyperlink" Target="http://data.europa.eu/eli/reg/2024/1679/oj" TargetMode="External"/><Relationship Id="rId4" Type="http://schemas.openxmlformats.org/officeDocument/2006/relationships/hyperlink" Target="https://eur-lex.europa.eu/legal-content/TXT/?uri=CELEX%3A52020DC0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A9062EACDD346A205950B04F12AAC" ma:contentTypeVersion="6" ma:contentTypeDescription="Create a new document." ma:contentTypeScope="" ma:versionID="bd22f3cee3b4fd1ab4144f1a9250558c">
  <xsd:schema xmlns:xsd="http://www.w3.org/2001/XMLSchema" xmlns:xs="http://www.w3.org/2001/XMLSchema" xmlns:p="http://schemas.microsoft.com/office/2006/metadata/properties" xmlns:ns2="26349085-4abb-4ce3-96c9-f14665167c5b" xmlns:ns3="e82c8cdf-f217-4668-b399-29698049ae3c" targetNamespace="http://schemas.microsoft.com/office/2006/metadata/properties" ma:root="true" ma:fieldsID="d21af6dd2bd7d1155dfdb8af6955d56f" ns2:_="" ns3:_="">
    <xsd:import namespace="26349085-4abb-4ce3-96c9-f14665167c5b"/>
    <xsd:import namespace="e82c8cdf-f217-4668-b399-29698049ae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49085-4abb-4ce3-96c9-f14665167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c8cdf-f217-4668-b399-29698049ae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9818918-D502-4CB9-95D3-35132189BE1D}">
  <ds:schemaRefs>
    <ds:schemaRef ds:uri="http://schemas.openxmlformats.org/package/2006/metadata/core-properties"/>
    <ds:schemaRef ds:uri="http://schemas.microsoft.com/office/2006/metadata/properties"/>
    <ds:schemaRef ds:uri="http://www.w3.org/XML/1998/namespace"/>
    <ds:schemaRef ds:uri="e82c8cdf-f217-4668-b399-29698049ae3c"/>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26349085-4abb-4ce3-96c9-f14665167c5b"/>
  </ds:schemaRefs>
</ds:datastoreItem>
</file>

<file path=customXml/itemProps2.xml><?xml version="1.0" encoding="utf-8"?>
<ds:datastoreItem xmlns:ds="http://schemas.openxmlformats.org/officeDocument/2006/customXml" ds:itemID="{77B521BA-FD71-4A62-B706-F0A7E5DC3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49085-4abb-4ce3-96c9-f14665167c5b"/>
    <ds:schemaRef ds:uri="e82c8cdf-f217-4668-b399-29698049a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272053-A630-4A9E-ABC5-11B29CC85DFD}">
  <ds:schemaRefs>
    <ds:schemaRef ds:uri="http://schemas.microsoft.com/sharepoint/v3/contenttype/forms"/>
  </ds:schemaRefs>
</ds:datastoreItem>
</file>

<file path=customXml/itemProps4.xml><?xml version="1.0" encoding="utf-8"?>
<ds:datastoreItem xmlns:ds="http://schemas.openxmlformats.org/officeDocument/2006/customXml" ds:itemID="{5D709EA0-7D83-449B-B71E-C38F15E3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Rail_Commission_Report_Exercise of power delegated acts_2026</vt:lpstr>
    </vt:vector>
  </TitlesOfParts>
  <Manager/>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Rail_Commission_Report_Exercise of power delegated acts_2026</dc:title>
  <dc:subject>Rail_Commission_Report_Exercise of power delegated acts_2026</dc:subject>
  <dc:creator/>
  <cp:keywords/>
  <dc:description/>
  <cp:lastModifiedBy>EC CoDe</cp:lastModifiedBy>
  <cp:revision>19</cp:revision>
  <dcterms:created xsi:type="dcterms:W3CDTF">2026-04-08T16:01:00Z</dcterms:created>
  <dcterms:modified xsi:type="dcterms:W3CDTF">2026-05-12T07:13:00Z</dcterms:modified>
  <cp:category>Rail transport statistics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OP_sanitized">
    <vt:lpwstr>True</vt:lpwstr>
  </property>
  <property fmtid="{D5CDD505-2E9C-101B-9397-08002B2CF9AE}" pid="10" name="MSIP_Label_6bd9ddd1-4d20-43f6-abfa-fc3c07406f94_Enabled">
    <vt:lpwstr>true</vt:lpwstr>
  </property>
  <property fmtid="{D5CDD505-2E9C-101B-9397-08002B2CF9AE}" pid="11" name="MSIP_Label_6bd9ddd1-4d20-43f6-abfa-fc3c07406f94_SetDate">
    <vt:lpwstr>2025-12-07T17:06:12Z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096288ca-70a8-4b1a-87fa-92cb968af90a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0x010100558A9062EACDD346A205950B04F12AAC</vt:lpwstr>
  </property>
</Properties>
</file>