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459F3" w14:textId="705718FE" w:rsidR="003B5F50" w:rsidRDefault="00945344" w:rsidP="00945344">
      <w:pPr>
        <w:pStyle w:val="Pagedecouverture"/>
        <w:rPr>
          <w:noProof/>
        </w:rPr>
      </w:pPr>
      <w:bookmarkStart w:id="0" w:name="LW_BM_COVERPAGE"/>
      <w:r>
        <w:rPr>
          <w:noProof/>
        </w:rPr>
        <w:pict w14:anchorId="3C91E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7B4BA52-FBC8-4C1A-B440-927A212E3475" style="width:455.25pt;height:372.75pt">
            <v:imagedata r:id="rId10" o:title=""/>
          </v:shape>
        </w:pict>
      </w:r>
    </w:p>
    <w:bookmarkEnd w:id="0"/>
    <w:p w14:paraId="1CAB509B" w14:textId="77777777" w:rsidR="003B5F50" w:rsidRDefault="003B5F50">
      <w:pPr>
        <w:rPr>
          <w:noProof/>
        </w:rPr>
        <w:sectPr w:rsidR="003B5F50" w:rsidSect="00945344">
          <w:headerReference w:type="even" r:id="rId11"/>
          <w:headerReference w:type="default" r:id="rId12"/>
          <w:footerReference w:type="even" r:id="rId13"/>
          <w:footerReference w:type="default" r:id="rId14"/>
          <w:headerReference w:type="first" r:id="rId15"/>
          <w:footerReference w:type="first" r:id="rId16"/>
          <w:pgSz w:w="11907" w:h="16840" w:code="9"/>
          <w:pgMar w:top="1134" w:right="1417" w:bottom="1134" w:left="1417" w:header="709" w:footer="709" w:gutter="0"/>
          <w:pgNumType w:start="1"/>
          <w:cols w:space="720"/>
          <w:docGrid w:linePitch="360"/>
        </w:sectPr>
      </w:pPr>
    </w:p>
    <w:p w14:paraId="50B4AB9D" w14:textId="77777777" w:rsidR="003B5F50" w:rsidRDefault="000D2D85">
      <w:pPr>
        <w:pStyle w:val="P68B1DB1-Heading21"/>
        <w:spacing w:before="40" w:after="0" w:line="257" w:lineRule="auto"/>
        <w:jc w:val="center"/>
        <w:rPr>
          <w:bCs/>
          <w:noProof/>
        </w:rPr>
      </w:pPr>
      <w:bookmarkStart w:id="1" w:name="_GoBack"/>
      <w:bookmarkEnd w:id="1"/>
      <w:r>
        <w:rPr>
          <w:noProof/>
        </w:rPr>
        <w:lastRenderedPageBreak/>
        <w:t>ANNEXE</w:t>
      </w:r>
    </w:p>
    <w:p w14:paraId="50B4AB9E" w14:textId="77777777" w:rsidR="003B5F50" w:rsidRDefault="003B5F50">
      <w:pPr>
        <w:rPr>
          <w:noProof/>
        </w:rPr>
      </w:pPr>
    </w:p>
    <w:p w14:paraId="50B4AB9F" w14:textId="77777777" w:rsidR="003B5F50" w:rsidRDefault="000D2D85">
      <w:pPr>
        <w:pStyle w:val="P68B1DB1-Normal2"/>
        <w:rPr>
          <w:noProof/>
        </w:rPr>
      </w:pPr>
      <w:r>
        <w:rPr>
          <w:noProof/>
        </w:rPr>
        <w:t xml:space="preserve">SECTION 1 : RÉFORMES ET INVESTISSEMENTS DANS LE CADRE DU PLAN DE RÉCUPÉRATION ET DE RESILIENCE </w:t>
      </w:r>
    </w:p>
    <w:p w14:paraId="50B4ABA0" w14:textId="77777777" w:rsidR="003B5F50" w:rsidRDefault="000D2D85">
      <w:pPr>
        <w:pStyle w:val="P68B1DB1-ListParagraph3"/>
        <w:numPr>
          <w:ilvl w:val="0"/>
          <w:numId w:val="24"/>
        </w:numPr>
        <w:rPr>
          <w:noProof/>
        </w:rPr>
      </w:pPr>
      <w:r>
        <w:rPr>
          <w:noProof/>
        </w:rPr>
        <w:t>Description des réformes et des investissements</w:t>
      </w:r>
    </w:p>
    <w:p w14:paraId="50B4ABA1" w14:textId="77777777" w:rsidR="003B5F50" w:rsidRDefault="000D2D85">
      <w:pPr>
        <w:pStyle w:val="P68B1DB1-Heading21"/>
        <w:spacing w:before="40" w:after="0" w:line="257" w:lineRule="auto"/>
        <w:rPr>
          <w:noProof/>
        </w:rPr>
      </w:pPr>
      <w:r>
        <w:rPr>
          <w:noProof/>
        </w:rPr>
        <w:t>Élément 1: Sources d'énergie renouvelables et infrastructures énergétiques</w:t>
      </w:r>
    </w:p>
    <w:p w14:paraId="50B4ABA2" w14:textId="77777777" w:rsidR="003B5F50" w:rsidRDefault="000D2D85">
      <w:pPr>
        <w:pStyle w:val="P68B1DB1-Normal4"/>
        <w:spacing w:before="120" w:after="120"/>
        <w:jc w:val="both"/>
        <w:rPr>
          <w:noProof/>
        </w:rPr>
      </w:pPr>
      <w:r>
        <w:rPr>
          <w:noProof/>
        </w:rPr>
        <w:t xml:space="preserve">L’objectif du volet «sources d’énergie renouvelables et infrastructures énergétiques» du plan slovaque pour la reprise et la résilience est de contribuer directement à la réalisation des objectifs en matière de changement climatique à l’horizon 2030. Selon le plan national slovaque en matière d’énergie et de climat, la réalisation des objectifs climatiques nécessite une transition significative vers les sources d’énergie renouvelables dans le bouquet énergétique slovaque. </w:t>
      </w:r>
    </w:p>
    <w:p w14:paraId="50B4ABA3" w14:textId="46B720AD" w:rsidR="003B5F50" w:rsidRDefault="000D2D85">
      <w:pPr>
        <w:pStyle w:val="P68B1DB1-Normal5"/>
        <w:spacing w:before="120" w:after="120"/>
        <w:jc w:val="both"/>
        <w:rPr>
          <w:noProof/>
        </w:rPr>
      </w:pPr>
      <w:r>
        <w:rPr>
          <w:noProof/>
        </w:rPr>
        <w:t xml:space="preserve">Dans ce contexte, ce volet du plan slovaque pour la reprise et la résilience vise à soutenir un déploiement plus rapide des investissements dans les énergies renouvelables. Compte tenu de cet objectif, les réformes doivent moderniser le marché slovaque de l'électricité et créer un environnement législatif approprié. Les modifications législatives amélioreront en particulier l’accès des nouveaux acteurs du marché, renforceront la certitude et la confiance dans les mesures de soutien de l’État et amélioreront l’intégration des énergies renouvelables dans le réseau électrique slovaque. L’aide à l’investissement est destinée à accroître les capacités des nouvelles sources d’énergie renouvelables ainsi qu’à réhabiliter les installations renouvelables existantes, y compris la modernisation du biogaz, la transformation des installations de production d’électricité à partir de biogaz en centrales au biométhane et en centrales hydroélectriques. Les investissements visant à accroître la flexibilité du réseau électrique comprennent un soutien aux nouveaux stockages de batteries, y compris les solutions à base d’hydrogène, ainsi qu’à l’augmentation de la capacité d’équilibrage électrique des installations hydroélectriques. </w:t>
      </w:r>
    </w:p>
    <w:p w14:paraId="50B4ABA4" w14:textId="77777777" w:rsidR="003B5F50" w:rsidRDefault="000D2D85">
      <w:pPr>
        <w:pStyle w:val="P68B1DB1-Normal5"/>
        <w:spacing w:before="120" w:after="120"/>
        <w:jc w:val="both"/>
        <w:rPr>
          <w:noProof/>
        </w:rPr>
      </w:pPr>
      <w:r>
        <w:rPr>
          <w:noProof/>
        </w:rPr>
        <w:t xml:space="preserve">Ce volet comprend deux réformes et trois investissements. </w:t>
      </w:r>
    </w:p>
    <w:p w14:paraId="50B4ABA5" w14:textId="77777777" w:rsidR="003B5F50" w:rsidRDefault="000D2D85">
      <w:pPr>
        <w:pStyle w:val="P68B1DB1-Normal4"/>
        <w:spacing w:before="120" w:after="120"/>
        <w:jc w:val="both"/>
        <w:rPr>
          <w:noProof/>
        </w:rPr>
      </w:pPr>
      <w:r>
        <w:rPr>
          <w:noProof/>
        </w:rPr>
        <w:t xml:space="preserve">Ces mesures contribuent à la réalisation de l’objectif de transition écologique et de neutralité climatique, ainsi qu’au respect des engagements pris par la Slovaquie dans son plan national en matière d’énergie et de climat. Ce volet renforce l’autonomie stratégique et la sécurité de la Slovaquie en augmentant la part des sources d’énergie nationales, étant donné que les importations en provenance de pays tiers représentent une part importante de sa consommation. Les investissements s'ajoutent à la création d'emplois au niveau local, y compris pour le secteur des PME. </w:t>
      </w:r>
    </w:p>
    <w:p w14:paraId="50B4ABA6" w14:textId="2E9D27C7" w:rsidR="003B5F50" w:rsidRDefault="000D2D85">
      <w:pPr>
        <w:pStyle w:val="P68B1DB1-Normal4"/>
        <w:spacing w:before="120" w:after="120"/>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ABA7" w14:textId="619506A8" w:rsidR="003B5F50" w:rsidRDefault="000D2D85">
      <w:pPr>
        <w:pStyle w:val="P68B1DB1-Normal4"/>
        <w:spacing w:before="120" w:after="120"/>
        <w:jc w:val="both"/>
        <w:rPr>
          <w:noProof/>
        </w:rPr>
      </w:pPr>
      <w:r>
        <w:rPr>
          <w:noProof/>
        </w:rPr>
        <w:t>Les investissements et les réformes contribuent à donner suite à la recommandation par pays transmise à la Slovaquie en 2020, sur la nécessité de «concentrer les investissements sur les transitions numériques vertes, en particulier sur la production et l’utilisation propres et efficaces de l’énergie et des ressources» (recommandation par pays 3/2020).</w:t>
      </w:r>
    </w:p>
    <w:p w14:paraId="2D2D468E" w14:textId="77777777" w:rsidR="003B5F50" w:rsidRDefault="000D2D85">
      <w:pPr>
        <w:pStyle w:val="P68B1DB1-Normal4"/>
        <w:rPr>
          <w:noProof/>
        </w:rPr>
      </w:pPr>
      <w:r>
        <w:rPr>
          <w:noProof/>
        </w:rPr>
        <w:br w:type="page"/>
      </w:r>
    </w:p>
    <w:p w14:paraId="50B4ABA8" w14:textId="77777777" w:rsidR="003B5F50" w:rsidRDefault="000D2D85">
      <w:pPr>
        <w:spacing w:before="120" w:after="120"/>
        <w:jc w:val="both"/>
        <w:rPr>
          <w:noProof/>
        </w:rPr>
      </w:pPr>
      <w:r>
        <w:rPr>
          <w:rFonts w:ascii="Times New Roman" w:eastAsia="Times New Roman" w:hAnsi="Times New Roman" w:cs="Times New Roman"/>
          <w:b/>
          <w:noProof/>
          <w:u w:val="single"/>
        </w:rPr>
        <w:t xml:space="preserve">A.1. </w:t>
      </w:r>
      <w:r>
        <w:rPr>
          <w:noProof/>
        </w:rPr>
        <w:t xml:space="preserve"> </w:t>
      </w:r>
      <w:r>
        <w:rPr>
          <w:rFonts w:ascii="Times New Roman" w:eastAsia="Times New Roman" w:hAnsi="Times New Roman" w:cs="Times New Roman"/>
          <w:b/>
          <w:noProof/>
          <w:u w:val="single"/>
        </w:rPr>
        <w:t>Description des réformes et des investissements pour le soutien financier non remboursable</w:t>
      </w:r>
    </w:p>
    <w:p w14:paraId="50B4ABA9" w14:textId="77777777" w:rsidR="003B5F50" w:rsidRDefault="000D2D85">
      <w:pPr>
        <w:pStyle w:val="P68B1DB1-Normal4"/>
        <w:spacing w:before="120" w:after="120"/>
        <w:jc w:val="both"/>
        <w:rPr>
          <w:noProof/>
        </w:rPr>
      </w:pPr>
      <w:r>
        <w:rPr>
          <w:b/>
          <w:noProof/>
        </w:rPr>
        <w:t>Réforme 1: Adaptation du cadre juridique de l'électricité</w:t>
      </w:r>
      <w:r>
        <w:rPr>
          <w:noProof/>
        </w:rPr>
        <w:t xml:space="preserve"> </w:t>
      </w:r>
    </w:p>
    <w:p w14:paraId="50B4ABAA" w14:textId="77777777" w:rsidR="003B5F50" w:rsidRDefault="000D2D85">
      <w:pPr>
        <w:pStyle w:val="P68B1DB1-Normal4"/>
        <w:spacing w:before="120" w:after="120"/>
        <w:jc w:val="both"/>
        <w:rPr>
          <w:noProof/>
        </w:rPr>
      </w:pPr>
      <w:r>
        <w:rPr>
          <w:noProof/>
        </w:rPr>
        <w:t xml:space="preserve">L’objectif de la réforme est d’améliorer le cadre juridique du marché slovaque de l’électricité en modifiant la loi 251/2012 Rec. sur l’énergie et la loi 250/2012 Rec. sur la réglementation dans les industries de réseau conformément aux exigences de la directive 2019/944. En outre, la structure juridique adaptée facilite les nouvelles activités et l’accès des participants au marché de l’électricité (communautés énergétiques, agrégateur, autoconsommateur, stockage de l’électricité), tout en augmentant la flexibilité globale du système électrique et en améliorant les possibilités de raccordement des nouvelles énergies renouvelables au réseau slovaque. </w:t>
      </w:r>
    </w:p>
    <w:p w14:paraId="50B4ABAB" w14:textId="77777777" w:rsidR="003B5F50" w:rsidRDefault="000D2D85">
      <w:pPr>
        <w:pStyle w:val="P68B1DB1-Normal4"/>
        <w:spacing w:before="120" w:after="120"/>
        <w:jc w:val="both"/>
        <w:rPr>
          <w:noProof/>
        </w:rPr>
      </w:pPr>
      <w:r>
        <w:rPr>
          <w:noProof/>
        </w:rPr>
        <w:t xml:space="preserve">Cette réforme prévoit également (au titre de l’étape 2) une mesure visant à libérer les capacités techniques de transport d’électricité au sein du réseau électrique national, facilitée par l’augmentation de la capacité du profil d’interconnexion électrique entre la Slovaquie et la Hongrie. </w:t>
      </w:r>
    </w:p>
    <w:p w14:paraId="50B4ABAC" w14:textId="77777777" w:rsidR="003B5F50" w:rsidRDefault="000D2D85">
      <w:pPr>
        <w:pStyle w:val="P68B1DB1-Normal5"/>
        <w:spacing w:before="120" w:after="120"/>
        <w:jc w:val="both"/>
        <w:rPr>
          <w:noProof/>
        </w:rPr>
      </w:pPr>
      <w:r>
        <w:rPr>
          <w:noProof/>
        </w:rPr>
        <w:t xml:space="preserve">La mise en œuvre de la réforme est achevée au plus tard le 31 décembre 2022. </w:t>
      </w:r>
    </w:p>
    <w:p w14:paraId="50B4ABAD" w14:textId="77777777" w:rsidR="003B5F50" w:rsidRDefault="000D2D85">
      <w:pPr>
        <w:pStyle w:val="P68B1DB1-Normal4"/>
        <w:spacing w:before="120" w:after="120"/>
        <w:jc w:val="both"/>
        <w:rPr>
          <w:noProof/>
        </w:rPr>
      </w:pPr>
      <w:r>
        <w:rPr>
          <w:b/>
          <w:noProof/>
        </w:rPr>
        <w:t>Réforme 2: Le cadre juridique pour la promotion des sources d'énergie renouvelables</w:t>
      </w:r>
      <w:r>
        <w:rPr>
          <w:noProof/>
        </w:rPr>
        <w:t xml:space="preserve"> </w:t>
      </w:r>
    </w:p>
    <w:p w14:paraId="50B4ABAE" w14:textId="77777777" w:rsidR="003B5F50" w:rsidRDefault="000D2D85">
      <w:pPr>
        <w:pStyle w:val="P68B1DB1-Normal5"/>
        <w:spacing w:before="120" w:after="120"/>
        <w:jc w:val="both"/>
        <w:rPr>
          <w:noProof/>
        </w:rPr>
      </w:pPr>
      <w:r>
        <w:rPr>
          <w:noProof/>
        </w:rPr>
        <w:t>L'objectif de la réforme est de promouvoir le déploiement de nouvelles sources d'énergie renouvelables. Les nouvelles modifications législatives créeront des mécanismes de soutien efficaces pour accroître la part des énergies renouvelables dans le secteur des transports, de l’électricité et du chauffage. Le cadre juridique est modifié par la modification des lois 309/2009 Rec. sur la promotion des sources d’énergie renouvelables et de la cogénération à haut rendement et 657/2004 Rec. sur l’énergie thermique.</w:t>
      </w:r>
    </w:p>
    <w:p w14:paraId="50B4ABAF" w14:textId="77777777" w:rsidR="003B5F50" w:rsidRDefault="000D2D85">
      <w:pPr>
        <w:pStyle w:val="P68B1DB1-Normal4"/>
        <w:spacing w:before="120" w:after="120"/>
        <w:jc w:val="both"/>
        <w:rPr>
          <w:noProof/>
        </w:rPr>
      </w:pPr>
      <w:r>
        <w:rPr>
          <w:noProof/>
        </w:rPr>
        <w:t xml:space="preserve">La réforme comprend également l'adoption d'un plan de mise aux enchères à long terme pour les nouvelles sources d'énergie renouvelables. Cette mesure contribue à une meilleure prévisibilité de la </w:t>
      </w:r>
      <w:r>
        <w:rPr>
          <w:noProof/>
          <w:color w:val="000000" w:themeColor="text1"/>
        </w:rPr>
        <w:t>capacité totale installée en matière d’énergies renouvelables, en créant un environnement d’investissement plus favorable pour les investisseurs privés.</w:t>
      </w:r>
    </w:p>
    <w:p w14:paraId="50B4ABB0" w14:textId="77777777" w:rsidR="003B5F50" w:rsidRDefault="000D2D85">
      <w:pPr>
        <w:pStyle w:val="P68B1DB1-Normal5"/>
        <w:spacing w:before="120" w:after="120"/>
        <w:jc w:val="both"/>
        <w:rPr>
          <w:noProof/>
        </w:rPr>
      </w:pPr>
      <w:r>
        <w:rPr>
          <w:noProof/>
        </w:rPr>
        <w:t xml:space="preserve">En outre, la réforme intègre l’adoption de régimes d’investissement en faveur des sources d’électricité renouvelables. Le ministère de l’économie adopte un système d’enchères pour les nouvelles sources d’énergie renouvelables (lien vers l’investissement 1, volet 1) et des régimes d’aide aux investissements dans le rééquipement (lien vers l’investissement 2, volet 1) et dans le renforcement de la flexibilité du système électrique (lien vers l’investissement 3, volet 1). Les politiques d’investissement des régimes sont strictement conformes à la législation environnementale tant de l’UE que des États membres, ainsi qu’aux orientations techniques concernant les activités et les entreprises bénéficiant d’un soutien qui ne sont pas significatives (2021/C58/01). Seuls les investissements dans l’hydroélectricité qui sont conformes à l’acquis de l’UE sont soutenus par le plan slovaque pour la reprise et la résilience. </w:t>
      </w:r>
    </w:p>
    <w:p w14:paraId="50B4ABB1" w14:textId="77777777" w:rsidR="003B5F50" w:rsidRDefault="000D2D85">
      <w:pPr>
        <w:pStyle w:val="P68B1DB1-Normal5"/>
        <w:spacing w:before="120" w:after="120"/>
        <w:jc w:val="both"/>
        <w:rPr>
          <w:noProof/>
        </w:rPr>
      </w:pPr>
      <w:r>
        <w:rPr>
          <w:noProof/>
        </w:rPr>
        <w:t>La mise en œuvre de la réforme est achevée au plus tard le 31 décembre 2022.</w:t>
      </w:r>
    </w:p>
    <w:p w14:paraId="34C80D55" w14:textId="77777777" w:rsidR="003B5F50" w:rsidRDefault="000D2D85">
      <w:pPr>
        <w:pStyle w:val="P68B1DB1-Normal4"/>
        <w:rPr>
          <w:b/>
          <w:bCs/>
          <w:noProof/>
        </w:rPr>
      </w:pPr>
      <w:r>
        <w:rPr>
          <w:noProof/>
        </w:rPr>
        <w:br w:type="page"/>
      </w:r>
    </w:p>
    <w:p w14:paraId="50B4ABB2" w14:textId="3418C19A" w:rsidR="003B5F50" w:rsidRDefault="000D2D85">
      <w:pPr>
        <w:pStyle w:val="P68B1DB1-Normal6"/>
        <w:spacing w:before="120" w:after="120"/>
        <w:jc w:val="both"/>
        <w:rPr>
          <w:noProof/>
        </w:rPr>
      </w:pPr>
      <w:r>
        <w:rPr>
          <w:noProof/>
        </w:rPr>
        <w:t xml:space="preserve">Investissement 1: Construction de nouvelles sources d'électricité renouvelables </w:t>
      </w:r>
    </w:p>
    <w:p w14:paraId="50B4ABB3" w14:textId="77777777" w:rsidR="003B5F50" w:rsidRDefault="000D2D85">
      <w:pPr>
        <w:pStyle w:val="P68B1DB1-Normal4"/>
        <w:spacing w:before="120" w:after="120"/>
        <w:jc w:val="both"/>
        <w:rPr>
          <w:noProof/>
          <w:color w:val="000000" w:themeColor="text1"/>
        </w:rPr>
      </w:pPr>
      <w:r>
        <w:rPr>
          <w:noProof/>
        </w:rPr>
        <w:t xml:space="preserve">L’objectif </w:t>
      </w:r>
      <w:r>
        <w:rPr>
          <w:noProof/>
          <w:color w:val="000000" w:themeColor="text1"/>
        </w:rPr>
        <w:t xml:space="preserve">de cette mesure est de soutenir le déploiement d’investissements dans de nouvelles sources d’électricité renouvelables. Cette mesure fait suite à la création d'un régime de soutien dans le cadre de la réforme 2. </w:t>
      </w:r>
    </w:p>
    <w:p w14:paraId="50B4ABB4" w14:textId="77777777" w:rsidR="003B5F50" w:rsidRDefault="000D2D85">
      <w:pPr>
        <w:pStyle w:val="P68B1DB1-Normal5"/>
        <w:spacing w:before="120" w:after="120"/>
        <w:jc w:val="both"/>
        <w:rPr>
          <w:noProof/>
        </w:rPr>
      </w:pPr>
      <w:r>
        <w:rPr>
          <w:noProof/>
        </w:rPr>
        <w:t>Cette mesure consiste à fournir de nouvelles capacités de production induites par de nouvelles sources d’énergie renouvelables connectées au réseau.</w:t>
      </w:r>
    </w:p>
    <w:p w14:paraId="50B4ABB5" w14:textId="77777777" w:rsidR="003B5F50" w:rsidRDefault="000D2D85">
      <w:pPr>
        <w:pStyle w:val="P68B1DB1-Normal6"/>
        <w:spacing w:before="120" w:after="120"/>
        <w:jc w:val="both"/>
        <w:rPr>
          <w:noProof/>
        </w:rPr>
      </w:pPr>
      <w:r>
        <w:rPr>
          <w:noProof/>
        </w:rPr>
        <w:t>Investissement 2: Modernisation des sources d'énergie renouvelables existantes (repowering)</w:t>
      </w:r>
    </w:p>
    <w:p w14:paraId="50B4ABB6" w14:textId="77777777" w:rsidR="003B5F50" w:rsidRDefault="000D2D85">
      <w:pPr>
        <w:pStyle w:val="P68B1DB1-Normal5"/>
        <w:spacing w:before="120" w:after="120"/>
        <w:jc w:val="both"/>
        <w:rPr>
          <w:noProof/>
        </w:rPr>
      </w:pPr>
      <w:r>
        <w:rPr>
          <w:noProof/>
        </w:rPr>
        <w:t xml:space="preserve">L’objectif de cette mesure est de prolonger la durée de vie technologique, d’améliorer et d’accroître l’efficacité des capacités existantes en matière de sources d’énergie renouvelables (repowering). Cette mesure fait suite à la création d'un régime de soutien dans le cadre de la réforme 2. </w:t>
      </w:r>
    </w:p>
    <w:p w14:paraId="50B4ABB7" w14:textId="77777777" w:rsidR="003B5F50" w:rsidRDefault="000D2D85">
      <w:pPr>
        <w:pStyle w:val="P68B1DB1-Normal5"/>
        <w:spacing w:before="120" w:after="120"/>
        <w:jc w:val="both"/>
        <w:rPr>
          <w:noProof/>
        </w:rPr>
      </w:pPr>
      <w:r>
        <w:rPr>
          <w:noProof/>
        </w:rPr>
        <w:t>Cette mesure consiste à rénover les stations de production de biogaz, à transformer les installations de production d’électricité à base de biogaz en installations de production de biométhane et en installations de production d’hydroélectricité.</w:t>
      </w:r>
    </w:p>
    <w:p w14:paraId="50B4ABB8" w14:textId="77777777" w:rsidR="003B5F50" w:rsidRDefault="000D2D85">
      <w:pPr>
        <w:pStyle w:val="P68B1DB1-Normal6"/>
        <w:spacing w:before="120" w:after="120"/>
        <w:jc w:val="both"/>
        <w:rPr>
          <w:noProof/>
        </w:rPr>
      </w:pPr>
      <w:r>
        <w:rPr>
          <w:noProof/>
        </w:rPr>
        <w:t>Investissement 3: Accroître la flexibilité des systèmes électriques pour une plus grande intégration des énergies renouvelables</w:t>
      </w:r>
    </w:p>
    <w:p w14:paraId="50B4ABB9" w14:textId="77777777" w:rsidR="003B5F50" w:rsidRDefault="000D2D85">
      <w:pPr>
        <w:pStyle w:val="P68B1DB1-Normal5"/>
        <w:spacing w:before="120" w:after="120"/>
        <w:jc w:val="both"/>
        <w:rPr>
          <w:noProof/>
        </w:rPr>
      </w:pPr>
      <w:r>
        <w:rPr>
          <w:noProof/>
        </w:rPr>
        <w:t>L’objectif de cette mesure est d’accroître la flexibilité du réseau électrique slovaque. Cette mesure fait suite à la création d'un régime de soutien dans le cadre de la réforme 2.</w:t>
      </w:r>
    </w:p>
    <w:p w14:paraId="50B4ABBA" w14:textId="00819C02" w:rsidR="003B5F50" w:rsidRDefault="000D2D85">
      <w:pPr>
        <w:pStyle w:val="P68B1DB1-Normal5"/>
        <w:spacing w:before="120" w:after="120"/>
        <w:jc w:val="both"/>
        <w:rPr>
          <w:noProof/>
        </w:rPr>
      </w:pPr>
      <w:r>
        <w:rPr>
          <w:noProof/>
        </w:rPr>
        <w:t>Cette mesure consiste à soutenir les installations de stockage d’électricité ou à augmenter la capacité d’équilibrage de l’électricité dans les centrales hydroélectriques.</w:t>
      </w:r>
    </w:p>
    <w:p w14:paraId="50B4ABBB" w14:textId="77777777" w:rsidR="003B5F50" w:rsidRDefault="000D2D85">
      <w:pPr>
        <w:pStyle w:val="P68B1DB1-Normal5"/>
        <w:spacing w:before="120" w:after="120"/>
        <w:jc w:val="both"/>
        <w:rPr>
          <w:noProof/>
        </w:rPr>
      </w:pPr>
      <w:r>
        <w:rPr>
          <w:noProof/>
        </w:rPr>
        <w:t xml:space="preserve"> </w:t>
      </w:r>
    </w:p>
    <w:p w14:paraId="50B4ABBC" w14:textId="77777777" w:rsidR="003B5F50" w:rsidRDefault="003B5F50">
      <w:pPr>
        <w:spacing w:before="120" w:after="120"/>
        <w:jc w:val="both"/>
        <w:rPr>
          <w:rFonts w:ascii="Times New Roman" w:eastAsia="Times New Roman" w:hAnsi="Times New Roman" w:cs="Times New Roman"/>
          <w:b/>
          <w:bCs/>
          <w:noProof/>
          <w:u w:val="single"/>
        </w:rPr>
        <w:sectPr w:rsidR="003B5F50" w:rsidSect="003E3DD3">
          <w:headerReference w:type="even" r:id="rId17"/>
          <w:headerReference w:type="default" r:id="rId18"/>
          <w:footerReference w:type="even" r:id="rId19"/>
          <w:footerReference w:type="default" r:id="rId20"/>
          <w:headerReference w:type="first" r:id="rId21"/>
          <w:footerReference w:type="first" r:id="rId22"/>
          <w:pgSz w:w="12240" w:h="15840"/>
          <w:pgMar w:top="1134" w:right="1134" w:bottom="1134" w:left="1134" w:header="567" w:footer="567" w:gutter="0"/>
          <w:cols w:space="720"/>
          <w:docGrid w:linePitch="360"/>
        </w:sectPr>
      </w:pPr>
    </w:p>
    <w:p w14:paraId="50B4ABBD" w14:textId="77777777" w:rsidR="003B5F50" w:rsidRDefault="000D2D85">
      <w:pPr>
        <w:spacing w:before="120" w:after="120"/>
        <w:jc w:val="both"/>
        <w:rPr>
          <w:noProof/>
        </w:rPr>
      </w:pPr>
      <w:r>
        <w:rPr>
          <w:rFonts w:ascii="Times New Roman" w:eastAsia="Times New Roman" w:hAnsi="Times New Roman" w:cs="Times New Roman"/>
          <w:b/>
          <w:noProof/>
          <w:u w:val="single"/>
        </w:rPr>
        <w:t xml:space="preserve">A.2. </w:t>
      </w:r>
      <w:r>
        <w:rPr>
          <w:noProof/>
        </w:rPr>
        <w:t xml:space="preserve"> </w:t>
      </w:r>
      <w:r>
        <w:rPr>
          <w:rFonts w:ascii="Times New Roman" w:eastAsia="Times New Roman" w:hAnsi="Times New Roman" w:cs="Times New Roman"/>
          <w:b/>
          <w:noProof/>
          <w:u w:val="single"/>
        </w:rPr>
        <w:t>Étapes, cibles, indicateurs et calendrier pour le suivi et la mise en œuvre du soutien financier non remboursable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1630"/>
        <w:gridCol w:w="1172"/>
        <w:gridCol w:w="1539"/>
        <w:gridCol w:w="1875"/>
        <w:gridCol w:w="844"/>
        <w:gridCol w:w="1024"/>
        <w:gridCol w:w="916"/>
        <w:gridCol w:w="1078"/>
        <w:gridCol w:w="765"/>
        <w:gridCol w:w="2026"/>
      </w:tblGrid>
      <w:tr w:rsidR="003B5F50" w14:paraId="50B4ABCC" w14:textId="77777777">
        <w:trPr>
          <w:trHeight w:val="615"/>
          <w:tblHeader/>
        </w:trPr>
        <w:tc>
          <w:tcPr>
            <w:tcW w:w="0" w:type="auto"/>
            <w:vMerge w:val="restart"/>
            <w:shd w:val="clear" w:color="auto" w:fill="BDD7EE"/>
            <w:tcMar>
              <w:left w:w="108" w:type="dxa"/>
              <w:right w:w="108" w:type="dxa"/>
            </w:tcMar>
            <w:vAlign w:val="center"/>
          </w:tcPr>
          <w:p w14:paraId="50B4ABBE" w14:textId="77777777" w:rsidR="003B5F50" w:rsidRDefault="000D2D85">
            <w:pPr>
              <w:pStyle w:val="P68B1DB1-Normal7"/>
              <w:spacing w:after="0"/>
              <w:jc w:val="center"/>
              <w:rPr>
                <w:noProof/>
              </w:rPr>
            </w:pPr>
            <w:r>
              <w:rPr>
                <w:noProof/>
              </w:rPr>
              <w:t>Seq. Num.</w:t>
            </w:r>
          </w:p>
          <w:p w14:paraId="50B4ABBF" w14:textId="77777777" w:rsidR="003B5F50" w:rsidRDefault="000D2D85">
            <w:pPr>
              <w:pStyle w:val="P68B1DB1-Normal8"/>
              <w:spacing w:after="0"/>
              <w:jc w:val="center"/>
              <w:rPr>
                <w:noProof/>
              </w:rPr>
            </w:pPr>
            <w:r>
              <w:rPr>
                <w:noProof/>
              </w:rPr>
              <w:t xml:space="preserve"> </w:t>
            </w:r>
          </w:p>
        </w:tc>
        <w:tc>
          <w:tcPr>
            <w:tcW w:w="0" w:type="auto"/>
            <w:vMerge w:val="restart"/>
            <w:shd w:val="clear" w:color="auto" w:fill="BDD7EE"/>
            <w:tcMar>
              <w:left w:w="108" w:type="dxa"/>
              <w:right w:w="108" w:type="dxa"/>
            </w:tcMar>
            <w:vAlign w:val="center"/>
          </w:tcPr>
          <w:p w14:paraId="50B4ABC0" w14:textId="77777777" w:rsidR="003B5F50" w:rsidRDefault="000D2D85">
            <w:pPr>
              <w:pStyle w:val="P68B1DB1-Normal7"/>
              <w:spacing w:after="0"/>
              <w:jc w:val="center"/>
              <w:rPr>
                <w:noProof/>
              </w:rPr>
            </w:pPr>
            <w:r>
              <w:rPr>
                <w:noProof/>
              </w:rPr>
              <w:t>Mesure connexe (réforme ou investissement)</w:t>
            </w:r>
          </w:p>
          <w:p w14:paraId="50B4ABC1" w14:textId="77777777" w:rsidR="003B5F50" w:rsidRDefault="000D2D85">
            <w:pPr>
              <w:pStyle w:val="P68B1DB1-Normal8"/>
              <w:spacing w:after="0"/>
              <w:jc w:val="center"/>
              <w:rPr>
                <w:noProof/>
              </w:rPr>
            </w:pPr>
            <w:r>
              <w:rPr>
                <w:noProof/>
              </w:rPr>
              <w:t xml:space="preserve"> </w:t>
            </w:r>
          </w:p>
        </w:tc>
        <w:tc>
          <w:tcPr>
            <w:tcW w:w="0" w:type="auto"/>
            <w:vMerge w:val="restart"/>
            <w:shd w:val="clear" w:color="auto" w:fill="BDD7EE"/>
            <w:tcMar>
              <w:left w:w="108" w:type="dxa"/>
              <w:right w:w="108" w:type="dxa"/>
            </w:tcMar>
            <w:vAlign w:val="center"/>
          </w:tcPr>
          <w:p w14:paraId="50B4ABC2" w14:textId="77777777" w:rsidR="003B5F50" w:rsidRDefault="000D2D85">
            <w:pPr>
              <w:pStyle w:val="P68B1DB1-Normal7"/>
              <w:spacing w:after="0"/>
              <w:jc w:val="center"/>
              <w:rPr>
                <w:noProof/>
              </w:rPr>
            </w:pPr>
            <w:r>
              <w:rPr>
                <w:noProof/>
              </w:rPr>
              <w:t>Étape/cible</w:t>
            </w:r>
          </w:p>
          <w:p w14:paraId="50B4ABC3" w14:textId="77777777" w:rsidR="003B5F50" w:rsidRDefault="000D2D85">
            <w:pPr>
              <w:pStyle w:val="P68B1DB1-Normal8"/>
              <w:spacing w:after="0"/>
              <w:jc w:val="center"/>
              <w:rPr>
                <w:noProof/>
              </w:rPr>
            </w:pPr>
            <w:r>
              <w:rPr>
                <w:noProof/>
              </w:rPr>
              <w:t xml:space="preserve"> </w:t>
            </w:r>
          </w:p>
        </w:tc>
        <w:tc>
          <w:tcPr>
            <w:tcW w:w="0" w:type="auto"/>
            <w:vMerge w:val="restart"/>
            <w:shd w:val="clear" w:color="auto" w:fill="BDD7EE"/>
            <w:tcMar>
              <w:left w:w="108" w:type="dxa"/>
              <w:right w:w="108" w:type="dxa"/>
            </w:tcMar>
            <w:vAlign w:val="center"/>
          </w:tcPr>
          <w:p w14:paraId="50B4ABC4" w14:textId="77777777" w:rsidR="003B5F50" w:rsidRDefault="000D2D85">
            <w:pPr>
              <w:pStyle w:val="P68B1DB1-Normal7"/>
              <w:spacing w:after="0"/>
              <w:jc w:val="center"/>
              <w:rPr>
                <w:noProof/>
              </w:rPr>
            </w:pPr>
            <w:r>
              <w:rPr>
                <w:noProof/>
              </w:rPr>
              <w:t>Nom</w:t>
            </w:r>
          </w:p>
          <w:p w14:paraId="50B4ABC5" w14:textId="77777777" w:rsidR="003B5F50" w:rsidRDefault="000D2D85">
            <w:pPr>
              <w:pStyle w:val="P68B1DB1-Normal8"/>
              <w:spacing w:after="0"/>
              <w:jc w:val="center"/>
              <w:rPr>
                <w:noProof/>
              </w:rPr>
            </w:pPr>
            <w:r>
              <w:rPr>
                <w:noProof/>
              </w:rPr>
              <w:t xml:space="preserve"> </w:t>
            </w:r>
          </w:p>
        </w:tc>
        <w:tc>
          <w:tcPr>
            <w:tcW w:w="0" w:type="auto"/>
            <w:vMerge w:val="restart"/>
            <w:shd w:val="clear" w:color="auto" w:fill="BDD7EE"/>
            <w:tcMar>
              <w:left w:w="108" w:type="dxa"/>
              <w:right w:w="108" w:type="dxa"/>
            </w:tcMar>
            <w:vAlign w:val="center"/>
          </w:tcPr>
          <w:p w14:paraId="50B4ABC6" w14:textId="77777777" w:rsidR="003B5F50" w:rsidRDefault="000D2D85">
            <w:pPr>
              <w:pStyle w:val="P68B1DB1-Normal7"/>
              <w:spacing w:after="0"/>
              <w:jc w:val="center"/>
              <w:rPr>
                <w:noProof/>
              </w:rPr>
            </w:pPr>
            <w:r>
              <w:rPr>
                <w:noProof/>
              </w:rPr>
              <w:t>Indicateurs qualitatifs (pour les jalons)</w:t>
            </w:r>
          </w:p>
          <w:p w14:paraId="50B4ABC7" w14:textId="77777777" w:rsidR="003B5F50" w:rsidRDefault="000D2D85">
            <w:pPr>
              <w:pStyle w:val="P68B1DB1-Normal8"/>
              <w:spacing w:after="0"/>
              <w:jc w:val="center"/>
              <w:rPr>
                <w:noProof/>
              </w:rPr>
            </w:pPr>
            <w:r>
              <w:rPr>
                <w:noProof/>
              </w:rPr>
              <w:t xml:space="preserve"> </w:t>
            </w:r>
          </w:p>
        </w:tc>
        <w:tc>
          <w:tcPr>
            <w:tcW w:w="0" w:type="auto"/>
            <w:gridSpan w:val="3"/>
            <w:shd w:val="clear" w:color="auto" w:fill="BDD7EE"/>
            <w:tcMar>
              <w:left w:w="108" w:type="dxa"/>
              <w:right w:w="108" w:type="dxa"/>
            </w:tcMar>
            <w:vAlign w:val="center"/>
          </w:tcPr>
          <w:p w14:paraId="50B4ABC8" w14:textId="77777777" w:rsidR="003B5F50" w:rsidRDefault="000D2D85">
            <w:pPr>
              <w:pStyle w:val="P68B1DB1-Normal7"/>
              <w:spacing w:after="0"/>
              <w:jc w:val="center"/>
              <w:rPr>
                <w:noProof/>
              </w:rPr>
            </w:pPr>
            <w:r>
              <w:rPr>
                <w:noProof/>
              </w:rPr>
              <w:t>Indicateurs quantitatifs (pour les objectifs</w:t>
            </w:r>
          </w:p>
        </w:tc>
        <w:tc>
          <w:tcPr>
            <w:tcW w:w="0" w:type="auto"/>
            <w:gridSpan w:val="2"/>
            <w:shd w:val="clear" w:color="auto" w:fill="BDD7EE"/>
            <w:tcMar>
              <w:left w:w="108" w:type="dxa"/>
              <w:right w:w="108" w:type="dxa"/>
            </w:tcMar>
            <w:vAlign w:val="center"/>
          </w:tcPr>
          <w:p w14:paraId="50B4ABC9" w14:textId="77777777" w:rsidR="003B5F50" w:rsidRDefault="000D2D85">
            <w:pPr>
              <w:pStyle w:val="P68B1DB1-Normal7"/>
              <w:spacing w:after="0"/>
              <w:jc w:val="center"/>
              <w:rPr>
                <w:noProof/>
              </w:rPr>
            </w:pPr>
            <w:r>
              <w:rPr>
                <w:noProof/>
              </w:rPr>
              <w:t>Calendrier indicatif d'achèvement</w:t>
            </w:r>
          </w:p>
        </w:tc>
        <w:tc>
          <w:tcPr>
            <w:tcW w:w="0" w:type="auto"/>
            <w:vMerge w:val="restart"/>
            <w:shd w:val="clear" w:color="auto" w:fill="BDD7EE"/>
            <w:tcMar>
              <w:left w:w="108" w:type="dxa"/>
              <w:right w:w="108" w:type="dxa"/>
            </w:tcMar>
            <w:vAlign w:val="center"/>
          </w:tcPr>
          <w:p w14:paraId="50B4ABCA" w14:textId="77777777" w:rsidR="003B5F50" w:rsidRDefault="000D2D85">
            <w:pPr>
              <w:pStyle w:val="P68B1DB1-Normal7"/>
              <w:spacing w:after="0"/>
              <w:jc w:val="center"/>
              <w:rPr>
                <w:noProof/>
              </w:rPr>
            </w:pPr>
            <w:r>
              <w:rPr>
                <w:noProof/>
              </w:rPr>
              <w:t>Description et définition claire de chaque jalon et cible</w:t>
            </w:r>
          </w:p>
          <w:p w14:paraId="50B4ABCB" w14:textId="77777777" w:rsidR="003B5F50" w:rsidRDefault="000D2D85">
            <w:pPr>
              <w:pStyle w:val="P68B1DB1-Normal7"/>
              <w:spacing w:after="0"/>
              <w:jc w:val="center"/>
              <w:rPr>
                <w:noProof/>
              </w:rPr>
            </w:pPr>
            <w:r>
              <w:rPr>
                <w:noProof/>
              </w:rPr>
              <w:t xml:space="preserve"> </w:t>
            </w:r>
          </w:p>
        </w:tc>
      </w:tr>
      <w:tr w:rsidR="003B5F50" w14:paraId="50B4ABD8" w14:textId="77777777">
        <w:trPr>
          <w:trHeight w:val="315"/>
        </w:trPr>
        <w:tc>
          <w:tcPr>
            <w:tcW w:w="0" w:type="auto"/>
            <w:vMerge/>
            <w:vAlign w:val="center"/>
          </w:tcPr>
          <w:p w14:paraId="50B4ABCD" w14:textId="77777777" w:rsidR="003B5F50" w:rsidRDefault="003B5F50">
            <w:pPr>
              <w:rPr>
                <w:noProof/>
              </w:rPr>
            </w:pPr>
          </w:p>
        </w:tc>
        <w:tc>
          <w:tcPr>
            <w:tcW w:w="0" w:type="auto"/>
            <w:vMerge/>
            <w:vAlign w:val="center"/>
          </w:tcPr>
          <w:p w14:paraId="50B4ABCE" w14:textId="77777777" w:rsidR="003B5F50" w:rsidRDefault="003B5F50">
            <w:pPr>
              <w:rPr>
                <w:noProof/>
              </w:rPr>
            </w:pPr>
          </w:p>
        </w:tc>
        <w:tc>
          <w:tcPr>
            <w:tcW w:w="0" w:type="auto"/>
            <w:vMerge/>
            <w:vAlign w:val="center"/>
          </w:tcPr>
          <w:p w14:paraId="50B4ABCF" w14:textId="77777777" w:rsidR="003B5F50" w:rsidRDefault="003B5F50">
            <w:pPr>
              <w:rPr>
                <w:noProof/>
              </w:rPr>
            </w:pPr>
          </w:p>
        </w:tc>
        <w:tc>
          <w:tcPr>
            <w:tcW w:w="0" w:type="auto"/>
            <w:vMerge/>
            <w:vAlign w:val="center"/>
          </w:tcPr>
          <w:p w14:paraId="50B4ABD0" w14:textId="77777777" w:rsidR="003B5F50" w:rsidRDefault="003B5F50">
            <w:pPr>
              <w:rPr>
                <w:noProof/>
              </w:rPr>
            </w:pPr>
          </w:p>
        </w:tc>
        <w:tc>
          <w:tcPr>
            <w:tcW w:w="0" w:type="auto"/>
            <w:vMerge/>
            <w:vAlign w:val="center"/>
          </w:tcPr>
          <w:p w14:paraId="50B4ABD1" w14:textId="77777777" w:rsidR="003B5F50" w:rsidRDefault="003B5F50">
            <w:pPr>
              <w:rPr>
                <w:noProof/>
              </w:rPr>
            </w:pPr>
          </w:p>
        </w:tc>
        <w:tc>
          <w:tcPr>
            <w:tcW w:w="0" w:type="auto"/>
            <w:shd w:val="clear" w:color="auto" w:fill="BDD7EE"/>
            <w:tcMar>
              <w:left w:w="108" w:type="dxa"/>
              <w:right w:w="108" w:type="dxa"/>
            </w:tcMar>
            <w:vAlign w:val="center"/>
          </w:tcPr>
          <w:p w14:paraId="50B4ABD2" w14:textId="77777777" w:rsidR="003B5F50" w:rsidRDefault="000D2D85">
            <w:pPr>
              <w:pStyle w:val="P68B1DB1-Normal7"/>
              <w:spacing w:after="0"/>
              <w:jc w:val="center"/>
              <w:rPr>
                <w:noProof/>
              </w:rPr>
            </w:pPr>
            <w:r>
              <w:rPr>
                <w:noProof/>
              </w:rPr>
              <w:t>Unité de mesure</w:t>
            </w:r>
          </w:p>
        </w:tc>
        <w:tc>
          <w:tcPr>
            <w:tcW w:w="0" w:type="auto"/>
            <w:shd w:val="clear" w:color="auto" w:fill="BDD7EE"/>
            <w:tcMar>
              <w:left w:w="108" w:type="dxa"/>
              <w:right w:w="108" w:type="dxa"/>
            </w:tcMar>
            <w:vAlign w:val="center"/>
          </w:tcPr>
          <w:p w14:paraId="50B4ABD3" w14:textId="77777777" w:rsidR="003B5F50" w:rsidRDefault="000D2D85">
            <w:pPr>
              <w:pStyle w:val="P68B1DB1-Normal7"/>
              <w:spacing w:after="0"/>
              <w:jc w:val="center"/>
              <w:rPr>
                <w:noProof/>
              </w:rPr>
            </w:pPr>
            <w:r>
              <w:rPr>
                <w:noProof/>
              </w:rPr>
              <w:t>Données de référence</w:t>
            </w:r>
          </w:p>
        </w:tc>
        <w:tc>
          <w:tcPr>
            <w:tcW w:w="0" w:type="auto"/>
            <w:shd w:val="clear" w:color="auto" w:fill="BDD7EE"/>
            <w:tcMar>
              <w:left w:w="108" w:type="dxa"/>
              <w:right w:w="108" w:type="dxa"/>
            </w:tcMar>
            <w:vAlign w:val="center"/>
          </w:tcPr>
          <w:p w14:paraId="50B4ABD4" w14:textId="77777777" w:rsidR="003B5F50" w:rsidRDefault="000D2D85">
            <w:pPr>
              <w:pStyle w:val="P68B1DB1-Normal7"/>
              <w:spacing w:after="0"/>
              <w:jc w:val="center"/>
              <w:rPr>
                <w:noProof/>
              </w:rPr>
            </w:pPr>
            <w:r>
              <w:rPr>
                <w:noProof/>
              </w:rPr>
              <w:t>Objectif</w:t>
            </w:r>
          </w:p>
        </w:tc>
        <w:tc>
          <w:tcPr>
            <w:tcW w:w="0" w:type="auto"/>
            <w:shd w:val="clear" w:color="auto" w:fill="BDD7EE"/>
            <w:tcMar>
              <w:left w:w="108" w:type="dxa"/>
              <w:right w:w="108" w:type="dxa"/>
            </w:tcMar>
            <w:vAlign w:val="center"/>
          </w:tcPr>
          <w:p w14:paraId="50B4ABD5" w14:textId="77777777" w:rsidR="003B5F50" w:rsidRDefault="000D2D85">
            <w:pPr>
              <w:pStyle w:val="P68B1DB1-Normal7"/>
              <w:spacing w:after="0"/>
              <w:jc w:val="center"/>
              <w:rPr>
                <w:noProof/>
              </w:rPr>
            </w:pPr>
            <w:r>
              <w:rPr>
                <w:noProof/>
              </w:rPr>
              <w:t>Trimestre</w:t>
            </w:r>
          </w:p>
        </w:tc>
        <w:tc>
          <w:tcPr>
            <w:tcW w:w="0" w:type="auto"/>
            <w:shd w:val="clear" w:color="auto" w:fill="BDD7EE"/>
            <w:tcMar>
              <w:left w:w="108" w:type="dxa"/>
              <w:right w:w="108" w:type="dxa"/>
            </w:tcMar>
            <w:vAlign w:val="center"/>
          </w:tcPr>
          <w:p w14:paraId="50B4ABD6" w14:textId="77777777" w:rsidR="003B5F50" w:rsidRDefault="000D2D85">
            <w:pPr>
              <w:pStyle w:val="P68B1DB1-Normal7"/>
              <w:spacing w:after="0"/>
              <w:jc w:val="center"/>
              <w:rPr>
                <w:noProof/>
              </w:rPr>
            </w:pPr>
            <w:r>
              <w:rPr>
                <w:noProof/>
              </w:rPr>
              <w:t>Année</w:t>
            </w:r>
          </w:p>
        </w:tc>
        <w:tc>
          <w:tcPr>
            <w:tcW w:w="0" w:type="auto"/>
            <w:vMerge/>
            <w:vAlign w:val="center"/>
          </w:tcPr>
          <w:p w14:paraId="50B4ABD7" w14:textId="77777777" w:rsidR="003B5F50" w:rsidRDefault="003B5F50">
            <w:pPr>
              <w:rPr>
                <w:noProof/>
              </w:rPr>
            </w:pPr>
          </w:p>
        </w:tc>
      </w:tr>
      <w:tr w:rsidR="003B5F50" w14:paraId="50B4ABE6" w14:textId="77777777">
        <w:trPr>
          <w:trHeight w:val="2730"/>
        </w:trPr>
        <w:tc>
          <w:tcPr>
            <w:tcW w:w="0" w:type="auto"/>
            <w:shd w:val="clear" w:color="auto" w:fill="C6EFCE"/>
            <w:tcMar>
              <w:left w:w="108" w:type="dxa"/>
              <w:right w:w="108" w:type="dxa"/>
            </w:tcMar>
          </w:tcPr>
          <w:p w14:paraId="50B4ABD9" w14:textId="77777777" w:rsidR="003B5F50" w:rsidRDefault="000D2D85">
            <w:pPr>
              <w:pStyle w:val="P68B1DB1-Normal9"/>
              <w:spacing w:after="0"/>
              <w:jc w:val="center"/>
              <w:rPr>
                <w:noProof/>
              </w:rPr>
            </w:pPr>
            <w:r>
              <w:rPr>
                <w:noProof/>
              </w:rPr>
              <w:t>1</w:t>
            </w:r>
          </w:p>
        </w:tc>
        <w:tc>
          <w:tcPr>
            <w:tcW w:w="0" w:type="auto"/>
            <w:shd w:val="clear" w:color="auto" w:fill="C6EFCE"/>
            <w:tcMar>
              <w:left w:w="108" w:type="dxa"/>
              <w:right w:w="108" w:type="dxa"/>
            </w:tcMar>
          </w:tcPr>
          <w:p w14:paraId="50B4ABDA" w14:textId="77777777" w:rsidR="003B5F50" w:rsidRDefault="000D2D85">
            <w:pPr>
              <w:pStyle w:val="P68B1DB1-Normal9"/>
              <w:spacing w:after="0"/>
              <w:rPr>
                <w:noProof/>
              </w:rPr>
            </w:pPr>
            <w:r>
              <w:rPr>
                <w:noProof/>
              </w:rPr>
              <w:t>1 – Sources d’énergie renouvelables et infrastructures énergétiques – Réforme 1: Adaptation du cadre juridique de l'électricité</w:t>
            </w:r>
          </w:p>
        </w:tc>
        <w:tc>
          <w:tcPr>
            <w:tcW w:w="0" w:type="auto"/>
            <w:shd w:val="clear" w:color="auto" w:fill="C6EFCE"/>
            <w:tcMar>
              <w:left w:w="108" w:type="dxa"/>
              <w:right w:w="108" w:type="dxa"/>
            </w:tcMar>
          </w:tcPr>
          <w:p w14:paraId="50B4ABDB" w14:textId="77777777" w:rsidR="003B5F50" w:rsidRDefault="000D2D85">
            <w:pPr>
              <w:pStyle w:val="P68B1DB1-Normal9"/>
              <w:spacing w:after="0"/>
              <w:rPr>
                <w:noProof/>
              </w:rPr>
            </w:pPr>
            <w:r>
              <w:rPr>
                <w:noProof/>
              </w:rPr>
              <w:t>Étape</w:t>
            </w:r>
          </w:p>
        </w:tc>
        <w:tc>
          <w:tcPr>
            <w:tcW w:w="0" w:type="auto"/>
            <w:shd w:val="clear" w:color="auto" w:fill="C6EFCE"/>
            <w:tcMar>
              <w:left w:w="108" w:type="dxa"/>
              <w:right w:w="108" w:type="dxa"/>
            </w:tcMar>
          </w:tcPr>
          <w:p w14:paraId="50B4ABDC" w14:textId="77777777" w:rsidR="003B5F50" w:rsidRDefault="000D2D85">
            <w:pPr>
              <w:pStyle w:val="P68B1DB1-Normal9"/>
              <w:spacing w:after="0"/>
              <w:rPr>
                <w:noProof/>
              </w:rPr>
            </w:pPr>
            <w:r>
              <w:rPr>
                <w:noProof/>
              </w:rPr>
              <w:t>Réforme du marché de l'électricité</w:t>
            </w:r>
          </w:p>
          <w:p w14:paraId="50B4ABDD" w14:textId="77777777" w:rsidR="003B5F50" w:rsidRDefault="003B5F50">
            <w:pPr>
              <w:spacing w:after="0"/>
              <w:rPr>
                <w:noProof/>
              </w:rPr>
            </w:pPr>
          </w:p>
        </w:tc>
        <w:tc>
          <w:tcPr>
            <w:tcW w:w="0" w:type="auto"/>
            <w:shd w:val="clear" w:color="auto" w:fill="C6EFCE"/>
            <w:tcMar>
              <w:left w:w="108" w:type="dxa"/>
              <w:right w:w="108" w:type="dxa"/>
            </w:tcMar>
          </w:tcPr>
          <w:p w14:paraId="50B4ABDE" w14:textId="77777777" w:rsidR="003B5F50" w:rsidRDefault="000D2D85">
            <w:pPr>
              <w:pStyle w:val="P68B1DB1-Normal9"/>
              <w:spacing w:after="0"/>
              <w:rPr>
                <w:noProof/>
              </w:rPr>
            </w:pPr>
            <w:r>
              <w:rPr>
                <w:noProof/>
              </w:rPr>
              <w:t>Entrée en vigueur des modifications législatives apportées à la loi sur l'énergie et à la loi sur la réglementation dans les industries de réseau</w:t>
            </w:r>
          </w:p>
          <w:p w14:paraId="50B4ABDF" w14:textId="77777777" w:rsidR="003B5F50" w:rsidRDefault="003B5F50">
            <w:pPr>
              <w:spacing w:after="0"/>
              <w:rPr>
                <w:noProof/>
              </w:rPr>
            </w:pPr>
          </w:p>
        </w:tc>
        <w:tc>
          <w:tcPr>
            <w:tcW w:w="0" w:type="auto"/>
            <w:shd w:val="clear" w:color="auto" w:fill="C6EFCE"/>
            <w:tcMar>
              <w:left w:w="108" w:type="dxa"/>
              <w:right w:w="108" w:type="dxa"/>
            </w:tcMar>
          </w:tcPr>
          <w:p w14:paraId="50B4ABE0" w14:textId="77777777" w:rsidR="003B5F50" w:rsidRDefault="000D2D85">
            <w:pPr>
              <w:pStyle w:val="P68B1DB1-Normal9"/>
              <w:spacing w:after="0"/>
              <w:rPr>
                <w:noProof/>
              </w:rPr>
            </w:pPr>
            <w:r>
              <w:rPr>
                <w:noProof/>
              </w:rPr>
              <w:t xml:space="preserve"> </w:t>
            </w:r>
          </w:p>
        </w:tc>
        <w:tc>
          <w:tcPr>
            <w:tcW w:w="0" w:type="auto"/>
            <w:shd w:val="clear" w:color="auto" w:fill="C6EFCE"/>
            <w:tcMar>
              <w:left w:w="108" w:type="dxa"/>
              <w:right w:w="108" w:type="dxa"/>
            </w:tcMar>
          </w:tcPr>
          <w:p w14:paraId="50B4ABE1" w14:textId="77777777" w:rsidR="003B5F50" w:rsidRDefault="000D2D85">
            <w:pPr>
              <w:pStyle w:val="P68B1DB1-Normal9"/>
              <w:spacing w:after="0"/>
              <w:jc w:val="center"/>
              <w:rPr>
                <w:noProof/>
              </w:rPr>
            </w:pPr>
            <w:r>
              <w:rPr>
                <w:noProof/>
              </w:rPr>
              <w:t xml:space="preserve"> </w:t>
            </w:r>
          </w:p>
        </w:tc>
        <w:tc>
          <w:tcPr>
            <w:tcW w:w="0" w:type="auto"/>
            <w:shd w:val="clear" w:color="auto" w:fill="C6EFCE"/>
            <w:tcMar>
              <w:left w:w="108" w:type="dxa"/>
              <w:right w:w="108" w:type="dxa"/>
            </w:tcMar>
          </w:tcPr>
          <w:p w14:paraId="50B4ABE2" w14:textId="77777777" w:rsidR="003B5F50" w:rsidRDefault="000D2D85">
            <w:pPr>
              <w:pStyle w:val="P68B1DB1-Normal9"/>
              <w:spacing w:after="0"/>
              <w:jc w:val="center"/>
              <w:rPr>
                <w:noProof/>
              </w:rPr>
            </w:pPr>
            <w:r>
              <w:rPr>
                <w:noProof/>
              </w:rPr>
              <w:t xml:space="preserve"> </w:t>
            </w:r>
          </w:p>
        </w:tc>
        <w:tc>
          <w:tcPr>
            <w:tcW w:w="0" w:type="auto"/>
            <w:shd w:val="clear" w:color="auto" w:fill="C6EFCE"/>
            <w:tcMar>
              <w:left w:w="108" w:type="dxa"/>
              <w:right w:w="108" w:type="dxa"/>
            </w:tcMar>
          </w:tcPr>
          <w:p w14:paraId="50B4ABE3" w14:textId="77777777" w:rsidR="003B5F50" w:rsidRDefault="000D2D85">
            <w:pPr>
              <w:pStyle w:val="P68B1DB1-Normal9"/>
              <w:spacing w:after="0"/>
              <w:jc w:val="center"/>
              <w:rPr>
                <w:noProof/>
              </w:rPr>
            </w:pPr>
            <w:r>
              <w:rPr>
                <w:noProof/>
              </w:rPr>
              <w:t>T4</w:t>
            </w:r>
          </w:p>
        </w:tc>
        <w:tc>
          <w:tcPr>
            <w:tcW w:w="0" w:type="auto"/>
            <w:shd w:val="clear" w:color="auto" w:fill="C6EFCE"/>
            <w:tcMar>
              <w:left w:w="108" w:type="dxa"/>
              <w:right w:w="108" w:type="dxa"/>
            </w:tcMar>
          </w:tcPr>
          <w:p w14:paraId="50B4ABE4" w14:textId="77777777" w:rsidR="003B5F50" w:rsidRDefault="000D2D85">
            <w:pPr>
              <w:pStyle w:val="P68B1DB1-Normal9"/>
              <w:spacing w:after="0"/>
              <w:jc w:val="center"/>
              <w:rPr>
                <w:noProof/>
              </w:rPr>
            </w:pPr>
            <w:r>
              <w:rPr>
                <w:noProof/>
              </w:rPr>
              <w:t>2022</w:t>
            </w:r>
          </w:p>
        </w:tc>
        <w:tc>
          <w:tcPr>
            <w:tcW w:w="0" w:type="auto"/>
            <w:shd w:val="clear" w:color="auto" w:fill="C6EFCE"/>
            <w:tcMar>
              <w:left w:w="108" w:type="dxa"/>
              <w:right w:w="108" w:type="dxa"/>
            </w:tcMar>
          </w:tcPr>
          <w:p w14:paraId="50B4ABE5" w14:textId="77777777" w:rsidR="003B5F50" w:rsidRDefault="000D2D85">
            <w:pPr>
              <w:pStyle w:val="P68B1DB1-Normal9"/>
              <w:spacing w:after="0"/>
              <w:rPr>
                <w:noProof/>
              </w:rPr>
            </w:pPr>
            <w:r>
              <w:rPr>
                <w:noProof/>
              </w:rPr>
              <w:t>Le cadre juridique est modifié par la modification de la loi 251/2012 Rec. sur l’énergie et de la loi 250/2012 Rec. sur la réglementation dans les industries de réseau afin de transposer la directive 2019/944. En outre, le cadre juridique actualisé facilite les nouvelles activités et l’accès des participants au marché de l’électricité (communautés énergétiques, agrégateur, autoconsommateur, stockage de l’électricité), tout en augmentant la flexibilité globale du système électrique et en améliorant les possibilités de connexion de nouvelles sources renouvelables au réseau slovaque.</w:t>
            </w:r>
          </w:p>
        </w:tc>
      </w:tr>
      <w:tr w:rsidR="003B5F50" w14:paraId="50B4ABFA" w14:textId="77777777">
        <w:trPr>
          <w:trHeight w:val="315"/>
        </w:trPr>
        <w:tc>
          <w:tcPr>
            <w:tcW w:w="0" w:type="auto"/>
            <w:shd w:val="clear" w:color="auto" w:fill="C6EFCE"/>
            <w:tcMar>
              <w:left w:w="108" w:type="dxa"/>
              <w:right w:w="108" w:type="dxa"/>
            </w:tcMar>
          </w:tcPr>
          <w:p w14:paraId="50B4ABE7" w14:textId="77777777" w:rsidR="003B5F50" w:rsidRDefault="000D2D85">
            <w:pPr>
              <w:pStyle w:val="P68B1DB1-Normal9"/>
              <w:spacing w:after="0"/>
              <w:jc w:val="center"/>
              <w:rPr>
                <w:noProof/>
              </w:rPr>
            </w:pPr>
            <w:r>
              <w:rPr>
                <w:noProof/>
              </w:rPr>
              <w:t>2</w:t>
            </w:r>
          </w:p>
        </w:tc>
        <w:tc>
          <w:tcPr>
            <w:tcW w:w="0" w:type="auto"/>
            <w:shd w:val="clear" w:color="auto" w:fill="C6EFCE"/>
            <w:tcMar>
              <w:left w:w="108" w:type="dxa"/>
              <w:right w:w="108" w:type="dxa"/>
            </w:tcMar>
          </w:tcPr>
          <w:p w14:paraId="50B4ABE8" w14:textId="77777777" w:rsidR="003B5F50" w:rsidRDefault="000D2D85">
            <w:pPr>
              <w:pStyle w:val="P68B1DB1-Normal9"/>
              <w:spacing w:after="0"/>
              <w:rPr>
                <w:noProof/>
              </w:rPr>
            </w:pPr>
            <w:r>
              <w:rPr>
                <w:noProof/>
              </w:rPr>
              <w:t xml:space="preserve">1 – Sources d’énergie renouvelables et infrastructures énergétiques – Réforme 1: Adaptation du cadre juridique de l'électricité </w:t>
            </w:r>
          </w:p>
        </w:tc>
        <w:tc>
          <w:tcPr>
            <w:tcW w:w="0" w:type="auto"/>
            <w:shd w:val="clear" w:color="auto" w:fill="C6EFCE"/>
            <w:tcMar>
              <w:left w:w="108" w:type="dxa"/>
              <w:right w:w="108" w:type="dxa"/>
            </w:tcMar>
          </w:tcPr>
          <w:p w14:paraId="50B4ABE9" w14:textId="77777777" w:rsidR="003B5F50" w:rsidRDefault="000D2D85">
            <w:pPr>
              <w:pStyle w:val="P68B1DB1-Normal9"/>
              <w:spacing w:after="0"/>
              <w:rPr>
                <w:noProof/>
              </w:rPr>
            </w:pPr>
            <w:r>
              <w:rPr>
                <w:noProof/>
              </w:rPr>
              <w:t>Étape</w:t>
            </w:r>
          </w:p>
        </w:tc>
        <w:tc>
          <w:tcPr>
            <w:tcW w:w="0" w:type="auto"/>
            <w:shd w:val="clear" w:color="auto" w:fill="C6EFCE"/>
            <w:tcMar>
              <w:left w:w="108" w:type="dxa"/>
              <w:right w:w="108" w:type="dxa"/>
            </w:tcMar>
          </w:tcPr>
          <w:p w14:paraId="50B4ABEA" w14:textId="77777777" w:rsidR="003B5F50" w:rsidRDefault="000D2D85">
            <w:pPr>
              <w:pStyle w:val="P68B1DB1-Normal9"/>
              <w:spacing w:after="0"/>
              <w:rPr>
                <w:noProof/>
              </w:rPr>
            </w:pPr>
            <w:r>
              <w:rPr>
                <w:noProof/>
              </w:rPr>
              <w:t xml:space="preserve">Libération des restrictions sur les capacités techniques de transport d'électricité à l'intérieur du réseau électrique slovaque </w:t>
            </w:r>
          </w:p>
        </w:tc>
        <w:tc>
          <w:tcPr>
            <w:tcW w:w="0" w:type="auto"/>
            <w:shd w:val="clear" w:color="auto" w:fill="C6EFCE"/>
            <w:tcMar>
              <w:left w:w="108" w:type="dxa"/>
              <w:right w:w="108" w:type="dxa"/>
            </w:tcMar>
          </w:tcPr>
          <w:p w14:paraId="50B4ABEB" w14:textId="77777777" w:rsidR="003B5F50" w:rsidRDefault="000D2D85">
            <w:pPr>
              <w:pStyle w:val="P68B1DB1-Normal9"/>
              <w:spacing w:after="0"/>
              <w:rPr>
                <w:noProof/>
              </w:rPr>
            </w:pPr>
            <w:r>
              <w:rPr>
                <w:noProof/>
              </w:rPr>
              <w:t xml:space="preserve">Déclaration publique conjointe du ministère de l'économie et du gestionnaire de réseau de transport slovaque Slovenská elektrizačná prenosová sústava, a.s. </w:t>
            </w:r>
          </w:p>
        </w:tc>
        <w:tc>
          <w:tcPr>
            <w:tcW w:w="0" w:type="auto"/>
            <w:shd w:val="clear" w:color="auto" w:fill="C6EFCE"/>
            <w:tcMar>
              <w:left w:w="108" w:type="dxa"/>
              <w:right w:w="108" w:type="dxa"/>
            </w:tcMar>
          </w:tcPr>
          <w:p w14:paraId="50B4ABEC" w14:textId="77777777" w:rsidR="003B5F50" w:rsidRDefault="003B5F50">
            <w:pPr>
              <w:spacing w:after="0"/>
              <w:rPr>
                <w:noProof/>
              </w:rPr>
            </w:pPr>
          </w:p>
        </w:tc>
        <w:tc>
          <w:tcPr>
            <w:tcW w:w="0" w:type="auto"/>
            <w:shd w:val="clear" w:color="auto" w:fill="C6EFCE"/>
            <w:tcMar>
              <w:left w:w="108" w:type="dxa"/>
              <w:right w:w="108" w:type="dxa"/>
            </w:tcMar>
          </w:tcPr>
          <w:p w14:paraId="50B4ABED" w14:textId="77777777" w:rsidR="003B5F50" w:rsidRDefault="000D2D85">
            <w:pPr>
              <w:pStyle w:val="P68B1DB1-Normal9"/>
              <w:spacing w:after="0"/>
              <w:jc w:val="center"/>
              <w:rPr>
                <w:noProof/>
              </w:rPr>
            </w:pPr>
            <w:r>
              <w:rPr>
                <w:noProof/>
              </w:rPr>
              <w:t xml:space="preserve"> </w:t>
            </w:r>
          </w:p>
          <w:p w14:paraId="50B4ABEE" w14:textId="77777777" w:rsidR="003B5F50" w:rsidRDefault="000D2D85">
            <w:pPr>
              <w:pStyle w:val="P68B1DB1-Normal10"/>
              <w:spacing w:line="257" w:lineRule="auto"/>
              <w:rPr>
                <w:noProof/>
              </w:rPr>
            </w:pPr>
            <w:r>
              <w:rPr>
                <w:noProof/>
              </w:rPr>
              <w:t xml:space="preserve"> </w:t>
            </w:r>
          </w:p>
          <w:p w14:paraId="50B4ABEF" w14:textId="77777777" w:rsidR="003B5F50" w:rsidRDefault="000D2D85">
            <w:pPr>
              <w:pStyle w:val="P68B1DB1-Normal10"/>
              <w:spacing w:line="257" w:lineRule="auto"/>
              <w:rPr>
                <w:noProof/>
              </w:rPr>
            </w:pPr>
            <w:r>
              <w:rPr>
                <w:noProof/>
              </w:rPr>
              <w:t xml:space="preserve"> </w:t>
            </w:r>
          </w:p>
          <w:p w14:paraId="50B4ABF0" w14:textId="77777777" w:rsidR="003B5F50" w:rsidRDefault="000D2D85">
            <w:pPr>
              <w:pStyle w:val="P68B1DB1-Normal10"/>
              <w:spacing w:line="257" w:lineRule="auto"/>
              <w:rPr>
                <w:noProof/>
              </w:rPr>
            </w:pPr>
            <w:r>
              <w:rPr>
                <w:noProof/>
              </w:rPr>
              <w:t xml:space="preserve"> </w:t>
            </w:r>
          </w:p>
          <w:p w14:paraId="50B4ABF1" w14:textId="77777777" w:rsidR="003B5F50" w:rsidRDefault="000D2D85">
            <w:pPr>
              <w:pStyle w:val="P68B1DB1-Normal10"/>
              <w:spacing w:line="257" w:lineRule="auto"/>
              <w:rPr>
                <w:noProof/>
              </w:rPr>
            </w:pPr>
            <w:r>
              <w:rPr>
                <w:noProof/>
              </w:rPr>
              <w:t xml:space="preserve"> </w:t>
            </w:r>
          </w:p>
          <w:p w14:paraId="50B4ABF2" w14:textId="77777777" w:rsidR="003B5F50" w:rsidRDefault="000D2D85">
            <w:pPr>
              <w:pStyle w:val="P68B1DB1-Normal10"/>
              <w:spacing w:line="257" w:lineRule="auto"/>
              <w:rPr>
                <w:noProof/>
              </w:rPr>
            </w:pPr>
            <w:r>
              <w:rPr>
                <w:noProof/>
              </w:rPr>
              <w:t xml:space="preserve"> </w:t>
            </w:r>
          </w:p>
          <w:p w14:paraId="50B4ABF3" w14:textId="77777777" w:rsidR="003B5F50" w:rsidRDefault="000D2D85">
            <w:pPr>
              <w:pStyle w:val="P68B1DB1-Normal9"/>
              <w:spacing w:line="257" w:lineRule="auto"/>
              <w:rPr>
                <w:noProof/>
              </w:rPr>
            </w:pPr>
            <w:r>
              <w:rPr>
                <w:noProof/>
              </w:rPr>
              <w:t xml:space="preserve"> </w:t>
            </w:r>
          </w:p>
          <w:p w14:paraId="50B4ABF4" w14:textId="77777777" w:rsidR="003B5F50" w:rsidRDefault="000D2D85">
            <w:pPr>
              <w:pStyle w:val="P68B1DB1-Normal10"/>
              <w:spacing w:line="257" w:lineRule="auto"/>
              <w:rPr>
                <w:noProof/>
              </w:rPr>
            </w:pPr>
            <w:r>
              <w:rPr>
                <w:noProof/>
              </w:rPr>
              <w:t xml:space="preserve"> </w:t>
            </w:r>
          </w:p>
          <w:p w14:paraId="50B4ABF5" w14:textId="77777777" w:rsidR="003B5F50" w:rsidRDefault="000D2D85">
            <w:pPr>
              <w:pStyle w:val="P68B1DB1-Normal10"/>
              <w:spacing w:line="257" w:lineRule="auto"/>
              <w:rPr>
                <w:noProof/>
              </w:rPr>
            </w:pPr>
            <w:r>
              <w:rPr>
                <w:noProof/>
              </w:rPr>
              <w:t xml:space="preserve"> </w:t>
            </w:r>
          </w:p>
        </w:tc>
        <w:tc>
          <w:tcPr>
            <w:tcW w:w="0" w:type="auto"/>
            <w:shd w:val="clear" w:color="auto" w:fill="C6EFCE"/>
            <w:tcMar>
              <w:left w:w="108" w:type="dxa"/>
              <w:right w:w="108" w:type="dxa"/>
            </w:tcMar>
          </w:tcPr>
          <w:p w14:paraId="50B4ABF6" w14:textId="77777777" w:rsidR="003B5F50" w:rsidRDefault="003B5F50">
            <w:pPr>
              <w:rPr>
                <w:noProof/>
              </w:rPr>
            </w:pPr>
          </w:p>
        </w:tc>
        <w:tc>
          <w:tcPr>
            <w:tcW w:w="0" w:type="auto"/>
            <w:shd w:val="clear" w:color="auto" w:fill="C6EFCE"/>
            <w:tcMar>
              <w:left w:w="108" w:type="dxa"/>
              <w:right w:w="108" w:type="dxa"/>
            </w:tcMar>
          </w:tcPr>
          <w:p w14:paraId="50B4ABF7" w14:textId="77777777" w:rsidR="003B5F50" w:rsidRDefault="000D2D85">
            <w:pPr>
              <w:pStyle w:val="P68B1DB1-Normal9"/>
              <w:spacing w:after="0"/>
              <w:jc w:val="center"/>
              <w:rPr>
                <w:noProof/>
              </w:rPr>
            </w:pPr>
            <w:r>
              <w:rPr>
                <w:noProof/>
              </w:rPr>
              <w:t>T2</w:t>
            </w:r>
          </w:p>
        </w:tc>
        <w:tc>
          <w:tcPr>
            <w:tcW w:w="0" w:type="auto"/>
            <w:shd w:val="clear" w:color="auto" w:fill="C6EFCE"/>
            <w:tcMar>
              <w:left w:w="108" w:type="dxa"/>
              <w:right w:w="108" w:type="dxa"/>
            </w:tcMar>
          </w:tcPr>
          <w:p w14:paraId="50B4ABF8" w14:textId="77777777" w:rsidR="003B5F50" w:rsidRDefault="000D2D85">
            <w:pPr>
              <w:pStyle w:val="P68B1DB1-Normal9"/>
              <w:spacing w:after="0"/>
              <w:jc w:val="center"/>
              <w:rPr>
                <w:noProof/>
              </w:rPr>
            </w:pPr>
            <w:r>
              <w:rPr>
                <w:noProof/>
              </w:rPr>
              <w:t>2021</w:t>
            </w:r>
          </w:p>
        </w:tc>
        <w:tc>
          <w:tcPr>
            <w:tcW w:w="0" w:type="auto"/>
            <w:shd w:val="clear" w:color="auto" w:fill="C6EFCE"/>
            <w:tcMar>
              <w:left w:w="108" w:type="dxa"/>
              <w:right w:w="108" w:type="dxa"/>
            </w:tcMar>
          </w:tcPr>
          <w:p w14:paraId="50B4ABF9" w14:textId="77777777" w:rsidR="003B5F50" w:rsidRDefault="000D2D85">
            <w:pPr>
              <w:pStyle w:val="P68B1DB1-Normal10"/>
              <w:spacing w:after="0"/>
              <w:rPr>
                <w:noProof/>
              </w:rPr>
            </w:pPr>
            <w:r>
              <w:rPr>
                <w:noProof/>
                <w:color w:val="006100"/>
              </w:rPr>
              <w:t xml:space="preserve">Le ministère slovaque de l’économie et le gestionnaire de réseau de transport d’électricité slovaque </w:t>
            </w:r>
            <w:r>
              <w:rPr>
                <w:i/>
                <w:noProof/>
                <w:color w:val="006100"/>
              </w:rPr>
              <w:t>Slovenská elektrizačná prenosová sústava, a.s.</w:t>
            </w:r>
            <w:r>
              <w:rPr>
                <w:noProof/>
                <w:color w:val="006100"/>
              </w:rPr>
              <w:t xml:space="preserve"> déclarent la levée des restrictions sur les capacités techniques de transport d’électricité au sein du réseau électrique slovaque et une augmentation de la capacité de raccordement des sources renouvelables au réseau. La mesure est facilitée par l'augmentation de la capacité nette de transfert des interconnexions de transport avec la République de Hongrie.</w:t>
            </w:r>
          </w:p>
        </w:tc>
      </w:tr>
      <w:tr w:rsidR="003B5F50" w14:paraId="50B4AC12" w14:textId="77777777">
        <w:trPr>
          <w:trHeight w:val="1785"/>
        </w:trPr>
        <w:tc>
          <w:tcPr>
            <w:tcW w:w="0" w:type="auto"/>
            <w:shd w:val="clear" w:color="auto" w:fill="C6EFCE"/>
            <w:tcMar>
              <w:left w:w="108" w:type="dxa"/>
              <w:right w:w="108" w:type="dxa"/>
            </w:tcMar>
          </w:tcPr>
          <w:p w14:paraId="50B4ABFB" w14:textId="77777777" w:rsidR="003B5F50" w:rsidRDefault="000D2D85">
            <w:pPr>
              <w:pStyle w:val="P68B1DB1-Normal9"/>
              <w:spacing w:after="0"/>
              <w:jc w:val="center"/>
              <w:rPr>
                <w:noProof/>
              </w:rPr>
            </w:pPr>
            <w:r>
              <w:rPr>
                <w:noProof/>
              </w:rPr>
              <w:t>3</w:t>
            </w:r>
          </w:p>
        </w:tc>
        <w:tc>
          <w:tcPr>
            <w:tcW w:w="0" w:type="auto"/>
            <w:shd w:val="clear" w:color="auto" w:fill="C6EFCE"/>
            <w:tcMar>
              <w:left w:w="108" w:type="dxa"/>
              <w:right w:w="108" w:type="dxa"/>
            </w:tcMar>
          </w:tcPr>
          <w:p w14:paraId="50B4ABFC" w14:textId="77777777" w:rsidR="003B5F50" w:rsidRDefault="000D2D85">
            <w:pPr>
              <w:pStyle w:val="P68B1DB1-Normal9"/>
              <w:spacing w:after="0"/>
              <w:rPr>
                <w:noProof/>
              </w:rPr>
            </w:pPr>
            <w:r>
              <w:rPr>
                <w:noProof/>
              </w:rPr>
              <w:t>1 – Sources d’énergie renouvelables et infrastructures énergétiques – Réforme 2: Le cadre juridique pour la promotion des sources d'énergie renouvelables</w:t>
            </w:r>
          </w:p>
        </w:tc>
        <w:tc>
          <w:tcPr>
            <w:tcW w:w="0" w:type="auto"/>
            <w:shd w:val="clear" w:color="auto" w:fill="C6EFCE"/>
            <w:tcMar>
              <w:left w:w="108" w:type="dxa"/>
              <w:right w:w="108" w:type="dxa"/>
            </w:tcMar>
          </w:tcPr>
          <w:p w14:paraId="50B4ABFD" w14:textId="77777777" w:rsidR="003B5F50" w:rsidRDefault="000D2D85">
            <w:pPr>
              <w:pStyle w:val="P68B1DB1-Normal9"/>
              <w:spacing w:after="0"/>
              <w:rPr>
                <w:noProof/>
              </w:rPr>
            </w:pPr>
            <w:r>
              <w:rPr>
                <w:noProof/>
              </w:rPr>
              <w:t>Étape</w:t>
            </w:r>
          </w:p>
        </w:tc>
        <w:tc>
          <w:tcPr>
            <w:tcW w:w="0" w:type="auto"/>
            <w:shd w:val="clear" w:color="auto" w:fill="C6EFCE"/>
            <w:tcMar>
              <w:left w:w="108" w:type="dxa"/>
              <w:right w:w="108" w:type="dxa"/>
            </w:tcMar>
          </w:tcPr>
          <w:p w14:paraId="50B4ABFE" w14:textId="77777777" w:rsidR="003B5F50" w:rsidRDefault="000D2D85">
            <w:pPr>
              <w:pStyle w:val="P68B1DB1-Normal10"/>
              <w:spacing w:after="0"/>
              <w:rPr>
                <w:noProof/>
              </w:rPr>
            </w:pPr>
            <w:r>
              <w:rPr>
                <w:noProof/>
                <w:color w:val="006100"/>
              </w:rPr>
              <w:t>Cadre pour soutenir les investissements dans de nouvelles sources d’énergie renouvelables</w:t>
            </w:r>
            <w:r>
              <w:rPr>
                <w:noProof/>
                <w:color w:val="385724"/>
              </w:rPr>
              <w:t xml:space="preserve"> </w:t>
            </w:r>
          </w:p>
        </w:tc>
        <w:tc>
          <w:tcPr>
            <w:tcW w:w="0" w:type="auto"/>
            <w:shd w:val="clear" w:color="auto" w:fill="C6EFCE"/>
            <w:tcMar>
              <w:left w:w="108" w:type="dxa"/>
              <w:right w:w="108" w:type="dxa"/>
            </w:tcMar>
            <w:vAlign w:val="center"/>
          </w:tcPr>
          <w:p w14:paraId="50B4ABFF" w14:textId="77777777" w:rsidR="003B5F50" w:rsidRDefault="000D2D85">
            <w:pPr>
              <w:pStyle w:val="P68B1DB1-Normal9"/>
              <w:spacing w:after="0"/>
              <w:rPr>
                <w:noProof/>
              </w:rPr>
            </w:pPr>
            <w:r>
              <w:rPr>
                <w:noProof/>
              </w:rPr>
              <w:t xml:space="preserve">Entrée en vigueur des modifications législatives apportées à la loi sur la promotion des sources d'énergie renouvelables et de la cogénération à haut rendement et à la loi sur l'énergie thermique. </w:t>
            </w:r>
          </w:p>
          <w:p w14:paraId="50B4AC00" w14:textId="77777777" w:rsidR="003B5F50" w:rsidRDefault="003B5F50">
            <w:pPr>
              <w:spacing w:after="0"/>
              <w:rPr>
                <w:rFonts w:ascii="Times New Roman" w:eastAsia="Times New Roman" w:hAnsi="Times New Roman" w:cs="Times New Roman"/>
                <w:noProof/>
                <w:color w:val="006100"/>
                <w:sz w:val="20"/>
                <w:szCs w:val="20"/>
              </w:rPr>
            </w:pPr>
          </w:p>
          <w:p w14:paraId="50B4AC01" w14:textId="048BA495" w:rsidR="003B5F50" w:rsidRDefault="000D2D85">
            <w:pPr>
              <w:pStyle w:val="P68B1DB1-Normal9"/>
              <w:spacing w:after="0"/>
              <w:rPr>
                <w:noProof/>
              </w:rPr>
            </w:pPr>
            <w:r>
              <w:rPr>
                <w:noProof/>
              </w:rPr>
              <w:t xml:space="preserve">Adoption d’un plan de mise aux enchères à long terme par le ministère de l’économie  </w:t>
            </w:r>
          </w:p>
          <w:p w14:paraId="50B4AC02" w14:textId="77777777" w:rsidR="003B5F50" w:rsidRDefault="003B5F50">
            <w:pPr>
              <w:spacing w:after="0"/>
              <w:rPr>
                <w:noProof/>
              </w:rPr>
            </w:pPr>
          </w:p>
          <w:p w14:paraId="50B4AC03" w14:textId="77777777" w:rsidR="003B5F50" w:rsidRDefault="000D2D85">
            <w:pPr>
              <w:pStyle w:val="P68B1DB1-Normal9"/>
              <w:spacing w:after="0"/>
              <w:rPr>
                <w:noProof/>
              </w:rPr>
            </w:pPr>
            <w:r>
              <w:rPr>
                <w:noProof/>
              </w:rPr>
              <w:t xml:space="preserve">Adoption de programmes d’investissement par le ministère de l’économie pour la promotion de nouvelles sources d’électricité à partir de sources d’énergie renouvelables (définis dans l’investissement 1), d’investissements en faveur du rééquipement (définis dans l’investissement 2) et d’investissements visant à accroître la flexibilité du système électrique (définis dans l’investissement 3) </w:t>
            </w:r>
          </w:p>
        </w:tc>
        <w:tc>
          <w:tcPr>
            <w:tcW w:w="0" w:type="auto"/>
            <w:shd w:val="clear" w:color="auto" w:fill="C6EFCE"/>
            <w:tcMar>
              <w:left w:w="108" w:type="dxa"/>
              <w:right w:w="108" w:type="dxa"/>
            </w:tcMar>
            <w:vAlign w:val="center"/>
          </w:tcPr>
          <w:p w14:paraId="50B4AC04" w14:textId="77777777" w:rsidR="003B5F50" w:rsidRDefault="000D2D85">
            <w:pPr>
              <w:pStyle w:val="P68B1DB1-Normal9"/>
              <w:spacing w:after="0"/>
              <w:rPr>
                <w:noProof/>
              </w:rPr>
            </w:pPr>
            <w:r>
              <w:rPr>
                <w:noProof/>
              </w:rPr>
              <w:t xml:space="preserve"> </w:t>
            </w:r>
          </w:p>
        </w:tc>
        <w:tc>
          <w:tcPr>
            <w:tcW w:w="0" w:type="auto"/>
            <w:shd w:val="clear" w:color="auto" w:fill="C6EFCE"/>
            <w:tcMar>
              <w:left w:w="108" w:type="dxa"/>
              <w:right w:w="108" w:type="dxa"/>
            </w:tcMar>
            <w:vAlign w:val="center"/>
          </w:tcPr>
          <w:p w14:paraId="50B4AC05" w14:textId="77777777" w:rsidR="003B5F50" w:rsidRDefault="000D2D85">
            <w:pPr>
              <w:pStyle w:val="P68B1DB1-Normal9"/>
              <w:spacing w:after="0"/>
              <w:jc w:val="center"/>
              <w:rPr>
                <w:noProof/>
              </w:rPr>
            </w:pPr>
            <w:r>
              <w:rPr>
                <w:noProof/>
              </w:rPr>
              <w:t xml:space="preserve"> </w:t>
            </w:r>
          </w:p>
        </w:tc>
        <w:tc>
          <w:tcPr>
            <w:tcW w:w="0" w:type="auto"/>
            <w:shd w:val="clear" w:color="auto" w:fill="C6EFCE"/>
            <w:tcMar>
              <w:left w:w="108" w:type="dxa"/>
              <w:right w:w="108" w:type="dxa"/>
            </w:tcMar>
            <w:vAlign w:val="center"/>
          </w:tcPr>
          <w:p w14:paraId="50B4AC06" w14:textId="77777777" w:rsidR="003B5F50" w:rsidRDefault="000D2D85">
            <w:pPr>
              <w:pStyle w:val="P68B1DB1-Normal9"/>
              <w:spacing w:after="0"/>
              <w:jc w:val="center"/>
              <w:rPr>
                <w:noProof/>
              </w:rPr>
            </w:pPr>
            <w:r>
              <w:rPr>
                <w:noProof/>
              </w:rPr>
              <w:t xml:space="preserve"> </w:t>
            </w:r>
          </w:p>
        </w:tc>
        <w:tc>
          <w:tcPr>
            <w:tcW w:w="0" w:type="auto"/>
            <w:shd w:val="clear" w:color="auto" w:fill="C6EFCE"/>
            <w:tcMar>
              <w:left w:w="108" w:type="dxa"/>
              <w:right w:w="108" w:type="dxa"/>
            </w:tcMar>
          </w:tcPr>
          <w:p w14:paraId="50B4AC07" w14:textId="77777777" w:rsidR="003B5F50" w:rsidRDefault="000D2D85">
            <w:pPr>
              <w:pStyle w:val="P68B1DB1-Normal9"/>
              <w:spacing w:after="0"/>
              <w:jc w:val="center"/>
              <w:rPr>
                <w:noProof/>
              </w:rPr>
            </w:pPr>
            <w:r>
              <w:rPr>
                <w:noProof/>
              </w:rPr>
              <w:t>T4</w:t>
            </w:r>
          </w:p>
        </w:tc>
        <w:tc>
          <w:tcPr>
            <w:tcW w:w="0" w:type="auto"/>
            <w:shd w:val="clear" w:color="auto" w:fill="C6EFCE"/>
            <w:tcMar>
              <w:left w:w="108" w:type="dxa"/>
              <w:right w:w="108" w:type="dxa"/>
            </w:tcMar>
          </w:tcPr>
          <w:p w14:paraId="50B4AC08" w14:textId="77777777" w:rsidR="003B5F50" w:rsidRDefault="000D2D85">
            <w:pPr>
              <w:pStyle w:val="P68B1DB1-Normal9"/>
              <w:spacing w:after="0"/>
              <w:jc w:val="center"/>
              <w:rPr>
                <w:noProof/>
              </w:rPr>
            </w:pPr>
            <w:r>
              <w:rPr>
                <w:noProof/>
              </w:rPr>
              <w:t>2022</w:t>
            </w:r>
          </w:p>
        </w:tc>
        <w:tc>
          <w:tcPr>
            <w:tcW w:w="0" w:type="auto"/>
            <w:shd w:val="clear" w:color="auto" w:fill="C6EFCE"/>
            <w:tcMar>
              <w:left w:w="108" w:type="dxa"/>
              <w:right w:w="108" w:type="dxa"/>
            </w:tcMar>
            <w:vAlign w:val="center"/>
          </w:tcPr>
          <w:p w14:paraId="50B4AC09" w14:textId="77777777" w:rsidR="003B5F50" w:rsidRDefault="000D2D85">
            <w:pPr>
              <w:pStyle w:val="P68B1DB1-Normal9"/>
              <w:spacing w:after="0"/>
              <w:rPr>
                <w:noProof/>
              </w:rPr>
            </w:pPr>
            <w:r>
              <w:rPr>
                <w:noProof/>
              </w:rPr>
              <w:t xml:space="preserve">Les modifications législatives créent des mécanismes de soutien pour accroître la part des sources d’énergie renouvelables dans le secteur des transports, de l’électricité et du chauffage. Le cadre juridique est modifié par la modification des lois 309/2009 Rec. sur la promotion des sources d’énergie renouvelables et de la cogénération à haut rendement et 657/2004 Rec. sur l’énergie thermique. </w:t>
            </w:r>
          </w:p>
          <w:p w14:paraId="50B4AC0A" w14:textId="77777777" w:rsidR="003B5F50" w:rsidRDefault="003B5F50">
            <w:pPr>
              <w:spacing w:after="0"/>
              <w:rPr>
                <w:noProof/>
              </w:rPr>
            </w:pPr>
          </w:p>
          <w:p w14:paraId="50B4AC0B" w14:textId="30C48DCA" w:rsidR="003B5F50" w:rsidRDefault="000D2D85">
            <w:pPr>
              <w:pStyle w:val="P68B1DB1-Normal9"/>
              <w:spacing w:after="0"/>
              <w:rPr>
                <w:noProof/>
              </w:rPr>
            </w:pPr>
            <w:r>
              <w:rPr>
                <w:noProof/>
              </w:rPr>
              <w:t>Le ministère de l’économie adopte un plan de mise aux enchères à long terme pour les nouvelles sources d’énergie renouvelables, contribuant ainsi à une meilleure prévisibilité de l’augmentation de la capacité des nouvelles capacités d’énergie renouvelable.</w:t>
            </w:r>
          </w:p>
          <w:p w14:paraId="50B4AC0C" w14:textId="77777777" w:rsidR="003B5F50" w:rsidRDefault="003B5F50">
            <w:pPr>
              <w:spacing w:after="0"/>
              <w:rPr>
                <w:rFonts w:ascii="Times New Roman" w:eastAsia="Times New Roman" w:hAnsi="Times New Roman" w:cs="Times New Roman"/>
                <w:noProof/>
                <w:color w:val="006100"/>
                <w:sz w:val="20"/>
                <w:szCs w:val="20"/>
              </w:rPr>
            </w:pPr>
          </w:p>
          <w:p w14:paraId="50B4AC0D" w14:textId="77777777" w:rsidR="003B5F50" w:rsidRDefault="000D2D85">
            <w:pPr>
              <w:pStyle w:val="P68B1DB1-Normal9"/>
              <w:spacing w:after="0"/>
              <w:rPr>
                <w:noProof/>
              </w:rPr>
            </w:pPr>
            <w:r>
              <w:rPr>
                <w:noProof/>
              </w:rPr>
              <w:t>Le ministère de l’économie adopte le nouveau système d’enchères pour les nouvelles sources d’électricité à partir de sources d’énergie renouvelables (défini dans l’investissement 1), les régimes d’aide aux investissements dans le rééquipement (définis dans l’investissement 2) et le renforcement de la flexibilité du système électrique (défini dans l’investissement 3). Les régimes détaillent les critères d’éligibilité des entreprises bénéficiant d’un soutien, en veillant au respect de l’acquis environnemental national et de l’UE ainsi que des orientations techniques DNSH (2021/C58/01) des activités et/ou entreprises bénéficiant d’un soutien, tout en augmentant les nouvelles capacités en matière d’énergies renouvelables, comme indiqué dans les objectifs correspondants (pour les investissements 1, 2 et 3). Les projets relatifs à la biomasse se traduisent par des mises à niveau des stations de biogaz permettant de réduire d’au moins 80 % les émissions de GES par rapport à la méthode de réduction des émissions de gaz à effet de serre et au comparateur définis à l’annexe VI de la directive (UE) 2018/2001, conformément aux conditions découlant du règlement délégué (UE) 2021/2139 de la Commission. En cas de transformation en installations produisant du biométhane, les réductions des émissions de gaz à effet de serre s’élèvent à au moins 70 % par rapport à la méthode de réduction des émissions de gaz à effet de serre et au comparateur de combustibles fossiles figurant à l’annexe VI de ladite directive.</w:t>
            </w:r>
          </w:p>
          <w:p w14:paraId="50B4AC0E" w14:textId="77777777" w:rsidR="003B5F50" w:rsidRDefault="003B5F50">
            <w:pPr>
              <w:spacing w:after="0"/>
              <w:rPr>
                <w:noProof/>
              </w:rPr>
            </w:pPr>
          </w:p>
          <w:p w14:paraId="50B4AC0F" w14:textId="77777777" w:rsidR="003B5F50" w:rsidRDefault="000D2D85">
            <w:pPr>
              <w:pStyle w:val="P68B1DB1-Normal9"/>
              <w:spacing w:after="0"/>
              <w:rPr>
                <w:noProof/>
              </w:rPr>
            </w:pPr>
            <w:r>
              <w:rPr>
                <w:noProof/>
              </w:rPr>
              <w:t>Les projets relatifs à la biomasse et au biométhane sont durables conformément à la directive (UE) 2018/2001 sur les énergies renouvelables (REDII).</w:t>
            </w:r>
          </w:p>
          <w:p w14:paraId="50B4AC10" w14:textId="77777777" w:rsidR="003B5F50" w:rsidRDefault="003B5F50">
            <w:pPr>
              <w:spacing w:after="0"/>
              <w:rPr>
                <w:noProof/>
              </w:rPr>
            </w:pPr>
          </w:p>
          <w:p w14:paraId="50B4AC11" w14:textId="77777777" w:rsidR="003B5F50" w:rsidRDefault="000D2D85">
            <w:pPr>
              <w:pStyle w:val="P68B1DB1-Normal9"/>
              <w:spacing w:after="0"/>
              <w:rPr>
                <w:noProof/>
              </w:rPr>
            </w:pPr>
            <w:r>
              <w:rPr>
                <w:noProof/>
              </w:rPr>
              <w:t>Seuls les investissements dans l'hydroélectricité qui sont conformes à l'acquis de l'UE seront soutenus.</w:t>
            </w:r>
          </w:p>
        </w:tc>
      </w:tr>
      <w:tr w:rsidR="003B5F50" w14:paraId="50B4AC21" w14:textId="77777777">
        <w:trPr>
          <w:trHeight w:val="735"/>
        </w:trPr>
        <w:tc>
          <w:tcPr>
            <w:tcW w:w="0" w:type="auto"/>
            <w:shd w:val="clear" w:color="auto" w:fill="C6EFCE"/>
            <w:tcMar>
              <w:left w:w="108" w:type="dxa"/>
              <w:right w:w="108" w:type="dxa"/>
            </w:tcMar>
          </w:tcPr>
          <w:p w14:paraId="50B4AC13" w14:textId="77777777" w:rsidR="003B5F50" w:rsidRDefault="000D2D85">
            <w:pPr>
              <w:pStyle w:val="P68B1DB1-Normal9"/>
              <w:spacing w:after="0"/>
              <w:jc w:val="center"/>
              <w:rPr>
                <w:noProof/>
              </w:rPr>
            </w:pPr>
            <w:r>
              <w:rPr>
                <w:noProof/>
              </w:rPr>
              <w:t>4</w:t>
            </w:r>
          </w:p>
        </w:tc>
        <w:tc>
          <w:tcPr>
            <w:tcW w:w="0" w:type="auto"/>
            <w:shd w:val="clear" w:color="auto" w:fill="C6EFCE"/>
            <w:tcMar>
              <w:left w:w="108" w:type="dxa"/>
              <w:right w:w="108" w:type="dxa"/>
            </w:tcMar>
          </w:tcPr>
          <w:p w14:paraId="50B4AC14" w14:textId="79F3524E" w:rsidR="003B5F50" w:rsidRDefault="000D2D85">
            <w:pPr>
              <w:pStyle w:val="P68B1DB1-Normal9"/>
              <w:spacing w:after="0"/>
              <w:rPr>
                <w:noProof/>
              </w:rPr>
            </w:pPr>
            <w:r>
              <w:rPr>
                <w:noProof/>
              </w:rPr>
              <w:t>1 – Sources d’énergie renouvelables et infrastructures énergétiques – Investissement 1: Construction de nouvelles sources d'électricité renouvelables</w:t>
            </w:r>
          </w:p>
          <w:p w14:paraId="50B4AC15" w14:textId="77777777" w:rsidR="003B5F50" w:rsidRDefault="000D2D85">
            <w:pPr>
              <w:pStyle w:val="P68B1DB1-Normal9"/>
              <w:spacing w:after="0"/>
              <w:rPr>
                <w:noProof/>
              </w:rPr>
            </w:pPr>
            <w:r>
              <w:rPr>
                <w:noProof/>
              </w:rPr>
              <w:t xml:space="preserve"> </w:t>
            </w:r>
          </w:p>
        </w:tc>
        <w:tc>
          <w:tcPr>
            <w:tcW w:w="0" w:type="auto"/>
            <w:shd w:val="clear" w:color="auto" w:fill="C6EFCE"/>
            <w:tcMar>
              <w:left w:w="108" w:type="dxa"/>
              <w:right w:w="108" w:type="dxa"/>
            </w:tcMar>
          </w:tcPr>
          <w:p w14:paraId="50B4AC16" w14:textId="77777777" w:rsidR="003B5F50" w:rsidRDefault="000D2D85">
            <w:pPr>
              <w:pStyle w:val="P68B1DB1-Normal9"/>
              <w:spacing w:after="0"/>
              <w:rPr>
                <w:noProof/>
              </w:rPr>
            </w:pPr>
            <w:r>
              <w:rPr>
                <w:noProof/>
              </w:rPr>
              <w:t>Objectif</w:t>
            </w:r>
          </w:p>
        </w:tc>
        <w:tc>
          <w:tcPr>
            <w:tcW w:w="0" w:type="auto"/>
            <w:shd w:val="clear" w:color="auto" w:fill="C6EFCE"/>
            <w:tcMar>
              <w:left w:w="108" w:type="dxa"/>
              <w:right w:w="108" w:type="dxa"/>
            </w:tcMar>
          </w:tcPr>
          <w:p w14:paraId="50B4AC17" w14:textId="30613FC6" w:rsidR="003B5F50" w:rsidRDefault="000D2D85">
            <w:pPr>
              <w:pStyle w:val="P68B1DB1-Normal10"/>
              <w:spacing w:after="0"/>
              <w:rPr>
                <w:noProof/>
              </w:rPr>
            </w:pPr>
            <w:r>
              <w:rPr>
                <w:noProof/>
                <w:color w:val="006100"/>
              </w:rPr>
              <w:t>Nouvelle capacité de production d'énergie renouvelable</w:t>
            </w:r>
            <w:r>
              <w:rPr>
                <w:noProof/>
                <w:color w:val="385724"/>
              </w:rPr>
              <w:t xml:space="preserve"> </w:t>
            </w:r>
          </w:p>
        </w:tc>
        <w:tc>
          <w:tcPr>
            <w:tcW w:w="0" w:type="auto"/>
            <w:shd w:val="clear" w:color="auto" w:fill="C6EFCE"/>
            <w:tcMar>
              <w:left w:w="108" w:type="dxa"/>
              <w:right w:w="108" w:type="dxa"/>
            </w:tcMar>
          </w:tcPr>
          <w:p w14:paraId="50B4AC18" w14:textId="77777777" w:rsidR="003B5F50" w:rsidRDefault="000D2D85">
            <w:pPr>
              <w:pStyle w:val="P68B1DB1-Normal9"/>
              <w:spacing w:after="0"/>
              <w:rPr>
                <w:noProof/>
              </w:rPr>
            </w:pPr>
            <w:r>
              <w:rPr>
                <w:noProof/>
              </w:rPr>
              <w:t xml:space="preserve"> </w:t>
            </w:r>
          </w:p>
        </w:tc>
        <w:tc>
          <w:tcPr>
            <w:tcW w:w="0" w:type="auto"/>
            <w:shd w:val="clear" w:color="auto" w:fill="C6EFCE"/>
            <w:tcMar>
              <w:left w:w="108" w:type="dxa"/>
              <w:right w:w="108" w:type="dxa"/>
            </w:tcMar>
          </w:tcPr>
          <w:p w14:paraId="50B4AC19" w14:textId="77777777" w:rsidR="003B5F50" w:rsidRDefault="000D2D85">
            <w:pPr>
              <w:pStyle w:val="P68B1DB1-Normal9"/>
              <w:spacing w:after="0"/>
              <w:rPr>
                <w:noProof/>
              </w:rPr>
            </w:pPr>
            <w:r>
              <w:rPr>
                <w:noProof/>
              </w:rPr>
              <w:t>MW</w:t>
            </w:r>
          </w:p>
        </w:tc>
        <w:tc>
          <w:tcPr>
            <w:tcW w:w="0" w:type="auto"/>
            <w:shd w:val="clear" w:color="auto" w:fill="C6EFCE"/>
            <w:tcMar>
              <w:left w:w="108" w:type="dxa"/>
              <w:right w:w="108" w:type="dxa"/>
            </w:tcMar>
          </w:tcPr>
          <w:p w14:paraId="50B4AC1A" w14:textId="77777777" w:rsidR="003B5F50" w:rsidRDefault="000D2D85">
            <w:pPr>
              <w:pStyle w:val="P68B1DB1-Normal9"/>
              <w:spacing w:after="0"/>
              <w:jc w:val="center"/>
              <w:rPr>
                <w:noProof/>
              </w:rPr>
            </w:pPr>
            <w:r>
              <w:rPr>
                <w:noProof/>
              </w:rPr>
              <w:t>0</w:t>
            </w:r>
          </w:p>
        </w:tc>
        <w:tc>
          <w:tcPr>
            <w:tcW w:w="0" w:type="auto"/>
            <w:shd w:val="clear" w:color="auto" w:fill="C6EFCE"/>
            <w:tcMar>
              <w:left w:w="108" w:type="dxa"/>
              <w:right w:w="108" w:type="dxa"/>
            </w:tcMar>
          </w:tcPr>
          <w:p w14:paraId="50B4AC1B" w14:textId="74E55343" w:rsidR="003B5F50" w:rsidRDefault="000D2D85">
            <w:pPr>
              <w:pStyle w:val="P68B1DB1-Normal9"/>
              <w:spacing w:after="0"/>
              <w:jc w:val="center"/>
              <w:rPr>
                <w:noProof/>
              </w:rPr>
            </w:pPr>
            <w:r>
              <w:rPr>
                <w:noProof/>
              </w:rPr>
              <w:t>95</w:t>
            </w:r>
          </w:p>
        </w:tc>
        <w:tc>
          <w:tcPr>
            <w:tcW w:w="0" w:type="auto"/>
            <w:shd w:val="clear" w:color="auto" w:fill="C6EFCE"/>
            <w:tcMar>
              <w:left w:w="108" w:type="dxa"/>
              <w:right w:w="108" w:type="dxa"/>
            </w:tcMar>
          </w:tcPr>
          <w:p w14:paraId="50B4AC1C" w14:textId="77777777" w:rsidR="003B5F50" w:rsidRDefault="000D2D85">
            <w:pPr>
              <w:pStyle w:val="P68B1DB1-Normal9"/>
              <w:spacing w:after="0"/>
              <w:jc w:val="center"/>
              <w:rPr>
                <w:noProof/>
              </w:rPr>
            </w:pPr>
            <w:r>
              <w:rPr>
                <w:noProof/>
              </w:rPr>
              <w:t>T2</w:t>
            </w:r>
          </w:p>
        </w:tc>
        <w:tc>
          <w:tcPr>
            <w:tcW w:w="0" w:type="auto"/>
            <w:shd w:val="clear" w:color="auto" w:fill="C6EFCE"/>
            <w:tcMar>
              <w:left w:w="108" w:type="dxa"/>
              <w:right w:w="108" w:type="dxa"/>
            </w:tcMar>
          </w:tcPr>
          <w:p w14:paraId="50B4AC1D" w14:textId="77777777" w:rsidR="003B5F50" w:rsidRDefault="000D2D85">
            <w:pPr>
              <w:pStyle w:val="P68B1DB1-Normal9"/>
              <w:spacing w:after="0"/>
              <w:jc w:val="center"/>
              <w:rPr>
                <w:noProof/>
              </w:rPr>
            </w:pPr>
            <w:r>
              <w:rPr>
                <w:noProof/>
              </w:rPr>
              <w:t>2026</w:t>
            </w:r>
          </w:p>
        </w:tc>
        <w:tc>
          <w:tcPr>
            <w:tcW w:w="0" w:type="auto"/>
            <w:shd w:val="clear" w:color="auto" w:fill="C6EFCE"/>
            <w:tcMar>
              <w:left w:w="108" w:type="dxa"/>
              <w:right w:w="108" w:type="dxa"/>
            </w:tcMar>
          </w:tcPr>
          <w:p w14:paraId="50B4AC1E" w14:textId="1CB822C9" w:rsidR="003B5F50" w:rsidRDefault="000D2D85">
            <w:pPr>
              <w:pStyle w:val="P68B1DB1-Normal9"/>
              <w:spacing w:after="0"/>
              <w:rPr>
                <w:noProof/>
              </w:rPr>
            </w:pPr>
            <w:r>
              <w:rPr>
                <w:noProof/>
              </w:rPr>
              <w:t xml:space="preserve">Au moins 95 MW de nouvelles capacités de production d’électricité renouvelable sont raccordés au réseau dans le cadre du régime d’aide de la mesure. Une copie de l’essai fonctionnel de la nouvelle source d’électricité (indiquant la capacité installée en MW et le type de source d’énergie renouvelable) et de l’accord de raccordement au réseau de distribution doit être fournie. </w:t>
            </w:r>
          </w:p>
          <w:p w14:paraId="50B4AC1F" w14:textId="77777777" w:rsidR="003B5F50" w:rsidRDefault="003B5F50">
            <w:pPr>
              <w:spacing w:after="0"/>
              <w:rPr>
                <w:rFonts w:ascii="Times New Roman" w:eastAsia="Times New Roman" w:hAnsi="Times New Roman" w:cs="Times New Roman"/>
                <w:noProof/>
                <w:color w:val="006100"/>
                <w:sz w:val="20"/>
                <w:szCs w:val="20"/>
              </w:rPr>
            </w:pPr>
          </w:p>
          <w:p w14:paraId="50B4AC20" w14:textId="660A0D92" w:rsidR="003B5F50" w:rsidRDefault="000D2D85">
            <w:pPr>
              <w:pStyle w:val="P68B1DB1-Normal9"/>
              <w:spacing w:after="0"/>
              <w:rPr>
                <w:noProof/>
              </w:rPr>
            </w:pPr>
            <w:r>
              <w:rPr>
                <w:noProof/>
              </w:rPr>
              <w:t>Le régime d’aide prend la forme d’enchères pour l’aide à l’investissement en faveur de nouvelles sources d’électricité à partir de sources d’énergie renouvelables (telles que mises en œuvre dans le cadre de la réforme 2), à l’exception de l’hydroélectricité.</w:t>
            </w:r>
          </w:p>
        </w:tc>
      </w:tr>
      <w:tr w:rsidR="003B5F50" w14:paraId="50B4AC2F" w14:textId="77777777">
        <w:trPr>
          <w:trHeight w:val="450"/>
        </w:trPr>
        <w:tc>
          <w:tcPr>
            <w:tcW w:w="0" w:type="auto"/>
            <w:shd w:val="clear" w:color="auto" w:fill="C6EFCE"/>
            <w:tcMar>
              <w:left w:w="108" w:type="dxa"/>
              <w:right w:w="108" w:type="dxa"/>
            </w:tcMar>
          </w:tcPr>
          <w:p w14:paraId="50B4AC22" w14:textId="77777777" w:rsidR="003B5F50" w:rsidRDefault="000D2D85">
            <w:pPr>
              <w:pStyle w:val="P68B1DB1-Normal9"/>
              <w:spacing w:after="0"/>
              <w:jc w:val="center"/>
              <w:rPr>
                <w:noProof/>
              </w:rPr>
            </w:pPr>
            <w:r>
              <w:rPr>
                <w:noProof/>
              </w:rPr>
              <w:t>5</w:t>
            </w:r>
          </w:p>
        </w:tc>
        <w:tc>
          <w:tcPr>
            <w:tcW w:w="0" w:type="auto"/>
            <w:shd w:val="clear" w:color="auto" w:fill="C6EFCE"/>
            <w:tcMar>
              <w:left w:w="108" w:type="dxa"/>
              <w:right w:w="108" w:type="dxa"/>
            </w:tcMar>
          </w:tcPr>
          <w:p w14:paraId="50B4AC24" w14:textId="47C2C35D" w:rsidR="003B5F50" w:rsidRDefault="000D2D85">
            <w:pPr>
              <w:pStyle w:val="P68B1DB1-Normal9"/>
              <w:spacing w:after="0"/>
              <w:rPr>
                <w:noProof/>
              </w:rPr>
            </w:pPr>
            <w:r>
              <w:rPr>
                <w:noProof/>
              </w:rPr>
              <w:t>1 – Sources d’énergie renouvelables et infrastructures énergétiques – Investissement 2: Modernisation des sources d'énergie renouvelables existantes (repowering)</w:t>
            </w:r>
          </w:p>
        </w:tc>
        <w:tc>
          <w:tcPr>
            <w:tcW w:w="0" w:type="auto"/>
            <w:shd w:val="clear" w:color="auto" w:fill="C6EFCE"/>
            <w:tcMar>
              <w:left w:w="108" w:type="dxa"/>
              <w:right w:w="108" w:type="dxa"/>
            </w:tcMar>
          </w:tcPr>
          <w:p w14:paraId="50B4AC25" w14:textId="77777777" w:rsidR="003B5F50" w:rsidRDefault="000D2D85">
            <w:pPr>
              <w:pStyle w:val="P68B1DB1-Normal9"/>
              <w:spacing w:after="0"/>
              <w:rPr>
                <w:noProof/>
              </w:rPr>
            </w:pPr>
            <w:r>
              <w:rPr>
                <w:noProof/>
              </w:rPr>
              <w:t>Objectif</w:t>
            </w:r>
          </w:p>
        </w:tc>
        <w:tc>
          <w:tcPr>
            <w:tcW w:w="0" w:type="auto"/>
            <w:shd w:val="clear" w:color="auto" w:fill="C6EFCE"/>
            <w:tcMar>
              <w:left w:w="108" w:type="dxa"/>
              <w:right w:w="108" w:type="dxa"/>
            </w:tcMar>
          </w:tcPr>
          <w:p w14:paraId="50B4AC26" w14:textId="3959DEBD" w:rsidR="003B5F50" w:rsidRDefault="000D2D85">
            <w:pPr>
              <w:pStyle w:val="P68B1DB1-Normal9"/>
              <w:spacing w:after="0"/>
              <w:rPr>
                <w:noProof/>
              </w:rPr>
            </w:pPr>
            <w:r>
              <w:rPr>
                <w:noProof/>
              </w:rPr>
              <w:t>Modernisation de la capacité des sources d'énergie renouvelables</w:t>
            </w:r>
          </w:p>
        </w:tc>
        <w:tc>
          <w:tcPr>
            <w:tcW w:w="0" w:type="auto"/>
            <w:shd w:val="clear" w:color="auto" w:fill="C6EFCE"/>
            <w:tcMar>
              <w:left w:w="108" w:type="dxa"/>
              <w:right w:w="108" w:type="dxa"/>
            </w:tcMar>
          </w:tcPr>
          <w:p w14:paraId="50B4AC27" w14:textId="77777777" w:rsidR="003B5F50" w:rsidRDefault="000D2D85">
            <w:pPr>
              <w:pStyle w:val="P68B1DB1-Normal9"/>
              <w:spacing w:after="0"/>
              <w:rPr>
                <w:noProof/>
              </w:rPr>
            </w:pPr>
            <w:r>
              <w:rPr>
                <w:noProof/>
              </w:rPr>
              <w:t xml:space="preserve"> </w:t>
            </w:r>
          </w:p>
        </w:tc>
        <w:tc>
          <w:tcPr>
            <w:tcW w:w="0" w:type="auto"/>
            <w:shd w:val="clear" w:color="auto" w:fill="C6EFCE"/>
            <w:tcMar>
              <w:left w:w="108" w:type="dxa"/>
              <w:right w:w="108" w:type="dxa"/>
            </w:tcMar>
          </w:tcPr>
          <w:p w14:paraId="50B4AC28" w14:textId="77777777" w:rsidR="003B5F50" w:rsidRDefault="000D2D85">
            <w:pPr>
              <w:pStyle w:val="P68B1DB1-Normal9"/>
              <w:spacing w:after="0"/>
              <w:rPr>
                <w:noProof/>
              </w:rPr>
            </w:pPr>
            <w:r>
              <w:rPr>
                <w:noProof/>
              </w:rPr>
              <w:t>MW</w:t>
            </w:r>
          </w:p>
        </w:tc>
        <w:tc>
          <w:tcPr>
            <w:tcW w:w="0" w:type="auto"/>
            <w:shd w:val="clear" w:color="auto" w:fill="C6EFCE"/>
            <w:tcMar>
              <w:left w:w="108" w:type="dxa"/>
              <w:right w:w="108" w:type="dxa"/>
            </w:tcMar>
          </w:tcPr>
          <w:p w14:paraId="50B4AC29" w14:textId="77777777" w:rsidR="003B5F50" w:rsidRDefault="000D2D85">
            <w:pPr>
              <w:pStyle w:val="P68B1DB1-Normal9"/>
              <w:spacing w:after="0"/>
              <w:jc w:val="center"/>
              <w:rPr>
                <w:noProof/>
              </w:rPr>
            </w:pPr>
            <w:r>
              <w:rPr>
                <w:noProof/>
              </w:rPr>
              <w:t>0</w:t>
            </w:r>
          </w:p>
        </w:tc>
        <w:tc>
          <w:tcPr>
            <w:tcW w:w="0" w:type="auto"/>
            <w:shd w:val="clear" w:color="auto" w:fill="C6EFCE"/>
            <w:tcMar>
              <w:left w:w="108" w:type="dxa"/>
              <w:right w:w="108" w:type="dxa"/>
            </w:tcMar>
          </w:tcPr>
          <w:p w14:paraId="50B4AC2A" w14:textId="3092554B" w:rsidR="003B5F50" w:rsidRDefault="000D2D85">
            <w:pPr>
              <w:pStyle w:val="P68B1DB1-Normal9"/>
              <w:spacing w:after="0"/>
              <w:jc w:val="center"/>
              <w:rPr>
                <w:noProof/>
              </w:rPr>
            </w:pPr>
            <w:r>
              <w:rPr>
                <w:noProof/>
              </w:rPr>
              <w:t>80</w:t>
            </w:r>
          </w:p>
        </w:tc>
        <w:tc>
          <w:tcPr>
            <w:tcW w:w="0" w:type="auto"/>
            <w:shd w:val="clear" w:color="auto" w:fill="C6EFCE"/>
            <w:tcMar>
              <w:left w:w="108" w:type="dxa"/>
              <w:right w:w="108" w:type="dxa"/>
            </w:tcMar>
          </w:tcPr>
          <w:p w14:paraId="50B4AC2B" w14:textId="77777777" w:rsidR="003B5F50" w:rsidRDefault="000D2D85">
            <w:pPr>
              <w:pStyle w:val="P68B1DB1-Normal9"/>
              <w:spacing w:after="0"/>
              <w:jc w:val="center"/>
              <w:rPr>
                <w:noProof/>
              </w:rPr>
            </w:pPr>
            <w:r>
              <w:rPr>
                <w:noProof/>
              </w:rPr>
              <w:t>T2</w:t>
            </w:r>
          </w:p>
        </w:tc>
        <w:tc>
          <w:tcPr>
            <w:tcW w:w="0" w:type="auto"/>
            <w:shd w:val="clear" w:color="auto" w:fill="C6EFCE"/>
            <w:tcMar>
              <w:left w:w="108" w:type="dxa"/>
              <w:right w:w="108" w:type="dxa"/>
            </w:tcMar>
          </w:tcPr>
          <w:p w14:paraId="50B4AC2C" w14:textId="77777777" w:rsidR="003B5F50" w:rsidRDefault="000D2D85">
            <w:pPr>
              <w:pStyle w:val="P68B1DB1-Normal9"/>
              <w:spacing w:after="0"/>
              <w:jc w:val="center"/>
              <w:rPr>
                <w:noProof/>
              </w:rPr>
            </w:pPr>
            <w:r>
              <w:rPr>
                <w:noProof/>
              </w:rPr>
              <w:t>2026</w:t>
            </w:r>
          </w:p>
        </w:tc>
        <w:tc>
          <w:tcPr>
            <w:tcW w:w="0" w:type="auto"/>
            <w:shd w:val="clear" w:color="auto" w:fill="C6EFCE"/>
            <w:tcMar>
              <w:left w:w="108" w:type="dxa"/>
              <w:right w:w="108" w:type="dxa"/>
            </w:tcMar>
          </w:tcPr>
          <w:p w14:paraId="50B4AC2D" w14:textId="78DEE726" w:rsidR="003B5F50" w:rsidRDefault="000D2D85">
            <w:pPr>
              <w:pStyle w:val="P68B1DB1-Normal9"/>
              <w:spacing w:after="0"/>
              <w:rPr>
                <w:noProof/>
              </w:rPr>
            </w:pPr>
            <w:r>
              <w:rPr>
                <w:noProof/>
              </w:rPr>
              <w:t>Au moins 80 MW de capacité modernisée (réalimentation) pour la production d’électricité renouvelable ou la production de biométhane sont raccordés aux réseaux.</w:t>
            </w:r>
          </w:p>
          <w:p w14:paraId="50B4AC2E" w14:textId="77777777" w:rsidR="003B5F50" w:rsidRDefault="003B5F50">
            <w:pPr>
              <w:spacing w:after="0"/>
              <w:rPr>
                <w:noProof/>
              </w:rPr>
            </w:pPr>
          </w:p>
        </w:tc>
      </w:tr>
      <w:tr w:rsidR="003B5F50" w14:paraId="50B4AC3D" w14:textId="77777777">
        <w:trPr>
          <w:trHeight w:val="885"/>
        </w:trPr>
        <w:tc>
          <w:tcPr>
            <w:tcW w:w="0" w:type="auto"/>
            <w:shd w:val="clear" w:color="auto" w:fill="C6EFCE"/>
            <w:tcMar>
              <w:left w:w="108" w:type="dxa"/>
              <w:right w:w="108" w:type="dxa"/>
            </w:tcMar>
          </w:tcPr>
          <w:p w14:paraId="50B4AC30" w14:textId="77777777" w:rsidR="003B5F50" w:rsidRDefault="000D2D85">
            <w:pPr>
              <w:pStyle w:val="P68B1DB1-Normal9"/>
              <w:spacing w:after="0"/>
              <w:jc w:val="center"/>
              <w:rPr>
                <w:noProof/>
              </w:rPr>
            </w:pPr>
            <w:r>
              <w:rPr>
                <w:noProof/>
              </w:rPr>
              <w:t>6</w:t>
            </w:r>
          </w:p>
        </w:tc>
        <w:tc>
          <w:tcPr>
            <w:tcW w:w="0" w:type="auto"/>
            <w:shd w:val="clear" w:color="auto" w:fill="C6EFCE"/>
            <w:tcMar>
              <w:left w:w="108" w:type="dxa"/>
              <w:right w:w="108" w:type="dxa"/>
            </w:tcMar>
          </w:tcPr>
          <w:p w14:paraId="50B4AC31" w14:textId="77777777" w:rsidR="003B5F50" w:rsidRDefault="000D2D85">
            <w:pPr>
              <w:pStyle w:val="P68B1DB1-Normal9"/>
              <w:spacing w:after="0"/>
              <w:rPr>
                <w:noProof/>
              </w:rPr>
            </w:pPr>
            <w:r>
              <w:rPr>
                <w:noProof/>
              </w:rPr>
              <w:t xml:space="preserve">1 – Sources d’énergie renouvelables et infrastructures énergétiques – Investissement 3: Accroître la flexibilité des systèmes électriques pour une plus grande intégration des énergies renouvelables </w:t>
            </w:r>
          </w:p>
        </w:tc>
        <w:tc>
          <w:tcPr>
            <w:tcW w:w="0" w:type="auto"/>
            <w:shd w:val="clear" w:color="auto" w:fill="C6EFCE"/>
            <w:tcMar>
              <w:left w:w="108" w:type="dxa"/>
              <w:right w:w="108" w:type="dxa"/>
            </w:tcMar>
          </w:tcPr>
          <w:p w14:paraId="50B4AC32" w14:textId="77777777" w:rsidR="003B5F50" w:rsidRDefault="000D2D85">
            <w:pPr>
              <w:pStyle w:val="P68B1DB1-Normal9"/>
              <w:spacing w:after="0"/>
              <w:rPr>
                <w:noProof/>
              </w:rPr>
            </w:pPr>
            <w:r>
              <w:rPr>
                <w:noProof/>
              </w:rPr>
              <w:t>Objectif</w:t>
            </w:r>
          </w:p>
        </w:tc>
        <w:tc>
          <w:tcPr>
            <w:tcW w:w="0" w:type="auto"/>
            <w:shd w:val="clear" w:color="auto" w:fill="C6EFCE"/>
            <w:tcMar>
              <w:left w:w="108" w:type="dxa"/>
              <w:right w:w="108" w:type="dxa"/>
            </w:tcMar>
          </w:tcPr>
          <w:p w14:paraId="50B4AC33" w14:textId="77777777" w:rsidR="003B5F50" w:rsidRDefault="000D2D85">
            <w:pPr>
              <w:pStyle w:val="P68B1DB1-Normal9"/>
              <w:spacing w:after="0"/>
              <w:rPr>
                <w:noProof/>
              </w:rPr>
            </w:pPr>
            <w:r>
              <w:rPr>
                <w:noProof/>
              </w:rPr>
              <w:t xml:space="preserve">Augmentation cumulée de la capacité des installations augmentant la flexibilité des systèmes énergétiques </w:t>
            </w:r>
          </w:p>
        </w:tc>
        <w:tc>
          <w:tcPr>
            <w:tcW w:w="0" w:type="auto"/>
            <w:shd w:val="clear" w:color="auto" w:fill="C6EFCE"/>
            <w:tcMar>
              <w:left w:w="108" w:type="dxa"/>
              <w:right w:w="108" w:type="dxa"/>
            </w:tcMar>
          </w:tcPr>
          <w:p w14:paraId="50B4AC34" w14:textId="77777777" w:rsidR="003B5F50" w:rsidRDefault="000D2D85">
            <w:pPr>
              <w:pStyle w:val="P68B1DB1-Normal9"/>
              <w:spacing w:after="0"/>
              <w:rPr>
                <w:noProof/>
              </w:rPr>
            </w:pPr>
            <w:r>
              <w:rPr>
                <w:noProof/>
              </w:rPr>
              <w:t xml:space="preserve"> </w:t>
            </w:r>
          </w:p>
        </w:tc>
        <w:tc>
          <w:tcPr>
            <w:tcW w:w="0" w:type="auto"/>
            <w:shd w:val="clear" w:color="auto" w:fill="C6EFCE"/>
            <w:tcMar>
              <w:left w:w="108" w:type="dxa"/>
              <w:right w:w="108" w:type="dxa"/>
            </w:tcMar>
          </w:tcPr>
          <w:p w14:paraId="50B4AC35" w14:textId="77777777" w:rsidR="003B5F50" w:rsidRDefault="000D2D85">
            <w:pPr>
              <w:pStyle w:val="P68B1DB1-Normal9"/>
              <w:spacing w:after="0"/>
              <w:rPr>
                <w:noProof/>
              </w:rPr>
            </w:pPr>
            <w:r>
              <w:rPr>
                <w:noProof/>
              </w:rPr>
              <w:t>MW</w:t>
            </w:r>
          </w:p>
        </w:tc>
        <w:tc>
          <w:tcPr>
            <w:tcW w:w="0" w:type="auto"/>
            <w:shd w:val="clear" w:color="auto" w:fill="C6EFCE"/>
            <w:tcMar>
              <w:left w:w="108" w:type="dxa"/>
              <w:right w:w="108" w:type="dxa"/>
            </w:tcMar>
          </w:tcPr>
          <w:p w14:paraId="50B4AC36" w14:textId="77777777" w:rsidR="003B5F50" w:rsidRDefault="000D2D85">
            <w:pPr>
              <w:pStyle w:val="P68B1DB1-Normal9"/>
              <w:spacing w:after="0"/>
              <w:jc w:val="center"/>
              <w:rPr>
                <w:noProof/>
              </w:rPr>
            </w:pPr>
            <w:r>
              <w:rPr>
                <w:noProof/>
              </w:rPr>
              <w:t>0</w:t>
            </w:r>
          </w:p>
        </w:tc>
        <w:tc>
          <w:tcPr>
            <w:tcW w:w="0" w:type="auto"/>
            <w:shd w:val="clear" w:color="auto" w:fill="C6EFCE"/>
            <w:tcMar>
              <w:left w:w="108" w:type="dxa"/>
              <w:right w:w="108" w:type="dxa"/>
            </w:tcMar>
          </w:tcPr>
          <w:p w14:paraId="50B4AC37" w14:textId="21F88BBA" w:rsidR="003B5F50" w:rsidRDefault="000D2D85">
            <w:pPr>
              <w:pStyle w:val="P68B1DB1-Normal9"/>
              <w:spacing w:after="0"/>
              <w:jc w:val="center"/>
              <w:rPr>
                <w:noProof/>
              </w:rPr>
            </w:pPr>
            <w:r>
              <w:rPr>
                <w:noProof/>
              </w:rPr>
              <w:t>121.8</w:t>
            </w:r>
          </w:p>
        </w:tc>
        <w:tc>
          <w:tcPr>
            <w:tcW w:w="0" w:type="auto"/>
            <w:shd w:val="clear" w:color="auto" w:fill="C6EFCE"/>
            <w:tcMar>
              <w:left w:w="108" w:type="dxa"/>
              <w:right w:w="108" w:type="dxa"/>
            </w:tcMar>
          </w:tcPr>
          <w:p w14:paraId="50B4AC38" w14:textId="77777777" w:rsidR="003B5F50" w:rsidRDefault="000D2D85">
            <w:pPr>
              <w:pStyle w:val="P68B1DB1-Normal9"/>
              <w:spacing w:after="0"/>
              <w:jc w:val="center"/>
              <w:rPr>
                <w:noProof/>
              </w:rPr>
            </w:pPr>
            <w:r>
              <w:rPr>
                <w:noProof/>
              </w:rPr>
              <w:t>T2</w:t>
            </w:r>
          </w:p>
        </w:tc>
        <w:tc>
          <w:tcPr>
            <w:tcW w:w="0" w:type="auto"/>
            <w:shd w:val="clear" w:color="auto" w:fill="C6EFCE"/>
            <w:tcMar>
              <w:left w:w="108" w:type="dxa"/>
              <w:right w:w="108" w:type="dxa"/>
            </w:tcMar>
          </w:tcPr>
          <w:p w14:paraId="50B4AC39" w14:textId="77777777" w:rsidR="003B5F50" w:rsidRDefault="000D2D85">
            <w:pPr>
              <w:pStyle w:val="P68B1DB1-Normal9"/>
              <w:spacing w:after="0"/>
              <w:jc w:val="center"/>
              <w:rPr>
                <w:noProof/>
              </w:rPr>
            </w:pPr>
            <w:r>
              <w:rPr>
                <w:noProof/>
              </w:rPr>
              <w:t>2026</w:t>
            </w:r>
          </w:p>
        </w:tc>
        <w:tc>
          <w:tcPr>
            <w:tcW w:w="0" w:type="auto"/>
            <w:shd w:val="clear" w:color="auto" w:fill="C6EFCE"/>
            <w:tcMar>
              <w:left w:w="108" w:type="dxa"/>
              <w:right w:w="108" w:type="dxa"/>
            </w:tcMar>
          </w:tcPr>
          <w:p w14:paraId="50B4AC3A" w14:textId="1F4E9E53" w:rsidR="003B5F50" w:rsidRDefault="000D2D85">
            <w:pPr>
              <w:pStyle w:val="P68B1DB1-Normal9"/>
              <w:spacing w:after="0"/>
              <w:rPr>
                <w:noProof/>
              </w:rPr>
            </w:pPr>
            <w:r>
              <w:rPr>
                <w:noProof/>
              </w:rPr>
              <w:t>Les installations soutenues par le régime (telles que mises en œuvre dans le cadre de la réforme 2) doivent entrer en service, ce qui se traduit par une augmentation d’au moins 121,8 MW des capacités de stockage d’électricité.</w:t>
            </w:r>
          </w:p>
          <w:p w14:paraId="50B4AC3B" w14:textId="77777777" w:rsidR="003B5F50" w:rsidRDefault="003B5F50">
            <w:pPr>
              <w:spacing w:after="0"/>
              <w:rPr>
                <w:rFonts w:ascii="Times New Roman" w:eastAsia="Times New Roman" w:hAnsi="Times New Roman" w:cs="Times New Roman"/>
                <w:noProof/>
                <w:color w:val="006100"/>
                <w:sz w:val="20"/>
                <w:szCs w:val="20"/>
              </w:rPr>
            </w:pPr>
          </w:p>
          <w:p w14:paraId="50B4AC3C" w14:textId="77777777" w:rsidR="003B5F50" w:rsidRDefault="000D2D85">
            <w:pPr>
              <w:spacing w:after="0"/>
              <w:rPr>
                <w:noProof/>
              </w:rPr>
            </w:pPr>
            <w:r>
              <w:rPr>
                <w:noProof/>
              </w:rPr>
              <w:t xml:space="preserve">Les technologies </w:t>
            </w:r>
            <w:r>
              <w:rPr>
                <w:rFonts w:ascii="Times New Roman" w:eastAsia="Times New Roman" w:hAnsi="Times New Roman" w:cs="Times New Roman"/>
                <w:noProof/>
                <w:color w:val="006100"/>
                <w:sz w:val="20"/>
                <w:szCs w:val="20"/>
              </w:rPr>
              <w:t>soutenues comprennent de nouveaux systèmes de batteries ou l’électrolyse, ou une augmentation de la capacité d’équilibrage des centrales hydroélectriques. L’aide à l’investissement dans la capacité d’équilibrage des centrales hydroélectriques ne dépasse pas 12</w:t>
            </w:r>
            <w:r>
              <w:rPr>
                <w:noProof/>
              </w:rPr>
              <w:t> </w:t>
            </w:r>
            <w:r>
              <w:rPr>
                <w:rFonts w:ascii="Times New Roman" w:eastAsia="Times New Roman" w:hAnsi="Times New Roman" w:cs="Times New Roman"/>
                <w:noProof/>
                <w:color w:val="006100"/>
                <w:sz w:val="20"/>
                <w:szCs w:val="20"/>
              </w:rPr>
              <w:t>000</w:t>
            </w:r>
            <w:r>
              <w:rPr>
                <w:noProof/>
              </w:rPr>
              <w:t> </w:t>
            </w:r>
            <w:r>
              <w:rPr>
                <w:rFonts w:ascii="Times New Roman" w:eastAsia="Times New Roman" w:hAnsi="Times New Roman" w:cs="Times New Roman"/>
                <w:noProof/>
                <w:color w:val="006100"/>
                <w:sz w:val="20"/>
                <w:szCs w:val="20"/>
              </w:rPr>
              <w:t>000 EUR au titre de la mesure.</w:t>
            </w:r>
          </w:p>
        </w:tc>
      </w:tr>
    </w:tbl>
    <w:p w14:paraId="50B4AC3E" w14:textId="77777777" w:rsidR="003B5F50" w:rsidRDefault="003B5F50">
      <w:pPr>
        <w:spacing w:before="120" w:after="120"/>
        <w:ind w:left="709"/>
        <w:jc w:val="both"/>
        <w:rPr>
          <w:rFonts w:ascii="Times New Roman" w:eastAsia="Times New Roman" w:hAnsi="Times New Roman" w:cs="Times New Roman"/>
          <w:noProof/>
        </w:rPr>
      </w:pPr>
    </w:p>
    <w:p w14:paraId="50B4AC3F" w14:textId="77777777" w:rsidR="003B5F50" w:rsidRDefault="003B5F50">
      <w:pPr>
        <w:rPr>
          <w:noProof/>
        </w:rPr>
      </w:pPr>
    </w:p>
    <w:p w14:paraId="50B4AC40" w14:textId="77777777" w:rsidR="003B5F50" w:rsidRDefault="003B5F50">
      <w:pPr>
        <w:rPr>
          <w:noProof/>
        </w:rPr>
      </w:pPr>
    </w:p>
    <w:p w14:paraId="50B4AC41" w14:textId="77777777" w:rsidR="003B5F50" w:rsidRDefault="003B5F50">
      <w:pPr>
        <w:rPr>
          <w:noProof/>
        </w:rPr>
      </w:pPr>
    </w:p>
    <w:p w14:paraId="50B4AC42" w14:textId="77777777" w:rsidR="003B5F50" w:rsidRDefault="003B5F50">
      <w:pPr>
        <w:rPr>
          <w:noProof/>
        </w:rPr>
        <w:sectPr w:rsidR="003B5F50" w:rsidSect="003E3DD3">
          <w:headerReference w:type="even" r:id="rId23"/>
          <w:headerReference w:type="default" r:id="rId24"/>
          <w:footerReference w:type="even" r:id="rId25"/>
          <w:footerReference w:type="default" r:id="rId26"/>
          <w:headerReference w:type="first" r:id="rId27"/>
          <w:footerReference w:type="first" r:id="rId28"/>
          <w:pgSz w:w="15840" w:h="12240" w:orient="landscape"/>
          <w:pgMar w:top="1134" w:right="1134" w:bottom="1134" w:left="1134" w:header="567" w:footer="567" w:gutter="0"/>
          <w:cols w:space="720"/>
          <w:docGrid w:linePitch="360"/>
        </w:sectPr>
      </w:pPr>
    </w:p>
    <w:p w14:paraId="50B4AC43" w14:textId="77777777" w:rsidR="003B5F50" w:rsidRDefault="000D2D85">
      <w:pPr>
        <w:pStyle w:val="P68B1DB1-Heading21"/>
        <w:spacing w:before="40" w:after="0" w:line="257" w:lineRule="auto"/>
        <w:rPr>
          <w:bCs/>
          <w:noProof/>
        </w:rPr>
      </w:pPr>
      <w:r>
        <w:rPr>
          <w:noProof/>
        </w:rPr>
        <w:t>Élément 2: Rénovation de bâtiments</w:t>
      </w:r>
    </w:p>
    <w:p w14:paraId="50B4AC44" w14:textId="77777777" w:rsidR="003B5F50" w:rsidRDefault="000D2D85">
      <w:pPr>
        <w:pStyle w:val="NormalWeb"/>
        <w:textAlignment w:val="baseline"/>
        <w:rPr>
          <w:rFonts w:eastAsia="Times New Roman"/>
          <w:noProof/>
          <w:color w:val="000000"/>
        </w:rPr>
      </w:pPr>
      <w:r>
        <w:rPr>
          <w:noProof/>
        </w:rPr>
        <w:t>Selon le plan national slovaque en matière d’énergie et de climat et la stratégie de rénovation à long terme pour les bâtiments, la réalisation des objectifs de réduction des émissions de l’UE à l’horizon 2030 et 2050 nécessite un changement significatif de la mise en œuvre de la rénovation partielle à moyenne (30-60 % d’économies d’énergie primaire) et profonde (plus de 60 %) des bâtiments.</w:t>
      </w:r>
    </w:p>
    <w:p w14:paraId="50B4AC45" w14:textId="77777777" w:rsidR="003B5F50" w:rsidRDefault="000D2D85">
      <w:pPr>
        <w:pStyle w:val="P68B1DB1-Normal11"/>
        <w:spacing w:before="120" w:after="120" w:line="240" w:lineRule="auto"/>
        <w:jc w:val="both"/>
        <w:textAlignment w:val="baseline"/>
        <w:rPr>
          <w:rFonts w:eastAsia="Times New Roman"/>
          <w:noProof/>
        </w:rPr>
      </w:pPr>
      <w:r>
        <w:rPr>
          <w:noProof/>
        </w:rPr>
        <w:t>Ce volet du plan slovaque pour la reprise et la résilience vise à réduire la consommation d’énergie en poursuivant une rénovation complète des maisons familiales, des bâtiments publics historiques et des bâtiments classés. Il combine des mesures visant à améliorer la performance énergétique des bâtiments en réalisant au moins 30 % des économies d’énergie primaire avec des mesures visant à favoriser l’adaptation au changement climatique (telles que l’installation de toitures vertes, d’un système de rétention d’eau). Le volet contribue aux objectifs climatiques et environnementaux, tout en stimulant la reprise et la compétitivité du secteur de la construction en créant davantage d’emplois, en particulier pour les PME au niveau local.</w:t>
      </w:r>
    </w:p>
    <w:p w14:paraId="50B4AC46" w14:textId="77777777" w:rsidR="003B5F50" w:rsidRDefault="000D2D85">
      <w:pPr>
        <w:pStyle w:val="NormalWeb"/>
        <w:rPr>
          <w:rFonts w:eastAsia="Times New Roman"/>
          <w:noProof/>
          <w:color w:val="000000"/>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AC47" w14:textId="77777777" w:rsidR="003B5F50" w:rsidRDefault="000D2D85">
      <w:pPr>
        <w:pStyle w:val="P68B1DB1-Normal11"/>
        <w:spacing w:before="120" w:after="120" w:line="240" w:lineRule="auto"/>
        <w:jc w:val="both"/>
        <w:textAlignment w:val="baseline"/>
        <w:rPr>
          <w:rFonts w:eastAsia="Times New Roman"/>
          <w:noProof/>
        </w:rPr>
      </w:pPr>
      <w:r>
        <w:rPr>
          <w:noProof/>
        </w:rPr>
        <w:t>Le volet comprend 3 réformes et 2 investissements.  </w:t>
      </w:r>
    </w:p>
    <w:p w14:paraId="50B4AC48" w14:textId="77777777" w:rsidR="003B5F50" w:rsidRDefault="000D2D85">
      <w:pPr>
        <w:pStyle w:val="P68B1DB1-Normal11"/>
        <w:spacing w:before="120" w:after="120" w:line="240" w:lineRule="auto"/>
        <w:jc w:val="both"/>
        <w:textAlignment w:val="baseline"/>
        <w:rPr>
          <w:rFonts w:ascii="Segoe UI" w:eastAsia="Times New Roman" w:hAnsi="Segoe UI" w:cs="Segoe UI"/>
          <w:noProof/>
          <w:sz w:val="18"/>
          <w:szCs w:val="18"/>
        </w:rPr>
      </w:pPr>
      <w:r>
        <w:rPr>
          <w:noProof/>
        </w:rPr>
        <w:t>Ces investissements et réformes contribuent à donner suite aux recommandations par pays adressées à la Slovaquie au cours des deux dernières années, sur la nécessité de «axer la politique d’investissement sur l’efficacité énergétique» (recommandation par pays no 3/2019) et de «axer les investissements sur la transition écologique» (recommandation par pays no 3/2020).  </w:t>
      </w:r>
    </w:p>
    <w:p w14:paraId="50B4AC49" w14:textId="77777777" w:rsidR="003B5F50" w:rsidRDefault="003B5F50">
      <w:pPr>
        <w:spacing w:before="120" w:after="120" w:line="240" w:lineRule="auto"/>
        <w:jc w:val="both"/>
        <w:textAlignment w:val="baseline"/>
        <w:rPr>
          <w:rFonts w:ascii="Times New Roman" w:eastAsia="Times New Roman" w:hAnsi="Times New Roman"/>
          <w:b/>
          <w:bCs/>
          <w:noProof/>
          <w:u w:val="single"/>
        </w:rPr>
      </w:pPr>
    </w:p>
    <w:p w14:paraId="50B4AC4A" w14:textId="77777777" w:rsidR="003B5F50" w:rsidRDefault="000D2D85">
      <w:pPr>
        <w:spacing w:before="120" w:after="120" w:line="240" w:lineRule="auto"/>
        <w:jc w:val="both"/>
        <w:textAlignment w:val="baseline"/>
        <w:rPr>
          <w:rFonts w:ascii="Segoe UI" w:eastAsia="Times New Roman" w:hAnsi="Segoe UI" w:cs="Segoe UI"/>
          <w:noProof/>
          <w:sz w:val="18"/>
          <w:szCs w:val="18"/>
        </w:rPr>
      </w:pPr>
      <w:r>
        <w:rPr>
          <w:rFonts w:ascii="Times New Roman" w:hAnsi="Times New Roman"/>
          <w:b/>
          <w:noProof/>
          <w:u w:val="single"/>
        </w:rPr>
        <w:t>A.1. </w:t>
      </w:r>
      <w:r>
        <w:rPr>
          <w:noProof/>
        </w:rPr>
        <w:t xml:space="preserve"> </w:t>
      </w:r>
      <w:r>
        <w:rPr>
          <w:rFonts w:ascii="Times New Roman" w:hAnsi="Times New Roman"/>
          <w:b/>
          <w:noProof/>
          <w:u w:val="single"/>
        </w:rPr>
        <w:t>Description des réformes et des investissements pour le soutien financier non remboursable</w:t>
      </w:r>
      <w:r>
        <w:rPr>
          <w:rFonts w:ascii="Times New Roman" w:hAnsi="Times New Roman"/>
          <w:noProof/>
        </w:rPr>
        <w:t> </w:t>
      </w:r>
    </w:p>
    <w:p w14:paraId="50B4AC4B" w14:textId="77777777" w:rsidR="003B5F50" w:rsidRDefault="003B5F50">
      <w:pPr>
        <w:spacing w:before="120" w:after="120" w:line="240" w:lineRule="auto"/>
        <w:jc w:val="both"/>
        <w:textAlignment w:val="baseline"/>
        <w:rPr>
          <w:rFonts w:ascii="Times New Roman" w:hAnsi="Times New Roman"/>
          <w:b/>
          <w:bCs/>
          <w:noProof/>
          <w:color w:val="000000" w:themeColor="text1"/>
        </w:rPr>
      </w:pPr>
    </w:p>
    <w:p w14:paraId="50B4AC4C" w14:textId="77777777" w:rsidR="003B5F50" w:rsidRDefault="000D2D85">
      <w:pPr>
        <w:pStyle w:val="P68B1DB1-Normal11"/>
        <w:spacing w:before="120" w:after="120" w:line="240" w:lineRule="auto"/>
        <w:jc w:val="both"/>
        <w:textAlignment w:val="baseline"/>
        <w:rPr>
          <w:rFonts w:ascii="Segoe UI" w:eastAsia="Times New Roman" w:hAnsi="Segoe UI" w:cs="Segoe UI"/>
          <w:noProof/>
          <w:sz w:val="18"/>
          <w:szCs w:val="18"/>
        </w:rPr>
      </w:pPr>
      <w:r>
        <w:rPr>
          <w:b/>
          <w:noProof/>
        </w:rPr>
        <w:t>Réforme 1: L'harmonisation des mécanismes de soutien à la rénovation des maisons familiales. </w:t>
      </w:r>
      <w:r>
        <w:rPr>
          <w:noProof/>
        </w:rPr>
        <w:t> </w:t>
      </w:r>
    </w:p>
    <w:p w14:paraId="50B4AC4D" w14:textId="77777777" w:rsidR="003B5F50" w:rsidRDefault="000D2D85">
      <w:pPr>
        <w:pStyle w:val="P68B1DB1-Normal11"/>
        <w:spacing w:before="120" w:after="120" w:line="240" w:lineRule="auto"/>
        <w:jc w:val="both"/>
        <w:textAlignment w:val="baseline"/>
        <w:rPr>
          <w:rFonts w:eastAsia="Times New Roman"/>
          <w:noProof/>
        </w:rPr>
      </w:pPr>
      <w:r>
        <w:rPr>
          <w:noProof/>
        </w:rPr>
        <w:t>L’objectif de la réforme est de cartographier, d’aligner et de regrouper différents régimes d’aide, d’uniformiser et de rationaliser le processus de rénovation et d’inciter les propriétaires à mettre en œuvre un éventail plus large de mesures de rénovation. La conception des régimes d’aide, des critères et des conditions ainsi que les étapes de mise en œuvre sont décrites dans le plan de mise en œuvre qui doit être publié par l’Agence slovaque pour l’environnement au plus tard le 30 septembre 2022. Afin d’assurer une mise en œuvre efficace et en temps utile, les capacités de l’Agence slovaque pour l’environnement sont renforcées. Au cours de la phase de mise en œuvre, les propriétaires doivent être contactés au moyen d’une campagne de communication et de bureaux régionaux à créer, ainsi qu’en fournissant une assistance technique et une consultation.  </w:t>
      </w:r>
    </w:p>
    <w:p w14:paraId="50B4AC4E" w14:textId="77777777" w:rsidR="003B5F50" w:rsidRDefault="000D2D85">
      <w:pPr>
        <w:pStyle w:val="P68B1DB1-Normal11"/>
        <w:spacing w:before="120" w:after="120" w:line="240" w:lineRule="auto"/>
        <w:jc w:val="both"/>
        <w:textAlignment w:val="baseline"/>
        <w:rPr>
          <w:rFonts w:ascii="Segoe UI" w:eastAsia="Times New Roman" w:hAnsi="Segoe UI" w:cs="Segoe UI"/>
          <w:noProof/>
          <w:sz w:val="18"/>
          <w:szCs w:val="18"/>
        </w:rPr>
      </w:pPr>
      <w:r>
        <w:rPr>
          <w:noProof/>
        </w:rPr>
        <w:t>La mise en œuvre de la réforme est achevée au plus tard le 30 septembre 2022. </w:t>
      </w:r>
    </w:p>
    <w:p w14:paraId="50B4AC4F" w14:textId="77777777" w:rsidR="003B5F50" w:rsidRDefault="000D2D85">
      <w:pPr>
        <w:pStyle w:val="P68B1DB1-Normal11"/>
        <w:spacing w:before="120" w:after="120" w:line="240" w:lineRule="auto"/>
        <w:jc w:val="both"/>
        <w:textAlignment w:val="baseline"/>
        <w:rPr>
          <w:rFonts w:ascii="Segoe UI" w:eastAsia="Times New Roman" w:hAnsi="Segoe UI" w:cs="Segoe UI"/>
          <w:noProof/>
          <w:sz w:val="18"/>
          <w:szCs w:val="18"/>
        </w:rPr>
      </w:pPr>
      <w:r>
        <w:rPr>
          <w:b/>
          <w:noProof/>
        </w:rPr>
        <w:t>Investissement 1: Accroître l'efficacité énergétique des maisons familiales. </w:t>
      </w:r>
      <w:r>
        <w:rPr>
          <w:noProof/>
        </w:rPr>
        <w:t> </w:t>
      </w:r>
    </w:p>
    <w:p w14:paraId="50B4AC50" w14:textId="62658192" w:rsidR="003B5F50" w:rsidRDefault="000D2D85">
      <w:pPr>
        <w:pStyle w:val="P68B1DB1-Normal11"/>
        <w:spacing w:before="120" w:after="120" w:line="240" w:lineRule="auto"/>
        <w:jc w:val="both"/>
        <w:textAlignment w:val="baseline"/>
        <w:rPr>
          <w:noProof/>
          <w:color w:val="000000" w:themeColor="text1"/>
        </w:rPr>
      </w:pPr>
      <w:r>
        <w:rPr>
          <w:noProof/>
        </w:rPr>
        <w:t>L'objectif de cette mesure est d'accroître l'efficacité énergétique des maisons familiales. Cette mesure consiste en la rénovation de maisons sélectionnées dans le cadre d’un appel en faveur de la rénovation de maisons unifamiliales, qui permettent de réaliser, en moyenne, au moins 30 % d’économies d’énergie primaire.</w:t>
      </w:r>
    </w:p>
    <w:p w14:paraId="152C79FA" w14:textId="77777777" w:rsidR="003B5F50" w:rsidRDefault="000D2D85">
      <w:pPr>
        <w:pStyle w:val="P68B1DB1-Normal11"/>
        <w:rPr>
          <w:b/>
          <w:bCs/>
          <w:noProof/>
          <w:color w:val="000000" w:themeColor="text1"/>
        </w:rPr>
      </w:pPr>
      <w:r>
        <w:rPr>
          <w:noProof/>
        </w:rPr>
        <w:br w:type="page"/>
      </w:r>
    </w:p>
    <w:p w14:paraId="50B4AC51" w14:textId="79B44E4B" w:rsidR="003B5F50" w:rsidRDefault="000D2D85">
      <w:pPr>
        <w:pStyle w:val="P68B1DB1-Normal11"/>
        <w:spacing w:before="120" w:after="120" w:line="240" w:lineRule="auto"/>
        <w:jc w:val="both"/>
        <w:textAlignment w:val="baseline"/>
        <w:rPr>
          <w:rFonts w:ascii="Segoe UI" w:eastAsia="Times New Roman" w:hAnsi="Segoe UI" w:cs="Segoe UI"/>
          <w:noProof/>
          <w:sz w:val="18"/>
          <w:szCs w:val="18"/>
        </w:rPr>
      </w:pPr>
      <w:r>
        <w:rPr>
          <w:b/>
          <w:noProof/>
        </w:rPr>
        <w:t>Réforme 2: Accroître la transparence et rationaliser les décisions du Conseil des monuments de la République slovaque.</w:t>
      </w:r>
      <w:r>
        <w:rPr>
          <w:noProof/>
        </w:rPr>
        <w:t> </w:t>
      </w:r>
    </w:p>
    <w:p w14:paraId="50B4AC52" w14:textId="77777777" w:rsidR="003B5F50" w:rsidRDefault="000D2D85">
      <w:pPr>
        <w:pStyle w:val="P68B1DB1-Normal11"/>
        <w:spacing w:before="120" w:after="120" w:line="240" w:lineRule="auto"/>
        <w:jc w:val="both"/>
        <w:textAlignment w:val="baseline"/>
        <w:rPr>
          <w:rFonts w:eastAsia="Times New Roman"/>
          <w:noProof/>
        </w:rPr>
      </w:pPr>
      <w:r>
        <w:rPr>
          <w:noProof/>
        </w:rPr>
        <w:t>La réforme vise à améliorer la qualité et l'efficacité du processus décisionnel du Conseil des monuments de la République slovaque en développant trois méthodologies pour:</w:t>
      </w:r>
    </w:p>
    <w:p w14:paraId="50B4AC53" w14:textId="77777777" w:rsidR="003B5F50" w:rsidRDefault="000D2D85">
      <w:pPr>
        <w:pStyle w:val="P68B1DB1-ListParagraph12"/>
        <w:numPr>
          <w:ilvl w:val="0"/>
          <w:numId w:val="25"/>
        </w:numPr>
        <w:spacing w:before="120" w:after="120" w:line="240" w:lineRule="auto"/>
        <w:jc w:val="both"/>
        <w:textAlignment w:val="baseline"/>
        <w:rPr>
          <w:rFonts w:ascii="Segoe UI" w:eastAsia="Times New Roman" w:hAnsi="Segoe UI" w:cs="Segoe UI"/>
          <w:noProof/>
          <w:sz w:val="18"/>
          <w:szCs w:val="18"/>
        </w:rPr>
      </w:pPr>
      <w:r>
        <w:rPr>
          <w:noProof/>
        </w:rPr>
        <w:t>classer la dotation des monuments,</w:t>
      </w:r>
    </w:p>
    <w:p w14:paraId="50B4AC54" w14:textId="77777777" w:rsidR="003B5F50" w:rsidRDefault="000D2D85">
      <w:pPr>
        <w:pStyle w:val="P68B1DB1-ListParagraph12"/>
        <w:numPr>
          <w:ilvl w:val="0"/>
          <w:numId w:val="25"/>
        </w:numPr>
        <w:spacing w:before="120" w:after="120" w:line="240" w:lineRule="auto"/>
        <w:jc w:val="both"/>
        <w:textAlignment w:val="baseline"/>
        <w:rPr>
          <w:rFonts w:ascii="Segoe UI" w:eastAsia="Times New Roman" w:hAnsi="Segoe UI" w:cs="Segoe UI"/>
          <w:noProof/>
          <w:sz w:val="18"/>
          <w:szCs w:val="18"/>
        </w:rPr>
      </w:pPr>
      <w:r>
        <w:rPr>
          <w:noProof/>
        </w:rPr>
        <w:t>fixer des critères objectifs par lesquels le Conseil des monuments prend des décisions et</w:t>
      </w:r>
    </w:p>
    <w:p w14:paraId="50B4AC55" w14:textId="77777777" w:rsidR="003B5F50" w:rsidRDefault="000D2D85">
      <w:pPr>
        <w:pStyle w:val="P68B1DB1-ListParagraph12"/>
        <w:numPr>
          <w:ilvl w:val="0"/>
          <w:numId w:val="25"/>
        </w:numPr>
        <w:spacing w:before="120" w:after="120" w:line="240" w:lineRule="auto"/>
        <w:jc w:val="both"/>
        <w:textAlignment w:val="baseline"/>
        <w:rPr>
          <w:rFonts w:ascii="Segoe UI" w:eastAsia="Times New Roman" w:hAnsi="Segoe UI" w:cs="Segoe UI"/>
          <w:noProof/>
          <w:sz w:val="18"/>
          <w:szCs w:val="18"/>
        </w:rPr>
      </w:pPr>
      <w:r>
        <w:rPr>
          <w:noProof/>
        </w:rPr>
        <w:t>quantifier les coûts associés aux interventions de la Commission des monuments</w:t>
      </w:r>
    </w:p>
    <w:p w14:paraId="50B4AC56" w14:textId="77777777" w:rsidR="003B5F50" w:rsidRDefault="000D2D85">
      <w:pPr>
        <w:pStyle w:val="P68B1DB1-Normal11"/>
        <w:spacing w:before="120" w:after="120" w:line="240" w:lineRule="auto"/>
        <w:jc w:val="both"/>
        <w:textAlignment w:val="baseline"/>
        <w:rPr>
          <w:rFonts w:ascii="Segoe UI" w:eastAsia="Times New Roman" w:hAnsi="Segoe UI" w:cs="Segoe UI"/>
          <w:noProof/>
          <w:sz w:val="18"/>
          <w:szCs w:val="18"/>
        </w:rPr>
      </w:pPr>
      <w:r>
        <w:rPr>
          <w:noProof/>
        </w:rPr>
        <w:t>En outre, l'objectif est de réformer la cartographie des monuments appartenant à l'État en évaluant leurs aspects techniques de base, la construction, les aspects économiques, énergétiques et autres. La cartographie doit aboutir à l’adoption d’un diagnostic d’au moins 1 000 monuments appartenant à l’État concernés. La réforme facilite les décisions d’investissement en matière de rénovation en vue de préserver la valeur monumentale et d’améliorer l’efficacité énergétique, le cas échéant.  </w:t>
      </w:r>
    </w:p>
    <w:p w14:paraId="50B4AC57" w14:textId="77777777" w:rsidR="003B5F50" w:rsidRDefault="000D2D85">
      <w:pPr>
        <w:pStyle w:val="P68B1DB1-Normal11"/>
        <w:spacing w:before="120" w:after="120" w:line="240" w:lineRule="auto"/>
        <w:jc w:val="both"/>
        <w:textAlignment w:val="baseline"/>
        <w:rPr>
          <w:rFonts w:ascii="Segoe UI" w:eastAsia="Times New Roman" w:hAnsi="Segoe UI" w:cs="Segoe UI"/>
          <w:noProof/>
          <w:sz w:val="18"/>
          <w:szCs w:val="18"/>
        </w:rPr>
      </w:pPr>
      <w:r>
        <w:rPr>
          <w:noProof/>
        </w:rPr>
        <w:t>La mise en œuvre de la réforme est achevée au plus tard le 31 décembre 2023. </w:t>
      </w:r>
    </w:p>
    <w:p w14:paraId="50B4AC58" w14:textId="77777777" w:rsidR="003B5F50" w:rsidRDefault="000D2D85">
      <w:pPr>
        <w:pStyle w:val="P68B1DB1-Normal11"/>
        <w:spacing w:before="120" w:after="120" w:line="240" w:lineRule="auto"/>
        <w:jc w:val="both"/>
        <w:textAlignment w:val="baseline"/>
        <w:rPr>
          <w:rFonts w:ascii="Segoe UI" w:eastAsia="Times New Roman" w:hAnsi="Segoe UI" w:cs="Segoe UI"/>
          <w:noProof/>
          <w:sz w:val="18"/>
          <w:szCs w:val="18"/>
        </w:rPr>
      </w:pPr>
      <w:r>
        <w:rPr>
          <w:b/>
          <w:noProof/>
        </w:rPr>
        <w:t>Investissement 2: Rénovation de bâtiments publics historiques et classés. </w:t>
      </w:r>
      <w:r>
        <w:rPr>
          <w:noProof/>
        </w:rPr>
        <w:t> </w:t>
      </w:r>
    </w:p>
    <w:p w14:paraId="50B4AC59" w14:textId="5F2BC91D" w:rsidR="003B5F50" w:rsidRDefault="000D2D85">
      <w:pPr>
        <w:pStyle w:val="P68B1DB1-Normal11"/>
        <w:spacing w:before="120" w:after="120" w:line="240" w:lineRule="auto"/>
        <w:jc w:val="both"/>
        <w:textAlignment w:val="baseline"/>
        <w:rPr>
          <w:noProof/>
          <w:color w:val="000000" w:themeColor="text1"/>
        </w:rPr>
      </w:pPr>
      <w:r>
        <w:rPr>
          <w:noProof/>
        </w:rPr>
        <w:t xml:space="preserve">L’objectif de cette mesure est d’accroître l’efficacité énergétique et l’intégrité structurelle des bâtiments publics historiques et classés, tout en préservant leur patrimoine historique et culturel et en les rendant plus accessibles. Cette mesure consiste en la rénovation de bâtiments sélectionnés dans le cadre de l’appel ou de l’appel direct en faveur de bâtiments publics historiques et classés, tout en réalisant, en moyenne, au moins 30 % des économies d’énergie primaire. </w:t>
      </w:r>
    </w:p>
    <w:p w14:paraId="50B4AC5A" w14:textId="77777777" w:rsidR="003B5F50" w:rsidRDefault="000D2D85">
      <w:pPr>
        <w:pStyle w:val="P68B1DB1-Normal11"/>
        <w:spacing w:before="120" w:after="120" w:line="240" w:lineRule="auto"/>
        <w:jc w:val="both"/>
        <w:textAlignment w:val="baseline"/>
        <w:rPr>
          <w:rFonts w:ascii="Segoe UI" w:eastAsia="Times New Roman" w:hAnsi="Segoe UI" w:cs="Segoe UI"/>
          <w:noProof/>
          <w:sz w:val="18"/>
          <w:szCs w:val="18"/>
        </w:rPr>
      </w:pPr>
      <w:r>
        <w:rPr>
          <w:b/>
          <w:noProof/>
        </w:rPr>
        <w:t>Réforme 3: La gestion des déchets de construction et de démolition. </w:t>
      </w:r>
      <w:r>
        <w:rPr>
          <w:noProof/>
        </w:rPr>
        <w:t> </w:t>
      </w:r>
    </w:p>
    <w:p w14:paraId="50B4AC5B" w14:textId="77777777" w:rsidR="003B5F50" w:rsidRDefault="000D2D85">
      <w:pPr>
        <w:pStyle w:val="P68B1DB1-Normal11"/>
        <w:spacing w:before="120" w:after="120" w:line="240" w:lineRule="auto"/>
        <w:jc w:val="both"/>
        <w:textAlignment w:val="baseline"/>
        <w:rPr>
          <w:rFonts w:ascii="Segoe UI" w:eastAsia="Times New Roman" w:hAnsi="Segoe UI" w:cs="Segoe UI"/>
          <w:noProof/>
          <w:sz w:val="18"/>
          <w:szCs w:val="18"/>
        </w:rPr>
      </w:pPr>
      <w:r>
        <w:rPr>
          <w:noProof/>
        </w:rPr>
        <w:t>La réforme porte sur le taux de recyclage très faible de la Slovaquie et est axée sur la révision de la législation relative à la gestion des déchets afin d’accroître le potentiel de l’économie circulaire en ce qui concerne les déchets de construction et de démolition. Le ministère de l’environnement de la République slovaque présente la modification de la législation sur les déchets, qui exige qu’au moins 70 % des déchets de construction et de démolition non dangereux produits lors de la construction soient préparés en vue d’un réemploi ou envoyés en vue d’un recyclage. En outre, la réforme introduit une démolition sélective obligatoire, des normes de qualité pour le recyclage des déchets de construction et de démolition, des marchés publics écologiques obligatoires pour la passation de marchés de travaux de construction, simplifie les règles et améliore les systèmes de collecte de données pour les déchets de construction. Une fois en vigueur, la législation garantit le respect de l’exigence de 70 % de recyclage et de réutilisation des déchets de démolition et de construction non dangereux pour la rénovation et la construction de bâtiments financés au titre de la facilité pour la reprise et la résilience.</w:t>
      </w:r>
    </w:p>
    <w:p w14:paraId="50B4AC5C" w14:textId="77777777" w:rsidR="003B5F50" w:rsidRDefault="000D2D85">
      <w:pPr>
        <w:pStyle w:val="P68B1DB1-Normal11"/>
        <w:spacing w:before="120" w:after="120" w:line="240" w:lineRule="auto"/>
        <w:jc w:val="both"/>
        <w:textAlignment w:val="baseline"/>
        <w:rPr>
          <w:rFonts w:ascii="Segoe UI" w:eastAsia="Times New Roman" w:hAnsi="Segoe UI" w:cs="Segoe UI"/>
          <w:noProof/>
          <w:sz w:val="18"/>
          <w:szCs w:val="18"/>
        </w:rPr>
      </w:pPr>
      <w:r>
        <w:rPr>
          <w:noProof/>
        </w:rPr>
        <w:t>La mise en œuvre de la réforme est achevée au plus tard le 30 juin 2022.   </w:t>
      </w:r>
    </w:p>
    <w:p w14:paraId="50B4AC5D" w14:textId="77777777" w:rsidR="003B5F50" w:rsidRDefault="003B5F50">
      <w:pPr>
        <w:spacing w:before="120" w:after="120" w:line="240" w:lineRule="auto"/>
        <w:jc w:val="both"/>
        <w:rPr>
          <w:rFonts w:ascii="Times New Roman" w:eastAsia="Times New Roman" w:hAnsi="Times New Roman"/>
          <w:noProof/>
        </w:rPr>
      </w:pPr>
    </w:p>
    <w:p w14:paraId="50B4AC5E" w14:textId="77777777" w:rsidR="003B5F50" w:rsidRDefault="000D2D85">
      <w:pPr>
        <w:pStyle w:val="P68B1DB1-Normal11"/>
        <w:spacing w:before="120" w:after="120" w:line="240" w:lineRule="auto"/>
        <w:rPr>
          <w:noProof/>
        </w:rPr>
      </w:pPr>
      <w:r>
        <w:rPr>
          <w:noProof/>
        </w:rPr>
        <w:t xml:space="preserve"> </w:t>
      </w:r>
    </w:p>
    <w:p w14:paraId="50B4AC5F" w14:textId="77777777" w:rsidR="003B5F50" w:rsidRDefault="003B5F50">
      <w:pPr>
        <w:spacing w:before="120" w:after="120" w:line="240" w:lineRule="auto"/>
        <w:jc w:val="both"/>
        <w:rPr>
          <w:rFonts w:ascii="Times New Roman" w:hAnsi="Times New Roman"/>
          <w:noProof/>
        </w:rPr>
        <w:sectPr w:rsidR="003B5F50" w:rsidSect="003E3DD3">
          <w:headerReference w:type="even" r:id="rId29"/>
          <w:headerReference w:type="default" r:id="rId30"/>
          <w:footerReference w:type="even" r:id="rId31"/>
          <w:footerReference w:type="default" r:id="rId32"/>
          <w:headerReference w:type="first" r:id="rId33"/>
          <w:footerReference w:type="first" r:id="rId34"/>
          <w:pgSz w:w="11907" w:h="16839"/>
          <w:pgMar w:top="1134" w:right="1134" w:bottom="1134" w:left="1134" w:header="567" w:footer="567" w:gutter="0"/>
          <w:cols w:space="720"/>
          <w:docGrid w:linePitch="360"/>
        </w:sectPr>
      </w:pPr>
    </w:p>
    <w:p w14:paraId="50B4AC60" w14:textId="77777777" w:rsidR="003B5F50" w:rsidRDefault="000D2D85">
      <w:pPr>
        <w:spacing w:before="120" w:after="120" w:line="240" w:lineRule="auto"/>
        <w:rPr>
          <w:rFonts w:ascii="Times New Roman" w:eastAsia="Times New Roman" w:hAnsi="Times New Roman"/>
          <w:b/>
          <w:noProof/>
          <w:u w:val="single"/>
        </w:rPr>
      </w:pPr>
      <w:r>
        <w:rPr>
          <w:rFonts w:ascii="Times New Roman" w:hAnsi="Times New Roman"/>
          <w:b/>
          <w:noProof/>
          <w:u w:val="single"/>
        </w:rPr>
        <w:t xml:space="preserve">A.2. </w:t>
      </w:r>
      <w:r>
        <w:rPr>
          <w:noProof/>
        </w:rPr>
        <w:t xml:space="preserve"> </w:t>
      </w:r>
      <w:r>
        <w:rPr>
          <w:rFonts w:ascii="Times New Roman" w:hAnsi="Times New Roman"/>
          <w:b/>
          <w:noProof/>
          <w:u w:val="single"/>
        </w:rPr>
        <w:t>Étapes, objectifs, indicateurs et calendrier pour le suivi et la mise en œuvre du soutien financier non remboursable.</w:t>
      </w:r>
    </w:p>
    <w:p w14:paraId="50B4AC61" w14:textId="77777777" w:rsidR="003B5F50" w:rsidRDefault="003B5F50">
      <w:pPr>
        <w:spacing w:before="120" w:after="120" w:line="240" w:lineRule="auto"/>
        <w:rPr>
          <w:rFonts w:ascii="Times New Roman" w:eastAsia="Times New Roman" w:hAnsi="Times New Roman"/>
          <w:b/>
          <w:bCs/>
          <w:noProof/>
          <w:u w:val="singl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1614"/>
        <w:gridCol w:w="846"/>
        <w:gridCol w:w="1500"/>
        <w:gridCol w:w="1500"/>
        <w:gridCol w:w="959"/>
        <w:gridCol w:w="1474"/>
        <w:gridCol w:w="922"/>
        <w:gridCol w:w="1162"/>
        <w:gridCol w:w="820"/>
        <w:gridCol w:w="3404"/>
      </w:tblGrid>
      <w:tr w:rsidR="003B5F50" w14:paraId="50B4AC70" w14:textId="77777777" w:rsidTr="0047495F">
        <w:trPr>
          <w:trHeight w:val="300"/>
          <w:tblHeader/>
        </w:trPr>
        <w:tc>
          <w:tcPr>
            <w:tcW w:w="791" w:type="dxa"/>
            <w:vMerge w:val="restart"/>
            <w:shd w:val="clear" w:color="auto" w:fill="BDD7EE"/>
            <w:vAlign w:val="center"/>
          </w:tcPr>
          <w:p w14:paraId="50B4AC62" w14:textId="77777777" w:rsidR="003B5F50" w:rsidRDefault="000D2D85">
            <w:pPr>
              <w:pStyle w:val="P68B1DB1-Normal13"/>
              <w:jc w:val="center"/>
              <w:rPr>
                <w:noProof/>
                <w:szCs w:val="20"/>
              </w:rPr>
            </w:pPr>
            <w:r>
              <w:rPr>
                <w:noProof/>
              </w:rPr>
              <w:t>Seq. Num.</w:t>
            </w:r>
          </w:p>
          <w:p w14:paraId="50B4AC63" w14:textId="77777777" w:rsidR="003B5F50" w:rsidRDefault="000D2D85">
            <w:pPr>
              <w:pStyle w:val="P68B1DB1-Normal13"/>
              <w:jc w:val="center"/>
              <w:rPr>
                <w:noProof/>
                <w:szCs w:val="20"/>
              </w:rPr>
            </w:pPr>
            <w:r>
              <w:rPr>
                <w:noProof/>
              </w:rPr>
              <w:t xml:space="preserve"> </w:t>
            </w:r>
          </w:p>
        </w:tc>
        <w:tc>
          <w:tcPr>
            <w:tcW w:w="1614" w:type="dxa"/>
            <w:vMerge w:val="restart"/>
            <w:shd w:val="clear" w:color="auto" w:fill="BDD7EE"/>
            <w:vAlign w:val="center"/>
          </w:tcPr>
          <w:p w14:paraId="50B4AC64" w14:textId="77777777" w:rsidR="003B5F50" w:rsidRDefault="000D2D85">
            <w:pPr>
              <w:pStyle w:val="P68B1DB1-Normal13"/>
              <w:jc w:val="center"/>
              <w:rPr>
                <w:noProof/>
                <w:szCs w:val="20"/>
              </w:rPr>
            </w:pPr>
            <w:r>
              <w:rPr>
                <w:noProof/>
              </w:rPr>
              <w:t>Mesure connexe (réforme ou investissement)</w:t>
            </w:r>
          </w:p>
          <w:p w14:paraId="50B4AC65" w14:textId="77777777" w:rsidR="003B5F50" w:rsidRDefault="000D2D85">
            <w:pPr>
              <w:pStyle w:val="P68B1DB1-Normal13"/>
              <w:jc w:val="center"/>
              <w:rPr>
                <w:noProof/>
                <w:szCs w:val="20"/>
              </w:rPr>
            </w:pPr>
            <w:r>
              <w:rPr>
                <w:noProof/>
              </w:rPr>
              <w:t xml:space="preserve"> </w:t>
            </w:r>
          </w:p>
        </w:tc>
        <w:tc>
          <w:tcPr>
            <w:tcW w:w="846" w:type="dxa"/>
            <w:vMerge w:val="restart"/>
            <w:shd w:val="clear" w:color="auto" w:fill="BDD7EE"/>
            <w:vAlign w:val="center"/>
          </w:tcPr>
          <w:p w14:paraId="50B4AC66" w14:textId="77777777" w:rsidR="003B5F50" w:rsidRDefault="000D2D85">
            <w:pPr>
              <w:pStyle w:val="P68B1DB1-Normal13"/>
              <w:jc w:val="center"/>
              <w:rPr>
                <w:noProof/>
                <w:szCs w:val="20"/>
              </w:rPr>
            </w:pPr>
            <w:r>
              <w:rPr>
                <w:noProof/>
              </w:rPr>
              <w:t>Étape/cible</w:t>
            </w:r>
          </w:p>
          <w:p w14:paraId="50B4AC67" w14:textId="77777777" w:rsidR="003B5F50" w:rsidRDefault="000D2D85">
            <w:pPr>
              <w:pStyle w:val="P68B1DB1-Normal13"/>
              <w:jc w:val="center"/>
              <w:rPr>
                <w:noProof/>
                <w:szCs w:val="20"/>
              </w:rPr>
            </w:pPr>
            <w:r>
              <w:rPr>
                <w:noProof/>
              </w:rPr>
              <w:t xml:space="preserve"> </w:t>
            </w:r>
          </w:p>
        </w:tc>
        <w:tc>
          <w:tcPr>
            <w:tcW w:w="1500" w:type="dxa"/>
            <w:vMerge w:val="restart"/>
            <w:shd w:val="clear" w:color="auto" w:fill="BDD7EE"/>
            <w:vAlign w:val="center"/>
          </w:tcPr>
          <w:p w14:paraId="50B4AC68" w14:textId="77777777" w:rsidR="003B5F50" w:rsidRDefault="000D2D85">
            <w:pPr>
              <w:pStyle w:val="P68B1DB1-Normal13"/>
              <w:jc w:val="center"/>
              <w:rPr>
                <w:noProof/>
                <w:szCs w:val="20"/>
              </w:rPr>
            </w:pPr>
            <w:r>
              <w:rPr>
                <w:noProof/>
              </w:rPr>
              <w:t>Nom</w:t>
            </w:r>
          </w:p>
          <w:p w14:paraId="50B4AC69" w14:textId="77777777" w:rsidR="003B5F50" w:rsidRDefault="000D2D85">
            <w:pPr>
              <w:pStyle w:val="P68B1DB1-Normal13"/>
              <w:jc w:val="center"/>
              <w:rPr>
                <w:noProof/>
                <w:szCs w:val="20"/>
              </w:rPr>
            </w:pPr>
            <w:r>
              <w:rPr>
                <w:noProof/>
              </w:rPr>
              <w:t xml:space="preserve"> </w:t>
            </w:r>
          </w:p>
        </w:tc>
        <w:tc>
          <w:tcPr>
            <w:tcW w:w="1500" w:type="dxa"/>
            <w:vMerge w:val="restart"/>
            <w:shd w:val="clear" w:color="auto" w:fill="BDD7EE"/>
            <w:vAlign w:val="center"/>
          </w:tcPr>
          <w:p w14:paraId="50B4AC6A" w14:textId="77777777" w:rsidR="003B5F50" w:rsidRDefault="000D2D85">
            <w:pPr>
              <w:pStyle w:val="P68B1DB1-Normal13"/>
              <w:jc w:val="center"/>
              <w:rPr>
                <w:noProof/>
                <w:szCs w:val="20"/>
              </w:rPr>
            </w:pPr>
            <w:r>
              <w:rPr>
                <w:noProof/>
              </w:rPr>
              <w:t>Indicateurs qualitatifs (pour les jalons)</w:t>
            </w:r>
          </w:p>
          <w:p w14:paraId="50B4AC6B" w14:textId="77777777" w:rsidR="003B5F50" w:rsidRDefault="000D2D85">
            <w:pPr>
              <w:pStyle w:val="P68B1DB1-Normal13"/>
              <w:jc w:val="center"/>
              <w:rPr>
                <w:noProof/>
                <w:szCs w:val="20"/>
              </w:rPr>
            </w:pPr>
            <w:r>
              <w:rPr>
                <w:noProof/>
              </w:rPr>
              <w:t xml:space="preserve"> </w:t>
            </w:r>
          </w:p>
        </w:tc>
        <w:tc>
          <w:tcPr>
            <w:tcW w:w="3355" w:type="dxa"/>
            <w:gridSpan w:val="3"/>
            <w:shd w:val="clear" w:color="auto" w:fill="BDD7EE"/>
            <w:vAlign w:val="center"/>
          </w:tcPr>
          <w:p w14:paraId="50B4AC6C" w14:textId="77777777" w:rsidR="003B5F50" w:rsidRDefault="000D2D85">
            <w:pPr>
              <w:pStyle w:val="P68B1DB1-Normal13"/>
              <w:jc w:val="center"/>
              <w:rPr>
                <w:noProof/>
                <w:szCs w:val="20"/>
              </w:rPr>
            </w:pPr>
            <w:r>
              <w:rPr>
                <w:noProof/>
              </w:rPr>
              <w:t>Indicateurs quantitatifs (pour les objectifs)</w:t>
            </w:r>
          </w:p>
        </w:tc>
        <w:tc>
          <w:tcPr>
            <w:tcW w:w="1982" w:type="dxa"/>
            <w:gridSpan w:val="2"/>
            <w:shd w:val="clear" w:color="auto" w:fill="BDD7EE"/>
            <w:vAlign w:val="center"/>
          </w:tcPr>
          <w:p w14:paraId="50B4AC6D" w14:textId="77777777" w:rsidR="003B5F50" w:rsidRDefault="000D2D85">
            <w:pPr>
              <w:pStyle w:val="P68B1DB1-Normal13"/>
              <w:jc w:val="center"/>
              <w:rPr>
                <w:noProof/>
                <w:szCs w:val="20"/>
              </w:rPr>
            </w:pPr>
            <w:r>
              <w:rPr>
                <w:noProof/>
              </w:rPr>
              <w:t xml:space="preserve">Calendrier indicatif d'achèvement </w:t>
            </w:r>
          </w:p>
        </w:tc>
        <w:tc>
          <w:tcPr>
            <w:tcW w:w="3404" w:type="dxa"/>
            <w:vMerge w:val="restart"/>
            <w:shd w:val="clear" w:color="auto" w:fill="BDD7EE"/>
            <w:vAlign w:val="center"/>
          </w:tcPr>
          <w:p w14:paraId="50B4AC6E" w14:textId="77777777" w:rsidR="003B5F50" w:rsidRDefault="000D2D85">
            <w:pPr>
              <w:pStyle w:val="P68B1DB1-Normal13"/>
              <w:jc w:val="center"/>
              <w:rPr>
                <w:noProof/>
                <w:szCs w:val="20"/>
              </w:rPr>
            </w:pPr>
            <w:r>
              <w:rPr>
                <w:noProof/>
              </w:rPr>
              <w:t>Description et définition claire de chaque jalon et cible</w:t>
            </w:r>
          </w:p>
          <w:p w14:paraId="50B4AC6F" w14:textId="77777777" w:rsidR="003B5F50" w:rsidRDefault="000D2D85">
            <w:pPr>
              <w:pStyle w:val="P68B1DB1-Normal13"/>
              <w:jc w:val="center"/>
              <w:rPr>
                <w:noProof/>
                <w:szCs w:val="20"/>
              </w:rPr>
            </w:pPr>
            <w:r>
              <w:rPr>
                <w:noProof/>
              </w:rPr>
              <w:t xml:space="preserve"> </w:t>
            </w:r>
          </w:p>
        </w:tc>
      </w:tr>
      <w:tr w:rsidR="003B5F50" w14:paraId="50B4AC7C" w14:textId="77777777" w:rsidTr="0047495F">
        <w:trPr>
          <w:trHeight w:val="761"/>
          <w:tblHeader/>
        </w:trPr>
        <w:tc>
          <w:tcPr>
            <w:tcW w:w="791" w:type="dxa"/>
            <w:vMerge/>
            <w:vAlign w:val="center"/>
          </w:tcPr>
          <w:p w14:paraId="50B4AC71" w14:textId="77777777" w:rsidR="003B5F50" w:rsidRDefault="003B5F50">
            <w:pPr>
              <w:jc w:val="center"/>
              <w:rPr>
                <w:rFonts w:ascii="Times New Roman" w:hAnsi="Times New Roman"/>
                <w:noProof/>
                <w:sz w:val="20"/>
                <w:szCs w:val="20"/>
              </w:rPr>
            </w:pPr>
          </w:p>
        </w:tc>
        <w:tc>
          <w:tcPr>
            <w:tcW w:w="1614" w:type="dxa"/>
            <w:vMerge/>
            <w:vAlign w:val="center"/>
          </w:tcPr>
          <w:p w14:paraId="50B4AC72" w14:textId="77777777" w:rsidR="003B5F50" w:rsidRDefault="003B5F50">
            <w:pPr>
              <w:jc w:val="center"/>
              <w:rPr>
                <w:rFonts w:ascii="Times New Roman" w:hAnsi="Times New Roman"/>
                <w:noProof/>
                <w:sz w:val="20"/>
                <w:szCs w:val="20"/>
              </w:rPr>
            </w:pPr>
          </w:p>
        </w:tc>
        <w:tc>
          <w:tcPr>
            <w:tcW w:w="846" w:type="dxa"/>
            <w:vMerge/>
            <w:vAlign w:val="center"/>
          </w:tcPr>
          <w:p w14:paraId="50B4AC73" w14:textId="77777777" w:rsidR="003B5F50" w:rsidRDefault="003B5F50">
            <w:pPr>
              <w:jc w:val="center"/>
              <w:rPr>
                <w:rFonts w:ascii="Times New Roman" w:hAnsi="Times New Roman"/>
                <w:noProof/>
                <w:sz w:val="20"/>
                <w:szCs w:val="20"/>
              </w:rPr>
            </w:pPr>
          </w:p>
        </w:tc>
        <w:tc>
          <w:tcPr>
            <w:tcW w:w="1500" w:type="dxa"/>
            <w:vMerge/>
            <w:vAlign w:val="center"/>
          </w:tcPr>
          <w:p w14:paraId="50B4AC74" w14:textId="77777777" w:rsidR="003B5F50" w:rsidRDefault="003B5F50">
            <w:pPr>
              <w:jc w:val="center"/>
              <w:rPr>
                <w:rFonts w:ascii="Times New Roman" w:hAnsi="Times New Roman"/>
                <w:noProof/>
                <w:sz w:val="20"/>
                <w:szCs w:val="20"/>
              </w:rPr>
            </w:pPr>
          </w:p>
        </w:tc>
        <w:tc>
          <w:tcPr>
            <w:tcW w:w="1500" w:type="dxa"/>
            <w:vMerge/>
            <w:vAlign w:val="center"/>
          </w:tcPr>
          <w:p w14:paraId="50B4AC75" w14:textId="77777777" w:rsidR="003B5F50" w:rsidRDefault="003B5F50">
            <w:pPr>
              <w:jc w:val="center"/>
              <w:rPr>
                <w:rFonts w:ascii="Times New Roman" w:hAnsi="Times New Roman"/>
                <w:noProof/>
                <w:sz w:val="20"/>
                <w:szCs w:val="20"/>
              </w:rPr>
            </w:pPr>
          </w:p>
        </w:tc>
        <w:tc>
          <w:tcPr>
            <w:tcW w:w="959" w:type="dxa"/>
            <w:shd w:val="clear" w:color="auto" w:fill="BDD7EE"/>
            <w:vAlign w:val="center"/>
          </w:tcPr>
          <w:p w14:paraId="50B4AC76" w14:textId="77777777" w:rsidR="003B5F50" w:rsidRDefault="000D2D85">
            <w:pPr>
              <w:pStyle w:val="P68B1DB1-Normal13"/>
              <w:jc w:val="center"/>
              <w:rPr>
                <w:noProof/>
                <w:szCs w:val="20"/>
              </w:rPr>
            </w:pPr>
            <w:r>
              <w:rPr>
                <w:noProof/>
              </w:rPr>
              <w:t>Unité de mesure</w:t>
            </w:r>
          </w:p>
        </w:tc>
        <w:tc>
          <w:tcPr>
            <w:tcW w:w="1474" w:type="dxa"/>
            <w:shd w:val="clear" w:color="auto" w:fill="BDD7EE"/>
            <w:vAlign w:val="center"/>
          </w:tcPr>
          <w:p w14:paraId="50B4AC77" w14:textId="77777777" w:rsidR="003B5F50" w:rsidRDefault="000D2D85">
            <w:pPr>
              <w:pStyle w:val="P68B1DB1-Normal13"/>
              <w:jc w:val="center"/>
              <w:rPr>
                <w:noProof/>
                <w:szCs w:val="20"/>
              </w:rPr>
            </w:pPr>
            <w:r>
              <w:rPr>
                <w:noProof/>
              </w:rPr>
              <w:t xml:space="preserve">Données de référence </w:t>
            </w:r>
          </w:p>
        </w:tc>
        <w:tc>
          <w:tcPr>
            <w:tcW w:w="922" w:type="dxa"/>
            <w:shd w:val="clear" w:color="auto" w:fill="BDD7EE"/>
            <w:vAlign w:val="center"/>
          </w:tcPr>
          <w:p w14:paraId="50B4AC78" w14:textId="77777777" w:rsidR="003B5F50" w:rsidRDefault="000D2D85">
            <w:pPr>
              <w:pStyle w:val="P68B1DB1-Normal13"/>
              <w:jc w:val="center"/>
              <w:rPr>
                <w:noProof/>
                <w:szCs w:val="20"/>
              </w:rPr>
            </w:pPr>
            <w:r>
              <w:rPr>
                <w:noProof/>
              </w:rPr>
              <w:t>Objectif</w:t>
            </w:r>
          </w:p>
        </w:tc>
        <w:tc>
          <w:tcPr>
            <w:tcW w:w="1162" w:type="dxa"/>
            <w:shd w:val="clear" w:color="auto" w:fill="BDD7EE"/>
            <w:vAlign w:val="center"/>
          </w:tcPr>
          <w:p w14:paraId="50B4AC79" w14:textId="77777777" w:rsidR="003B5F50" w:rsidRDefault="000D2D85">
            <w:pPr>
              <w:pStyle w:val="P68B1DB1-Normal13"/>
              <w:jc w:val="center"/>
              <w:rPr>
                <w:noProof/>
                <w:szCs w:val="20"/>
              </w:rPr>
            </w:pPr>
            <w:r>
              <w:rPr>
                <w:noProof/>
              </w:rPr>
              <w:t>Trimestre</w:t>
            </w:r>
          </w:p>
        </w:tc>
        <w:tc>
          <w:tcPr>
            <w:tcW w:w="820" w:type="dxa"/>
            <w:shd w:val="clear" w:color="auto" w:fill="BDD7EE"/>
            <w:vAlign w:val="center"/>
          </w:tcPr>
          <w:p w14:paraId="50B4AC7A" w14:textId="77777777" w:rsidR="003B5F50" w:rsidRDefault="000D2D85">
            <w:pPr>
              <w:pStyle w:val="P68B1DB1-Normal13"/>
              <w:jc w:val="center"/>
              <w:rPr>
                <w:noProof/>
                <w:szCs w:val="20"/>
              </w:rPr>
            </w:pPr>
            <w:r>
              <w:rPr>
                <w:noProof/>
              </w:rPr>
              <w:t>Année</w:t>
            </w:r>
          </w:p>
        </w:tc>
        <w:tc>
          <w:tcPr>
            <w:tcW w:w="3404" w:type="dxa"/>
            <w:vMerge/>
            <w:vAlign w:val="center"/>
          </w:tcPr>
          <w:p w14:paraId="50B4AC7B" w14:textId="77777777" w:rsidR="003B5F50" w:rsidRDefault="003B5F50">
            <w:pPr>
              <w:jc w:val="center"/>
              <w:rPr>
                <w:rFonts w:ascii="Times New Roman" w:hAnsi="Times New Roman"/>
                <w:noProof/>
                <w:sz w:val="20"/>
                <w:szCs w:val="20"/>
              </w:rPr>
            </w:pPr>
          </w:p>
        </w:tc>
      </w:tr>
      <w:tr w:rsidR="003B5F50" w14:paraId="50B4AC88" w14:textId="77777777" w:rsidTr="0047495F">
        <w:trPr>
          <w:trHeight w:val="300"/>
        </w:trPr>
        <w:tc>
          <w:tcPr>
            <w:tcW w:w="791" w:type="dxa"/>
            <w:shd w:val="clear" w:color="auto" w:fill="C6EFCE"/>
          </w:tcPr>
          <w:p w14:paraId="50B4AC7D" w14:textId="77777777" w:rsidR="003B5F50" w:rsidRDefault="000D2D85">
            <w:pPr>
              <w:pStyle w:val="P68B1DB1-Normal14"/>
              <w:spacing w:after="0" w:line="240" w:lineRule="auto"/>
              <w:jc w:val="both"/>
              <w:rPr>
                <w:rFonts w:eastAsia="Times New Roman"/>
                <w:noProof/>
                <w:szCs w:val="20"/>
              </w:rPr>
            </w:pPr>
            <w:r>
              <w:rPr>
                <w:noProof/>
              </w:rPr>
              <w:t>1</w:t>
            </w:r>
          </w:p>
        </w:tc>
        <w:tc>
          <w:tcPr>
            <w:tcW w:w="1614" w:type="dxa"/>
            <w:shd w:val="clear" w:color="auto" w:fill="C6EFCE"/>
          </w:tcPr>
          <w:p w14:paraId="50B4AC7E" w14:textId="77777777" w:rsidR="003B5F50" w:rsidRDefault="000D2D85">
            <w:pPr>
              <w:pStyle w:val="P68B1DB1-Normal14"/>
              <w:spacing w:after="0" w:line="240" w:lineRule="auto"/>
              <w:rPr>
                <w:rFonts w:eastAsia="Times New Roman"/>
                <w:noProof/>
                <w:szCs w:val="20"/>
              </w:rPr>
            </w:pPr>
            <w:r>
              <w:rPr>
                <w:noProof/>
              </w:rPr>
              <w:t xml:space="preserve"> 2 – Rénovation des bâtiments – Réforme 1: Harmonisation des mécanismes de soutien à la rénovation des maisons familiales  </w:t>
            </w:r>
          </w:p>
        </w:tc>
        <w:tc>
          <w:tcPr>
            <w:tcW w:w="846" w:type="dxa"/>
            <w:shd w:val="clear" w:color="auto" w:fill="C6EFCE"/>
          </w:tcPr>
          <w:p w14:paraId="50B4AC7F" w14:textId="77777777" w:rsidR="003B5F50" w:rsidRDefault="000D2D85">
            <w:pPr>
              <w:pStyle w:val="P68B1DB1-Normal14"/>
              <w:spacing w:after="0" w:line="240" w:lineRule="auto"/>
              <w:rPr>
                <w:rFonts w:eastAsia="Times New Roman"/>
                <w:noProof/>
                <w:szCs w:val="20"/>
              </w:rPr>
            </w:pPr>
            <w:r>
              <w:rPr>
                <w:noProof/>
              </w:rPr>
              <w:t>Étape</w:t>
            </w:r>
          </w:p>
        </w:tc>
        <w:tc>
          <w:tcPr>
            <w:tcW w:w="1500" w:type="dxa"/>
            <w:shd w:val="clear" w:color="auto" w:fill="C6EFCE"/>
          </w:tcPr>
          <w:p w14:paraId="50B4AC80" w14:textId="77777777" w:rsidR="003B5F50" w:rsidRDefault="000D2D85">
            <w:pPr>
              <w:pStyle w:val="P68B1DB1-Normal14"/>
              <w:spacing w:after="0" w:line="240" w:lineRule="auto"/>
              <w:rPr>
                <w:rFonts w:eastAsia="Times New Roman"/>
                <w:noProof/>
                <w:szCs w:val="20"/>
              </w:rPr>
            </w:pPr>
            <w:r>
              <w:rPr>
                <w:noProof/>
              </w:rPr>
              <w:t xml:space="preserve">Plan de mise en œuvre pour mobiliser la rénovation verte des maisons familiales </w:t>
            </w:r>
          </w:p>
        </w:tc>
        <w:tc>
          <w:tcPr>
            <w:tcW w:w="1500" w:type="dxa"/>
            <w:shd w:val="clear" w:color="auto" w:fill="C6EFCE"/>
          </w:tcPr>
          <w:p w14:paraId="50B4AC81" w14:textId="77777777" w:rsidR="003B5F50" w:rsidRDefault="000D2D85">
            <w:pPr>
              <w:pStyle w:val="P68B1DB1-Normal14"/>
              <w:spacing w:after="0" w:line="240" w:lineRule="auto"/>
              <w:rPr>
                <w:rFonts w:eastAsia="Times New Roman"/>
                <w:noProof/>
                <w:szCs w:val="20"/>
              </w:rPr>
            </w:pPr>
            <w:r>
              <w:rPr>
                <w:noProof/>
              </w:rPr>
              <w:t xml:space="preserve">Adoption du plan de mise en œuvre par le Ministère de l ' environnement </w:t>
            </w:r>
          </w:p>
        </w:tc>
        <w:tc>
          <w:tcPr>
            <w:tcW w:w="959" w:type="dxa"/>
            <w:shd w:val="clear" w:color="auto" w:fill="C6EFCE"/>
          </w:tcPr>
          <w:p w14:paraId="50B4AC82" w14:textId="77777777" w:rsidR="003B5F50" w:rsidRDefault="000D2D85">
            <w:pPr>
              <w:pStyle w:val="P68B1DB1-Normal14"/>
              <w:spacing w:after="0" w:line="240" w:lineRule="auto"/>
              <w:jc w:val="both"/>
              <w:rPr>
                <w:rFonts w:eastAsia="Times New Roman"/>
                <w:noProof/>
                <w:szCs w:val="20"/>
              </w:rPr>
            </w:pPr>
            <w:r>
              <w:rPr>
                <w:noProof/>
              </w:rPr>
              <w:t xml:space="preserve"> </w:t>
            </w:r>
          </w:p>
        </w:tc>
        <w:tc>
          <w:tcPr>
            <w:tcW w:w="1474" w:type="dxa"/>
            <w:shd w:val="clear" w:color="auto" w:fill="C6EFCE"/>
          </w:tcPr>
          <w:p w14:paraId="50B4AC83" w14:textId="77777777" w:rsidR="003B5F50" w:rsidRDefault="000D2D85">
            <w:pPr>
              <w:pStyle w:val="P68B1DB1-Normal14"/>
              <w:spacing w:after="0" w:line="240" w:lineRule="auto"/>
              <w:jc w:val="both"/>
              <w:rPr>
                <w:rFonts w:eastAsia="Times New Roman"/>
                <w:noProof/>
                <w:szCs w:val="20"/>
              </w:rPr>
            </w:pPr>
            <w:r>
              <w:rPr>
                <w:noProof/>
              </w:rPr>
              <w:t xml:space="preserve"> </w:t>
            </w:r>
          </w:p>
        </w:tc>
        <w:tc>
          <w:tcPr>
            <w:tcW w:w="922" w:type="dxa"/>
            <w:shd w:val="clear" w:color="auto" w:fill="C6EFCE"/>
          </w:tcPr>
          <w:p w14:paraId="50B4AC84" w14:textId="77777777" w:rsidR="003B5F50" w:rsidRDefault="000D2D85">
            <w:pPr>
              <w:pStyle w:val="P68B1DB1-Normal14"/>
              <w:spacing w:after="0" w:line="240" w:lineRule="auto"/>
              <w:jc w:val="both"/>
              <w:rPr>
                <w:rFonts w:eastAsia="Times New Roman"/>
                <w:noProof/>
                <w:szCs w:val="20"/>
              </w:rPr>
            </w:pPr>
            <w:r>
              <w:rPr>
                <w:noProof/>
              </w:rPr>
              <w:t xml:space="preserve"> </w:t>
            </w:r>
          </w:p>
        </w:tc>
        <w:tc>
          <w:tcPr>
            <w:tcW w:w="1162" w:type="dxa"/>
            <w:shd w:val="clear" w:color="auto" w:fill="C6EFCE"/>
          </w:tcPr>
          <w:p w14:paraId="50B4AC85" w14:textId="77777777" w:rsidR="003B5F50" w:rsidRDefault="000D2D85">
            <w:pPr>
              <w:pStyle w:val="P68B1DB1-Normal14"/>
              <w:spacing w:after="0" w:line="240" w:lineRule="auto"/>
              <w:jc w:val="both"/>
              <w:rPr>
                <w:rFonts w:eastAsia="Times New Roman"/>
                <w:noProof/>
                <w:szCs w:val="20"/>
              </w:rPr>
            </w:pPr>
            <w:r>
              <w:rPr>
                <w:noProof/>
              </w:rPr>
              <w:t>T3</w:t>
            </w:r>
          </w:p>
        </w:tc>
        <w:tc>
          <w:tcPr>
            <w:tcW w:w="820" w:type="dxa"/>
            <w:shd w:val="clear" w:color="auto" w:fill="C6EFCE"/>
          </w:tcPr>
          <w:p w14:paraId="50B4AC86" w14:textId="77777777" w:rsidR="003B5F50" w:rsidRDefault="000D2D85">
            <w:pPr>
              <w:pStyle w:val="P68B1DB1-Normal14"/>
              <w:spacing w:after="0" w:line="240" w:lineRule="auto"/>
              <w:jc w:val="both"/>
              <w:rPr>
                <w:rFonts w:eastAsia="Times New Roman"/>
                <w:noProof/>
                <w:szCs w:val="20"/>
              </w:rPr>
            </w:pPr>
            <w:r>
              <w:rPr>
                <w:noProof/>
              </w:rPr>
              <w:t>2022</w:t>
            </w:r>
          </w:p>
        </w:tc>
        <w:tc>
          <w:tcPr>
            <w:tcW w:w="3404" w:type="dxa"/>
            <w:shd w:val="clear" w:color="auto" w:fill="C6EFCE"/>
          </w:tcPr>
          <w:p w14:paraId="50B4AC87" w14:textId="77777777" w:rsidR="003B5F50" w:rsidRDefault="000D2D85">
            <w:pPr>
              <w:pStyle w:val="P68B1DB1-Normal14"/>
              <w:spacing w:after="0" w:line="240" w:lineRule="auto"/>
              <w:jc w:val="both"/>
              <w:rPr>
                <w:rFonts w:eastAsia="Times New Roman"/>
                <w:noProof/>
                <w:szCs w:val="20"/>
              </w:rPr>
            </w:pPr>
            <w:r>
              <w:rPr>
                <w:noProof/>
              </w:rPr>
              <w:t xml:space="preserve">Le plan de mise en œuvre recense les différents régimes d’aide et les harmonise. Il détaille la préparation au démarrage du système, le calendrier et sa gestion, ainsi que le suivi de la reconstruction et la vérification des économies d’énergie, principalement au moyen de certificats de performance énergétique ou d’autres documents correspondants. </w:t>
            </w:r>
          </w:p>
        </w:tc>
      </w:tr>
      <w:tr w:rsidR="003B5F50" w14:paraId="50B4AC96" w14:textId="77777777" w:rsidTr="0047495F">
        <w:trPr>
          <w:trHeight w:val="300"/>
        </w:trPr>
        <w:tc>
          <w:tcPr>
            <w:tcW w:w="791" w:type="dxa"/>
            <w:shd w:val="clear" w:color="auto" w:fill="C6EFCE"/>
          </w:tcPr>
          <w:p w14:paraId="50B4AC89" w14:textId="77777777" w:rsidR="003B5F50" w:rsidRDefault="000D2D85">
            <w:pPr>
              <w:pStyle w:val="P68B1DB1-Normal14"/>
              <w:spacing w:after="0" w:line="240" w:lineRule="auto"/>
              <w:jc w:val="both"/>
              <w:rPr>
                <w:rFonts w:eastAsia="Times New Roman"/>
                <w:noProof/>
                <w:szCs w:val="20"/>
              </w:rPr>
            </w:pPr>
            <w:r>
              <w:rPr>
                <w:noProof/>
              </w:rPr>
              <w:t>2</w:t>
            </w:r>
          </w:p>
        </w:tc>
        <w:tc>
          <w:tcPr>
            <w:tcW w:w="1614" w:type="dxa"/>
            <w:shd w:val="clear" w:color="auto" w:fill="C6EFCE"/>
          </w:tcPr>
          <w:p w14:paraId="50B4AC8A" w14:textId="77777777" w:rsidR="003B5F50" w:rsidRDefault="000D2D85">
            <w:pPr>
              <w:pStyle w:val="P68B1DB1-Normal15"/>
              <w:spacing w:after="0" w:line="240" w:lineRule="auto"/>
              <w:rPr>
                <w:rFonts w:eastAsia="Times New Roman"/>
                <w:noProof/>
              </w:rPr>
            </w:pPr>
            <w:r>
              <w:rPr>
                <w:noProof/>
              </w:rPr>
              <w:t xml:space="preserve"> 2 – Rénovation des bâtiments – Investissement 1:  Accroître l'efficacité énergétique des maisons familiales </w:t>
            </w:r>
          </w:p>
        </w:tc>
        <w:tc>
          <w:tcPr>
            <w:tcW w:w="846" w:type="dxa"/>
            <w:shd w:val="clear" w:color="auto" w:fill="C6EFCE"/>
          </w:tcPr>
          <w:p w14:paraId="50B4AC8B" w14:textId="77777777" w:rsidR="003B5F50" w:rsidRDefault="000D2D85">
            <w:pPr>
              <w:pStyle w:val="P68B1DB1-Normal14"/>
              <w:spacing w:after="0" w:line="240" w:lineRule="auto"/>
              <w:rPr>
                <w:rFonts w:eastAsia="Times New Roman"/>
                <w:noProof/>
                <w:szCs w:val="20"/>
              </w:rPr>
            </w:pPr>
            <w:r>
              <w:rPr>
                <w:noProof/>
              </w:rPr>
              <w:t xml:space="preserve">Étape </w:t>
            </w:r>
          </w:p>
        </w:tc>
        <w:tc>
          <w:tcPr>
            <w:tcW w:w="1500" w:type="dxa"/>
            <w:shd w:val="clear" w:color="auto" w:fill="C6EFCE"/>
          </w:tcPr>
          <w:p w14:paraId="50B4AC8C" w14:textId="77777777" w:rsidR="003B5F50" w:rsidRDefault="000D2D85">
            <w:pPr>
              <w:pStyle w:val="P68B1DB1-Normal14"/>
              <w:spacing w:after="0" w:line="240" w:lineRule="auto"/>
              <w:rPr>
                <w:rFonts w:eastAsia="Times New Roman"/>
                <w:noProof/>
                <w:szCs w:val="20"/>
              </w:rPr>
            </w:pPr>
            <w:r>
              <w:rPr>
                <w:noProof/>
              </w:rPr>
              <w:t xml:space="preserve">Lancement des régimes d’aide visant à mobiliser les économies d’énergie et la rénovation verte </w:t>
            </w:r>
          </w:p>
        </w:tc>
        <w:tc>
          <w:tcPr>
            <w:tcW w:w="1500" w:type="dxa"/>
            <w:shd w:val="clear" w:color="auto" w:fill="C6EFCE"/>
          </w:tcPr>
          <w:p w14:paraId="50B4AC8D" w14:textId="77777777" w:rsidR="003B5F50" w:rsidRDefault="000D2D85">
            <w:pPr>
              <w:pStyle w:val="P68B1DB1-Normal14"/>
              <w:spacing w:after="0" w:line="240" w:lineRule="auto"/>
              <w:rPr>
                <w:rFonts w:eastAsia="Times New Roman"/>
                <w:noProof/>
                <w:szCs w:val="20"/>
              </w:rPr>
            </w:pPr>
            <w:r>
              <w:rPr>
                <w:noProof/>
              </w:rPr>
              <w:t>Lancement des régimes d’aide visant à mobiliser les économies d’énergie et la rénovation verte</w:t>
            </w:r>
          </w:p>
        </w:tc>
        <w:tc>
          <w:tcPr>
            <w:tcW w:w="959" w:type="dxa"/>
            <w:shd w:val="clear" w:color="auto" w:fill="C6EFCE"/>
          </w:tcPr>
          <w:p w14:paraId="50B4AC8E" w14:textId="77777777" w:rsidR="003B5F50" w:rsidRDefault="000D2D85">
            <w:pPr>
              <w:pStyle w:val="P68B1DB1-Normal14"/>
              <w:spacing w:after="0" w:line="240" w:lineRule="auto"/>
              <w:jc w:val="both"/>
              <w:rPr>
                <w:rFonts w:eastAsia="Times New Roman"/>
                <w:noProof/>
                <w:szCs w:val="20"/>
              </w:rPr>
            </w:pPr>
            <w:r>
              <w:rPr>
                <w:noProof/>
              </w:rPr>
              <w:t xml:space="preserve"> </w:t>
            </w:r>
          </w:p>
        </w:tc>
        <w:tc>
          <w:tcPr>
            <w:tcW w:w="1474" w:type="dxa"/>
            <w:shd w:val="clear" w:color="auto" w:fill="C6EFCE"/>
          </w:tcPr>
          <w:p w14:paraId="50B4AC8F" w14:textId="77777777" w:rsidR="003B5F50" w:rsidRDefault="000D2D85">
            <w:pPr>
              <w:pStyle w:val="P68B1DB1-Normal14"/>
              <w:spacing w:after="0" w:line="240" w:lineRule="auto"/>
              <w:jc w:val="both"/>
              <w:rPr>
                <w:rFonts w:eastAsia="Times New Roman"/>
                <w:noProof/>
                <w:szCs w:val="20"/>
              </w:rPr>
            </w:pPr>
            <w:r>
              <w:rPr>
                <w:noProof/>
              </w:rPr>
              <w:t xml:space="preserve"> </w:t>
            </w:r>
          </w:p>
        </w:tc>
        <w:tc>
          <w:tcPr>
            <w:tcW w:w="922" w:type="dxa"/>
            <w:shd w:val="clear" w:color="auto" w:fill="C6EFCE"/>
          </w:tcPr>
          <w:p w14:paraId="50B4AC90" w14:textId="77777777" w:rsidR="003B5F50" w:rsidRDefault="000D2D85">
            <w:pPr>
              <w:pStyle w:val="P68B1DB1-Normal14"/>
              <w:spacing w:after="0" w:line="240" w:lineRule="auto"/>
              <w:jc w:val="both"/>
              <w:rPr>
                <w:rFonts w:eastAsia="Times New Roman"/>
                <w:noProof/>
                <w:szCs w:val="20"/>
              </w:rPr>
            </w:pPr>
            <w:r>
              <w:rPr>
                <w:noProof/>
              </w:rPr>
              <w:t xml:space="preserve"> </w:t>
            </w:r>
          </w:p>
        </w:tc>
        <w:tc>
          <w:tcPr>
            <w:tcW w:w="1162" w:type="dxa"/>
            <w:shd w:val="clear" w:color="auto" w:fill="C6EFCE"/>
          </w:tcPr>
          <w:p w14:paraId="50B4AC91" w14:textId="77777777" w:rsidR="003B5F50" w:rsidRDefault="000D2D85">
            <w:pPr>
              <w:pStyle w:val="P68B1DB1-Normal14"/>
              <w:spacing w:after="0" w:line="240" w:lineRule="auto"/>
              <w:jc w:val="both"/>
              <w:rPr>
                <w:rFonts w:eastAsia="Times New Roman"/>
                <w:noProof/>
                <w:szCs w:val="20"/>
              </w:rPr>
            </w:pPr>
            <w:r>
              <w:rPr>
                <w:noProof/>
              </w:rPr>
              <w:t>T3</w:t>
            </w:r>
          </w:p>
        </w:tc>
        <w:tc>
          <w:tcPr>
            <w:tcW w:w="820" w:type="dxa"/>
            <w:shd w:val="clear" w:color="auto" w:fill="C6EFCE"/>
          </w:tcPr>
          <w:p w14:paraId="50B4AC92" w14:textId="77777777" w:rsidR="003B5F50" w:rsidRDefault="000D2D85">
            <w:pPr>
              <w:pStyle w:val="P68B1DB1-Normal14"/>
              <w:spacing w:after="0" w:line="240" w:lineRule="auto"/>
              <w:jc w:val="both"/>
              <w:rPr>
                <w:rFonts w:eastAsia="Times New Roman"/>
                <w:noProof/>
                <w:szCs w:val="20"/>
              </w:rPr>
            </w:pPr>
            <w:r>
              <w:rPr>
                <w:noProof/>
              </w:rPr>
              <w:t>2022</w:t>
            </w:r>
          </w:p>
        </w:tc>
        <w:tc>
          <w:tcPr>
            <w:tcW w:w="3404" w:type="dxa"/>
            <w:shd w:val="clear" w:color="auto" w:fill="C6EFCE"/>
            <w:vAlign w:val="center"/>
          </w:tcPr>
          <w:p w14:paraId="50B4AC93" w14:textId="77777777" w:rsidR="003B5F50" w:rsidRDefault="000D2D85">
            <w:pPr>
              <w:pStyle w:val="P68B1DB1-Normal14"/>
              <w:spacing w:after="0" w:line="240" w:lineRule="auto"/>
              <w:jc w:val="both"/>
              <w:rPr>
                <w:rFonts w:eastAsia="Times New Roman"/>
                <w:noProof/>
                <w:szCs w:val="20"/>
              </w:rPr>
            </w:pPr>
            <w:r>
              <w:rPr>
                <w:noProof/>
              </w:rPr>
              <w:t>Les programmes visant à mobiliser les économies d’énergie et la rénovation verte sont conçus et lancés conformément aux mesures et au calendrier adoptés dans le plan de mise en œuvre. Les appels respectifs sont publiés par l'Agence slovaque pour l'environnement sur un site web.</w:t>
            </w:r>
          </w:p>
          <w:p w14:paraId="50B4AC94" w14:textId="77777777" w:rsidR="003B5F50" w:rsidRDefault="000D2D85">
            <w:pPr>
              <w:pStyle w:val="P68B1DB1-Normal14"/>
              <w:spacing w:after="0" w:line="240" w:lineRule="auto"/>
              <w:jc w:val="both"/>
              <w:rPr>
                <w:rFonts w:eastAsia="Times New Roman"/>
                <w:noProof/>
                <w:szCs w:val="20"/>
              </w:rPr>
            </w:pPr>
            <w:r>
              <w:rPr>
                <w:noProof/>
              </w:rPr>
              <w:t>Les régimes sont conçus pour encourager en moyenne au moins 30 % d’économies d’énergie primaire et sont conformes aux exigences des orientations techniques «Ne pas causer de préjudice important» (2021/C58/01).</w:t>
            </w:r>
          </w:p>
          <w:p w14:paraId="50B4AC95" w14:textId="77777777" w:rsidR="003B5F50" w:rsidRDefault="000D2D85">
            <w:pPr>
              <w:pStyle w:val="P68B1DB1-Normal16"/>
              <w:spacing w:after="0" w:line="240" w:lineRule="auto"/>
              <w:jc w:val="both"/>
              <w:rPr>
                <w:noProof/>
                <w:szCs w:val="20"/>
              </w:rPr>
            </w:pPr>
            <w:r>
              <w:rPr>
                <w:noProof/>
                <w:color w:val="006100"/>
              </w:rPr>
              <w:t>Une liste de mesures possibles comprend: l’isolation, le remplacement des fenêtres, la restauration du toit, la rétention d’eau de pluie, le remplacement de la chaudière ou l’élimination de la couverture d’amiante, ou d’autres mesures conformes à la description de l’investissement.</w:t>
            </w:r>
            <w:r>
              <w:rPr>
                <w:noProof/>
                <w:color w:val="385724"/>
              </w:rPr>
              <w:t xml:space="preserve">  </w:t>
            </w:r>
          </w:p>
        </w:tc>
      </w:tr>
      <w:tr w:rsidR="003B5F50" w14:paraId="50B4ACA6" w14:textId="77777777" w:rsidTr="0047495F">
        <w:trPr>
          <w:trHeight w:val="300"/>
        </w:trPr>
        <w:tc>
          <w:tcPr>
            <w:tcW w:w="791" w:type="dxa"/>
            <w:shd w:val="clear" w:color="auto" w:fill="C6EFCE"/>
          </w:tcPr>
          <w:p w14:paraId="50B4AC97" w14:textId="77777777" w:rsidR="003B5F50" w:rsidRDefault="000D2D85">
            <w:pPr>
              <w:pStyle w:val="P68B1DB1-Normal14"/>
              <w:spacing w:after="0" w:line="240" w:lineRule="auto"/>
              <w:jc w:val="both"/>
              <w:rPr>
                <w:rFonts w:eastAsia="Times New Roman"/>
                <w:noProof/>
                <w:szCs w:val="20"/>
              </w:rPr>
            </w:pPr>
            <w:r>
              <w:rPr>
                <w:noProof/>
              </w:rPr>
              <w:t>4</w:t>
            </w:r>
          </w:p>
        </w:tc>
        <w:tc>
          <w:tcPr>
            <w:tcW w:w="1614" w:type="dxa"/>
            <w:shd w:val="clear" w:color="auto" w:fill="C6EFCE"/>
          </w:tcPr>
          <w:p w14:paraId="50B4AC98" w14:textId="77777777" w:rsidR="003B5F50" w:rsidRDefault="000D2D85">
            <w:pPr>
              <w:pStyle w:val="P68B1DB1-Normal15"/>
              <w:spacing w:after="0" w:line="240" w:lineRule="auto"/>
              <w:rPr>
                <w:rFonts w:eastAsia="Times New Roman"/>
                <w:noProof/>
              </w:rPr>
            </w:pPr>
            <w:r>
              <w:rPr>
                <w:noProof/>
              </w:rPr>
              <w:t xml:space="preserve"> 2 – Rénovation des bâtiments – Investissement 1: Accroître l'efficacité énergétique des maisons familiales </w:t>
            </w:r>
          </w:p>
        </w:tc>
        <w:tc>
          <w:tcPr>
            <w:tcW w:w="846" w:type="dxa"/>
            <w:shd w:val="clear" w:color="auto" w:fill="C6EFCE"/>
          </w:tcPr>
          <w:p w14:paraId="50B4AC99" w14:textId="77777777" w:rsidR="003B5F50" w:rsidRDefault="000D2D85">
            <w:pPr>
              <w:pStyle w:val="P68B1DB1-Normal14"/>
              <w:spacing w:after="0" w:line="240" w:lineRule="auto"/>
              <w:rPr>
                <w:rFonts w:eastAsia="Times New Roman"/>
                <w:noProof/>
                <w:szCs w:val="20"/>
              </w:rPr>
            </w:pPr>
            <w:r>
              <w:rPr>
                <w:noProof/>
              </w:rPr>
              <w:t>Objectif</w:t>
            </w:r>
          </w:p>
        </w:tc>
        <w:tc>
          <w:tcPr>
            <w:tcW w:w="1500" w:type="dxa"/>
            <w:shd w:val="clear" w:color="auto" w:fill="C6EFCE"/>
          </w:tcPr>
          <w:p w14:paraId="50B4AC9A" w14:textId="77777777" w:rsidR="003B5F50" w:rsidRDefault="000D2D85">
            <w:pPr>
              <w:pStyle w:val="P68B1DB1-Normal15"/>
              <w:spacing w:after="0" w:line="240" w:lineRule="auto"/>
              <w:rPr>
                <w:rFonts w:eastAsia="Times New Roman"/>
                <w:noProof/>
              </w:rPr>
            </w:pPr>
            <w:r>
              <w:rPr>
                <w:noProof/>
              </w:rPr>
              <w:t xml:space="preserve">Nombre de maisons familiales rénovées réalisant, en moyenne, au moins 30 % d’économies d’énergie primaire </w:t>
            </w:r>
          </w:p>
        </w:tc>
        <w:tc>
          <w:tcPr>
            <w:tcW w:w="1500" w:type="dxa"/>
            <w:shd w:val="clear" w:color="auto" w:fill="C6EFCE"/>
          </w:tcPr>
          <w:p w14:paraId="50B4AC9B" w14:textId="77777777" w:rsidR="003B5F50" w:rsidRDefault="000D2D85">
            <w:pPr>
              <w:pStyle w:val="P68B1DB1-Normal14"/>
              <w:spacing w:after="0" w:line="240" w:lineRule="auto"/>
              <w:jc w:val="both"/>
              <w:rPr>
                <w:rFonts w:eastAsia="Times New Roman"/>
                <w:noProof/>
                <w:szCs w:val="20"/>
              </w:rPr>
            </w:pPr>
            <w:r>
              <w:rPr>
                <w:noProof/>
              </w:rPr>
              <w:t xml:space="preserve"> </w:t>
            </w:r>
          </w:p>
        </w:tc>
        <w:tc>
          <w:tcPr>
            <w:tcW w:w="959" w:type="dxa"/>
            <w:shd w:val="clear" w:color="auto" w:fill="C6EFCE"/>
          </w:tcPr>
          <w:p w14:paraId="50B4AC9C" w14:textId="77777777" w:rsidR="003B5F50" w:rsidRDefault="000D2D85">
            <w:pPr>
              <w:pStyle w:val="P68B1DB1-Normal14"/>
              <w:spacing w:after="0" w:line="240" w:lineRule="auto"/>
              <w:jc w:val="both"/>
              <w:rPr>
                <w:rFonts w:eastAsia="Times New Roman"/>
                <w:noProof/>
                <w:szCs w:val="20"/>
              </w:rPr>
            </w:pPr>
            <w:r>
              <w:rPr>
                <w:noProof/>
              </w:rPr>
              <w:t>Numéro</w:t>
            </w:r>
          </w:p>
        </w:tc>
        <w:tc>
          <w:tcPr>
            <w:tcW w:w="1474" w:type="dxa"/>
            <w:shd w:val="clear" w:color="auto" w:fill="C6EFCE"/>
          </w:tcPr>
          <w:p w14:paraId="50B4AC9D" w14:textId="77777777" w:rsidR="003B5F50" w:rsidRDefault="000D2D85">
            <w:pPr>
              <w:pStyle w:val="P68B1DB1-Normal15"/>
              <w:spacing w:after="0" w:line="240" w:lineRule="auto"/>
              <w:jc w:val="both"/>
              <w:rPr>
                <w:rFonts w:eastAsia="Times New Roman"/>
                <w:noProof/>
              </w:rPr>
            </w:pPr>
            <w:r>
              <w:rPr>
                <w:noProof/>
              </w:rPr>
              <w:t>0</w:t>
            </w:r>
          </w:p>
        </w:tc>
        <w:tc>
          <w:tcPr>
            <w:tcW w:w="922" w:type="dxa"/>
            <w:shd w:val="clear" w:color="auto" w:fill="C6EFCE"/>
          </w:tcPr>
          <w:p w14:paraId="50B4AC9E" w14:textId="77777777" w:rsidR="003B5F50" w:rsidRDefault="000D2D85">
            <w:pPr>
              <w:pStyle w:val="P68B1DB1-Normal14"/>
              <w:spacing w:after="0" w:line="240" w:lineRule="auto"/>
              <w:jc w:val="both"/>
              <w:rPr>
                <w:rFonts w:eastAsia="Times New Roman"/>
                <w:noProof/>
                <w:szCs w:val="20"/>
              </w:rPr>
            </w:pPr>
            <w:r>
              <w:rPr>
                <w:noProof/>
              </w:rPr>
              <w:t>25 164</w:t>
            </w:r>
          </w:p>
          <w:p w14:paraId="50B4AC9F" w14:textId="77777777" w:rsidR="003B5F50" w:rsidRDefault="003B5F50">
            <w:pPr>
              <w:spacing w:after="0" w:line="240" w:lineRule="auto"/>
              <w:jc w:val="both"/>
              <w:rPr>
                <w:rFonts w:ascii="Times New Roman" w:eastAsia="Times New Roman" w:hAnsi="Times New Roman"/>
                <w:noProof/>
                <w:color w:val="006100"/>
                <w:sz w:val="20"/>
                <w:szCs w:val="20"/>
              </w:rPr>
            </w:pPr>
          </w:p>
        </w:tc>
        <w:tc>
          <w:tcPr>
            <w:tcW w:w="1162" w:type="dxa"/>
            <w:shd w:val="clear" w:color="auto" w:fill="C6EFCE"/>
          </w:tcPr>
          <w:p w14:paraId="50B4ACA0" w14:textId="77777777" w:rsidR="003B5F50" w:rsidRDefault="000D2D85">
            <w:pPr>
              <w:pStyle w:val="P68B1DB1-Normal14"/>
              <w:spacing w:after="0" w:line="240" w:lineRule="auto"/>
              <w:jc w:val="both"/>
              <w:rPr>
                <w:rFonts w:eastAsia="Times New Roman"/>
                <w:noProof/>
                <w:szCs w:val="20"/>
              </w:rPr>
            </w:pPr>
            <w:r>
              <w:rPr>
                <w:noProof/>
              </w:rPr>
              <w:t>T2</w:t>
            </w:r>
          </w:p>
        </w:tc>
        <w:tc>
          <w:tcPr>
            <w:tcW w:w="820" w:type="dxa"/>
            <w:shd w:val="clear" w:color="auto" w:fill="C6EFCE"/>
          </w:tcPr>
          <w:p w14:paraId="50B4ACA1" w14:textId="77777777" w:rsidR="003B5F50" w:rsidRDefault="000D2D85">
            <w:pPr>
              <w:pStyle w:val="P68B1DB1-Normal14"/>
              <w:spacing w:after="0" w:line="240" w:lineRule="auto"/>
              <w:jc w:val="both"/>
              <w:rPr>
                <w:rFonts w:eastAsia="Times New Roman"/>
                <w:noProof/>
                <w:szCs w:val="20"/>
              </w:rPr>
            </w:pPr>
            <w:r>
              <w:rPr>
                <w:noProof/>
              </w:rPr>
              <w:t>2026</w:t>
            </w:r>
          </w:p>
        </w:tc>
        <w:tc>
          <w:tcPr>
            <w:tcW w:w="3404" w:type="dxa"/>
            <w:shd w:val="clear" w:color="auto" w:fill="C6EFCE"/>
          </w:tcPr>
          <w:p w14:paraId="50B4ACA2" w14:textId="05BC5F50" w:rsidR="003B5F50" w:rsidRDefault="000D2D85">
            <w:pPr>
              <w:pStyle w:val="P68B1DB1-Normal15"/>
              <w:spacing w:after="0" w:line="240" w:lineRule="auto"/>
              <w:jc w:val="both"/>
              <w:rPr>
                <w:rFonts w:eastAsia="Times New Roman"/>
                <w:noProof/>
              </w:rPr>
            </w:pPr>
            <w:r>
              <w:rPr>
                <w:noProof/>
              </w:rPr>
              <w:t xml:space="preserve">25 164 maisons seront rénovées, sélectionnées dans le cadre de l’appel en faveur de la rénovation de maisons unifamiliales.  Les bâtiments rénovés réalisent en moyenne au moins 30 % d’économies d’énergie primaire. </w:t>
            </w:r>
          </w:p>
          <w:p w14:paraId="50B4ACA3" w14:textId="77777777" w:rsidR="003B5F50" w:rsidRDefault="003B5F50">
            <w:pPr>
              <w:spacing w:after="0" w:line="240" w:lineRule="auto"/>
              <w:jc w:val="both"/>
              <w:rPr>
                <w:rFonts w:ascii="Times New Roman" w:hAnsi="Times New Roman"/>
                <w:noProof/>
                <w:color w:val="006100"/>
                <w:sz w:val="20"/>
                <w:szCs w:val="20"/>
              </w:rPr>
            </w:pPr>
          </w:p>
          <w:p w14:paraId="50B4ACA4" w14:textId="77777777" w:rsidR="003B5F50" w:rsidRDefault="000D2D85">
            <w:pPr>
              <w:pStyle w:val="P68B1DB1-Normal15"/>
              <w:spacing w:after="0" w:line="240" w:lineRule="auto"/>
              <w:jc w:val="both"/>
              <w:rPr>
                <w:noProof/>
              </w:rPr>
            </w:pPr>
            <w:r>
              <w:rPr>
                <w:noProof/>
              </w:rPr>
              <w:t xml:space="preserve">Les appels garantissent que les remplacements de chaudières à gaz sont conformes aux exigences DNSH et représentent au maximum 20 % de l’ensemble des programmes de rénovation. </w:t>
            </w:r>
          </w:p>
          <w:p w14:paraId="50B4ACA5" w14:textId="77777777" w:rsidR="003B5F50" w:rsidRDefault="000D2D85">
            <w:pPr>
              <w:pStyle w:val="P68B1DB1-Normal17"/>
              <w:spacing w:after="0" w:line="240" w:lineRule="auto"/>
              <w:jc w:val="both"/>
              <w:rPr>
                <w:rFonts w:ascii="Times New Roman" w:hAnsi="Times New Roman"/>
                <w:noProof/>
                <w:color w:val="006100"/>
              </w:rPr>
            </w:pPr>
            <w:r>
              <w:rPr>
                <w:rFonts w:ascii="Times New Roman" w:hAnsi="Times New Roman"/>
                <w:noProof/>
                <w:color w:val="006100"/>
              </w:rPr>
              <w:t>Si des chaudières à biomasse sont incluses dans le programme de rénovation, le remplacement de chaudières à charbon/pétrole/biomasse/gaz obsolètes par des chaudières à biomasse est autorisé, si elles sont remplacées par des chaudières à biomasse à haut rendement dans l’une des deux classes d’efficacité énergétique les plus élevées au titre du règlement sur l’étiquetage énergétique alimentées par des granulés. Les appels n’autorisent pas le remplacement des chaudières à gaz par des chaudières à biomasse dans les zones de qualité de l’air où les valeurs limites fixées pour les PM10 sont dépassées.</w:t>
            </w:r>
          </w:p>
        </w:tc>
      </w:tr>
      <w:tr w:rsidR="003B5F50" w14:paraId="50B4ACB5" w14:textId="77777777" w:rsidTr="0047495F">
        <w:trPr>
          <w:trHeight w:val="300"/>
        </w:trPr>
        <w:tc>
          <w:tcPr>
            <w:tcW w:w="791" w:type="dxa"/>
            <w:shd w:val="clear" w:color="auto" w:fill="C6EFCE"/>
          </w:tcPr>
          <w:p w14:paraId="50B4ACA7" w14:textId="77777777" w:rsidR="003B5F50" w:rsidRDefault="000D2D85">
            <w:pPr>
              <w:pStyle w:val="P68B1DB1-Normal14"/>
              <w:spacing w:after="0" w:line="240" w:lineRule="auto"/>
              <w:jc w:val="both"/>
              <w:rPr>
                <w:rFonts w:eastAsia="Times New Roman"/>
                <w:noProof/>
                <w:szCs w:val="20"/>
              </w:rPr>
            </w:pPr>
            <w:r>
              <w:rPr>
                <w:noProof/>
              </w:rPr>
              <w:t>5</w:t>
            </w:r>
          </w:p>
        </w:tc>
        <w:tc>
          <w:tcPr>
            <w:tcW w:w="1614" w:type="dxa"/>
            <w:shd w:val="clear" w:color="auto" w:fill="C6EFCE"/>
          </w:tcPr>
          <w:p w14:paraId="50B4ACA8" w14:textId="77777777" w:rsidR="003B5F50" w:rsidRDefault="000D2D85">
            <w:pPr>
              <w:pStyle w:val="P68B1DB1-Normal14"/>
              <w:spacing w:after="0" w:line="240" w:lineRule="auto"/>
              <w:rPr>
                <w:rFonts w:eastAsia="Times New Roman"/>
                <w:noProof/>
                <w:szCs w:val="20"/>
              </w:rPr>
            </w:pPr>
            <w:r>
              <w:rPr>
                <w:noProof/>
              </w:rPr>
              <w:t xml:space="preserve"> 2. Rénovation des bâtiments – Réforme 2:  Accroître la transparence et rationaliser les décisions du Conseil des monuments de la République slovaque</w:t>
            </w:r>
          </w:p>
        </w:tc>
        <w:tc>
          <w:tcPr>
            <w:tcW w:w="846" w:type="dxa"/>
            <w:shd w:val="clear" w:color="auto" w:fill="C6EFCE"/>
          </w:tcPr>
          <w:p w14:paraId="50B4ACA9" w14:textId="77777777" w:rsidR="003B5F50" w:rsidRDefault="000D2D85">
            <w:pPr>
              <w:pStyle w:val="P68B1DB1-Normal14"/>
              <w:spacing w:after="0" w:line="240" w:lineRule="auto"/>
              <w:rPr>
                <w:rFonts w:eastAsia="Times New Roman"/>
                <w:noProof/>
                <w:szCs w:val="20"/>
              </w:rPr>
            </w:pPr>
            <w:r>
              <w:rPr>
                <w:noProof/>
              </w:rPr>
              <w:t xml:space="preserve">Étape </w:t>
            </w:r>
          </w:p>
        </w:tc>
        <w:tc>
          <w:tcPr>
            <w:tcW w:w="1500" w:type="dxa"/>
            <w:shd w:val="clear" w:color="auto" w:fill="C6EFCE"/>
          </w:tcPr>
          <w:p w14:paraId="50B4ACAD" w14:textId="3ADB0044" w:rsidR="003B5F50" w:rsidRDefault="000D2D85">
            <w:pPr>
              <w:pStyle w:val="P68B1DB1-Normal14"/>
              <w:spacing w:after="0" w:line="240" w:lineRule="auto"/>
              <w:rPr>
                <w:rFonts w:eastAsia="Times New Roman"/>
                <w:noProof/>
                <w:szCs w:val="20"/>
              </w:rPr>
            </w:pPr>
            <w:r>
              <w:rPr>
                <w:noProof/>
              </w:rPr>
              <w:t xml:space="preserve">Méthodologies pour le processus de prise de décision du Conseil des monuments de la République slovaque  </w:t>
            </w:r>
          </w:p>
        </w:tc>
        <w:tc>
          <w:tcPr>
            <w:tcW w:w="1500" w:type="dxa"/>
            <w:shd w:val="clear" w:color="auto" w:fill="C6EFCE"/>
          </w:tcPr>
          <w:p w14:paraId="50B4ACAE" w14:textId="77777777" w:rsidR="003B5F50" w:rsidRDefault="000D2D85">
            <w:pPr>
              <w:pStyle w:val="P68B1DB1-Normal14"/>
              <w:spacing w:after="0" w:line="240" w:lineRule="auto"/>
              <w:rPr>
                <w:rFonts w:eastAsia="Times New Roman"/>
                <w:noProof/>
                <w:szCs w:val="20"/>
              </w:rPr>
            </w:pPr>
            <w:r>
              <w:rPr>
                <w:noProof/>
              </w:rPr>
              <w:t>Publication des méthodologies par le Conseil des monuments</w:t>
            </w:r>
          </w:p>
        </w:tc>
        <w:tc>
          <w:tcPr>
            <w:tcW w:w="959" w:type="dxa"/>
            <w:shd w:val="clear" w:color="auto" w:fill="C6EFCE"/>
          </w:tcPr>
          <w:p w14:paraId="50B4ACAF" w14:textId="77777777" w:rsidR="003B5F50" w:rsidRDefault="003B5F50">
            <w:pPr>
              <w:spacing w:after="0" w:line="240" w:lineRule="auto"/>
              <w:jc w:val="both"/>
              <w:rPr>
                <w:rFonts w:ascii="Times New Roman" w:eastAsia="Times New Roman" w:hAnsi="Times New Roman"/>
                <w:noProof/>
                <w:color w:val="006100"/>
                <w:sz w:val="20"/>
                <w:szCs w:val="20"/>
              </w:rPr>
            </w:pPr>
          </w:p>
        </w:tc>
        <w:tc>
          <w:tcPr>
            <w:tcW w:w="1474" w:type="dxa"/>
            <w:shd w:val="clear" w:color="auto" w:fill="C6EFCE"/>
          </w:tcPr>
          <w:p w14:paraId="50B4ACB0" w14:textId="77777777" w:rsidR="003B5F50" w:rsidRDefault="003B5F50">
            <w:pPr>
              <w:spacing w:after="0" w:line="240" w:lineRule="auto"/>
              <w:jc w:val="both"/>
              <w:rPr>
                <w:rFonts w:ascii="Times New Roman" w:eastAsia="Times New Roman" w:hAnsi="Times New Roman"/>
                <w:noProof/>
                <w:color w:val="006100"/>
                <w:sz w:val="20"/>
                <w:szCs w:val="20"/>
              </w:rPr>
            </w:pPr>
          </w:p>
        </w:tc>
        <w:tc>
          <w:tcPr>
            <w:tcW w:w="922" w:type="dxa"/>
            <w:shd w:val="clear" w:color="auto" w:fill="C6EFCE"/>
          </w:tcPr>
          <w:p w14:paraId="50B4ACB1" w14:textId="77777777" w:rsidR="003B5F50" w:rsidRDefault="000D2D85">
            <w:pPr>
              <w:pStyle w:val="P68B1DB1-Normal14"/>
              <w:spacing w:after="0" w:line="240" w:lineRule="auto"/>
              <w:jc w:val="both"/>
              <w:rPr>
                <w:rFonts w:eastAsia="Times New Roman"/>
                <w:noProof/>
                <w:szCs w:val="20"/>
              </w:rPr>
            </w:pPr>
            <w:r>
              <w:rPr>
                <w:noProof/>
              </w:rPr>
              <w:t xml:space="preserve">3 </w:t>
            </w:r>
          </w:p>
        </w:tc>
        <w:tc>
          <w:tcPr>
            <w:tcW w:w="1162" w:type="dxa"/>
            <w:shd w:val="clear" w:color="auto" w:fill="C6EFCE"/>
          </w:tcPr>
          <w:p w14:paraId="50B4ACB2" w14:textId="77777777" w:rsidR="003B5F50" w:rsidRDefault="000D2D85">
            <w:pPr>
              <w:pStyle w:val="P68B1DB1-Normal14"/>
              <w:spacing w:after="0" w:line="240" w:lineRule="auto"/>
              <w:jc w:val="both"/>
              <w:rPr>
                <w:rFonts w:eastAsia="Times New Roman"/>
                <w:noProof/>
                <w:szCs w:val="20"/>
              </w:rPr>
            </w:pPr>
            <w:r>
              <w:rPr>
                <w:noProof/>
              </w:rPr>
              <w:t>T4</w:t>
            </w:r>
          </w:p>
        </w:tc>
        <w:tc>
          <w:tcPr>
            <w:tcW w:w="820" w:type="dxa"/>
            <w:shd w:val="clear" w:color="auto" w:fill="C6EFCE"/>
          </w:tcPr>
          <w:p w14:paraId="50B4ACB3" w14:textId="77777777" w:rsidR="003B5F50" w:rsidRDefault="000D2D85">
            <w:pPr>
              <w:pStyle w:val="P68B1DB1-Normal14"/>
              <w:spacing w:after="0" w:line="240" w:lineRule="auto"/>
              <w:jc w:val="both"/>
              <w:rPr>
                <w:rFonts w:eastAsia="Times New Roman"/>
                <w:noProof/>
                <w:szCs w:val="20"/>
              </w:rPr>
            </w:pPr>
            <w:r>
              <w:rPr>
                <w:noProof/>
              </w:rPr>
              <w:t>2023</w:t>
            </w:r>
          </w:p>
        </w:tc>
        <w:tc>
          <w:tcPr>
            <w:tcW w:w="3404" w:type="dxa"/>
            <w:shd w:val="clear" w:color="auto" w:fill="C6EFCE"/>
          </w:tcPr>
          <w:p w14:paraId="50B4ACB4" w14:textId="77777777" w:rsidR="003B5F50" w:rsidRDefault="000D2D85">
            <w:pPr>
              <w:spacing w:after="0" w:line="240" w:lineRule="auto"/>
              <w:jc w:val="both"/>
              <w:rPr>
                <w:rFonts w:ascii="Times New Roman" w:eastAsia="Times New Roman" w:hAnsi="Times New Roman"/>
                <w:noProof/>
                <w:color w:val="006100"/>
                <w:sz w:val="20"/>
                <w:szCs w:val="20"/>
              </w:rPr>
            </w:pPr>
            <w:r>
              <w:rPr>
                <w:rFonts w:ascii="Times New Roman" w:hAnsi="Times New Roman"/>
                <w:noProof/>
                <w:color w:val="006100"/>
                <w:sz w:val="20"/>
              </w:rPr>
              <w:t>Développement et adoption des trois méthodologies de classification des bâtiments monumentaux afin d'accroître la transparence, l'acceptation par le public et d'accélérer les processus décisionnels du Conseil des monuments de la République slovaque. Sur la base de méthodes normalisées, les diagnostics d’au moins 1</w:t>
            </w:r>
            <w:r>
              <w:rPr>
                <w:noProof/>
              </w:rPr>
              <w:t> </w:t>
            </w:r>
            <w:r>
              <w:rPr>
                <w:rFonts w:ascii="Times New Roman" w:hAnsi="Times New Roman"/>
                <w:noProof/>
                <w:color w:val="006100"/>
                <w:sz w:val="20"/>
              </w:rPr>
              <w:t xml:space="preserve">000 monuments appartenant à l’État sont adoptés par le conseil des monuments afin de fournir des diagnostics sur les aspects techniques fondamentaux, la construction, les aspects économiques, énergétiques et autres des monuments appartenant à l’État concernés afin de faciliter les décisions de rénovation. </w:t>
            </w:r>
          </w:p>
        </w:tc>
      </w:tr>
      <w:tr w:rsidR="003B5F50" w14:paraId="50B4ACC4" w14:textId="77777777" w:rsidTr="0047495F">
        <w:trPr>
          <w:trHeight w:val="300"/>
        </w:trPr>
        <w:tc>
          <w:tcPr>
            <w:tcW w:w="791" w:type="dxa"/>
            <w:shd w:val="clear" w:color="auto" w:fill="C6EFCE"/>
          </w:tcPr>
          <w:p w14:paraId="50B4ACB6" w14:textId="77777777" w:rsidR="003B5F50" w:rsidRDefault="000D2D85">
            <w:pPr>
              <w:pStyle w:val="P68B1DB1-Normal15"/>
              <w:spacing w:after="0" w:line="240" w:lineRule="auto"/>
              <w:jc w:val="both"/>
              <w:rPr>
                <w:rFonts w:eastAsia="Times New Roman"/>
                <w:noProof/>
              </w:rPr>
            </w:pPr>
            <w:r>
              <w:rPr>
                <w:noProof/>
              </w:rPr>
              <w:t>7</w:t>
            </w:r>
          </w:p>
        </w:tc>
        <w:tc>
          <w:tcPr>
            <w:tcW w:w="1614" w:type="dxa"/>
            <w:shd w:val="clear" w:color="auto" w:fill="C6EFCE"/>
          </w:tcPr>
          <w:p w14:paraId="50B4ACB7" w14:textId="77777777" w:rsidR="003B5F50" w:rsidRDefault="000D2D85">
            <w:pPr>
              <w:pStyle w:val="P68B1DB1-Normal14"/>
              <w:spacing w:after="0" w:line="240" w:lineRule="auto"/>
              <w:jc w:val="both"/>
              <w:rPr>
                <w:rFonts w:eastAsia="Times New Roman"/>
                <w:noProof/>
                <w:szCs w:val="20"/>
              </w:rPr>
            </w:pPr>
            <w:r>
              <w:rPr>
                <w:noProof/>
              </w:rPr>
              <w:t xml:space="preserve"> 2- Rénovation des bâtiments – Investissement 2:  Rénovation de bâtiments publics historiques et classés </w:t>
            </w:r>
          </w:p>
        </w:tc>
        <w:tc>
          <w:tcPr>
            <w:tcW w:w="846" w:type="dxa"/>
            <w:shd w:val="clear" w:color="auto" w:fill="C6EFCE"/>
          </w:tcPr>
          <w:p w14:paraId="50B4ACB8" w14:textId="77777777" w:rsidR="003B5F50" w:rsidRDefault="000D2D85">
            <w:pPr>
              <w:pStyle w:val="P68B1DB1-Normal14"/>
              <w:spacing w:after="0" w:line="240" w:lineRule="auto"/>
              <w:jc w:val="both"/>
              <w:rPr>
                <w:rFonts w:eastAsia="Times New Roman"/>
                <w:noProof/>
                <w:szCs w:val="20"/>
              </w:rPr>
            </w:pPr>
            <w:r>
              <w:rPr>
                <w:noProof/>
              </w:rPr>
              <w:t>Objectif</w:t>
            </w:r>
          </w:p>
        </w:tc>
        <w:tc>
          <w:tcPr>
            <w:tcW w:w="1500" w:type="dxa"/>
            <w:shd w:val="clear" w:color="auto" w:fill="C6EFCE"/>
          </w:tcPr>
          <w:p w14:paraId="50B4ACB9" w14:textId="77777777" w:rsidR="003B5F50" w:rsidRDefault="000D2D85">
            <w:pPr>
              <w:pStyle w:val="P68B1DB1-Normal15"/>
              <w:spacing w:after="0" w:line="240" w:lineRule="auto"/>
              <w:rPr>
                <w:rFonts w:eastAsia="Times New Roman"/>
                <w:noProof/>
              </w:rPr>
            </w:pPr>
            <w:r>
              <w:rPr>
                <w:noProof/>
              </w:rPr>
              <w:t>Surface au sol des bâtiments publics historiques et classés rénovés</w:t>
            </w:r>
          </w:p>
          <w:p w14:paraId="50B4ACBA" w14:textId="77777777" w:rsidR="003B5F50" w:rsidRDefault="000D2D85">
            <w:pPr>
              <w:pStyle w:val="P68B1DB1-Normal15"/>
              <w:spacing w:after="0" w:line="240" w:lineRule="auto"/>
              <w:rPr>
                <w:rFonts w:eastAsia="Times New Roman"/>
                <w:noProof/>
              </w:rPr>
            </w:pPr>
            <w:r>
              <w:rPr>
                <w:noProof/>
              </w:rPr>
              <w:t xml:space="preserve">réaliser, en moyenne, au moins 30 % des économies d'énergie primaire </w:t>
            </w:r>
          </w:p>
        </w:tc>
        <w:tc>
          <w:tcPr>
            <w:tcW w:w="1500" w:type="dxa"/>
            <w:shd w:val="clear" w:color="auto" w:fill="C6EFCE"/>
          </w:tcPr>
          <w:p w14:paraId="50B4ACBB" w14:textId="77777777" w:rsidR="003B5F50" w:rsidRDefault="000D2D85">
            <w:pPr>
              <w:pStyle w:val="P68B1DB1-Normal14"/>
              <w:spacing w:after="0" w:line="240" w:lineRule="auto"/>
              <w:jc w:val="both"/>
              <w:rPr>
                <w:rFonts w:eastAsia="Times New Roman"/>
                <w:noProof/>
                <w:szCs w:val="20"/>
              </w:rPr>
            </w:pPr>
            <w:r>
              <w:rPr>
                <w:noProof/>
              </w:rPr>
              <w:t xml:space="preserve"> </w:t>
            </w:r>
          </w:p>
        </w:tc>
        <w:tc>
          <w:tcPr>
            <w:tcW w:w="959" w:type="dxa"/>
            <w:shd w:val="clear" w:color="auto" w:fill="C6EFCE"/>
          </w:tcPr>
          <w:p w14:paraId="50B4ACBC" w14:textId="77777777" w:rsidR="003B5F50" w:rsidRDefault="000D2D85">
            <w:pPr>
              <w:pStyle w:val="P68B1DB1-Normal14"/>
              <w:spacing w:after="0" w:line="240" w:lineRule="auto"/>
              <w:jc w:val="both"/>
              <w:rPr>
                <w:rFonts w:eastAsia="Times New Roman"/>
                <w:noProof/>
                <w:szCs w:val="20"/>
              </w:rPr>
            </w:pPr>
            <w:r>
              <w:rPr>
                <w:noProof/>
              </w:rPr>
              <w:t>Superficie (m2)</w:t>
            </w:r>
          </w:p>
          <w:p w14:paraId="50B4ACBD" w14:textId="77777777" w:rsidR="003B5F50" w:rsidRDefault="000D2D85">
            <w:pPr>
              <w:pStyle w:val="P68B1DB1-Normal14"/>
              <w:spacing w:after="0" w:line="240" w:lineRule="auto"/>
              <w:jc w:val="both"/>
              <w:rPr>
                <w:rFonts w:eastAsia="Times New Roman"/>
                <w:noProof/>
                <w:szCs w:val="20"/>
              </w:rPr>
            </w:pPr>
            <w:r>
              <w:rPr>
                <w:noProof/>
              </w:rPr>
              <w:t xml:space="preserve"> </w:t>
            </w:r>
          </w:p>
        </w:tc>
        <w:tc>
          <w:tcPr>
            <w:tcW w:w="1474" w:type="dxa"/>
            <w:shd w:val="clear" w:color="auto" w:fill="C6EFCE"/>
          </w:tcPr>
          <w:p w14:paraId="50B4ACBE" w14:textId="77777777" w:rsidR="003B5F50" w:rsidRDefault="000D2D85">
            <w:pPr>
              <w:pStyle w:val="P68B1DB1-Normal15"/>
              <w:spacing w:after="0" w:line="240" w:lineRule="auto"/>
              <w:jc w:val="both"/>
              <w:rPr>
                <w:rFonts w:eastAsia="Times New Roman"/>
                <w:noProof/>
              </w:rPr>
            </w:pPr>
            <w:r>
              <w:rPr>
                <w:noProof/>
              </w:rPr>
              <w:t>0</w:t>
            </w:r>
          </w:p>
          <w:p w14:paraId="50B4ACBF" w14:textId="77777777" w:rsidR="003B5F50" w:rsidRDefault="003B5F50">
            <w:pPr>
              <w:spacing w:after="0" w:line="240" w:lineRule="auto"/>
              <w:jc w:val="both"/>
              <w:rPr>
                <w:rFonts w:ascii="Times New Roman" w:eastAsia="Times New Roman" w:hAnsi="Times New Roman"/>
                <w:noProof/>
                <w:color w:val="006100"/>
                <w:sz w:val="20"/>
                <w:szCs w:val="20"/>
              </w:rPr>
            </w:pPr>
          </w:p>
        </w:tc>
        <w:tc>
          <w:tcPr>
            <w:tcW w:w="922" w:type="dxa"/>
            <w:shd w:val="clear" w:color="auto" w:fill="C6EFCE"/>
          </w:tcPr>
          <w:p w14:paraId="50B4ACC0" w14:textId="6F4C5335" w:rsidR="003B5F50" w:rsidRDefault="000D2D85">
            <w:pPr>
              <w:spacing w:after="0" w:line="240" w:lineRule="auto"/>
              <w:jc w:val="both"/>
              <w:rPr>
                <w:rFonts w:ascii="Times New Roman" w:hAnsi="Times New Roman"/>
                <w:noProof/>
                <w:color w:val="006100"/>
                <w:sz w:val="20"/>
                <w:szCs w:val="20"/>
              </w:rPr>
            </w:pPr>
            <w:r>
              <w:rPr>
                <w:rFonts w:ascii="Times New Roman" w:hAnsi="Times New Roman"/>
                <w:noProof/>
                <w:color w:val="006100"/>
                <w:sz w:val="20"/>
                <w:szCs w:val="20"/>
              </w:rPr>
              <w:t>99</w:t>
            </w:r>
            <w:r>
              <w:rPr>
                <w:noProof/>
              </w:rPr>
              <w:t xml:space="preserve"> </w:t>
            </w:r>
            <w:r>
              <w:rPr>
                <w:rFonts w:ascii="Times New Roman" w:hAnsi="Times New Roman"/>
                <w:noProof/>
                <w:color w:val="006100"/>
                <w:sz w:val="20"/>
                <w:szCs w:val="20"/>
              </w:rPr>
              <w:t>348</w:t>
            </w:r>
          </w:p>
        </w:tc>
        <w:tc>
          <w:tcPr>
            <w:tcW w:w="1162" w:type="dxa"/>
            <w:shd w:val="clear" w:color="auto" w:fill="C6EFCE"/>
          </w:tcPr>
          <w:p w14:paraId="50B4ACC1" w14:textId="77777777" w:rsidR="003B5F50" w:rsidRDefault="000D2D85">
            <w:pPr>
              <w:pStyle w:val="P68B1DB1-Normal15"/>
              <w:spacing w:after="0" w:line="240" w:lineRule="auto"/>
              <w:jc w:val="both"/>
              <w:rPr>
                <w:rFonts w:eastAsia="Times New Roman"/>
                <w:noProof/>
              </w:rPr>
            </w:pPr>
            <w:r>
              <w:rPr>
                <w:noProof/>
              </w:rPr>
              <w:t>T2</w:t>
            </w:r>
          </w:p>
        </w:tc>
        <w:tc>
          <w:tcPr>
            <w:tcW w:w="820" w:type="dxa"/>
            <w:shd w:val="clear" w:color="auto" w:fill="C6EFCE"/>
          </w:tcPr>
          <w:p w14:paraId="50B4ACC2" w14:textId="77777777" w:rsidR="003B5F50" w:rsidRDefault="000D2D85">
            <w:pPr>
              <w:pStyle w:val="P68B1DB1-Normal14"/>
              <w:spacing w:after="0" w:line="240" w:lineRule="auto"/>
              <w:jc w:val="both"/>
              <w:rPr>
                <w:rFonts w:eastAsia="Times New Roman"/>
                <w:noProof/>
                <w:szCs w:val="20"/>
              </w:rPr>
            </w:pPr>
            <w:r>
              <w:rPr>
                <w:noProof/>
              </w:rPr>
              <w:t>2026</w:t>
            </w:r>
          </w:p>
        </w:tc>
        <w:tc>
          <w:tcPr>
            <w:tcW w:w="3404" w:type="dxa"/>
            <w:shd w:val="clear" w:color="auto" w:fill="C6EFCE"/>
            <w:vAlign w:val="center"/>
          </w:tcPr>
          <w:p w14:paraId="50B4ACC3" w14:textId="7BDD4CBF" w:rsidR="003B5F50" w:rsidRDefault="000D2D85">
            <w:pPr>
              <w:spacing w:after="0" w:line="240" w:lineRule="auto"/>
              <w:jc w:val="both"/>
              <w:rPr>
                <w:rFonts w:ascii="Times New Roman" w:eastAsia="Times New Roman" w:hAnsi="Times New Roman"/>
                <w:noProof/>
                <w:color w:val="006100"/>
                <w:sz w:val="20"/>
                <w:szCs w:val="20"/>
              </w:rPr>
            </w:pPr>
            <w:r>
              <w:rPr>
                <w:rFonts w:ascii="Times New Roman" w:hAnsi="Times New Roman"/>
                <w:noProof/>
                <w:color w:val="006100"/>
                <w:sz w:val="20"/>
                <w:szCs w:val="20"/>
              </w:rPr>
              <w:t>Au moins 99</w:t>
            </w:r>
            <w:r>
              <w:rPr>
                <w:noProof/>
              </w:rPr>
              <w:t> </w:t>
            </w:r>
            <w:r>
              <w:rPr>
                <w:rFonts w:ascii="Times New Roman" w:hAnsi="Times New Roman"/>
                <w:noProof/>
                <w:color w:val="006100"/>
                <w:sz w:val="20"/>
                <w:szCs w:val="20"/>
              </w:rPr>
              <w:t>348 m2 de bâtiments sont rénovés, sélectionnés dans le cadre de l’appel ouvert ou de l’appel direct en faveur de bâtiments publics historiques et classés. L’appel définit les conditions permettant de réaliser en moyenne au moins 30 % d’économies d’énergie primaire, de respecter les principes consistant à «ne pas causer de préjudice important» et de mettre en œuvre d’autres mesures complémentaires (par exemple, rétention des eaux de pluie, enlèvement de l’amiante, accessibilité des bâtiments). Lorsque le remplacement de la chaudière est soutenu dans le cadre de l’appel, il représente au maximum 20 % du programme global de rénovation.</w:t>
            </w:r>
          </w:p>
        </w:tc>
      </w:tr>
      <w:tr w:rsidR="003B5F50" w14:paraId="50B4ACD0" w14:textId="77777777" w:rsidTr="0047495F">
        <w:trPr>
          <w:trHeight w:val="300"/>
        </w:trPr>
        <w:tc>
          <w:tcPr>
            <w:tcW w:w="791" w:type="dxa"/>
            <w:shd w:val="clear" w:color="auto" w:fill="C6EFCE"/>
          </w:tcPr>
          <w:p w14:paraId="50B4ACC5" w14:textId="77777777" w:rsidR="003B5F50" w:rsidRDefault="000D2D85">
            <w:pPr>
              <w:pStyle w:val="P68B1DB1-Normal14"/>
              <w:spacing w:after="0" w:line="240" w:lineRule="auto"/>
              <w:jc w:val="both"/>
              <w:rPr>
                <w:rFonts w:eastAsia="Times New Roman"/>
                <w:noProof/>
                <w:szCs w:val="20"/>
              </w:rPr>
            </w:pPr>
            <w:r>
              <w:rPr>
                <w:noProof/>
              </w:rPr>
              <w:t>8</w:t>
            </w:r>
          </w:p>
        </w:tc>
        <w:tc>
          <w:tcPr>
            <w:tcW w:w="1614" w:type="dxa"/>
            <w:shd w:val="clear" w:color="auto" w:fill="C6EFCE"/>
          </w:tcPr>
          <w:p w14:paraId="50B4ACC6" w14:textId="77777777" w:rsidR="003B5F50" w:rsidRDefault="000D2D85">
            <w:pPr>
              <w:pStyle w:val="P68B1DB1-Normal14"/>
              <w:spacing w:after="0" w:line="240" w:lineRule="auto"/>
              <w:rPr>
                <w:rFonts w:eastAsia="Times New Roman"/>
                <w:noProof/>
                <w:szCs w:val="20"/>
              </w:rPr>
            </w:pPr>
            <w:r>
              <w:rPr>
                <w:noProof/>
              </w:rPr>
              <w:t xml:space="preserve"> 2 – Rénovation des bâtiments – Réforme 3: La gestion des déchets de construction et de démolition</w:t>
            </w:r>
          </w:p>
        </w:tc>
        <w:tc>
          <w:tcPr>
            <w:tcW w:w="846" w:type="dxa"/>
            <w:shd w:val="clear" w:color="auto" w:fill="C6EFCE"/>
          </w:tcPr>
          <w:p w14:paraId="50B4ACC7" w14:textId="77777777" w:rsidR="003B5F50" w:rsidRDefault="000D2D85">
            <w:pPr>
              <w:pStyle w:val="P68B1DB1-Normal14"/>
              <w:spacing w:after="0" w:line="240" w:lineRule="auto"/>
              <w:jc w:val="both"/>
              <w:rPr>
                <w:rFonts w:eastAsia="Times New Roman"/>
                <w:noProof/>
                <w:szCs w:val="20"/>
              </w:rPr>
            </w:pPr>
            <w:r>
              <w:rPr>
                <w:noProof/>
              </w:rPr>
              <w:t>Étape</w:t>
            </w:r>
          </w:p>
        </w:tc>
        <w:tc>
          <w:tcPr>
            <w:tcW w:w="1500" w:type="dxa"/>
            <w:shd w:val="clear" w:color="auto" w:fill="C6EFCE"/>
          </w:tcPr>
          <w:p w14:paraId="50B4ACC8" w14:textId="77777777" w:rsidR="003B5F50" w:rsidRDefault="000D2D85">
            <w:pPr>
              <w:pStyle w:val="P68B1DB1-Normal14"/>
              <w:spacing w:after="0" w:line="240" w:lineRule="auto"/>
              <w:rPr>
                <w:rFonts w:eastAsia="Times New Roman"/>
                <w:noProof/>
                <w:szCs w:val="20"/>
              </w:rPr>
            </w:pPr>
            <w:r>
              <w:rPr>
                <w:noProof/>
              </w:rPr>
              <w:t xml:space="preserve">La modification de la loi sur les déchets </w:t>
            </w:r>
          </w:p>
        </w:tc>
        <w:tc>
          <w:tcPr>
            <w:tcW w:w="1500" w:type="dxa"/>
            <w:shd w:val="clear" w:color="auto" w:fill="C6EFCE"/>
          </w:tcPr>
          <w:p w14:paraId="50B4ACC9" w14:textId="77777777" w:rsidR="003B5F50" w:rsidRDefault="000D2D85">
            <w:pPr>
              <w:pStyle w:val="P68B1DB1-Normal14"/>
              <w:spacing w:after="0" w:line="240" w:lineRule="auto"/>
              <w:rPr>
                <w:rFonts w:eastAsia="Times New Roman"/>
                <w:noProof/>
                <w:szCs w:val="20"/>
              </w:rPr>
            </w:pPr>
            <w:r>
              <w:rPr>
                <w:noProof/>
              </w:rPr>
              <w:t xml:space="preserve">Entrée en vigueur de la modification législative de la loi sur les déchets  </w:t>
            </w:r>
          </w:p>
        </w:tc>
        <w:tc>
          <w:tcPr>
            <w:tcW w:w="959" w:type="dxa"/>
            <w:shd w:val="clear" w:color="auto" w:fill="C6EFCE"/>
          </w:tcPr>
          <w:p w14:paraId="50B4ACCA" w14:textId="77777777" w:rsidR="003B5F50" w:rsidRDefault="000D2D85">
            <w:pPr>
              <w:pStyle w:val="P68B1DB1-Normal14"/>
              <w:spacing w:after="0" w:line="240" w:lineRule="auto"/>
              <w:jc w:val="both"/>
              <w:rPr>
                <w:rFonts w:eastAsia="Times New Roman"/>
                <w:noProof/>
                <w:szCs w:val="20"/>
              </w:rPr>
            </w:pPr>
            <w:r>
              <w:rPr>
                <w:noProof/>
              </w:rPr>
              <w:t xml:space="preserve"> </w:t>
            </w:r>
          </w:p>
        </w:tc>
        <w:tc>
          <w:tcPr>
            <w:tcW w:w="1474" w:type="dxa"/>
            <w:shd w:val="clear" w:color="auto" w:fill="C6EFCE"/>
          </w:tcPr>
          <w:p w14:paraId="50B4ACCB" w14:textId="77777777" w:rsidR="003B5F50" w:rsidRDefault="000D2D85">
            <w:pPr>
              <w:pStyle w:val="P68B1DB1-Normal14"/>
              <w:spacing w:after="0" w:line="240" w:lineRule="auto"/>
              <w:jc w:val="both"/>
              <w:rPr>
                <w:rFonts w:eastAsia="Times New Roman"/>
                <w:noProof/>
                <w:szCs w:val="20"/>
              </w:rPr>
            </w:pPr>
            <w:r>
              <w:rPr>
                <w:noProof/>
              </w:rPr>
              <w:t>0</w:t>
            </w:r>
          </w:p>
        </w:tc>
        <w:tc>
          <w:tcPr>
            <w:tcW w:w="922" w:type="dxa"/>
            <w:shd w:val="clear" w:color="auto" w:fill="C6EFCE"/>
          </w:tcPr>
          <w:p w14:paraId="50B4ACCC" w14:textId="77777777" w:rsidR="003B5F50" w:rsidRDefault="000D2D85">
            <w:pPr>
              <w:pStyle w:val="P68B1DB1-Normal14"/>
              <w:spacing w:after="0" w:line="240" w:lineRule="auto"/>
              <w:jc w:val="both"/>
              <w:rPr>
                <w:rFonts w:eastAsia="Times New Roman"/>
                <w:noProof/>
                <w:szCs w:val="20"/>
              </w:rPr>
            </w:pPr>
            <w:r>
              <w:rPr>
                <w:noProof/>
              </w:rPr>
              <w:t>1</w:t>
            </w:r>
          </w:p>
        </w:tc>
        <w:tc>
          <w:tcPr>
            <w:tcW w:w="1162" w:type="dxa"/>
            <w:shd w:val="clear" w:color="auto" w:fill="C6EFCE"/>
          </w:tcPr>
          <w:p w14:paraId="50B4ACCD" w14:textId="77777777" w:rsidR="003B5F50" w:rsidRDefault="000D2D85">
            <w:pPr>
              <w:pStyle w:val="P68B1DB1-Normal14"/>
              <w:spacing w:after="0" w:line="240" w:lineRule="auto"/>
              <w:jc w:val="both"/>
              <w:rPr>
                <w:rFonts w:eastAsia="Times New Roman"/>
                <w:noProof/>
                <w:szCs w:val="20"/>
              </w:rPr>
            </w:pPr>
            <w:r>
              <w:rPr>
                <w:noProof/>
              </w:rPr>
              <w:t>T2</w:t>
            </w:r>
          </w:p>
        </w:tc>
        <w:tc>
          <w:tcPr>
            <w:tcW w:w="820" w:type="dxa"/>
            <w:shd w:val="clear" w:color="auto" w:fill="C6EFCE"/>
          </w:tcPr>
          <w:p w14:paraId="50B4ACCE" w14:textId="77777777" w:rsidR="003B5F50" w:rsidRDefault="000D2D85">
            <w:pPr>
              <w:pStyle w:val="P68B1DB1-Normal14"/>
              <w:spacing w:after="0" w:line="240" w:lineRule="auto"/>
              <w:jc w:val="both"/>
              <w:rPr>
                <w:rFonts w:eastAsia="Times New Roman"/>
                <w:noProof/>
                <w:szCs w:val="20"/>
              </w:rPr>
            </w:pPr>
            <w:r>
              <w:rPr>
                <w:noProof/>
              </w:rPr>
              <w:t>2022</w:t>
            </w:r>
          </w:p>
        </w:tc>
        <w:tc>
          <w:tcPr>
            <w:tcW w:w="3404" w:type="dxa"/>
            <w:shd w:val="clear" w:color="auto" w:fill="C6EFCE"/>
          </w:tcPr>
          <w:p w14:paraId="50B4ACCF" w14:textId="77777777" w:rsidR="003B5F50" w:rsidRDefault="000D2D85">
            <w:pPr>
              <w:pStyle w:val="P68B1DB1-Normal14"/>
              <w:spacing w:after="0" w:line="240" w:lineRule="auto"/>
              <w:jc w:val="both"/>
              <w:rPr>
                <w:rFonts w:eastAsia="Times New Roman"/>
                <w:noProof/>
                <w:szCs w:val="20"/>
              </w:rPr>
            </w:pPr>
            <w:r>
              <w:rPr>
                <w:noProof/>
              </w:rPr>
              <w:t>La législation révisée en matière de déchets adoptée par le ministère de l’environnement accroîtra le potentiel de l’économie circulaire dans le secteur des déchets de construction et de démolition et dans le secteur de la construction, ce qui permettra de recycler et de réutiliser au moins 70 % des déchets de construction et de démolition non dangereux. Il comprend des marchés publics écologiques obligatoires pour les investissements dans la construction au sein de l’administration publique, augmente les redevances légales pour la mise en décharge et simplifie les règles d’utilisation des déchets de construction et de démolition.</w:t>
            </w:r>
          </w:p>
        </w:tc>
      </w:tr>
    </w:tbl>
    <w:p w14:paraId="50B4ACD1" w14:textId="77777777" w:rsidR="003B5F50" w:rsidRDefault="003B5F50">
      <w:pPr>
        <w:spacing w:before="120" w:after="120" w:line="240" w:lineRule="auto"/>
        <w:jc w:val="both"/>
        <w:rPr>
          <w:rFonts w:ascii="Times New Roman" w:hAnsi="Times New Roman"/>
          <w:noProof/>
        </w:rPr>
        <w:sectPr w:rsidR="003B5F50" w:rsidSect="003E3DD3">
          <w:headerReference w:type="even" r:id="rId35"/>
          <w:headerReference w:type="default" r:id="rId36"/>
          <w:footerReference w:type="even" r:id="rId37"/>
          <w:footerReference w:type="default" r:id="rId38"/>
          <w:headerReference w:type="first" r:id="rId39"/>
          <w:footerReference w:type="first" r:id="rId40"/>
          <w:pgSz w:w="16839" w:h="11907" w:orient="landscape"/>
          <w:pgMar w:top="1134" w:right="1134" w:bottom="1134" w:left="1134" w:header="567" w:footer="567" w:gutter="0"/>
          <w:cols w:space="720"/>
          <w:docGrid w:linePitch="360"/>
        </w:sectPr>
      </w:pPr>
    </w:p>
    <w:p w14:paraId="50B4ACD2" w14:textId="77777777" w:rsidR="003B5F50" w:rsidRDefault="000D2D85">
      <w:pPr>
        <w:pStyle w:val="P68B1DB1-Heading218"/>
        <w:rPr>
          <w:noProof/>
        </w:rPr>
      </w:pPr>
      <w:r>
        <w:rPr>
          <w:noProof/>
        </w:rPr>
        <w:t>Élément 3: Transports durables</w:t>
      </w:r>
    </w:p>
    <w:p w14:paraId="50B4ACD3" w14:textId="77777777" w:rsidR="003B5F50" w:rsidRDefault="000D2D85">
      <w:pPr>
        <w:pStyle w:val="NormalWeb"/>
        <w:rPr>
          <w:rFonts w:eastAsia="Times New Roman"/>
          <w:noProof/>
        </w:rPr>
      </w:pPr>
      <w:r>
        <w:rPr>
          <w:noProof/>
        </w:rPr>
        <w:t>Le volet du plan slovaque pour la reprise et la résilience vise à accroître la part des formes de transport respectueuses de l’environnement, au moyen de mesures et de solutions intelligentes fondées sur l’analyse des données, afin d’augmenter le nombre de passagers voyageant par chemin de fer et par transport public de passagers, le volume de marchandises transportées dans le cadre d’un transport intermodal respectueux de l’environnement, ainsi qu’à soutenir le développement d’infrastructures de propulsion alternatives, réduisant ainsi les émissions de CO</w:t>
      </w:r>
      <w:r>
        <w:rPr>
          <w:noProof/>
          <w:vertAlign w:val="subscript"/>
        </w:rPr>
        <w:t xml:space="preserve"> 2</w:t>
      </w:r>
      <w:r>
        <w:rPr>
          <w:noProof/>
        </w:rPr>
        <w:t xml:space="preserve"> dans les transports et améliorant la qualité de l’air. Les investissements intelligents et numériques favorisent des transports ferroviaires et des transports publics de voyageurs plus rapides, plus fiables et plus efficaces, ce qui incite les passagers à abandonner les voitures et les autres moyens de transport à base de carbone. Le composant permettra une utilisation plus large de propulsions alternatives pour des transports durables, respectueux de l’environnement, abordables et intelligents, tout en promouvant l’utilisation de réseaux intelligents. Elle contribue à la compétitivité de l'économie en créant des conditions de marché pour les fournisseurs de machines de transport. </w:t>
      </w:r>
    </w:p>
    <w:p w14:paraId="50B4ACD4" w14:textId="77777777" w:rsidR="003B5F50" w:rsidRDefault="000D2D85">
      <w:pPr>
        <w:pStyle w:val="NormalWeb"/>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ACD6" w14:textId="4413D122" w:rsidR="003B5F50" w:rsidRDefault="000D2D85">
      <w:pPr>
        <w:pStyle w:val="NormalWeb"/>
        <w:rPr>
          <w:rFonts w:eastAsia="Times New Roman"/>
          <w:noProof/>
        </w:rPr>
      </w:pPr>
      <w:r>
        <w:rPr>
          <w:noProof/>
        </w:rPr>
        <w:t xml:space="preserve">Les réformes et les investissements relevant du volet concernent directement la recommandation du Conseil concernant le programme national de réforme de la Slovaquie pour 2020 et l’avis du Conseil concernant le programme de stabilité de la Slovaquie pour 2020, selon lesquels la Slovaquie </w:t>
      </w:r>
      <w:r>
        <w:rPr>
          <w:i/>
          <w:noProof/>
        </w:rPr>
        <w:t>«met en œuvre des projets d’investissement public prêts dès que possible et soutient les investissements du secteur privé afin de soutenir la reprise économique. Concentrer les investissements sur les transitions écologique et numérique, en particulier sur la production et l’utilisation propres et efficaces de l’énergie et des ressources, les transports publics durables et la gestion des déchets.»</w:t>
      </w:r>
      <w:r>
        <w:rPr>
          <w:noProof/>
        </w:rPr>
        <w:t xml:space="preserve"> Le volet comprend quatre réformes et quatre investissements.</w:t>
      </w:r>
    </w:p>
    <w:p w14:paraId="50B4ACD7" w14:textId="77777777" w:rsidR="003B5F50" w:rsidRDefault="003B5F50">
      <w:pPr>
        <w:spacing w:before="120" w:after="120" w:line="240" w:lineRule="auto"/>
        <w:jc w:val="both"/>
        <w:rPr>
          <w:rFonts w:ascii="Times New Roman" w:hAnsi="Times New Roman"/>
          <w:b/>
          <w:noProof/>
          <w:u w:val="single"/>
        </w:rPr>
      </w:pPr>
    </w:p>
    <w:p w14:paraId="50B4ACD8" w14:textId="77777777" w:rsidR="003B5F50" w:rsidRDefault="000D2D85">
      <w:pPr>
        <w:pStyle w:val="NormalWeb"/>
        <w:rPr>
          <w:noProof/>
        </w:rPr>
      </w:pPr>
      <w:r>
        <w:rPr>
          <w:b/>
          <w:noProof/>
          <w:u w:val="single"/>
        </w:rPr>
        <w:t xml:space="preserve">A.1. </w:t>
      </w:r>
      <w:r>
        <w:rPr>
          <w:noProof/>
        </w:rPr>
        <w:t xml:space="preserve"> </w:t>
      </w:r>
      <w:r>
        <w:rPr>
          <w:b/>
          <w:noProof/>
          <w:u w:val="single"/>
        </w:rPr>
        <w:t>Description des réformes et des investissements pour le soutien financier non remboursable</w:t>
      </w:r>
    </w:p>
    <w:p w14:paraId="50B4ACD9" w14:textId="77777777" w:rsidR="003B5F50" w:rsidRDefault="000D2D85">
      <w:pPr>
        <w:pStyle w:val="NormalWeb"/>
        <w:rPr>
          <w:noProof/>
        </w:rPr>
      </w:pPr>
      <w:r>
        <w:rPr>
          <w:noProof/>
        </w:rPr>
        <w:t xml:space="preserve"> </w:t>
      </w:r>
    </w:p>
    <w:p w14:paraId="50B4ACDA" w14:textId="77777777" w:rsidR="003B5F50" w:rsidRDefault="000D2D85">
      <w:pPr>
        <w:pStyle w:val="P68B1DB1-Normal19"/>
        <w:spacing w:before="120" w:after="120" w:line="240" w:lineRule="auto"/>
        <w:jc w:val="both"/>
        <w:rPr>
          <w:noProof/>
        </w:rPr>
      </w:pPr>
      <w:r>
        <w:rPr>
          <w:noProof/>
        </w:rPr>
        <w:t>Réforme 1 relative à la préparation des projets d'investissement dans les transports.</w:t>
      </w:r>
    </w:p>
    <w:p w14:paraId="50B4ACDB" w14:textId="77777777" w:rsidR="003B5F50" w:rsidRDefault="000D2D85">
      <w:pPr>
        <w:pStyle w:val="NormalWeb"/>
        <w:rPr>
          <w:noProof/>
        </w:rPr>
      </w:pPr>
      <w:r>
        <w:rPr>
          <w:noProof/>
        </w:rPr>
        <w:t>La réforme vise à améliorer la gestion des investissements et à accroître leurs avantages économiques. Cet objectif est atteint au moyen des mesures suivantes:</w:t>
      </w:r>
    </w:p>
    <w:p w14:paraId="50B4ACDC" w14:textId="77777777" w:rsidR="003B5F50" w:rsidRDefault="000D2D85">
      <w:pPr>
        <w:pStyle w:val="P68B1DB1-Normal20"/>
        <w:numPr>
          <w:ilvl w:val="0"/>
          <w:numId w:val="26"/>
        </w:numPr>
        <w:spacing w:before="120" w:line="257" w:lineRule="auto"/>
        <w:contextualSpacing/>
        <w:jc w:val="both"/>
        <w:rPr>
          <w:noProof/>
        </w:rPr>
      </w:pPr>
      <w:r>
        <w:rPr>
          <w:noProof/>
        </w:rPr>
        <w:t xml:space="preserve">l’établissement, au plus tard le 30 juin 2021, d’un plan d’investissement pour les projets d’infrastructure ferroviaire donnant la priorité aux projets en fonction de leur rapport qualité-prix; </w:t>
      </w:r>
    </w:p>
    <w:p w14:paraId="50B4ACDD" w14:textId="77777777" w:rsidR="003B5F50" w:rsidRDefault="000D2D85">
      <w:pPr>
        <w:pStyle w:val="P68B1DB1-Normal20"/>
        <w:numPr>
          <w:ilvl w:val="0"/>
          <w:numId w:val="26"/>
        </w:numPr>
        <w:spacing w:before="120" w:line="257" w:lineRule="auto"/>
        <w:contextualSpacing/>
        <w:jc w:val="both"/>
        <w:rPr>
          <w:rFonts w:eastAsia="Times New Roman"/>
          <w:noProof/>
        </w:rPr>
      </w:pPr>
      <w:r>
        <w:rPr>
          <w:noProof/>
        </w:rPr>
        <w:t>des modifications, au plus tard le 31 mars 2023, de la loi sur les chemins de fer et de la législation connexe simplifiant et rationalisant les exigences législatives et techniques relatives aux paramètres de l’infrastructure de transport;</w:t>
      </w:r>
    </w:p>
    <w:p w14:paraId="50B4ACDE" w14:textId="77777777" w:rsidR="003B5F50" w:rsidRDefault="000D2D85">
      <w:pPr>
        <w:pStyle w:val="P68B1DB1-Normal20"/>
        <w:numPr>
          <w:ilvl w:val="0"/>
          <w:numId w:val="26"/>
        </w:numPr>
        <w:spacing w:before="120" w:after="120" w:line="257" w:lineRule="auto"/>
        <w:ind w:left="714" w:hanging="357"/>
        <w:jc w:val="both"/>
        <w:rPr>
          <w:noProof/>
        </w:rPr>
      </w:pPr>
      <w:r>
        <w:rPr>
          <w:noProof/>
        </w:rPr>
        <w:t xml:space="preserve">la publication, au plus tard le 31 décembre 2021, d’une méthode permettant d’identifier les projets présentant le meilleur rapport qualité-prix possible et de contribuer à l’objectif de transfert modal des passagers du transport routier individuel vers le vélo. </w:t>
      </w:r>
    </w:p>
    <w:p w14:paraId="50B4ACDF" w14:textId="77777777" w:rsidR="003B5F50" w:rsidRDefault="000D2D85">
      <w:pPr>
        <w:pStyle w:val="P68B1DB1-Normal11"/>
        <w:spacing w:after="0" w:line="240" w:lineRule="auto"/>
        <w:jc w:val="both"/>
        <w:textAlignment w:val="baseline"/>
        <w:rPr>
          <w:rFonts w:ascii="Segoe UI" w:eastAsia="Times New Roman" w:hAnsi="Segoe UI" w:cs="Segoe UI"/>
          <w:noProof/>
          <w:sz w:val="18"/>
          <w:szCs w:val="18"/>
        </w:rPr>
      </w:pPr>
      <w:r>
        <w:rPr>
          <w:noProof/>
        </w:rPr>
        <w:t>La mise en œuvre de la réforme est achevée au plus tard le 31 mars 2023.   </w:t>
      </w:r>
    </w:p>
    <w:p w14:paraId="50B4ACE0" w14:textId="77777777" w:rsidR="003B5F50" w:rsidRDefault="003B5F50">
      <w:pPr>
        <w:spacing w:after="120" w:line="240" w:lineRule="auto"/>
        <w:jc w:val="both"/>
        <w:textAlignment w:val="baseline"/>
        <w:rPr>
          <w:rFonts w:ascii="Segoe UI" w:eastAsia="Times New Roman" w:hAnsi="Segoe UI" w:cs="Segoe UI"/>
          <w:noProof/>
          <w:sz w:val="18"/>
          <w:szCs w:val="18"/>
        </w:rPr>
      </w:pPr>
    </w:p>
    <w:p w14:paraId="2AFB7637" w14:textId="77777777" w:rsidR="003B5F50" w:rsidRDefault="000D2D85">
      <w:pPr>
        <w:pStyle w:val="P68B1DB1-Normal20"/>
        <w:rPr>
          <w:b/>
          <w:noProof/>
        </w:rPr>
      </w:pPr>
      <w:r>
        <w:rPr>
          <w:noProof/>
        </w:rPr>
        <w:br w:type="page"/>
      </w:r>
    </w:p>
    <w:p w14:paraId="50B4ACE1" w14:textId="6650207E" w:rsidR="003B5F50" w:rsidRDefault="000D2D85">
      <w:pPr>
        <w:pStyle w:val="P68B1DB1-Normal19"/>
        <w:spacing w:before="120" w:after="120" w:line="240" w:lineRule="auto"/>
        <w:jc w:val="both"/>
        <w:rPr>
          <w:noProof/>
        </w:rPr>
      </w:pPr>
      <w:r>
        <w:rPr>
          <w:noProof/>
        </w:rPr>
        <w:t>Réforme 2 sur les transports publics de voyageurs.</w:t>
      </w:r>
    </w:p>
    <w:p w14:paraId="50B4ACE2" w14:textId="77777777" w:rsidR="003B5F50" w:rsidRDefault="000D2D85">
      <w:pPr>
        <w:pStyle w:val="NormalWeb"/>
        <w:rPr>
          <w:noProof/>
        </w:rPr>
      </w:pPr>
      <w:r>
        <w:rPr>
          <w:noProof/>
        </w:rPr>
        <w:t>La réforme vise à améliorer l'offre de transport de passagers. Un nouveau plan de services de transport, suivi de l'optimisation du transport ferroviaire de voyageurs, constitue une part importante de la réforme globale des transports publics. La réforme s'appuiera sur une nouvelle législation définissant les règles, les responsabilités et les obligations en matière de coordination, de commande et de financement des services régionaux d'autobus et de train. La législation définit une autorité nationale chargée de coordonner, en coopération avec les intégrateurs régionaux, la création d'un système national de transport intégré à tarif unifié, ainsi que de coordonner la préparation et la mise en œuvre des procédures de passation de marchés publics tant pour les services ferroviaires publics de transport de voyageurs que pour les véhicules achetés avec le soutien de fonds de l'UE pour l'exploitation de ces liaisons au cours des périodes précédentes. La fréquence du transport ferroviaire sur les lignes présentant le plus fort potentiel de transfert de trafic des voitures vers les trains est augmentée, ce qui permet une meilleure coordination des services publics régionaux d’autobus et de train. Les mesures spécifiques suivantes sous-tendent cette réforme:</w:t>
      </w:r>
      <w:r>
        <w:rPr>
          <w:b/>
          <w:noProof/>
        </w:rPr>
        <w:t xml:space="preserve"> </w:t>
      </w:r>
    </w:p>
    <w:p w14:paraId="50B4ACE3" w14:textId="77777777" w:rsidR="003B5F50" w:rsidRDefault="000D2D85">
      <w:pPr>
        <w:pStyle w:val="P68B1DB1-Normal20"/>
        <w:numPr>
          <w:ilvl w:val="0"/>
          <w:numId w:val="27"/>
        </w:numPr>
        <w:spacing w:before="120" w:line="257" w:lineRule="auto"/>
        <w:contextualSpacing/>
        <w:jc w:val="both"/>
        <w:rPr>
          <w:noProof/>
        </w:rPr>
      </w:pPr>
      <w:r>
        <w:rPr>
          <w:noProof/>
        </w:rPr>
        <w:t>Au plus tard le 31 mars 2023, une nouvelle loi crée des normes en matière de transport public de voyageurs et rationalise l’ordre de service public, qui est actuellement fragmenté et insuffisamment coordonné entre l’État, les comtés, les villes et les municipalités.</w:t>
      </w:r>
    </w:p>
    <w:p w14:paraId="50B4ACE4" w14:textId="77777777" w:rsidR="003B5F50" w:rsidRDefault="000D2D85">
      <w:pPr>
        <w:pStyle w:val="P68B1DB1-Normal20"/>
        <w:numPr>
          <w:ilvl w:val="0"/>
          <w:numId w:val="27"/>
        </w:numPr>
        <w:spacing w:before="120" w:line="257" w:lineRule="auto"/>
        <w:contextualSpacing/>
        <w:jc w:val="both"/>
        <w:rPr>
          <w:noProof/>
        </w:rPr>
      </w:pPr>
      <w:r>
        <w:rPr>
          <w:noProof/>
        </w:rPr>
        <w:t xml:space="preserve">Au plus tard le 31 décembre 2023, des graphiques optimisés pour le transport ferroviaire sont publiés; </w:t>
      </w:r>
    </w:p>
    <w:p w14:paraId="50B4ACE5" w14:textId="77777777" w:rsidR="003B5F50" w:rsidRDefault="003B5F50">
      <w:pPr>
        <w:spacing w:before="120" w:line="257" w:lineRule="auto"/>
        <w:ind w:left="720"/>
        <w:contextualSpacing/>
        <w:jc w:val="both"/>
        <w:rPr>
          <w:noProof/>
        </w:rPr>
      </w:pPr>
    </w:p>
    <w:p w14:paraId="50B4ACE6" w14:textId="77777777" w:rsidR="003B5F50" w:rsidRDefault="000D2D85">
      <w:pPr>
        <w:pStyle w:val="P68B1DB1-Normal19"/>
        <w:spacing w:before="120" w:after="120" w:line="257" w:lineRule="auto"/>
        <w:jc w:val="both"/>
        <w:rPr>
          <w:noProof/>
        </w:rPr>
      </w:pPr>
      <w:r>
        <w:rPr>
          <w:noProof/>
        </w:rPr>
        <w:t>Réforme 3 sur le transport intermodal de marchandises.</w:t>
      </w:r>
    </w:p>
    <w:p w14:paraId="50B4ACE7" w14:textId="77777777" w:rsidR="003B5F50" w:rsidRDefault="000D2D85">
      <w:pPr>
        <w:pStyle w:val="P68B1DB1-Normal20"/>
        <w:spacing w:before="120" w:after="120" w:line="257" w:lineRule="auto"/>
        <w:jc w:val="both"/>
        <w:rPr>
          <w:rFonts w:eastAsia="Times New Roman"/>
          <w:noProof/>
        </w:rPr>
      </w:pPr>
      <w:r>
        <w:rPr>
          <w:noProof/>
        </w:rPr>
        <w:t xml:space="preserve">La réforme soutient le renforcement de l'intermodalité par la passation de marchés, la coordination de la logistique et la promotion du lancement de nouvelles routes intermodales. L'objectif de cette réforme est de transférer 30 % du transport routier sur 300 km vers le rail ou la navigation d'ici 2030 et plus de 50 % vers 2050 (par rapport à 2005). Elle le fait notamment en promouvant l’intérêt des transporteurs pour le transfert du fret routier vers le transport ferroviaire/intermodal, ainsi qu’en empêchant un nouveau transfert modal du transport ferroviaire. L'élaboration et l'approbation d'un concept de développement du transport intermodal, y compris la proposition de modifications législatives nécessaires, permettent d'adopter des mesures pour le développement systémique de modes de transport de marchandises respectueux de l'environnement. Le soutien vise à éliminer les problèmes techniques liés à la transition vers le transport intermodal et à le rendre plus attrayant. </w:t>
      </w:r>
    </w:p>
    <w:p w14:paraId="50B4ACE8" w14:textId="77777777" w:rsidR="003B5F50" w:rsidRDefault="000D2D85">
      <w:pPr>
        <w:pStyle w:val="P68B1DB1-Normal20"/>
        <w:spacing w:before="120" w:after="120" w:line="257" w:lineRule="auto"/>
        <w:jc w:val="both"/>
        <w:rPr>
          <w:noProof/>
          <w:color w:val="000000"/>
        </w:rPr>
      </w:pPr>
      <w:r>
        <w:rPr>
          <w:noProof/>
        </w:rPr>
        <w:t xml:space="preserve">La mise en œuvre de la réforme devrait débuter au </w:t>
      </w:r>
      <w:r>
        <w:rPr>
          <w:noProof/>
          <w:color w:val="000000" w:themeColor="text1"/>
        </w:rPr>
        <w:t>plus tard le 31 décembre 2021 et s’achever au plus tard le 31 décembre 2022.</w:t>
      </w:r>
    </w:p>
    <w:p w14:paraId="50B4ACE9" w14:textId="77777777" w:rsidR="003B5F50" w:rsidRDefault="000D2D85">
      <w:pPr>
        <w:pStyle w:val="P68B1DB1-Normal19"/>
        <w:spacing w:before="120" w:after="120" w:line="240" w:lineRule="auto"/>
        <w:jc w:val="both"/>
        <w:rPr>
          <w:noProof/>
        </w:rPr>
      </w:pPr>
      <w:r>
        <w:rPr>
          <w:noProof/>
        </w:rPr>
        <w:t>Réforme 4 relative à l'introduction de nouvelles politiques pour la promotion à long terme des carburants de substitution dans le secteur des transports.</w:t>
      </w:r>
    </w:p>
    <w:p w14:paraId="50B4ACEA" w14:textId="77777777" w:rsidR="003B5F50" w:rsidRDefault="000D2D85">
      <w:pPr>
        <w:pStyle w:val="NormalWeb"/>
        <w:rPr>
          <w:rFonts w:eastAsia="Times New Roman"/>
          <w:noProof/>
        </w:rPr>
      </w:pPr>
      <w:r>
        <w:rPr>
          <w:noProof/>
        </w:rPr>
        <w:t>La réforme est soutenue par l’entrée en vigueur, au plus tard le 31 décembre 2022, de nouvelles mesures législatives réforment les tarifs de distribution, simplifient et accélèrent le processus de construction d’infrastructures de propulsion alternatives. Ils introduisent également un «droit de point de recharge» et un cadre pluriannuel stable et prévisible pour soutenir la construction d’infrastructures de propulsion de substitution pertinentes.</w:t>
      </w:r>
    </w:p>
    <w:p w14:paraId="50B4ACEB" w14:textId="77777777" w:rsidR="003B5F50" w:rsidRDefault="000D2D85">
      <w:pPr>
        <w:pStyle w:val="P68B1DB1-Normal19"/>
        <w:rPr>
          <w:noProof/>
        </w:rPr>
      </w:pPr>
      <w:r>
        <w:rPr>
          <w:noProof/>
        </w:rPr>
        <w:t>l’investissement 1 sur le développement d’infrastructures de transport à faible intensité de carbone.</w:t>
      </w:r>
    </w:p>
    <w:p w14:paraId="50B4ACEC" w14:textId="77777777" w:rsidR="003B5F50" w:rsidRDefault="000D2D85">
      <w:pPr>
        <w:pStyle w:val="NormalWeb"/>
        <w:rPr>
          <w:rFonts w:eastAsia="Times New Roman"/>
          <w:noProof/>
        </w:rPr>
      </w:pPr>
      <w:r>
        <w:rPr>
          <w:noProof/>
        </w:rPr>
        <w:t xml:space="preserve">L’objectif de cet investissement est de promouvoir l’utilisation d’infrastructures de transport propres. Cet investissement consiste en l’électrification des lignes ferroviaires, la modernisation des lignes ferroviaires, l’installation de dispositifs de distribution/sécurité numérique et de communication, la construction ou la modernisation de lignes de tramway et de trolleybus et la construction d’infrastructures cyclables. </w:t>
      </w:r>
    </w:p>
    <w:p w14:paraId="7E9A3B53" w14:textId="77777777" w:rsidR="003B5F50" w:rsidRDefault="000D2D85">
      <w:pPr>
        <w:pStyle w:val="P68B1DB1-Normal20"/>
        <w:rPr>
          <w:b/>
          <w:noProof/>
        </w:rPr>
      </w:pPr>
      <w:r>
        <w:rPr>
          <w:noProof/>
        </w:rPr>
        <w:br w:type="page"/>
      </w:r>
    </w:p>
    <w:p w14:paraId="50B4ACED" w14:textId="0BF2D9CD" w:rsidR="003B5F50" w:rsidRDefault="000D2D85">
      <w:pPr>
        <w:pStyle w:val="P68B1DB1-Normal19"/>
        <w:spacing w:before="120" w:after="120" w:line="240" w:lineRule="auto"/>
        <w:jc w:val="both"/>
        <w:rPr>
          <w:noProof/>
        </w:rPr>
      </w:pPr>
      <w:r>
        <w:rPr>
          <w:noProof/>
        </w:rPr>
        <w:t>Investissement 2 en faveur d’un transport de passagers propre.</w:t>
      </w:r>
    </w:p>
    <w:p w14:paraId="50B4ACEE" w14:textId="77777777" w:rsidR="003B5F50" w:rsidRDefault="000D2D85">
      <w:pPr>
        <w:pStyle w:val="NormalWeb"/>
        <w:rPr>
          <w:noProof/>
        </w:rPr>
      </w:pPr>
      <w:r>
        <w:rPr>
          <w:noProof/>
        </w:rPr>
        <w:t xml:space="preserve">L’objectif de cet investissement est de promouvoir le déploiement d’un transport de passagers propre. L’investissement consiste en la livraison de matériel roulant ferroviaire et de tramway neuf ou modernisé.   </w:t>
      </w:r>
    </w:p>
    <w:p w14:paraId="50B4ACEF" w14:textId="77777777" w:rsidR="003B5F50" w:rsidRDefault="000D2D85">
      <w:pPr>
        <w:pStyle w:val="P68B1DB1-Normal19"/>
        <w:spacing w:before="120" w:after="120" w:line="240" w:lineRule="auto"/>
        <w:jc w:val="both"/>
        <w:rPr>
          <w:noProof/>
        </w:rPr>
      </w:pPr>
      <w:r>
        <w:rPr>
          <w:noProof/>
        </w:rPr>
        <w:t>Investissement 3 sur le développement du transport intermodal de marchandises.</w:t>
      </w:r>
    </w:p>
    <w:p w14:paraId="50B4ACF0" w14:textId="77777777" w:rsidR="003B5F50" w:rsidRDefault="000D2D85">
      <w:pPr>
        <w:pStyle w:val="NormalWeb"/>
        <w:rPr>
          <w:noProof/>
        </w:rPr>
      </w:pPr>
      <w:r>
        <w:rPr>
          <w:noProof/>
        </w:rPr>
        <w:t>L'objectif de cet investissement est d'augmenter le volume de transport dans un transport intermodal plus respectueux de l'environnement. L'investissement consiste à soutenir l'achat d'unités de transport intermodal et d'installations de chargement impliquant des capitaux privés et le lancement de nouvelles routes intermodales sur des itinéraires sélectionnés.</w:t>
      </w:r>
    </w:p>
    <w:p w14:paraId="50B4ACF1" w14:textId="77777777" w:rsidR="003B5F50" w:rsidRDefault="000D2D85">
      <w:pPr>
        <w:pStyle w:val="P68B1DB1-Normal19"/>
        <w:spacing w:before="120" w:after="120" w:line="240" w:lineRule="auto"/>
        <w:jc w:val="both"/>
        <w:rPr>
          <w:noProof/>
        </w:rPr>
      </w:pPr>
      <w:r>
        <w:rPr>
          <w:noProof/>
        </w:rPr>
        <w:t>l’investissement 4 relatif au soutien à la construction d’infrastructures de propulsion alternatives.</w:t>
      </w:r>
    </w:p>
    <w:p w14:paraId="50B4ACF2" w14:textId="77777777" w:rsidR="003B5F50" w:rsidRDefault="000D2D85">
      <w:pPr>
        <w:pStyle w:val="NormalWeb"/>
        <w:rPr>
          <w:noProof/>
        </w:rPr>
      </w:pPr>
      <w:r>
        <w:rPr>
          <w:noProof/>
        </w:rPr>
        <w:t xml:space="preserve">L'objectif de cet investissement est l'installation de points de recharge pour les voitures électriques. Cet investissement consiste en un mécanisme financier de régimes d’aide pour la construction d’infrastructures de points de recharge pour les véhicules à émission nulle et à faibles émissions.  </w:t>
      </w:r>
    </w:p>
    <w:p w14:paraId="50B4ACF3" w14:textId="77777777" w:rsidR="003B5F50" w:rsidRDefault="003B5F50">
      <w:pPr>
        <w:spacing w:before="120" w:after="120" w:line="240" w:lineRule="auto"/>
        <w:ind w:left="850"/>
        <w:jc w:val="both"/>
        <w:rPr>
          <w:rFonts w:ascii="Times New Roman" w:hAnsi="Times New Roman"/>
          <w:b/>
          <w:noProof/>
          <w:highlight w:val="red"/>
          <w:u w:val="single"/>
        </w:rPr>
        <w:sectPr w:rsidR="003B5F50" w:rsidSect="003E3DD3">
          <w:headerReference w:type="even" r:id="rId41"/>
          <w:headerReference w:type="default" r:id="rId42"/>
          <w:footerReference w:type="even" r:id="rId43"/>
          <w:footerReference w:type="default" r:id="rId44"/>
          <w:headerReference w:type="first" r:id="rId45"/>
          <w:footerReference w:type="first" r:id="rId46"/>
          <w:pgSz w:w="11907" w:h="16839"/>
          <w:pgMar w:top="1134" w:right="1134" w:bottom="1134" w:left="1134" w:header="567" w:footer="567" w:gutter="0"/>
          <w:cols w:space="720"/>
          <w:docGrid w:linePitch="360"/>
        </w:sectPr>
      </w:pPr>
    </w:p>
    <w:p w14:paraId="50B4ACF4" w14:textId="77777777" w:rsidR="003B5F50" w:rsidRDefault="003B5F50">
      <w:pPr>
        <w:tabs>
          <w:tab w:val="left" w:pos="993"/>
        </w:tabs>
        <w:spacing w:before="120" w:after="120" w:line="240" w:lineRule="auto"/>
        <w:ind w:left="850"/>
        <w:jc w:val="both"/>
        <w:rPr>
          <w:rFonts w:ascii="Times New Roman" w:hAnsi="Times New Roman"/>
          <w:b/>
          <w:bCs/>
          <w:noProof/>
          <w:u w:val="single"/>
        </w:rPr>
      </w:pPr>
    </w:p>
    <w:p w14:paraId="50B4ACF5" w14:textId="77777777" w:rsidR="003B5F50" w:rsidRDefault="000D2D85">
      <w:pPr>
        <w:tabs>
          <w:tab w:val="left" w:pos="993"/>
        </w:tabs>
        <w:spacing w:before="120" w:after="120" w:line="240" w:lineRule="auto"/>
        <w:ind w:left="850"/>
        <w:jc w:val="both"/>
        <w:rPr>
          <w:rFonts w:ascii="Times New Roman" w:hAnsi="Times New Roman"/>
          <w:b/>
          <w:noProof/>
          <w:u w:val="single"/>
        </w:rPr>
      </w:pPr>
      <w:r>
        <w:rPr>
          <w:rFonts w:ascii="Times New Roman" w:hAnsi="Times New Roman"/>
          <w:b/>
          <w:noProof/>
          <w:u w:val="single"/>
        </w:rPr>
        <w:t xml:space="preserve">A.2. </w:t>
      </w:r>
      <w:r>
        <w:rPr>
          <w:noProof/>
        </w:rPr>
        <w:t xml:space="preserve"> </w:t>
      </w:r>
      <w:r>
        <w:rPr>
          <w:rFonts w:ascii="Times New Roman" w:hAnsi="Times New Roman"/>
          <w:b/>
          <w:noProof/>
          <w:u w:val="single"/>
        </w:rPr>
        <w:t xml:space="preserve">Étapes, cibles, indicateurs et calendrier pour le suivi et la mise en œuvre du soutien financier non remboursable </w:t>
      </w:r>
    </w:p>
    <w:p w14:paraId="50B4ACF6" w14:textId="77777777" w:rsidR="003B5F50" w:rsidRDefault="003B5F50">
      <w:pPr>
        <w:tabs>
          <w:tab w:val="left" w:pos="993"/>
        </w:tabs>
        <w:spacing w:before="120" w:after="120" w:line="240" w:lineRule="auto"/>
        <w:ind w:left="850"/>
        <w:jc w:val="both"/>
        <w:rPr>
          <w:rFonts w:ascii="Times New Roman" w:hAnsi="Times New Roman"/>
          <w:b/>
          <w:bCs/>
          <w:noProof/>
          <w:u w:val="single"/>
        </w:rPr>
      </w:pPr>
    </w:p>
    <w:tbl>
      <w:tblPr>
        <w:tblW w:w="14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588"/>
        <w:gridCol w:w="1276"/>
        <w:gridCol w:w="1134"/>
        <w:gridCol w:w="1276"/>
        <w:gridCol w:w="992"/>
        <w:gridCol w:w="1134"/>
        <w:gridCol w:w="1134"/>
        <w:gridCol w:w="1276"/>
        <w:gridCol w:w="992"/>
        <w:gridCol w:w="2945"/>
      </w:tblGrid>
      <w:tr w:rsidR="003B5F50" w14:paraId="50B4AD05" w14:textId="77777777" w:rsidTr="000D2D85">
        <w:trPr>
          <w:trHeight w:val="300"/>
          <w:tblHeader/>
        </w:trPr>
        <w:tc>
          <w:tcPr>
            <w:tcW w:w="817" w:type="dxa"/>
            <w:vMerge w:val="restart"/>
            <w:shd w:val="clear" w:color="auto" w:fill="BDD7EE"/>
            <w:vAlign w:val="center"/>
          </w:tcPr>
          <w:p w14:paraId="50B4ACF7" w14:textId="77777777" w:rsidR="003B5F50" w:rsidRDefault="000D2D85">
            <w:pPr>
              <w:pStyle w:val="P68B1DB1-Normal13"/>
              <w:spacing w:before="120" w:after="120" w:line="240" w:lineRule="auto"/>
              <w:jc w:val="center"/>
              <w:rPr>
                <w:noProof/>
                <w:szCs w:val="20"/>
              </w:rPr>
            </w:pPr>
            <w:r>
              <w:rPr>
                <w:noProof/>
              </w:rPr>
              <w:t>Seq. Num.</w:t>
            </w:r>
          </w:p>
          <w:p w14:paraId="50B4ACF8" w14:textId="77777777" w:rsidR="003B5F50" w:rsidRDefault="000D2D85">
            <w:pPr>
              <w:pStyle w:val="P68B1DB1-Normal13"/>
              <w:spacing w:before="120" w:after="120" w:line="240" w:lineRule="auto"/>
              <w:jc w:val="center"/>
              <w:rPr>
                <w:noProof/>
                <w:szCs w:val="20"/>
              </w:rPr>
            </w:pPr>
            <w:r>
              <w:rPr>
                <w:noProof/>
              </w:rPr>
              <w:t xml:space="preserve"> </w:t>
            </w:r>
          </w:p>
        </w:tc>
        <w:tc>
          <w:tcPr>
            <w:tcW w:w="1588" w:type="dxa"/>
            <w:vMerge w:val="restart"/>
            <w:shd w:val="clear" w:color="auto" w:fill="BDD7EE"/>
            <w:vAlign w:val="center"/>
          </w:tcPr>
          <w:p w14:paraId="50B4ACF9" w14:textId="77777777" w:rsidR="003B5F50" w:rsidRDefault="000D2D85">
            <w:pPr>
              <w:pStyle w:val="P68B1DB1-Normal13"/>
              <w:spacing w:before="120" w:after="120" w:line="240" w:lineRule="auto"/>
              <w:jc w:val="center"/>
              <w:rPr>
                <w:noProof/>
                <w:szCs w:val="20"/>
              </w:rPr>
            </w:pPr>
            <w:r>
              <w:rPr>
                <w:noProof/>
              </w:rPr>
              <w:t>Mesure connexe (réforme ou investissement)</w:t>
            </w:r>
          </w:p>
          <w:p w14:paraId="50B4ACFA" w14:textId="77777777" w:rsidR="003B5F50" w:rsidRDefault="000D2D85">
            <w:pPr>
              <w:pStyle w:val="P68B1DB1-Normal13"/>
              <w:spacing w:before="120" w:after="120" w:line="240" w:lineRule="auto"/>
              <w:jc w:val="center"/>
              <w:rPr>
                <w:noProof/>
                <w:szCs w:val="20"/>
              </w:rPr>
            </w:pPr>
            <w:r>
              <w:rPr>
                <w:noProof/>
              </w:rPr>
              <w:t xml:space="preserve"> </w:t>
            </w:r>
          </w:p>
        </w:tc>
        <w:tc>
          <w:tcPr>
            <w:tcW w:w="1276" w:type="dxa"/>
            <w:vMerge w:val="restart"/>
            <w:shd w:val="clear" w:color="auto" w:fill="BDD7EE"/>
            <w:vAlign w:val="center"/>
          </w:tcPr>
          <w:p w14:paraId="50B4ACFB" w14:textId="77777777" w:rsidR="003B5F50" w:rsidRDefault="000D2D85">
            <w:pPr>
              <w:pStyle w:val="P68B1DB1-Normal13"/>
              <w:spacing w:before="120" w:after="120" w:line="240" w:lineRule="auto"/>
              <w:jc w:val="center"/>
              <w:rPr>
                <w:noProof/>
                <w:szCs w:val="20"/>
              </w:rPr>
            </w:pPr>
            <w:r>
              <w:rPr>
                <w:noProof/>
              </w:rPr>
              <w:t>Étape/cible</w:t>
            </w:r>
          </w:p>
          <w:p w14:paraId="50B4ACFC" w14:textId="77777777" w:rsidR="003B5F50" w:rsidRDefault="000D2D85">
            <w:pPr>
              <w:pStyle w:val="P68B1DB1-Normal13"/>
              <w:spacing w:before="120" w:after="120" w:line="240" w:lineRule="auto"/>
              <w:jc w:val="center"/>
              <w:rPr>
                <w:noProof/>
                <w:szCs w:val="20"/>
              </w:rPr>
            </w:pPr>
            <w:r>
              <w:rPr>
                <w:noProof/>
              </w:rPr>
              <w:t xml:space="preserve"> </w:t>
            </w:r>
          </w:p>
        </w:tc>
        <w:tc>
          <w:tcPr>
            <w:tcW w:w="1134" w:type="dxa"/>
            <w:vMerge w:val="restart"/>
            <w:shd w:val="clear" w:color="auto" w:fill="BDD7EE"/>
            <w:vAlign w:val="center"/>
          </w:tcPr>
          <w:p w14:paraId="50B4ACFD" w14:textId="77777777" w:rsidR="003B5F50" w:rsidRDefault="000D2D85">
            <w:pPr>
              <w:pStyle w:val="P68B1DB1-Normal13"/>
              <w:spacing w:before="120" w:after="120" w:line="240" w:lineRule="auto"/>
              <w:jc w:val="center"/>
              <w:rPr>
                <w:noProof/>
                <w:szCs w:val="20"/>
              </w:rPr>
            </w:pPr>
            <w:r>
              <w:rPr>
                <w:noProof/>
              </w:rPr>
              <w:t>Nom</w:t>
            </w:r>
          </w:p>
          <w:p w14:paraId="50B4ACFE" w14:textId="77777777" w:rsidR="003B5F50" w:rsidRDefault="000D2D85">
            <w:pPr>
              <w:pStyle w:val="P68B1DB1-Normal13"/>
              <w:spacing w:before="120" w:after="120" w:line="240" w:lineRule="auto"/>
              <w:jc w:val="center"/>
              <w:rPr>
                <w:noProof/>
                <w:szCs w:val="20"/>
              </w:rPr>
            </w:pPr>
            <w:r>
              <w:rPr>
                <w:noProof/>
              </w:rPr>
              <w:t xml:space="preserve"> </w:t>
            </w:r>
          </w:p>
        </w:tc>
        <w:tc>
          <w:tcPr>
            <w:tcW w:w="1276" w:type="dxa"/>
            <w:vMerge w:val="restart"/>
            <w:shd w:val="clear" w:color="auto" w:fill="BDD7EE"/>
            <w:vAlign w:val="center"/>
          </w:tcPr>
          <w:p w14:paraId="50B4ACFF" w14:textId="77777777" w:rsidR="003B5F50" w:rsidRDefault="000D2D85">
            <w:pPr>
              <w:pStyle w:val="P68B1DB1-Normal13"/>
              <w:spacing w:before="120" w:after="120" w:line="240" w:lineRule="auto"/>
              <w:jc w:val="center"/>
              <w:rPr>
                <w:noProof/>
                <w:szCs w:val="20"/>
              </w:rPr>
            </w:pPr>
            <w:r>
              <w:rPr>
                <w:noProof/>
              </w:rPr>
              <w:t>Indicateurs qualitatifs (pour les jalons)</w:t>
            </w:r>
          </w:p>
          <w:p w14:paraId="50B4AD00" w14:textId="77777777" w:rsidR="003B5F50" w:rsidRDefault="000D2D85">
            <w:pPr>
              <w:pStyle w:val="P68B1DB1-Normal13"/>
              <w:spacing w:before="120" w:after="120" w:line="240" w:lineRule="auto"/>
              <w:jc w:val="center"/>
              <w:rPr>
                <w:noProof/>
                <w:szCs w:val="20"/>
              </w:rPr>
            </w:pPr>
            <w:r>
              <w:rPr>
                <w:noProof/>
              </w:rPr>
              <w:t xml:space="preserve"> </w:t>
            </w:r>
          </w:p>
        </w:tc>
        <w:tc>
          <w:tcPr>
            <w:tcW w:w="3260" w:type="dxa"/>
            <w:gridSpan w:val="3"/>
            <w:shd w:val="clear" w:color="auto" w:fill="BDD7EE"/>
            <w:vAlign w:val="center"/>
          </w:tcPr>
          <w:p w14:paraId="50B4AD01" w14:textId="77777777" w:rsidR="003B5F50" w:rsidRDefault="000D2D85">
            <w:pPr>
              <w:pStyle w:val="P68B1DB1-Normal16"/>
              <w:spacing w:before="120" w:after="120" w:line="240" w:lineRule="auto"/>
              <w:jc w:val="center"/>
              <w:rPr>
                <w:noProof/>
                <w:szCs w:val="20"/>
              </w:rPr>
            </w:pPr>
            <w:r>
              <w:rPr>
                <w:b/>
                <w:noProof/>
              </w:rPr>
              <w:t>Indicateurs quantitatifs</w:t>
            </w:r>
            <w:r>
              <w:rPr>
                <w:noProof/>
              </w:rPr>
              <w:t xml:space="preserve"> </w:t>
            </w:r>
            <w:r>
              <w:rPr>
                <w:b/>
                <w:noProof/>
              </w:rPr>
              <w:t>(pour les objectifs)</w:t>
            </w:r>
          </w:p>
        </w:tc>
        <w:tc>
          <w:tcPr>
            <w:tcW w:w="2268" w:type="dxa"/>
            <w:gridSpan w:val="2"/>
            <w:shd w:val="clear" w:color="auto" w:fill="BDD7EE"/>
            <w:vAlign w:val="center"/>
          </w:tcPr>
          <w:p w14:paraId="50B4AD02" w14:textId="77777777" w:rsidR="003B5F50" w:rsidRDefault="000D2D85">
            <w:pPr>
              <w:pStyle w:val="P68B1DB1-Normal13"/>
              <w:spacing w:before="120" w:after="120" w:line="240" w:lineRule="auto"/>
              <w:jc w:val="center"/>
              <w:rPr>
                <w:noProof/>
                <w:szCs w:val="20"/>
              </w:rPr>
            </w:pPr>
            <w:r>
              <w:rPr>
                <w:noProof/>
              </w:rPr>
              <w:t xml:space="preserve">Calendrier indicatif d'achèvement </w:t>
            </w:r>
          </w:p>
        </w:tc>
        <w:tc>
          <w:tcPr>
            <w:tcW w:w="2945" w:type="dxa"/>
            <w:vMerge w:val="restart"/>
            <w:shd w:val="clear" w:color="auto" w:fill="BDD7EE"/>
            <w:vAlign w:val="center"/>
          </w:tcPr>
          <w:p w14:paraId="50B4AD03" w14:textId="77777777" w:rsidR="003B5F50" w:rsidRDefault="000D2D85">
            <w:pPr>
              <w:pStyle w:val="P68B1DB1-Normal13"/>
              <w:spacing w:before="120" w:after="120" w:line="240" w:lineRule="auto"/>
              <w:jc w:val="center"/>
              <w:rPr>
                <w:noProof/>
                <w:szCs w:val="20"/>
              </w:rPr>
            </w:pPr>
            <w:r>
              <w:rPr>
                <w:noProof/>
              </w:rPr>
              <w:t>Description et définition claire de chaque jalon et cible</w:t>
            </w:r>
          </w:p>
          <w:p w14:paraId="50B4AD04" w14:textId="77777777" w:rsidR="003B5F50" w:rsidRDefault="000D2D85">
            <w:pPr>
              <w:pStyle w:val="P68B1DB1-Normal13"/>
              <w:spacing w:before="120" w:after="120" w:line="240" w:lineRule="auto"/>
              <w:jc w:val="center"/>
              <w:rPr>
                <w:noProof/>
                <w:szCs w:val="20"/>
              </w:rPr>
            </w:pPr>
            <w:r>
              <w:rPr>
                <w:noProof/>
              </w:rPr>
              <w:t xml:space="preserve"> </w:t>
            </w:r>
          </w:p>
        </w:tc>
      </w:tr>
      <w:tr w:rsidR="003B5F50" w14:paraId="50B4AD11" w14:textId="77777777" w:rsidTr="000D2D85">
        <w:trPr>
          <w:trHeight w:val="300"/>
          <w:tblHeader/>
        </w:trPr>
        <w:tc>
          <w:tcPr>
            <w:tcW w:w="817" w:type="dxa"/>
            <w:vMerge/>
            <w:vAlign w:val="center"/>
          </w:tcPr>
          <w:p w14:paraId="50B4AD06" w14:textId="77777777" w:rsidR="003B5F50" w:rsidRDefault="003B5F50">
            <w:pPr>
              <w:spacing w:before="120" w:after="120" w:line="240" w:lineRule="auto"/>
              <w:jc w:val="center"/>
              <w:rPr>
                <w:rFonts w:ascii="Times New Roman" w:hAnsi="Times New Roman"/>
                <w:noProof/>
                <w:sz w:val="20"/>
                <w:szCs w:val="20"/>
              </w:rPr>
            </w:pPr>
          </w:p>
        </w:tc>
        <w:tc>
          <w:tcPr>
            <w:tcW w:w="1588" w:type="dxa"/>
            <w:vMerge/>
            <w:vAlign w:val="center"/>
          </w:tcPr>
          <w:p w14:paraId="50B4AD07" w14:textId="77777777" w:rsidR="003B5F50" w:rsidRDefault="003B5F50">
            <w:pPr>
              <w:spacing w:before="120" w:after="120" w:line="240" w:lineRule="auto"/>
              <w:jc w:val="center"/>
              <w:rPr>
                <w:rFonts w:ascii="Times New Roman" w:hAnsi="Times New Roman"/>
                <w:noProof/>
                <w:sz w:val="20"/>
                <w:szCs w:val="20"/>
              </w:rPr>
            </w:pPr>
          </w:p>
        </w:tc>
        <w:tc>
          <w:tcPr>
            <w:tcW w:w="1276" w:type="dxa"/>
            <w:vMerge/>
            <w:vAlign w:val="center"/>
          </w:tcPr>
          <w:p w14:paraId="50B4AD08" w14:textId="77777777" w:rsidR="003B5F50" w:rsidRDefault="003B5F50">
            <w:pPr>
              <w:spacing w:before="120" w:after="120" w:line="240" w:lineRule="auto"/>
              <w:jc w:val="center"/>
              <w:rPr>
                <w:rFonts w:ascii="Times New Roman" w:hAnsi="Times New Roman"/>
                <w:noProof/>
                <w:sz w:val="20"/>
                <w:szCs w:val="20"/>
              </w:rPr>
            </w:pPr>
          </w:p>
        </w:tc>
        <w:tc>
          <w:tcPr>
            <w:tcW w:w="1134" w:type="dxa"/>
            <w:vMerge/>
            <w:vAlign w:val="center"/>
          </w:tcPr>
          <w:p w14:paraId="50B4AD09" w14:textId="77777777" w:rsidR="003B5F50" w:rsidRDefault="003B5F50">
            <w:pPr>
              <w:spacing w:before="120" w:after="120" w:line="240" w:lineRule="auto"/>
              <w:jc w:val="center"/>
              <w:rPr>
                <w:rFonts w:ascii="Times New Roman" w:hAnsi="Times New Roman"/>
                <w:noProof/>
                <w:sz w:val="20"/>
                <w:szCs w:val="20"/>
              </w:rPr>
            </w:pPr>
          </w:p>
        </w:tc>
        <w:tc>
          <w:tcPr>
            <w:tcW w:w="1276" w:type="dxa"/>
            <w:vMerge/>
            <w:vAlign w:val="center"/>
          </w:tcPr>
          <w:p w14:paraId="50B4AD0A" w14:textId="77777777" w:rsidR="003B5F50" w:rsidRDefault="003B5F50">
            <w:pPr>
              <w:spacing w:before="120" w:after="120" w:line="240" w:lineRule="auto"/>
              <w:jc w:val="center"/>
              <w:rPr>
                <w:rFonts w:ascii="Times New Roman" w:hAnsi="Times New Roman"/>
                <w:noProof/>
                <w:sz w:val="20"/>
                <w:szCs w:val="20"/>
              </w:rPr>
            </w:pPr>
          </w:p>
        </w:tc>
        <w:tc>
          <w:tcPr>
            <w:tcW w:w="992" w:type="dxa"/>
            <w:shd w:val="clear" w:color="auto" w:fill="BDD7EE"/>
            <w:vAlign w:val="center"/>
          </w:tcPr>
          <w:p w14:paraId="50B4AD0B" w14:textId="77777777" w:rsidR="003B5F50" w:rsidRDefault="000D2D85">
            <w:pPr>
              <w:pStyle w:val="P68B1DB1-Normal13"/>
              <w:spacing w:before="120" w:after="120" w:line="240" w:lineRule="auto"/>
              <w:jc w:val="center"/>
              <w:rPr>
                <w:noProof/>
                <w:szCs w:val="20"/>
              </w:rPr>
            </w:pPr>
            <w:r>
              <w:rPr>
                <w:noProof/>
              </w:rPr>
              <w:t>Unité de mesure</w:t>
            </w:r>
          </w:p>
        </w:tc>
        <w:tc>
          <w:tcPr>
            <w:tcW w:w="1134" w:type="dxa"/>
            <w:shd w:val="clear" w:color="auto" w:fill="BDD7EE"/>
            <w:vAlign w:val="center"/>
          </w:tcPr>
          <w:p w14:paraId="50B4AD0C" w14:textId="77777777" w:rsidR="003B5F50" w:rsidRDefault="000D2D85">
            <w:pPr>
              <w:pStyle w:val="P68B1DB1-Normal13"/>
              <w:spacing w:before="120" w:after="120" w:line="240" w:lineRule="auto"/>
              <w:jc w:val="center"/>
              <w:rPr>
                <w:noProof/>
                <w:szCs w:val="20"/>
              </w:rPr>
            </w:pPr>
            <w:r>
              <w:rPr>
                <w:noProof/>
              </w:rPr>
              <w:t>Données de référence</w:t>
            </w:r>
          </w:p>
        </w:tc>
        <w:tc>
          <w:tcPr>
            <w:tcW w:w="1134" w:type="dxa"/>
            <w:shd w:val="clear" w:color="auto" w:fill="BDD7EE"/>
            <w:vAlign w:val="center"/>
          </w:tcPr>
          <w:p w14:paraId="50B4AD0D" w14:textId="77777777" w:rsidR="003B5F50" w:rsidRDefault="000D2D85">
            <w:pPr>
              <w:pStyle w:val="P68B1DB1-Normal13"/>
              <w:spacing w:before="120" w:after="120" w:line="240" w:lineRule="auto"/>
              <w:jc w:val="center"/>
              <w:rPr>
                <w:noProof/>
                <w:szCs w:val="20"/>
              </w:rPr>
            </w:pPr>
            <w:r>
              <w:rPr>
                <w:noProof/>
              </w:rPr>
              <w:t>Objectif</w:t>
            </w:r>
          </w:p>
        </w:tc>
        <w:tc>
          <w:tcPr>
            <w:tcW w:w="1276" w:type="dxa"/>
            <w:shd w:val="clear" w:color="auto" w:fill="BDD7EE"/>
            <w:vAlign w:val="center"/>
          </w:tcPr>
          <w:p w14:paraId="50B4AD0E" w14:textId="77777777" w:rsidR="003B5F50" w:rsidRDefault="000D2D85">
            <w:pPr>
              <w:pStyle w:val="P68B1DB1-Normal13"/>
              <w:spacing w:before="120" w:after="120" w:line="240" w:lineRule="auto"/>
              <w:jc w:val="center"/>
              <w:rPr>
                <w:noProof/>
                <w:szCs w:val="20"/>
              </w:rPr>
            </w:pPr>
            <w:r>
              <w:rPr>
                <w:noProof/>
              </w:rPr>
              <w:t>Trimestre</w:t>
            </w:r>
          </w:p>
        </w:tc>
        <w:tc>
          <w:tcPr>
            <w:tcW w:w="992" w:type="dxa"/>
            <w:shd w:val="clear" w:color="auto" w:fill="BDD7EE"/>
            <w:vAlign w:val="center"/>
          </w:tcPr>
          <w:p w14:paraId="50B4AD0F" w14:textId="77777777" w:rsidR="003B5F50" w:rsidRDefault="000D2D85">
            <w:pPr>
              <w:pStyle w:val="P68B1DB1-Normal13"/>
              <w:spacing w:before="120" w:after="120" w:line="240" w:lineRule="auto"/>
              <w:jc w:val="center"/>
              <w:rPr>
                <w:noProof/>
                <w:szCs w:val="20"/>
              </w:rPr>
            </w:pPr>
            <w:r>
              <w:rPr>
                <w:noProof/>
              </w:rPr>
              <w:t>Année</w:t>
            </w:r>
          </w:p>
        </w:tc>
        <w:tc>
          <w:tcPr>
            <w:tcW w:w="2945" w:type="dxa"/>
            <w:vMerge/>
            <w:vAlign w:val="center"/>
          </w:tcPr>
          <w:p w14:paraId="50B4AD10" w14:textId="77777777" w:rsidR="003B5F50" w:rsidRDefault="003B5F50">
            <w:pPr>
              <w:spacing w:before="120" w:after="120" w:line="240" w:lineRule="auto"/>
              <w:jc w:val="center"/>
              <w:rPr>
                <w:rFonts w:ascii="Times New Roman" w:hAnsi="Times New Roman"/>
                <w:noProof/>
                <w:sz w:val="20"/>
                <w:szCs w:val="20"/>
              </w:rPr>
            </w:pPr>
          </w:p>
        </w:tc>
      </w:tr>
      <w:tr w:rsidR="003B5F50" w14:paraId="50B4AD1D" w14:textId="77777777" w:rsidTr="000D2D85">
        <w:trPr>
          <w:trHeight w:val="300"/>
        </w:trPr>
        <w:tc>
          <w:tcPr>
            <w:tcW w:w="817" w:type="dxa"/>
            <w:shd w:val="clear" w:color="auto" w:fill="C6EFCE"/>
          </w:tcPr>
          <w:p w14:paraId="50B4AD12" w14:textId="77777777" w:rsidR="003B5F50" w:rsidRDefault="000D2D85">
            <w:pPr>
              <w:pStyle w:val="P68B1DB1-Normal14"/>
              <w:spacing w:before="120" w:after="120" w:line="240" w:lineRule="auto"/>
              <w:jc w:val="center"/>
              <w:rPr>
                <w:noProof/>
                <w:szCs w:val="20"/>
              </w:rPr>
            </w:pPr>
            <w:r>
              <w:rPr>
                <w:noProof/>
              </w:rPr>
              <w:t>1</w:t>
            </w:r>
          </w:p>
        </w:tc>
        <w:tc>
          <w:tcPr>
            <w:tcW w:w="1588" w:type="dxa"/>
            <w:shd w:val="clear" w:color="auto" w:fill="C6EFCE"/>
          </w:tcPr>
          <w:p w14:paraId="50B4AD13" w14:textId="77777777" w:rsidR="003B5F50" w:rsidRDefault="000D2D85">
            <w:pPr>
              <w:pStyle w:val="P68B1DB1-Normal14"/>
              <w:spacing w:before="120" w:after="120" w:line="240" w:lineRule="auto"/>
              <w:rPr>
                <w:noProof/>
                <w:szCs w:val="20"/>
              </w:rPr>
            </w:pPr>
            <w:r>
              <w:rPr>
                <w:noProof/>
              </w:rPr>
              <w:t>3– Transports durables – Réforme 1: Réforme de la préparation des projets d'investissement dans les transports</w:t>
            </w:r>
          </w:p>
        </w:tc>
        <w:tc>
          <w:tcPr>
            <w:tcW w:w="1276" w:type="dxa"/>
            <w:shd w:val="clear" w:color="auto" w:fill="C6EFCE"/>
          </w:tcPr>
          <w:p w14:paraId="50B4AD14" w14:textId="77777777" w:rsidR="003B5F50" w:rsidRDefault="000D2D85">
            <w:pPr>
              <w:pStyle w:val="P68B1DB1-Normal14"/>
              <w:spacing w:before="120" w:after="120" w:line="240" w:lineRule="auto"/>
              <w:rPr>
                <w:noProof/>
                <w:szCs w:val="20"/>
              </w:rPr>
            </w:pPr>
            <w:r>
              <w:rPr>
                <w:noProof/>
              </w:rPr>
              <w:t>Étape</w:t>
            </w:r>
          </w:p>
        </w:tc>
        <w:tc>
          <w:tcPr>
            <w:tcW w:w="1134" w:type="dxa"/>
            <w:shd w:val="clear" w:color="auto" w:fill="C6EFCE"/>
          </w:tcPr>
          <w:p w14:paraId="50B4AD15" w14:textId="77777777" w:rsidR="003B5F50" w:rsidRDefault="000D2D85">
            <w:pPr>
              <w:pStyle w:val="P68B1DB1-Normal14"/>
              <w:spacing w:before="120" w:after="120" w:line="240" w:lineRule="auto"/>
              <w:rPr>
                <w:noProof/>
                <w:szCs w:val="20"/>
              </w:rPr>
            </w:pPr>
            <w:r>
              <w:rPr>
                <w:noProof/>
              </w:rPr>
              <w:t>Plan d'investissement pour les projets d'infrastructure ferroviaire</w:t>
            </w:r>
          </w:p>
        </w:tc>
        <w:tc>
          <w:tcPr>
            <w:tcW w:w="1276" w:type="dxa"/>
            <w:shd w:val="clear" w:color="auto" w:fill="C6EFCE"/>
          </w:tcPr>
          <w:p w14:paraId="50B4AD16" w14:textId="77777777" w:rsidR="003B5F50" w:rsidRDefault="000D2D85">
            <w:pPr>
              <w:pStyle w:val="P68B1DB1-Normal14"/>
              <w:spacing w:before="120" w:after="120" w:line="240" w:lineRule="auto"/>
              <w:rPr>
                <w:noProof/>
                <w:szCs w:val="20"/>
              </w:rPr>
            </w:pPr>
            <w:r>
              <w:rPr>
                <w:noProof/>
              </w:rPr>
              <w:t xml:space="preserve">Publication du plan de mise en œuvre </w:t>
            </w:r>
          </w:p>
        </w:tc>
        <w:tc>
          <w:tcPr>
            <w:tcW w:w="992" w:type="dxa"/>
            <w:shd w:val="clear" w:color="auto" w:fill="C6EFCE"/>
          </w:tcPr>
          <w:p w14:paraId="50B4AD17" w14:textId="77777777" w:rsidR="003B5F50" w:rsidRDefault="000D2D85">
            <w:pPr>
              <w:pStyle w:val="P68B1DB1-Normal14"/>
              <w:spacing w:before="120" w:after="120" w:line="240" w:lineRule="auto"/>
              <w:rPr>
                <w:noProof/>
                <w:szCs w:val="20"/>
              </w:rPr>
            </w:pPr>
            <w:r>
              <w:rPr>
                <w:noProof/>
              </w:rPr>
              <w:t xml:space="preserve"> </w:t>
            </w:r>
          </w:p>
        </w:tc>
        <w:tc>
          <w:tcPr>
            <w:tcW w:w="1134" w:type="dxa"/>
            <w:shd w:val="clear" w:color="auto" w:fill="C6EFCE"/>
          </w:tcPr>
          <w:p w14:paraId="50B4AD18" w14:textId="77777777" w:rsidR="003B5F50" w:rsidRDefault="000D2D85">
            <w:pPr>
              <w:pStyle w:val="P68B1DB1-Normal14"/>
              <w:spacing w:before="120" w:after="120" w:line="240" w:lineRule="auto"/>
              <w:jc w:val="center"/>
              <w:rPr>
                <w:noProof/>
                <w:szCs w:val="20"/>
              </w:rPr>
            </w:pPr>
            <w:r>
              <w:rPr>
                <w:noProof/>
              </w:rPr>
              <w:t xml:space="preserve"> </w:t>
            </w:r>
          </w:p>
        </w:tc>
        <w:tc>
          <w:tcPr>
            <w:tcW w:w="1134" w:type="dxa"/>
            <w:shd w:val="clear" w:color="auto" w:fill="C6EFCE"/>
          </w:tcPr>
          <w:p w14:paraId="50B4AD19" w14:textId="77777777" w:rsidR="003B5F50" w:rsidRDefault="000D2D85">
            <w:pPr>
              <w:pStyle w:val="P68B1DB1-Normal14"/>
              <w:spacing w:before="120" w:after="120" w:line="240" w:lineRule="auto"/>
              <w:jc w:val="center"/>
              <w:rPr>
                <w:noProof/>
                <w:szCs w:val="20"/>
              </w:rPr>
            </w:pPr>
            <w:r>
              <w:rPr>
                <w:noProof/>
              </w:rPr>
              <w:t xml:space="preserve"> </w:t>
            </w:r>
          </w:p>
        </w:tc>
        <w:tc>
          <w:tcPr>
            <w:tcW w:w="1276" w:type="dxa"/>
            <w:shd w:val="clear" w:color="auto" w:fill="C6EFCE"/>
          </w:tcPr>
          <w:p w14:paraId="50B4AD1A" w14:textId="77777777" w:rsidR="003B5F50" w:rsidRDefault="000D2D85">
            <w:pPr>
              <w:pStyle w:val="P68B1DB1-Normal14"/>
              <w:spacing w:before="120" w:after="120" w:line="240" w:lineRule="auto"/>
              <w:jc w:val="center"/>
              <w:rPr>
                <w:noProof/>
                <w:szCs w:val="20"/>
              </w:rPr>
            </w:pPr>
            <w:r>
              <w:rPr>
                <w:noProof/>
              </w:rPr>
              <w:t>T2</w:t>
            </w:r>
          </w:p>
        </w:tc>
        <w:tc>
          <w:tcPr>
            <w:tcW w:w="992" w:type="dxa"/>
            <w:shd w:val="clear" w:color="auto" w:fill="C6EFCE"/>
          </w:tcPr>
          <w:p w14:paraId="50B4AD1B" w14:textId="77777777" w:rsidR="003B5F50" w:rsidRDefault="000D2D85">
            <w:pPr>
              <w:pStyle w:val="P68B1DB1-Normal14"/>
              <w:spacing w:before="120" w:after="120" w:line="240" w:lineRule="auto"/>
              <w:jc w:val="center"/>
              <w:rPr>
                <w:noProof/>
                <w:szCs w:val="20"/>
              </w:rPr>
            </w:pPr>
            <w:r>
              <w:rPr>
                <w:noProof/>
              </w:rPr>
              <w:t>2021</w:t>
            </w:r>
          </w:p>
        </w:tc>
        <w:tc>
          <w:tcPr>
            <w:tcW w:w="2945" w:type="dxa"/>
            <w:shd w:val="clear" w:color="auto" w:fill="C6EFCE"/>
          </w:tcPr>
          <w:p w14:paraId="50B4AD1C" w14:textId="77777777" w:rsidR="003B5F50" w:rsidRDefault="000D2D85">
            <w:pPr>
              <w:pStyle w:val="P68B1DB1-Normal14"/>
              <w:spacing w:before="120" w:after="120" w:line="240" w:lineRule="auto"/>
              <w:rPr>
                <w:noProof/>
                <w:szCs w:val="20"/>
              </w:rPr>
            </w:pPr>
            <w:r>
              <w:rPr>
                <w:noProof/>
              </w:rPr>
              <w:t>Le ministère des transports et de la construction, en coopération avec le ministère des finances, élabore et publie un plan d’investissement pour les projets d’infrastructure ferroviaire contenant la méthodologie, les priorités et le calendrier de construction de l’infrastructure. Un plan d'investissement publié pour les projets d'infrastructure ferroviaire hiérarchisant les projets en fonction de leur rapport qualité-prix garantit la stabilité à long terme de leur préparation et de la mise en œuvre des projets d'infrastructure ferroviaire.</w:t>
            </w:r>
          </w:p>
        </w:tc>
      </w:tr>
      <w:tr w:rsidR="003B5F50" w14:paraId="50B4AD29" w14:textId="77777777" w:rsidTr="000D2D85">
        <w:trPr>
          <w:trHeight w:val="300"/>
        </w:trPr>
        <w:tc>
          <w:tcPr>
            <w:tcW w:w="817" w:type="dxa"/>
            <w:shd w:val="clear" w:color="auto" w:fill="C6EFCE"/>
          </w:tcPr>
          <w:p w14:paraId="50B4AD1E" w14:textId="77777777" w:rsidR="003B5F50" w:rsidRDefault="000D2D85">
            <w:pPr>
              <w:pStyle w:val="P68B1DB1-Normal14"/>
              <w:spacing w:before="120" w:after="120" w:line="240" w:lineRule="auto"/>
              <w:jc w:val="center"/>
              <w:rPr>
                <w:noProof/>
                <w:szCs w:val="20"/>
              </w:rPr>
            </w:pPr>
            <w:r>
              <w:rPr>
                <w:noProof/>
              </w:rPr>
              <w:t>2</w:t>
            </w:r>
          </w:p>
        </w:tc>
        <w:tc>
          <w:tcPr>
            <w:tcW w:w="1588" w:type="dxa"/>
            <w:shd w:val="clear" w:color="auto" w:fill="C6EFCE"/>
          </w:tcPr>
          <w:p w14:paraId="50B4AD1F" w14:textId="77777777" w:rsidR="003B5F50" w:rsidRDefault="000D2D85">
            <w:pPr>
              <w:pStyle w:val="P68B1DB1-Normal14"/>
              <w:spacing w:before="120" w:after="120" w:line="240" w:lineRule="auto"/>
              <w:rPr>
                <w:noProof/>
                <w:szCs w:val="20"/>
              </w:rPr>
            </w:pPr>
            <w:r>
              <w:rPr>
                <w:noProof/>
              </w:rPr>
              <w:t>3 – Transports durables – Réforme 1: Réforme de la préparation des projets d'investissement dans les transports</w:t>
            </w:r>
          </w:p>
        </w:tc>
        <w:tc>
          <w:tcPr>
            <w:tcW w:w="1276" w:type="dxa"/>
            <w:shd w:val="clear" w:color="auto" w:fill="C6EFCE"/>
          </w:tcPr>
          <w:p w14:paraId="50B4AD20" w14:textId="77777777" w:rsidR="003B5F50" w:rsidRDefault="000D2D85">
            <w:pPr>
              <w:pStyle w:val="P68B1DB1-Normal14"/>
              <w:spacing w:before="120" w:after="120" w:line="240" w:lineRule="auto"/>
              <w:rPr>
                <w:noProof/>
                <w:szCs w:val="20"/>
              </w:rPr>
            </w:pPr>
            <w:r>
              <w:rPr>
                <w:noProof/>
              </w:rPr>
              <w:t>Étape</w:t>
            </w:r>
          </w:p>
        </w:tc>
        <w:tc>
          <w:tcPr>
            <w:tcW w:w="1134" w:type="dxa"/>
            <w:shd w:val="clear" w:color="auto" w:fill="C6EFCE"/>
          </w:tcPr>
          <w:p w14:paraId="50B4AD21" w14:textId="77777777" w:rsidR="003B5F50" w:rsidRDefault="000D2D85">
            <w:pPr>
              <w:pStyle w:val="P68B1DB1-Normal14"/>
              <w:spacing w:before="120" w:after="120" w:line="240" w:lineRule="auto"/>
              <w:rPr>
                <w:noProof/>
                <w:szCs w:val="20"/>
              </w:rPr>
            </w:pPr>
            <w:r>
              <w:rPr>
                <w:noProof/>
              </w:rPr>
              <w:t>Méthodologie de sélection, de préparation et de mise en œuvre des projets pour le cyclisme</w:t>
            </w:r>
          </w:p>
        </w:tc>
        <w:tc>
          <w:tcPr>
            <w:tcW w:w="1276" w:type="dxa"/>
            <w:shd w:val="clear" w:color="auto" w:fill="C6EFCE"/>
          </w:tcPr>
          <w:p w14:paraId="50B4AD22" w14:textId="77777777" w:rsidR="003B5F50" w:rsidRDefault="000D2D85">
            <w:pPr>
              <w:pStyle w:val="P68B1DB1-Normal14"/>
              <w:spacing w:before="120" w:after="120" w:line="240" w:lineRule="auto"/>
              <w:rPr>
                <w:noProof/>
                <w:szCs w:val="20"/>
              </w:rPr>
            </w:pPr>
            <w:r>
              <w:rPr>
                <w:noProof/>
              </w:rPr>
              <w:t>Publication de la méthodologie</w:t>
            </w:r>
          </w:p>
        </w:tc>
        <w:tc>
          <w:tcPr>
            <w:tcW w:w="992" w:type="dxa"/>
            <w:shd w:val="clear" w:color="auto" w:fill="C6EFCE"/>
          </w:tcPr>
          <w:p w14:paraId="50B4AD23" w14:textId="77777777" w:rsidR="003B5F50" w:rsidRDefault="000D2D85">
            <w:pPr>
              <w:pStyle w:val="P68B1DB1-Normal14"/>
              <w:spacing w:before="120" w:after="120" w:line="240" w:lineRule="auto"/>
              <w:rPr>
                <w:noProof/>
                <w:szCs w:val="20"/>
              </w:rPr>
            </w:pPr>
            <w:r>
              <w:rPr>
                <w:noProof/>
              </w:rPr>
              <w:t xml:space="preserve"> </w:t>
            </w:r>
          </w:p>
        </w:tc>
        <w:tc>
          <w:tcPr>
            <w:tcW w:w="1134" w:type="dxa"/>
            <w:shd w:val="clear" w:color="auto" w:fill="C6EFCE"/>
          </w:tcPr>
          <w:p w14:paraId="50B4AD24" w14:textId="77777777" w:rsidR="003B5F50" w:rsidRDefault="000D2D85">
            <w:pPr>
              <w:pStyle w:val="P68B1DB1-Normal14"/>
              <w:spacing w:before="120" w:after="120" w:line="240" w:lineRule="auto"/>
              <w:jc w:val="center"/>
              <w:rPr>
                <w:noProof/>
                <w:szCs w:val="20"/>
              </w:rPr>
            </w:pPr>
            <w:r>
              <w:rPr>
                <w:noProof/>
              </w:rPr>
              <w:t xml:space="preserve"> </w:t>
            </w:r>
          </w:p>
        </w:tc>
        <w:tc>
          <w:tcPr>
            <w:tcW w:w="1134" w:type="dxa"/>
            <w:shd w:val="clear" w:color="auto" w:fill="C6EFCE"/>
          </w:tcPr>
          <w:p w14:paraId="50B4AD25" w14:textId="77777777" w:rsidR="003B5F50" w:rsidRDefault="000D2D85">
            <w:pPr>
              <w:pStyle w:val="P68B1DB1-Normal14"/>
              <w:spacing w:before="120" w:after="120" w:line="240" w:lineRule="auto"/>
              <w:jc w:val="center"/>
              <w:rPr>
                <w:noProof/>
                <w:szCs w:val="20"/>
              </w:rPr>
            </w:pPr>
            <w:r>
              <w:rPr>
                <w:noProof/>
              </w:rPr>
              <w:t xml:space="preserve"> </w:t>
            </w:r>
          </w:p>
        </w:tc>
        <w:tc>
          <w:tcPr>
            <w:tcW w:w="1276" w:type="dxa"/>
            <w:shd w:val="clear" w:color="auto" w:fill="C6EFCE"/>
          </w:tcPr>
          <w:p w14:paraId="50B4AD26" w14:textId="77777777" w:rsidR="003B5F50" w:rsidRDefault="000D2D85">
            <w:pPr>
              <w:pStyle w:val="P68B1DB1-Normal14"/>
              <w:spacing w:before="120" w:after="120" w:line="240" w:lineRule="auto"/>
              <w:jc w:val="center"/>
              <w:rPr>
                <w:noProof/>
                <w:szCs w:val="20"/>
              </w:rPr>
            </w:pPr>
            <w:r>
              <w:rPr>
                <w:noProof/>
              </w:rPr>
              <w:t>T4</w:t>
            </w:r>
          </w:p>
        </w:tc>
        <w:tc>
          <w:tcPr>
            <w:tcW w:w="992" w:type="dxa"/>
            <w:shd w:val="clear" w:color="auto" w:fill="C6EFCE"/>
          </w:tcPr>
          <w:p w14:paraId="50B4AD27" w14:textId="77777777" w:rsidR="003B5F50" w:rsidRDefault="000D2D85">
            <w:pPr>
              <w:pStyle w:val="P68B1DB1-Normal14"/>
              <w:spacing w:before="120" w:after="120" w:line="240" w:lineRule="auto"/>
              <w:jc w:val="center"/>
              <w:rPr>
                <w:noProof/>
                <w:szCs w:val="20"/>
              </w:rPr>
            </w:pPr>
            <w:r>
              <w:rPr>
                <w:noProof/>
              </w:rPr>
              <w:t>2021</w:t>
            </w:r>
          </w:p>
        </w:tc>
        <w:tc>
          <w:tcPr>
            <w:tcW w:w="2945" w:type="dxa"/>
            <w:shd w:val="clear" w:color="auto" w:fill="C6EFCE"/>
          </w:tcPr>
          <w:p w14:paraId="50B4AD28" w14:textId="77777777" w:rsidR="003B5F50" w:rsidRDefault="000D2D85">
            <w:pPr>
              <w:pStyle w:val="P68B1DB1-Normal14"/>
              <w:spacing w:before="120" w:after="120" w:line="240" w:lineRule="auto"/>
              <w:rPr>
                <w:noProof/>
                <w:szCs w:val="20"/>
              </w:rPr>
            </w:pPr>
            <w:r>
              <w:rPr>
                <w:noProof/>
              </w:rPr>
              <w:t xml:space="preserve">La méthodologie détermine la manière d’identifier les projets présentant le meilleur rapport qualité-prix possible et contribue à l’objectif de transfert modal des passagers du transport routier individuel vers le cyclisme. </w:t>
            </w:r>
          </w:p>
        </w:tc>
      </w:tr>
      <w:tr w:rsidR="003B5F50" w14:paraId="50B4AD35" w14:textId="77777777" w:rsidTr="000D2D85">
        <w:trPr>
          <w:trHeight w:val="300"/>
        </w:trPr>
        <w:tc>
          <w:tcPr>
            <w:tcW w:w="817" w:type="dxa"/>
            <w:shd w:val="clear" w:color="auto" w:fill="C6EFCE"/>
          </w:tcPr>
          <w:p w14:paraId="50B4AD2A" w14:textId="77777777" w:rsidR="003B5F50" w:rsidRDefault="000D2D85">
            <w:pPr>
              <w:pStyle w:val="P68B1DB1-Normal14"/>
              <w:spacing w:before="120" w:after="120" w:line="240" w:lineRule="auto"/>
              <w:jc w:val="center"/>
              <w:rPr>
                <w:noProof/>
                <w:szCs w:val="20"/>
              </w:rPr>
            </w:pPr>
            <w:r>
              <w:rPr>
                <w:noProof/>
              </w:rPr>
              <w:t>3</w:t>
            </w:r>
          </w:p>
        </w:tc>
        <w:tc>
          <w:tcPr>
            <w:tcW w:w="1588" w:type="dxa"/>
            <w:shd w:val="clear" w:color="auto" w:fill="C6EFCE"/>
          </w:tcPr>
          <w:p w14:paraId="50B4AD2B" w14:textId="77777777" w:rsidR="003B5F50" w:rsidRDefault="000D2D85">
            <w:pPr>
              <w:pStyle w:val="P68B1DB1-Normal14"/>
              <w:spacing w:before="120" w:after="120" w:line="240" w:lineRule="auto"/>
              <w:rPr>
                <w:noProof/>
                <w:szCs w:val="20"/>
              </w:rPr>
            </w:pPr>
            <w:r>
              <w:rPr>
                <w:noProof/>
              </w:rPr>
              <w:t>3 – Transports durables – Réforme 1: Réforme de la préparation des projets d'investissement dans les transports</w:t>
            </w:r>
          </w:p>
        </w:tc>
        <w:tc>
          <w:tcPr>
            <w:tcW w:w="1276" w:type="dxa"/>
            <w:shd w:val="clear" w:color="auto" w:fill="C6EFCE"/>
          </w:tcPr>
          <w:p w14:paraId="50B4AD2C" w14:textId="77777777" w:rsidR="003B5F50" w:rsidRDefault="000D2D85">
            <w:pPr>
              <w:pStyle w:val="P68B1DB1-Normal14"/>
              <w:spacing w:before="120" w:after="120" w:line="240" w:lineRule="auto"/>
              <w:rPr>
                <w:noProof/>
                <w:szCs w:val="20"/>
              </w:rPr>
            </w:pPr>
            <w:r>
              <w:rPr>
                <w:noProof/>
              </w:rPr>
              <w:t>Étape</w:t>
            </w:r>
          </w:p>
        </w:tc>
        <w:tc>
          <w:tcPr>
            <w:tcW w:w="1134" w:type="dxa"/>
            <w:shd w:val="clear" w:color="auto" w:fill="C6EFCE"/>
          </w:tcPr>
          <w:p w14:paraId="50B4AD2D" w14:textId="77777777" w:rsidR="003B5F50" w:rsidRDefault="000D2D85">
            <w:pPr>
              <w:pStyle w:val="P68B1DB1-Normal14"/>
              <w:spacing w:before="120" w:after="120" w:line="240" w:lineRule="auto"/>
              <w:rPr>
                <w:noProof/>
                <w:szCs w:val="20"/>
              </w:rPr>
            </w:pPr>
            <w:r>
              <w:rPr>
                <w:noProof/>
              </w:rPr>
              <w:t>Modification de la loi sur les chemins de fer et de la législation connexe sur les paramètres des infrastructures de transport</w:t>
            </w:r>
          </w:p>
        </w:tc>
        <w:tc>
          <w:tcPr>
            <w:tcW w:w="1276" w:type="dxa"/>
            <w:shd w:val="clear" w:color="auto" w:fill="C6EFCE"/>
          </w:tcPr>
          <w:p w14:paraId="50B4AD2E" w14:textId="0490ECF2" w:rsidR="003B5F50" w:rsidRDefault="000D2D85">
            <w:pPr>
              <w:pStyle w:val="P68B1DB1-Normal14"/>
              <w:spacing w:before="120" w:after="120" w:line="240" w:lineRule="auto"/>
              <w:rPr>
                <w:noProof/>
                <w:szCs w:val="20"/>
              </w:rPr>
            </w:pPr>
            <w:r>
              <w:rPr>
                <w:noProof/>
              </w:rPr>
              <w:t xml:space="preserve">Entrée en vigueur d’une modification de la loi sur les chemins de fer par le Conseil national de la République slovaque et adoption d’une modification du décret no 350/2010 Coll. sur la construction et l’ordre technique des lignes ferroviaires par le ministère des transports et de la construction et entrée en vigueur de la législation </w:t>
            </w:r>
          </w:p>
        </w:tc>
        <w:tc>
          <w:tcPr>
            <w:tcW w:w="992" w:type="dxa"/>
            <w:shd w:val="clear" w:color="auto" w:fill="C6EFCE"/>
          </w:tcPr>
          <w:p w14:paraId="50B4AD2F" w14:textId="77777777" w:rsidR="003B5F50" w:rsidRDefault="000D2D85">
            <w:pPr>
              <w:pStyle w:val="P68B1DB1-Normal14"/>
              <w:spacing w:before="120" w:after="120" w:line="240" w:lineRule="auto"/>
              <w:rPr>
                <w:noProof/>
                <w:szCs w:val="20"/>
              </w:rPr>
            </w:pPr>
            <w:r>
              <w:rPr>
                <w:noProof/>
              </w:rPr>
              <w:t xml:space="preserve"> </w:t>
            </w:r>
          </w:p>
        </w:tc>
        <w:tc>
          <w:tcPr>
            <w:tcW w:w="1134" w:type="dxa"/>
            <w:shd w:val="clear" w:color="auto" w:fill="C6EFCE"/>
          </w:tcPr>
          <w:p w14:paraId="50B4AD30" w14:textId="77777777" w:rsidR="003B5F50" w:rsidRDefault="000D2D85">
            <w:pPr>
              <w:pStyle w:val="P68B1DB1-Normal14"/>
              <w:spacing w:before="120" w:after="120" w:line="240" w:lineRule="auto"/>
              <w:jc w:val="center"/>
              <w:rPr>
                <w:noProof/>
                <w:szCs w:val="20"/>
              </w:rPr>
            </w:pPr>
            <w:r>
              <w:rPr>
                <w:noProof/>
              </w:rPr>
              <w:t xml:space="preserve"> </w:t>
            </w:r>
          </w:p>
        </w:tc>
        <w:tc>
          <w:tcPr>
            <w:tcW w:w="1134" w:type="dxa"/>
            <w:shd w:val="clear" w:color="auto" w:fill="C6EFCE"/>
          </w:tcPr>
          <w:p w14:paraId="50B4AD31" w14:textId="77777777" w:rsidR="003B5F50" w:rsidRDefault="000D2D85">
            <w:pPr>
              <w:pStyle w:val="P68B1DB1-Normal21"/>
              <w:spacing w:before="120" w:after="120" w:line="240" w:lineRule="auto"/>
              <w:jc w:val="center"/>
              <w:rPr>
                <w:noProof/>
                <w:szCs w:val="20"/>
              </w:rPr>
            </w:pPr>
            <w:r>
              <w:rPr>
                <w:noProof/>
              </w:rPr>
              <w:t xml:space="preserve"> </w:t>
            </w:r>
          </w:p>
        </w:tc>
        <w:tc>
          <w:tcPr>
            <w:tcW w:w="1276" w:type="dxa"/>
            <w:shd w:val="clear" w:color="auto" w:fill="C6EFCE"/>
          </w:tcPr>
          <w:p w14:paraId="50B4AD32" w14:textId="77777777" w:rsidR="003B5F50" w:rsidRDefault="000D2D85">
            <w:pPr>
              <w:pStyle w:val="P68B1DB1-Normal14"/>
              <w:spacing w:before="120" w:after="120" w:line="240" w:lineRule="auto"/>
              <w:jc w:val="center"/>
              <w:rPr>
                <w:noProof/>
                <w:szCs w:val="20"/>
              </w:rPr>
            </w:pPr>
            <w:r>
              <w:rPr>
                <w:noProof/>
              </w:rPr>
              <w:t>T1</w:t>
            </w:r>
          </w:p>
        </w:tc>
        <w:tc>
          <w:tcPr>
            <w:tcW w:w="992" w:type="dxa"/>
            <w:shd w:val="clear" w:color="auto" w:fill="C6EFCE"/>
          </w:tcPr>
          <w:p w14:paraId="50B4AD33" w14:textId="77777777" w:rsidR="003B5F50" w:rsidRDefault="000D2D85">
            <w:pPr>
              <w:pStyle w:val="P68B1DB1-Normal14"/>
              <w:spacing w:before="120" w:after="120" w:line="240" w:lineRule="auto"/>
              <w:jc w:val="center"/>
              <w:rPr>
                <w:noProof/>
                <w:szCs w:val="20"/>
              </w:rPr>
            </w:pPr>
            <w:r>
              <w:rPr>
                <w:noProof/>
              </w:rPr>
              <w:t>2023</w:t>
            </w:r>
          </w:p>
        </w:tc>
        <w:tc>
          <w:tcPr>
            <w:tcW w:w="2945" w:type="dxa"/>
            <w:shd w:val="clear" w:color="auto" w:fill="C6EFCE"/>
          </w:tcPr>
          <w:p w14:paraId="50B4AD34" w14:textId="7DE2E5A5" w:rsidR="003B5F50" w:rsidRDefault="000D2D85">
            <w:pPr>
              <w:pStyle w:val="P68B1DB1-Normal14"/>
              <w:spacing w:before="120" w:after="120" w:line="240" w:lineRule="auto"/>
              <w:rPr>
                <w:noProof/>
                <w:szCs w:val="20"/>
              </w:rPr>
            </w:pPr>
            <w:r>
              <w:rPr>
                <w:noProof/>
              </w:rPr>
              <w:t xml:space="preserve">Les modifications législatives simplifieront et rationaliseront les exigences législatives et techniques relatives aux paramètres de l’infrastructure de transport, conformément aux bonnes pratiques d’autres pays de l’UE et à la législation européenne, ce qui créera les conditions permettant d’accélérer le rythme de préparation des mises à niveau de l’infrastructure ferroviaire, de réduire le coût par kilomètre de la ligne modernisée et de permettre la construction plus rapide et plus sûre de chemins de fer. </w:t>
            </w:r>
          </w:p>
        </w:tc>
      </w:tr>
      <w:tr w:rsidR="003B5F50" w14:paraId="50B4AD41" w14:textId="77777777" w:rsidTr="000D2D85">
        <w:trPr>
          <w:trHeight w:val="300"/>
        </w:trPr>
        <w:tc>
          <w:tcPr>
            <w:tcW w:w="817" w:type="dxa"/>
            <w:shd w:val="clear" w:color="auto" w:fill="C6EFCE"/>
          </w:tcPr>
          <w:p w14:paraId="50B4AD36" w14:textId="77777777" w:rsidR="003B5F50" w:rsidRDefault="000D2D85">
            <w:pPr>
              <w:pStyle w:val="P68B1DB1-Normal14"/>
              <w:spacing w:before="120" w:after="120" w:line="240" w:lineRule="auto"/>
              <w:jc w:val="center"/>
              <w:rPr>
                <w:noProof/>
                <w:szCs w:val="20"/>
              </w:rPr>
            </w:pPr>
            <w:r>
              <w:rPr>
                <w:noProof/>
              </w:rPr>
              <w:t>4</w:t>
            </w:r>
          </w:p>
        </w:tc>
        <w:tc>
          <w:tcPr>
            <w:tcW w:w="1588" w:type="dxa"/>
            <w:shd w:val="clear" w:color="auto" w:fill="C6EFCE"/>
          </w:tcPr>
          <w:p w14:paraId="50B4AD37" w14:textId="77777777" w:rsidR="003B5F50" w:rsidRDefault="000D2D85">
            <w:pPr>
              <w:pStyle w:val="P68B1DB1-Normal14"/>
              <w:spacing w:before="120" w:after="120" w:line="240" w:lineRule="auto"/>
              <w:rPr>
                <w:noProof/>
                <w:szCs w:val="20"/>
              </w:rPr>
            </w:pPr>
            <w:r>
              <w:rPr>
                <w:noProof/>
              </w:rPr>
              <w:t>3 – Transports durables – Réforme 2: Réforme du transport public de voyageurs</w:t>
            </w:r>
          </w:p>
        </w:tc>
        <w:tc>
          <w:tcPr>
            <w:tcW w:w="1276" w:type="dxa"/>
            <w:shd w:val="clear" w:color="auto" w:fill="C6EFCE"/>
          </w:tcPr>
          <w:p w14:paraId="50B4AD38" w14:textId="77777777" w:rsidR="003B5F50" w:rsidRDefault="000D2D85">
            <w:pPr>
              <w:pStyle w:val="P68B1DB1-Normal14"/>
              <w:spacing w:before="120" w:after="120" w:line="240" w:lineRule="auto"/>
              <w:rPr>
                <w:noProof/>
                <w:szCs w:val="20"/>
              </w:rPr>
            </w:pPr>
            <w:r>
              <w:rPr>
                <w:noProof/>
              </w:rPr>
              <w:t>Étape</w:t>
            </w:r>
          </w:p>
        </w:tc>
        <w:tc>
          <w:tcPr>
            <w:tcW w:w="1134" w:type="dxa"/>
            <w:shd w:val="clear" w:color="auto" w:fill="C6EFCE"/>
          </w:tcPr>
          <w:p w14:paraId="50B4AD39" w14:textId="77777777" w:rsidR="003B5F50" w:rsidRDefault="000D2D85">
            <w:pPr>
              <w:pStyle w:val="P68B1DB1-Normal14"/>
              <w:spacing w:before="120" w:after="120" w:line="240" w:lineRule="auto"/>
              <w:rPr>
                <w:noProof/>
                <w:szCs w:val="20"/>
              </w:rPr>
            </w:pPr>
            <w:r>
              <w:rPr>
                <w:noProof/>
              </w:rPr>
              <w:t>Nouvelle loi sur le transport public de voyageurs</w:t>
            </w:r>
          </w:p>
        </w:tc>
        <w:tc>
          <w:tcPr>
            <w:tcW w:w="1276" w:type="dxa"/>
            <w:shd w:val="clear" w:color="auto" w:fill="C6EFCE"/>
          </w:tcPr>
          <w:p w14:paraId="50B4AD3A" w14:textId="77777777" w:rsidR="003B5F50" w:rsidRDefault="000D2D85">
            <w:pPr>
              <w:pStyle w:val="P68B1DB1-Normal14"/>
              <w:spacing w:before="120" w:after="120" w:line="240" w:lineRule="auto"/>
              <w:rPr>
                <w:noProof/>
                <w:szCs w:val="20"/>
              </w:rPr>
            </w:pPr>
            <w:r>
              <w:rPr>
                <w:noProof/>
              </w:rPr>
              <w:t>Entrée en vigueur de la loi sur le transport public de voyageurs par le Conseil national de la République slovaque et entrée en vigueur de la législation visant à coordonner, intégrer et gérer efficacement les transports publics</w:t>
            </w:r>
          </w:p>
        </w:tc>
        <w:tc>
          <w:tcPr>
            <w:tcW w:w="992" w:type="dxa"/>
            <w:shd w:val="clear" w:color="auto" w:fill="C6EFCE"/>
          </w:tcPr>
          <w:p w14:paraId="50B4AD3B" w14:textId="77777777" w:rsidR="003B5F50" w:rsidRDefault="000D2D85">
            <w:pPr>
              <w:pStyle w:val="P68B1DB1-Normal14"/>
              <w:spacing w:before="120" w:after="120" w:line="240" w:lineRule="auto"/>
              <w:rPr>
                <w:noProof/>
                <w:szCs w:val="20"/>
              </w:rPr>
            </w:pPr>
            <w:r>
              <w:rPr>
                <w:noProof/>
              </w:rPr>
              <w:t xml:space="preserve"> </w:t>
            </w:r>
          </w:p>
        </w:tc>
        <w:tc>
          <w:tcPr>
            <w:tcW w:w="1134" w:type="dxa"/>
            <w:shd w:val="clear" w:color="auto" w:fill="C6EFCE"/>
          </w:tcPr>
          <w:p w14:paraId="50B4AD3C" w14:textId="77777777" w:rsidR="003B5F50" w:rsidRDefault="000D2D85">
            <w:pPr>
              <w:pStyle w:val="P68B1DB1-Normal14"/>
              <w:spacing w:before="120" w:after="120" w:line="240" w:lineRule="auto"/>
              <w:jc w:val="center"/>
              <w:rPr>
                <w:noProof/>
                <w:szCs w:val="20"/>
              </w:rPr>
            </w:pPr>
            <w:r>
              <w:rPr>
                <w:noProof/>
              </w:rPr>
              <w:t xml:space="preserve"> </w:t>
            </w:r>
          </w:p>
        </w:tc>
        <w:tc>
          <w:tcPr>
            <w:tcW w:w="1134" w:type="dxa"/>
            <w:shd w:val="clear" w:color="auto" w:fill="C6EFCE"/>
          </w:tcPr>
          <w:p w14:paraId="50B4AD3D" w14:textId="77777777" w:rsidR="003B5F50" w:rsidRDefault="000D2D85">
            <w:pPr>
              <w:pStyle w:val="P68B1DB1-Normal14"/>
              <w:spacing w:before="120" w:after="120" w:line="240" w:lineRule="auto"/>
              <w:jc w:val="center"/>
              <w:rPr>
                <w:noProof/>
                <w:szCs w:val="20"/>
              </w:rPr>
            </w:pPr>
            <w:r>
              <w:rPr>
                <w:noProof/>
              </w:rPr>
              <w:t xml:space="preserve"> </w:t>
            </w:r>
          </w:p>
        </w:tc>
        <w:tc>
          <w:tcPr>
            <w:tcW w:w="1276" w:type="dxa"/>
            <w:shd w:val="clear" w:color="auto" w:fill="C6EFCE"/>
          </w:tcPr>
          <w:p w14:paraId="50B4AD3E" w14:textId="77777777" w:rsidR="003B5F50" w:rsidRDefault="000D2D85">
            <w:pPr>
              <w:pStyle w:val="P68B1DB1-Normal14"/>
              <w:spacing w:before="120" w:after="120" w:line="240" w:lineRule="auto"/>
              <w:jc w:val="center"/>
              <w:rPr>
                <w:noProof/>
                <w:szCs w:val="20"/>
              </w:rPr>
            </w:pPr>
            <w:r>
              <w:rPr>
                <w:noProof/>
              </w:rPr>
              <w:t>T1</w:t>
            </w:r>
          </w:p>
        </w:tc>
        <w:tc>
          <w:tcPr>
            <w:tcW w:w="992" w:type="dxa"/>
            <w:shd w:val="clear" w:color="auto" w:fill="C6EFCE"/>
          </w:tcPr>
          <w:p w14:paraId="50B4AD3F" w14:textId="77777777" w:rsidR="003B5F50" w:rsidRDefault="000D2D85">
            <w:pPr>
              <w:pStyle w:val="P68B1DB1-Normal14"/>
              <w:spacing w:before="120" w:after="120" w:line="240" w:lineRule="auto"/>
              <w:jc w:val="center"/>
              <w:rPr>
                <w:noProof/>
                <w:szCs w:val="20"/>
              </w:rPr>
            </w:pPr>
            <w:r>
              <w:rPr>
                <w:noProof/>
              </w:rPr>
              <w:t>2023</w:t>
            </w:r>
          </w:p>
        </w:tc>
        <w:tc>
          <w:tcPr>
            <w:tcW w:w="2945" w:type="dxa"/>
            <w:shd w:val="clear" w:color="auto" w:fill="C6EFCE"/>
          </w:tcPr>
          <w:p w14:paraId="50B4AD40" w14:textId="77777777" w:rsidR="003B5F50" w:rsidRDefault="000D2D85">
            <w:pPr>
              <w:pStyle w:val="P68B1DB1-Normal14"/>
              <w:spacing w:before="120" w:after="120" w:line="240" w:lineRule="auto"/>
              <w:rPr>
                <w:noProof/>
                <w:szCs w:val="20"/>
              </w:rPr>
            </w:pPr>
            <w:r>
              <w:rPr>
                <w:noProof/>
              </w:rPr>
              <w:t xml:space="preserve">La loi normalise les normes de transport public de voyageurs et rationalise l’ordre de service public, qui est actuellement fragmenté et insuffisamment coordonné entre l’État, les comtés, les villes et les municipalités. </w:t>
            </w:r>
          </w:p>
        </w:tc>
      </w:tr>
      <w:tr w:rsidR="003B5F50" w14:paraId="50B4AD4D" w14:textId="77777777" w:rsidTr="000D2D85">
        <w:trPr>
          <w:trHeight w:val="300"/>
        </w:trPr>
        <w:tc>
          <w:tcPr>
            <w:tcW w:w="817" w:type="dxa"/>
            <w:shd w:val="clear" w:color="auto" w:fill="C6EFCE"/>
          </w:tcPr>
          <w:p w14:paraId="50B4AD42" w14:textId="77777777" w:rsidR="003B5F50" w:rsidRDefault="000D2D85">
            <w:pPr>
              <w:pStyle w:val="P68B1DB1-Normal14"/>
              <w:spacing w:before="120" w:after="120" w:line="240" w:lineRule="auto"/>
              <w:jc w:val="center"/>
              <w:rPr>
                <w:noProof/>
                <w:szCs w:val="20"/>
              </w:rPr>
            </w:pPr>
            <w:r>
              <w:rPr>
                <w:noProof/>
              </w:rPr>
              <w:t>5</w:t>
            </w:r>
          </w:p>
        </w:tc>
        <w:tc>
          <w:tcPr>
            <w:tcW w:w="1588" w:type="dxa"/>
            <w:shd w:val="clear" w:color="auto" w:fill="C6EFCE"/>
          </w:tcPr>
          <w:p w14:paraId="50B4AD43" w14:textId="77777777" w:rsidR="003B5F50" w:rsidRDefault="000D2D85">
            <w:pPr>
              <w:pStyle w:val="P68B1DB1-Normal14"/>
              <w:spacing w:before="120" w:after="120" w:line="240" w:lineRule="auto"/>
              <w:rPr>
                <w:noProof/>
                <w:szCs w:val="20"/>
              </w:rPr>
            </w:pPr>
            <w:r>
              <w:rPr>
                <w:noProof/>
              </w:rPr>
              <w:t>3 – Transports durables – Réforme 2: Réforme du transport public de voyageurs</w:t>
            </w:r>
          </w:p>
        </w:tc>
        <w:tc>
          <w:tcPr>
            <w:tcW w:w="1276" w:type="dxa"/>
            <w:shd w:val="clear" w:color="auto" w:fill="C6EFCE"/>
          </w:tcPr>
          <w:p w14:paraId="50B4AD44" w14:textId="77777777" w:rsidR="003B5F50" w:rsidRDefault="000D2D85">
            <w:pPr>
              <w:pStyle w:val="P68B1DB1-Normal14"/>
              <w:spacing w:before="120" w:after="120" w:line="240" w:lineRule="auto"/>
              <w:rPr>
                <w:noProof/>
                <w:szCs w:val="20"/>
              </w:rPr>
            </w:pPr>
            <w:r>
              <w:rPr>
                <w:noProof/>
              </w:rPr>
              <w:t>Étape</w:t>
            </w:r>
          </w:p>
        </w:tc>
        <w:tc>
          <w:tcPr>
            <w:tcW w:w="1134" w:type="dxa"/>
            <w:shd w:val="clear" w:color="auto" w:fill="C6EFCE"/>
          </w:tcPr>
          <w:p w14:paraId="50B4AD45" w14:textId="77777777" w:rsidR="003B5F50" w:rsidRDefault="000D2D85">
            <w:pPr>
              <w:pStyle w:val="P68B1DB1-Normal14"/>
              <w:spacing w:before="120" w:after="120" w:line="240" w:lineRule="auto"/>
              <w:rPr>
                <w:noProof/>
                <w:szCs w:val="20"/>
              </w:rPr>
            </w:pPr>
            <w:r>
              <w:rPr>
                <w:noProof/>
              </w:rPr>
              <w:t>Mise en œuvre d'un horaire de transport ferroviaire optimisé</w:t>
            </w:r>
          </w:p>
        </w:tc>
        <w:tc>
          <w:tcPr>
            <w:tcW w:w="1276" w:type="dxa"/>
            <w:shd w:val="clear" w:color="auto" w:fill="C6EFCE"/>
          </w:tcPr>
          <w:p w14:paraId="50B4AD46" w14:textId="77777777" w:rsidR="003B5F50" w:rsidRDefault="000D2D85">
            <w:pPr>
              <w:pStyle w:val="P68B1DB1-Normal14"/>
              <w:spacing w:before="120" w:after="120" w:line="240" w:lineRule="auto"/>
              <w:rPr>
                <w:noProof/>
                <w:szCs w:val="20"/>
              </w:rPr>
            </w:pPr>
            <w:r>
              <w:rPr>
                <w:noProof/>
              </w:rPr>
              <w:t xml:space="preserve">Entrée en vigueur d'un horaire de transport ferroviaire optimisé </w:t>
            </w:r>
          </w:p>
        </w:tc>
        <w:tc>
          <w:tcPr>
            <w:tcW w:w="992" w:type="dxa"/>
            <w:shd w:val="clear" w:color="auto" w:fill="C6EFCE"/>
          </w:tcPr>
          <w:p w14:paraId="50B4AD47" w14:textId="77777777" w:rsidR="003B5F50" w:rsidRDefault="000D2D85">
            <w:pPr>
              <w:pStyle w:val="P68B1DB1-Normal14"/>
              <w:spacing w:before="120" w:after="120" w:line="240" w:lineRule="auto"/>
              <w:rPr>
                <w:noProof/>
                <w:szCs w:val="20"/>
              </w:rPr>
            </w:pPr>
            <w:r>
              <w:rPr>
                <w:noProof/>
              </w:rPr>
              <w:t xml:space="preserve"> </w:t>
            </w:r>
          </w:p>
        </w:tc>
        <w:tc>
          <w:tcPr>
            <w:tcW w:w="1134" w:type="dxa"/>
            <w:shd w:val="clear" w:color="auto" w:fill="C6EFCE"/>
          </w:tcPr>
          <w:p w14:paraId="50B4AD48" w14:textId="77777777" w:rsidR="003B5F50" w:rsidRDefault="000D2D85">
            <w:pPr>
              <w:pStyle w:val="P68B1DB1-Normal14"/>
              <w:spacing w:before="120" w:after="120" w:line="240" w:lineRule="auto"/>
              <w:jc w:val="center"/>
              <w:rPr>
                <w:noProof/>
                <w:szCs w:val="20"/>
              </w:rPr>
            </w:pPr>
            <w:r>
              <w:rPr>
                <w:noProof/>
              </w:rPr>
              <w:t xml:space="preserve"> </w:t>
            </w:r>
          </w:p>
        </w:tc>
        <w:tc>
          <w:tcPr>
            <w:tcW w:w="1134" w:type="dxa"/>
            <w:shd w:val="clear" w:color="auto" w:fill="C6EFCE"/>
          </w:tcPr>
          <w:p w14:paraId="50B4AD49" w14:textId="77777777" w:rsidR="003B5F50" w:rsidRDefault="000D2D85">
            <w:pPr>
              <w:pStyle w:val="P68B1DB1-Normal14"/>
              <w:spacing w:before="120" w:after="120" w:line="240" w:lineRule="auto"/>
              <w:jc w:val="center"/>
              <w:rPr>
                <w:noProof/>
                <w:szCs w:val="20"/>
              </w:rPr>
            </w:pPr>
            <w:r>
              <w:rPr>
                <w:noProof/>
              </w:rPr>
              <w:t xml:space="preserve"> </w:t>
            </w:r>
          </w:p>
        </w:tc>
        <w:tc>
          <w:tcPr>
            <w:tcW w:w="1276" w:type="dxa"/>
            <w:shd w:val="clear" w:color="auto" w:fill="C6EFCE"/>
          </w:tcPr>
          <w:p w14:paraId="50B4AD4A" w14:textId="77777777" w:rsidR="003B5F50" w:rsidRDefault="000D2D85">
            <w:pPr>
              <w:pStyle w:val="P68B1DB1-Normal14"/>
              <w:spacing w:before="120" w:after="120" w:line="240" w:lineRule="auto"/>
              <w:jc w:val="center"/>
              <w:rPr>
                <w:noProof/>
                <w:szCs w:val="20"/>
              </w:rPr>
            </w:pPr>
            <w:r>
              <w:rPr>
                <w:noProof/>
              </w:rPr>
              <w:t>T4</w:t>
            </w:r>
          </w:p>
        </w:tc>
        <w:tc>
          <w:tcPr>
            <w:tcW w:w="992" w:type="dxa"/>
            <w:shd w:val="clear" w:color="auto" w:fill="C6EFCE"/>
          </w:tcPr>
          <w:p w14:paraId="50B4AD4B" w14:textId="77777777" w:rsidR="003B5F50" w:rsidRDefault="000D2D85">
            <w:pPr>
              <w:pStyle w:val="P68B1DB1-Normal14"/>
              <w:spacing w:before="120" w:after="120" w:line="240" w:lineRule="auto"/>
              <w:jc w:val="center"/>
              <w:rPr>
                <w:noProof/>
                <w:szCs w:val="20"/>
              </w:rPr>
            </w:pPr>
            <w:r>
              <w:rPr>
                <w:noProof/>
              </w:rPr>
              <w:t>2023</w:t>
            </w:r>
          </w:p>
        </w:tc>
        <w:tc>
          <w:tcPr>
            <w:tcW w:w="2945" w:type="dxa"/>
            <w:shd w:val="clear" w:color="auto" w:fill="C6EFCE"/>
          </w:tcPr>
          <w:p w14:paraId="50B4AD4C" w14:textId="77777777" w:rsidR="003B5F50" w:rsidRDefault="000D2D85">
            <w:pPr>
              <w:pStyle w:val="P68B1DB1-Normal14"/>
              <w:spacing w:before="120" w:after="120" w:line="240" w:lineRule="auto"/>
              <w:rPr>
                <w:noProof/>
                <w:szCs w:val="20"/>
              </w:rPr>
            </w:pPr>
            <w:r>
              <w:rPr>
                <w:noProof/>
              </w:rPr>
              <w:t>Le ministère des transports et de la construction met en œuvre la commande de services de transport ferroviaire de voyageurs conformément au plan de services de transport finalisé au plus tard le 31 décembre 2023.</w:t>
            </w:r>
          </w:p>
        </w:tc>
      </w:tr>
      <w:tr w:rsidR="003B5F50" w14:paraId="50B4AD5A" w14:textId="77777777" w:rsidTr="000D2D85">
        <w:trPr>
          <w:trHeight w:val="300"/>
        </w:trPr>
        <w:tc>
          <w:tcPr>
            <w:tcW w:w="817" w:type="dxa"/>
            <w:shd w:val="clear" w:color="auto" w:fill="C6EFCE"/>
          </w:tcPr>
          <w:p w14:paraId="50B4AD4E" w14:textId="77777777" w:rsidR="003B5F50" w:rsidRDefault="000D2D85">
            <w:pPr>
              <w:pStyle w:val="P68B1DB1-Normal14"/>
              <w:spacing w:before="120" w:after="120" w:line="240" w:lineRule="auto"/>
              <w:jc w:val="center"/>
              <w:rPr>
                <w:noProof/>
                <w:szCs w:val="20"/>
              </w:rPr>
            </w:pPr>
            <w:r>
              <w:rPr>
                <w:noProof/>
              </w:rPr>
              <w:t>6</w:t>
            </w:r>
          </w:p>
        </w:tc>
        <w:tc>
          <w:tcPr>
            <w:tcW w:w="1588" w:type="dxa"/>
            <w:shd w:val="clear" w:color="auto" w:fill="C6EFCE"/>
          </w:tcPr>
          <w:p w14:paraId="50B4AD4F" w14:textId="77777777" w:rsidR="003B5F50" w:rsidRDefault="000D2D85">
            <w:pPr>
              <w:pStyle w:val="P68B1DB1-Normal14"/>
              <w:spacing w:before="120" w:after="120" w:line="240" w:lineRule="auto"/>
              <w:rPr>
                <w:noProof/>
                <w:szCs w:val="20"/>
              </w:rPr>
            </w:pPr>
            <w:r>
              <w:rPr>
                <w:noProof/>
              </w:rPr>
              <w:t>3– Transports durables – Réforme 2: Réforme du transport public de voyageurs</w:t>
            </w:r>
          </w:p>
        </w:tc>
        <w:tc>
          <w:tcPr>
            <w:tcW w:w="1276" w:type="dxa"/>
            <w:shd w:val="clear" w:color="auto" w:fill="C6EFCE"/>
          </w:tcPr>
          <w:p w14:paraId="50B4AD50" w14:textId="77777777" w:rsidR="003B5F50" w:rsidRDefault="000D2D85">
            <w:pPr>
              <w:pStyle w:val="P68B1DB1-Normal14"/>
              <w:spacing w:before="120" w:after="120" w:line="240" w:lineRule="auto"/>
              <w:rPr>
                <w:noProof/>
                <w:szCs w:val="20"/>
              </w:rPr>
            </w:pPr>
            <w:r>
              <w:rPr>
                <w:noProof/>
              </w:rPr>
              <w:t>Objectif</w:t>
            </w:r>
          </w:p>
        </w:tc>
        <w:tc>
          <w:tcPr>
            <w:tcW w:w="1134" w:type="dxa"/>
            <w:shd w:val="clear" w:color="auto" w:fill="C6EFCE"/>
          </w:tcPr>
          <w:p w14:paraId="50B4AD51" w14:textId="77777777" w:rsidR="003B5F50" w:rsidRDefault="000D2D85">
            <w:pPr>
              <w:pStyle w:val="P68B1DB1-Normal14"/>
              <w:spacing w:before="120" w:after="120" w:line="240" w:lineRule="auto"/>
              <w:rPr>
                <w:noProof/>
                <w:szCs w:val="20"/>
              </w:rPr>
            </w:pPr>
            <w:r>
              <w:rPr>
                <w:noProof/>
              </w:rPr>
              <w:t>Nombre de régions autonomes dans lesquelles une intégration tarifaire est en place permettant de voyager par plusieurs modes de transport public ou par transporteurs par billet</w:t>
            </w:r>
          </w:p>
        </w:tc>
        <w:tc>
          <w:tcPr>
            <w:tcW w:w="1276" w:type="dxa"/>
            <w:shd w:val="clear" w:color="auto" w:fill="C6EFCE"/>
          </w:tcPr>
          <w:p w14:paraId="50B4AD52" w14:textId="77777777" w:rsidR="003B5F50" w:rsidRDefault="000D2D85">
            <w:pPr>
              <w:pStyle w:val="P68B1DB1-Normal14"/>
              <w:spacing w:before="120" w:after="120" w:line="240" w:lineRule="auto"/>
              <w:rPr>
                <w:noProof/>
                <w:szCs w:val="20"/>
              </w:rPr>
            </w:pPr>
            <w:r>
              <w:rPr>
                <w:noProof/>
              </w:rPr>
              <w:t xml:space="preserve"> </w:t>
            </w:r>
          </w:p>
        </w:tc>
        <w:tc>
          <w:tcPr>
            <w:tcW w:w="992" w:type="dxa"/>
            <w:shd w:val="clear" w:color="auto" w:fill="C6EFCE"/>
          </w:tcPr>
          <w:p w14:paraId="50B4AD53" w14:textId="77777777" w:rsidR="003B5F50" w:rsidRDefault="000D2D85">
            <w:pPr>
              <w:pStyle w:val="P68B1DB1-Normal14"/>
              <w:spacing w:before="120" w:after="120" w:line="240" w:lineRule="auto"/>
              <w:rPr>
                <w:noProof/>
                <w:szCs w:val="20"/>
              </w:rPr>
            </w:pPr>
            <w:r>
              <w:rPr>
                <w:noProof/>
              </w:rPr>
              <w:t>Numéro</w:t>
            </w:r>
          </w:p>
        </w:tc>
        <w:tc>
          <w:tcPr>
            <w:tcW w:w="1134" w:type="dxa"/>
            <w:shd w:val="clear" w:color="auto" w:fill="C6EFCE"/>
          </w:tcPr>
          <w:p w14:paraId="50B4AD54" w14:textId="77777777" w:rsidR="003B5F50" w:rsidRDefault="000D2D85">
            <w:pPr>
              <w:pStyle w:val="P68B1DB1-Normal14"/>
              <w:spacing w:before="120" w:after="120" w:line="240" w:lineRule="auto"/>
              <w:jc w:val="center"/>
              <w:rPr>
                <w:noProof/>
                <w:szCs w:val="20"/>
              </w:rPr>
            </w:pPr>
            <w:r>
              <w:rPr>
                <w:noProof/>
              </w:rPr>
              <w:t>1</w:t>
            </w:r>
          </w:p>
        </w:tc>
        <w:tc>
          <w:tcPr>
            <w:tcW w:w="1134" w:type="dxa"/>
            <w:shd w:val="clear" w:color="auto" w:fill="C6EFCE"/>
          </w:tcPr>
          <w:p w14:paraId="50B4AD55" w14:textId="77777777" w:rsidR="003B5F50" w:rsidRDefault="000D2D85">
            <w:pPr>
              <w:pStyle w:val="P68B1DB1-Normal14"/>
              <w:spacing w:before="120" w:after="120" w:line="240" w:lineRule="auto"/>
              <w:jc w:val="center"/>
              <w:rPr>
                <w:noProof/>
                <w:szCs w:val="20"/>
              </w:rPr>
            </w:pPr>
            <w:r>
              <w:rPr>
                <w:noProof/>
              </w:rPr>
              <w:t>6</w:t>
            </w:r>
          </w:p>
        </w:tc>
        <w:tc>
          <w:tcPr>
            <w:tcW w:w="1276" w:type="dxa"/>
            <w:shd w:val="clear" w:color="auto" w:fill="C6EFCE"/>
          </w:tcPr>
          <w:p w14:paraId="50B4AD56" w14:textId="77777777" w:rsidR="003B5F50" w:rsidRDefault="000D2D85">
            <w:pPr>
              <w:pStyle w:val="P68B1DB1-Normal14"/>
              <w:spacing w:before="120" w:after="120" w:line="240" w:lineRule="auto"/>
              <w:jc w:val="center"/>
              <w:rPr>
                <w:noProof/>
                <w:szCs w:val="20"/>
              </w:rPr>
            </w:pPr>
            <w:r>
              <w:rPr>
                <w:noProof/>
              </w:rPr>
              <w:t>T2</w:t>
            </w:r>
          </w:p>
        </w:tc>
        <w:tc>
          <w:tcPr>
            <w:tcW w:w="992" w:type="dxa"/>
            <w:shd w:val="clear" w:color="auto" w:fill="C6EFCE"/>
          </w:tcPr>
          <w:p w14:paraId="50B4AD57" w14:textId="77777777" w:rsidR="003B5F50" w:rsidRDefault="000D2D85">
            <w:pPr>
              <w:pStyle w:val="P68B1DB1-Normal14"/>
              <w:spacing w:before="120" w:after="120" w:line="240" w:lineRule="auto"/>
              <w:jc w:val="center"/>
              <w:rPr>
                <w:noProof/>
                <w:szCs w:val="20"/>
              </w:rPr>
            </w:pPr>
            <w:r>
              <w:rPr>
                <w:noProof/>
              </w:rPr>
              <w:t>2026</w:t>
            </w:r>
          </w:p>
        </w:tc>
        <w:tc>
          <w:tcPr>
            <w:tcW w:w="2945" w:type="dxa"/>
            <w:shd w:val="clear" w:color="auto" w:fill="C6EFCE"/>
          </w:tcPr>
          <w:p w14:paraId="50B4AD58" w14:textId="77777777" w:rsidR="003B5F50" w:rsidRDefault="000D2D85">
            <w:pPr>
              <w:pStyle w:val="P68B1DB1-Normal15"/>
              <w:spacing w:before="120" w:after="120" w:line="240" w:lineRule="auto"/>
              <w:rPr>
                <w:noProof/>
              </w:rPr>
            </w:pPr>
            <w:r>
              <w:rPr>
                <w:noProof/>
              </w:rPr>
              <w:t>Un système de transport intégré est créé et fonctionne dans au moins six régions autonomes, permettant aux transports publics multimodaux de voyageurs de voyager avec un seul billet.</w:t>
            </w:r>
          </w:p>
          <w:p w14:paraId="50B4AD59" w14:textId="77777777" w:rsidR="003B5F50" w:rsidRDefault="000D2D85">
            <w:pPr>
              <w:pStyle w:val="P68B1DB1-Normal15"/>
              <w:spacing w:before="120" w:after="120" w:line="240" w:lineRule="auto"/>
              <w:rPr>
                <w:noProof/>
              </w:rPr>
            </w:pPr>
            <w:r>
              <w:rPr>
                <w:noProof/>
              </w:rPr>
              <w:t>L’indicateur quantitatif fait référence au nombre de régions autonomes dans lesquelles un système de transport intégré est créé, permettant au transport public multimodal de voyageurs de voyager avec un seul billet.</w:t>
            </w:r>
          </w:p>
        </w:tc>
      </w:tr>
      <w:tr w:rsidR="003B5F50" w14:paraId="50B4AD66" w14:textId="77777777" w:rsidTr="000D2D85">
        <w:trPr>
          <w:trHeight w:val="300"/>
        </w:trPr>
        <w:tc>
          <w:tcPr>
            <w:tcW w:w="817" w:type="dxa"/>
            <w:shd w:val="clear" w:color="auto" w:fill="C6EFCE"/>
          </w:tcPr>
          <w:p w14:paraId="50B4AD5B" w14:textId="77777777" w:rsidR="003B5F50" w:rsidRDefault="000D2D85">
            <w:pPr>
              <w:pStyle w:val="P68B1DB1-Normal14"/>
              <w:spacing w:before="120" w:after="120" w:line="240" w:lineRule="auto"/>
              <w:jc w:val="center"/>
              <w:rPr>
                <w:noProof/>
                <w:szCs w:val="20"/>
              </w:rPr>
            </w:pPr>
            <w:r>
              <w:rPr>
                <w:noProof/>
              </w:rPr>
              <w:t>7</w:t>
            </w:r>
          </w:p>
        </w:tc>
        <w:tc>
          <w:tcPr>
            <w:tcW w:w="1588" w:type="dxa"/>
            <w:shd w:val="clear" w:color="auto" w:fill="C6EFCE"/>
          </w:tcPr>
          <w:p w14:paraId="50B4AD5C" w14:textId="77777777" w:rsidR="003B5F50" w:rsidRDefault="000D2D85">
            <w:pPr>
              <w:pStyle w:val="P68B1DB1-Normal14"/>
              <w:spacing w:before="120" w:after="120" w:line="240" w:lineRule="auto"/>
              <w:rPr>
                <w:noProof/>
                <w:szCs w:val="20"/>
              </w:rPr>
            </w:pPr>
            <w:r>
              <w:rPr>
                <w:noProof/>
              </w:rPr>
              <w:t>3 – Transports durables – Investissement 1: Développement d'infrastructures de transport à faible intensité de carbone</w:t>
            </w:r>
          </w:p>
        </w:tc>
        <w:tc>
          <w:tcPr>
            <w:tcW w:w="1276" w:type="dxa"/>
            <w:shd w:val="clear" w:color="auto" w:fill="C6EFCE"/>
          </w:tcPr>
          <w:p w14:paraId="50B4AD5D" w14:textId="77777777" w:rsidR="003B5F50" w:rsidRDefault="000D2D85">
            <w:pPr>
              <w:pStyle w:val="P68B1DB1-Normal15"/>
              <w:spacing w:before="120" w:after="120" w:line="240" w:lineRule="auto"/>
              <w:rPr>
                <w:noProof/>
              </w:rPr>
            </w:pPr>
            <w:r>
              <w:rPr>
                <w:noProof/>
              </w:rPr>
              <w:t>Objectif</w:t>
            </w:r>
          </w:p>
        </w:tc>
        <w:tc>
          <w:tcPr>
            <w:tcW w:w="1134" w:type="dxa"/>
            <w:shd w:val="clear" w:color="auto" w:fill="C6EFCE"/>
          </w:tcPr>
          <w:p w14:paraId="50B4AD5E" w14:textId="77777777" w:rsidR="003B5F50" w:rsidRDefault="000D2D85">
            <w:pPr>
              <w:pStyle w:val="P68B1DB1-Normal15"/>
              <w:spacing w:before="120" w:after="120" w:line="240" w:lineRule="auto"/>
              <w:rPr>
                <w:noProof/>
              </w:rPr>
            </w:pPr>
            <w:r>
              <w:rPr>
                <w:noProof/>
              </w:rPr>
              <w:t>Longueur des nouvelles infrastructures cyclables (km)</w:t>
            </w:r>
          </w:p>
        </w:tc>
        <w:tc>
          <w:tcPr>
            <w:tcW w:w="1276" w:type="dxa"/>
            <w:shd w:val="clear" w:color="auto" w:fill="C6EFCE"/>
          </w:tcPr>
          <w:p w14:paraId="50B4AD5F" w14:textId="77777777" w:rsidR="003B5F50" w:rsidRDefault="003B5F50">
            <w:pPr>
              <w:spacing w:before="120" w:after="120" w:line="240" w:lineRule="auto"/>
              <w:rPr>
                <w:rFonts w:ascii="Times New Roman" w:hAnsi="Times New Roman"/>
                <w:noProof/>
                <w:color w:val="006100"/>
                <w:sz w:val="20"/>
                <w:szCs w:val="20"/>
              </w:rPr>
            </w:pPr>
          </w:p>
        </w:tc>
        <w:tc>
          <w:tcPr>
            <w:tcW w:w="992" w:type="dxa"/>
            <w:shd w:val="clear" w:color="auto" w:fill="C6EFCE"/>
          </w:tcPr>
          <w:p w14:paraId="50B4AD60" w14:textId="77777777" w:rsidR="003B5F50" w:rsidRDefault="000D2D85">
            <w:pPr>
              <w:pStyle w:val="P68B1DB1-Normal15"/>
              <w:spacing w:before="120" w:after="120" w:line="240" w:lineRule="auto"/>
              <w:rPr>
                <w:noProof/>
              </w:rPr>
            </w:pPr>
            <w:r>
              <w:rPr>
                <w:noProof/>
              </w:rPr>
              <w:t>Longueur (km)</w:t>
            </w:r>
          </w:p>
        </w:tc>
        <w:tc>
          <w:tcPr>
            <w:tcW w:w="1134" w:type="dxa"/>
            <w:shd w:val="clear" w:color="auto" w:fill="C6EFCE"/>
          </w:tcPr>
          <w:p w14:paraId="50B4AD61" w14:textId="77777777" w:rsidR="003B5F50" w:rsidRDefault="000D2D85">
            <w:pPr>
              <w:pStyle w:val="P68B1DB1-Normal15"/>
              <w:spacing w:before="120" w:after="120" w:line="240" w:lineRule="auto"/>
              <w:jc w:val="center"/>
              <w:rPr>
                <w:noProof/>
              </w:rPr>
            </w:pPr>
            <w:r>
              <w:rPr>
                <w:noProof/>
              </w:rPr>
              <w:t>0</w:t>
            </w:r>
          </w:p>
        </w:tc>
        <w:tc>
          <w:tcPr>
            <w:tcW w:w="1134" w:type="dxa"/>
            <w:shd w:val="clear" w:color="auto" w:fill="C6EFCE"/>
          </w:tcPr>
          <w:p w14:paraId="50B4AD62" w14:textId="77777777" w:rsidR="003B5F50" w:rsidRDefault="000D2D85">
            <w:pPr>
              <w:pStyle w:val="P68B1DB1-Normal15"/>
              <w:spacing w:before="120" w:after="120" w:line="240" w:lineRule="auto"/>
              <w:jc w:val="center"/>
              <w:rPr>
                <w:noProof/>
              </w:rPr>
            </w:pPr>
            <w:r>
              <w:rPr>
                <w:noProof/>
              </w:rPr>
              <w:t>161,8</w:t>
            </w:r>
          </w:p>
        </w:tc>
        <w:tc>
          <w:tcPr>
            <w:tcW w:w="1276" w:type="dxa"/>
            <w:shd w:val="clear" w:color="auto" w:fill="C6EFCE"/>
          </w:tcPr>
          <w:p w14:paraId="50B4AD63" w14:textId="77777777" w:rsidR="003B5F50" w:rsidRDefault="000D2D85">
            <w:pPr>
              <w:pStyle w:val="P68B1DB1-Normal14"/>
              <w:spacing w:before="120" w:after="120" w:line="240" w:lineRule="auto"/>
              <w:jc w:val="center"/>
              <w:rPr>
                <w:noProof/>
                <w:szCs w:val="20"/>
              </w:rPr>
            </w:pPr>
            <w:r>
              <w:rPr>
                <w:noProof/>
              </w:rPr>
              <w:t>T2</w:t>
            </w:r>
          </w:p>
        </w:tc>
        <w:tc>
          <w:tcPr>
            <w:tcW w:w="992" w:type="dxa"/>
            <w:shd w:val="clear" w:color="auto" w:fill="C6EFCE"/>
          </w:tcPr>
          <w:p w14:paraId="50B4AD64" w14:textId="77777777" w:rsidR="003B5F50" w:rsidRDefault="000D2D85">
            <w:pPr>
              <w:pStyle w:val="P68B1DB1-Normal14"/>
              <w:spacing w:before="120" w:after="120" w:line="240" w:lineRule="auto"/>
              <w:jc w:val="center"/>
              <w:rPr>
                <w:noProof/>
                <w:szCs w:val="20"/>
              </w:rPr>
            </w:pPr>
            <w:r>
              <w:rPr>
                <w:noProof/>
              </w:rPr>
              <w:t>2026</w:t>
            </w:r>
          </w:p>
        </w:tc>
        <w:tc>
          <w:tcPr>
            <w:tcW w:w="2945" w:type="dxa"/>
            <w:shd w:val="clear" w:color="auto" w:fill="C6EFCE"/>
          </w:tcPr>
          <w:p w14:paraId="50B4AD65" w14:textId="77777777" w:rsidR="003B5F50" w:rsidRDefault="000D2D85">
            <w:pPr>
              <w:pStyle w:val="P68B1DB1-Normal15"/>
              <w:spacing w:before="120" w:after="120" w:line="240" w:lineRule="auto"/>
              <w:rPr>
                <w:noProof/>
              </w:rPr>
            </w:pPr>
            <w:r>
              <w:rPr>
                <w:noProof/>
              </w:rPr>
              <w:t xml:space="preserve">Construction de 161,8 kilomètres d'infrastructures cyclables nouvellement installées. Les appels comprennent, en tant que projets éligibles, des pistes cyclables et des emplacements de stationnement pour vélos. </w:t>
            </w:r>
          </w:p>
        </w:tc>
      </w:tr>
      <w:tr w:rsidR="003B5F50" w14:paraId="50B4AD73" w14:textId="77777777" w:rsidTr="000D2D85">
        <w:trPr>
          <w:trHeight w:val="300"/>
        </w:trPr>
        <w:tc>
          <w:tcPr>
            <w:tcW w:w="817" w:type="dxa"/>
            <w:shd w:val="clear" w:color="auto" w:fill="C6EFCE"/>
          </w:tcPr>
          <w:p w14:paraId="50B4AD67" w14:textId="77777777" w:rsidR="003B5F50" w:rsidRDefault="000D2D85">
            <w:pPr>
              <w:pStyle w:val="P68B1DB1-Normal14"/>
              <w:spacing w:before="120" w:after="120" w:line="240" w:lineRule="auto"/>
              <w:jc w:val="center"/>
              <w:rPr>
                <w:noProof/>
                <w:szCs w:val="20"/>
              </w:rPr>
            </w:pPr>
            <w:r>
              <w:rPr>
                <w:noProof/>
              </w:rPr>
              <w:t>8</w:t>
            </w:r>
          </w:p>
        </w:tc>
        <w:tc>
          <w:tcPr>
            <w:tcW w:w="1588" w:type="dxa"/>
            <w:shd w:val="clear" w:color="auto" w:fill="C6EFCE"/>
          </w:tcPr>
          <w:p w14:paraId="50B4AD68" w14:textId="77777777" w:rsidR="003B5F50" w:rsidRDefault="000D2D85">
            <w:pPr>
              <w:pStyle w:val="P68B1DB1-Normal14"/>
              <w:spacing w:before="120" w:after="120" w:line="240" w:lineRule="auto"/>
              <w:rPr>
                <w:noProof/>
                <w:szCs w:val="20"/>
              </w:rPr>
            </w:pPr>
            <w:r>
              <w:rPr>
                <w:noProof/>
              </w:rPr>
              <w:t>3 – Transports durables – Investissement 1: Développement d'infrastructures de transport à faible intensité de carbone</w:t>
            </w:r>
          </w:p>
        </w:tc>
        <w:tc>
          <w:tcPr>
            <w:tcW w:w="1276" w:type="dxa"/>
            <w:shd w:val="clear" w:color="auto" w:fill="C6EFCE"/>
          </w:tcPr>
          <w:p w14:paraId="50B4AD69" w14:textId="77777777" w:rsidR="003B5F50" w:rsidRDefault="000D2D85">
            <w:pPr>
              <w:pStyle w:val="P68B1DB1-Normal15"/>
              <w:spacing w:before="120" w:after="120" w:line="240" w:lineRule="auto"/>
              <w:rPr>
                <w:noProof/>
              </w:rPr>
            </w:pPr>
            <w:r>
              <w:rPr>
                <w:noProof/>
              </w:rPr>
              <w:t>Objectif</w:t>
            </w:r>
          </w:p>
        </w:tc>
        <w:tc>
          <w:tcPr>
            <w:tcW w:w="1134" w:type="dxa"/>
            <w:shd w:val="clear" w:color="auto" w:fill="C6EFCE"/>
          </w:tcPr>
          <w:p w14:paraId="50B4AD6A" w14:textId="77777777" w:rsidR="003B5F50" w:rsidRDefault="000D2D85">
            <w:pPr>
              <w:pStyle w:val="P68B1DB1-Normal14"/>
              <w:spacing w:before="120" w:after="120" w:line="240" w:lineRule="auto"/>
              <w:rPr>
                <w:noProof/>
                <w:szCs w:val="20"/>
              </w:rPr>
            </w:pPr>
            <w:r>
              <w:rPr>
                <w:noProof/>
              </w:rPr>
              <w:t xml:space="preserve">Longueur des infrastructures de transport public reconstruites ou modernisées </w:t>
            </w:r>
          </w:p>
        </w:tc>
        <w:tc>
          <w:tcPr>
            <w:tcW w:w="1276" w:type="dxa"/>
            <w:shd w:val="clear" w:color="auto" w:fill="C6EFCE"/>
          </w:tcPr>
          <w:p w14:paraId="50B4AD6B" w14:textId="77777777" w:rsidR="003B5F50" w:rsidRDefault="000D2D85">
            <w:pPr>
              <w:pStyle w:val="P68B1DB1-Normal14"/>
              <w:spacing w:before="120" w:after="120" w:line="240" w:lineRule="auto"/>
              <w:rPr>
                <w:noProof/>
                <w:szCs w:val="20"/>
              </w:rPr>
            </w:pPr>
            <w:r>
              <w:rPr>
                <w:noProof/>
              </w:rPr>
              <w:t xml:space="preserve"> </w:t>
            </w:r>
          </w:p>
        </w:tc>
        <w:tc>
          <w:tcPr>
            <w:tcW w:w="992" w:type="dxa"/>
            <w:shd w:val="clear" w:color="auto" w:fill="C6EFCE"/>
          </w:tcPr>
          <w:p w14:paraId="50B4AD6C" w14:textId="77777777" w:rsidR="003B5F50" w:rsidRDefault="000D2D85">
            <w:pPr>
              <w:pStyle w:val="P68B1DB1-Normal14"/>
              <w:spacing w:before="120" w:after="120" w:line="240" w:lineRule="auto"/>
              <w:rPr>
                <w:noProof/>
                <w:szCs w:val="20"/>
              </w:rPr>
            </w:pPr>
            <w:r>
              <w:rPr>
                <w:noProof/>
              </w:rPr>
              <w:t>Longueur (km pondérés)</w:t>
            </w:r>
          </w:p>
        </w:tc>
        <w:tc>
          <w:tcPr>
            <w:tcW w:w="1134" w:type="dxa"/>
            <w:shd w:val="clear" w:color="auto" w:fill="C6EFCE"/>
          </w:tcPr>
          <w:p w14:paraId="50B4AD6D" w14:textId="77777777" w:rsidR="003B5F50" w:rsidRDefault="000D2D85">
            <w:pPr>
              <w:pStyle w:val="P68B1DB1-Normal14"/>
              <w:spacing w:before="120" w:after="120" w:line="240" w:lineRule="auto"/>
              <w:jc w:val="center"/>
              <w:rPr>
                <w:noProof/>
                <w:szCs w:val="20"/>
              </w:rPr>
            </w:pPr>
            <w:r>
              <w:rPr>
                <w:noProof/>
              </w:rPr>
              <w:t>0</w:t>
            </w:r>
          </w:p>
        </w:tc>
        <w:tc>
          <w:tcPr>
            <w:tcW w:w="1134" w:type="dxa"/>
            <w:shd w:val="clear" w:color="auto" w:fill="C6EFCE"/>
          </w:tcPr>
          <w:p w14:paraId="50B4AD6E" w14:textId="7DA030B9" w:rsidR="003B5F50" w:rsidRDefault="000D2D85">
            <w:pPr>
              <w:pStyle w:val="P68B1DB1-Normal15"/>
              <w:spacing w:before="120" w:after="120" w:line="240" w:lineRule="auto"/>
              <w:jc w:val="center"/>
              <w:rPr>
                <w:noProof/>
              </w:rPr>
            </w:pPr>
            <w:r>
              <w:rPr>
                <w:noProof/>
              </w:rPr>
              <w:t>51,45</w:t>
            </w:r>
          </w:p>
        </w:tc>
        <w:tc>
          <w:tcPr>
            <w:tcW w:w="1276" w:type="dxa"/>
            <w:shd w:val="clear" w:color="auto" w:fill="C6EFCE"/>
          </w:tcPr>
          <w:p w14:paraId="50B4AD6F" w14:textId="524370C5" w:rsidR="003B5F50" w:rsidRDefault="000D2D85">
            <w:pPr>
              <w:pStyle w:val="P68B1DB1-Normal15"/>
              <w:spacing w:before="120" w:after="120" w:line="240" w:lineRule="auto"/>
              <w:jc w:val="center"/>
              <w:rPr>
                <w:noProof/>
              </w:rPr>
            </w:pPr>
            <w:r>
              <w:rPr>
                <w:noProof/>
              </w:rPr>
              <w:t>T2</w:t>
            </w:r>
          </w:p>
        </w:tc>
        <w:tc>
          <w:tcPr>
            <w:tcW w:w="992" w:type="dxa"/>
            <w:shd w:val="clear" w:color="auto" w:fill="C6EFCE"/>
          </w:tcPr>
          <w:p w14:paraId="50B4AD70" w14:textId="77777777" w:rsidR="003B5F50" w:rsidRDefault="000D2D85">
            <w:pPr>
              <w:pStyle w:val="P68B1DB1-Normal14"/>
              <w:spacing w:before="120" w:after="120" w:line="240" w:lineRule="auto"/>
              <w:jc w:val="center"/>
              <w:rPr>
                <w:noProof/>
                <w:szCs w:val="20"/>
              </w:rPr>
            </w:pPr>
            <w:r>
              <w:rPr>
                <w:noProof/>
              </w:rPr>
              <w:t>2026</w:t>
            </w:r>
          </w:p>
        </w:tc>
        <w:tc>
          <w:tcPr>
            <w:tcW w:w="2945" w:type="dxa"/>
            <w:shd w:val="clear" w:color="auto" w:fill="C6EFCE"/>
          </w:tcPr>
          <w:p w14:paraId="50B4AD71" w14:textId="696F4B2B" w:rsidR="003B5F50" w:rsidRDefault="000D2D85">
            <w:pPr>
              <w:pStyle w:val="P68B1DB1-Normal15"/>
              <w:spacing w:before="120" w:after="120" w:line="240" w:lineRule="auto"/>
              <w:rPr>
                <w:noProof/>
              </w:rPr>
            </w:pPr>
            <w:r>
              <w:rPr>
                <w:noProof/>
              </w:rPr>
              <w:t>Reconstruction ou modernisation d’au moins 51,45 km pondérés d’infrastructures de transport public.</w:t>
            </w:r>
          </w:p>
          <w:p w14:paraId="50B4AD72" w14:textId="3E3AB3C6" w:rsidR="003B5F50" w:rsidRDefault="000D2D85">
            <w:pPr>
              <w:pStyle w:val="P68B1DB1-Default22"/>
              <w:rPr>
                <w:noProof/>
                <w:color w:val="006000"/>
              </w:rPr>
            </w:pPr>
            <w:r>
              <w:rPr>
                <w:noProof/>
                <w:color w:val="006100"/>
              </w:rPr>
              <w:t>Les investissements comprennent un ou plusieurs des types de projets suivants:  une ou deux voies reconstruites (renouvellement de la sous-structure/fondation de la voie ou de la ligne/du matériel de traction) (facteur de poids 0,5); ligne ferroviaire à voie unique nouvellement électrifiée et partiellement réaménagée (facteur de poids 0,7); ligne de tramway à double voie entièrement modernisée, y compris les accessoires (facteur de poids 1,9); ligne de trolleybus unidirectionnelle à voie unique nouvellement construite, y compris l’alimentation électrique (facteur de poids 0,2).</w:t>
            </w:r>
            <w:r>
              <w:rPr>
                <w:noProof/>
                <w:color w:val="006000"/>
              </w:rPr>
              <w:t xml:space="preserve"> </w:t>
            </w:r>
          </w:p>
        </w:tc>
      </w:tr>
      <w:tr w:rsidR="003B5F50" w14:paraId="50B4AD81" w14:textId="77777777" w:rsidTr="000D2D85">
        <w:trPr>
          <w:trHeight w:val="300"/>
        </w:trPr>
        <w:tc>
          <w:tcPr>
            <w:tcW w:w="817" w:type="dxa"/>
            <w:shd w:val="clear" w:color="auto" w:fill="C6EFCE"/>
          </w:tcPr>
          <w:p w14:paraId="50B4AD74" w14:textId="77777777" w:rsidR="003B5F50" w:rsidRDefault="000D2D85">
            <w:pPr>
              <w:pStyle w:val="P68B1DB1-Normal14"/>
              <w:spacing w:before="120" w:after="120" w:line="240" w:lineRule="auto"/>
              <w:rPr>
                <w:noProof/>
                <w:szCs w:val="20"/>
              </w:rPr>
            </w:pPr>
            <w:r>
              <w:rPr>
                <w:noProof/>
              </w:rPr>
              <w:t>9</w:t>
            </w:r>
          </w:p>
        </w:tc>
        <w:tc>
          <w:tcPr>
            <w:tcW w:w="1588" w:type="dxa"/>
            <w:shd w:val="clear" w:color="auto" w:fill="C6EFCE"/>
          </w:tcPr>
          <w:p w14:paraId="50B4AD75" w14:textId="77777777" w:rsidR="003B5F50" w:rsidRDefault="000D2D85">
            <w:pPr>
              <w:pStyle w:val="P68B1DB1-Normal14"/>
              <w:spacing w:before="120" w:after="120" w:line="240" w:lineRule="auto"/>
              <w:rPr>
                <w:noProof/>
                <w:szCs w:val="20"/>
              </w:rPr>
            </w:pPr>
            <w:r>
              <w:rPr>
                <w:noProof/>
              </w:rPr>
              <w:t>3 – Transports durables – Investissement 1: Développement d'infrastructures de transport à faible intensité de carbone</w:t>
            </w:r>
          </w:p>
        </w:tc>
        <w:tc>
          <w:tcPr>
            <w:tcW w:w="1276" w:type="dxa"/>
            <w:shd w:val="clear" w:color="auto" w:fill="C6EFCE"/>
          </w:tcPr>
          <w:p w14:paraId="50B4AD76" w14:textId="77777777" w:rsidR="003B5F50" w:rsidRDefault="000D2D85">
            <w:pPr>
              <w:pStyle w:val="P68B1DB1-Normal14"/>
              <w:spacing w:before="120" w:after="120" w:line="240" w:lineRule="auto"/>
              <w:rPr>
                <w:noProof/>
                <w:szCs w:val="20"/>
              </w:rPr>
            </w:pPr>
            <w:r>
              <w:rPr>
                <w:noProof/>
              </w:rPr>
              <w:t>Objectif</w:t>
            </w:r>
          </w:p>
        </w:tc>
        <w:tc>
          <w:tcPr>
            <w:tcW w:w="1134" w:type="dxa"/>
            <w:shd w:val="clear" w:color="auto" w:fill="C6EFCE"/>
          </w:tcPr>
          <w:p w14:paraId="50B4AD77" w14:textId="77777777" w:rsidR="003B5F50" w:rsidRDefault="000D2D85">
            <w:pPr>
              <w:pStyle w:val="P68B1DB1-Normal14"/>
              <w:spacing w:before="120" w:after="120" w:line="240" w:lineRule="auto"/>
              <w:rPr>
                <w:noProof/>
                <w:szCs w:val="20"/>
              </w:rPr>
            </w:pPr>
            <w:r>
              <w:rPr>
                <w:noProof/>
              </w:rPr>
              <w:t>Longueur des tronçons de lignes ferroviaires sécurisées numériquement</w:t>
            </w:r>
          </w:p>
        </w:tc>
        <w:tc>
          <w:tcPr>
            <w:tcW w:w="1276" w:type="dxa"/>
            <w:shd w:val="clear" w:color="auto" w:fill="C6EFCE"/>
          </w:tcPr>
          <w:p w14:paraId="50B4AD78" w14:textId="77777777" w:rsidR="003B5F50" w:rsidRDefault="000D2D85">
            <w:pPr>
              <w:pStyle w:val="P68B1DB1-Normal14"/>
              <w:spacing w:before="120" w:after="120" w:line="240" w:lineRule="auto"/>
              <w:rPr>
                <w:noProof/>
                <w:szCs w:val="20"/>
              </w:rPr>
            </w:pPr>
            <w:r>
              <w:rPr>
                <w:noProof/>
              </w:rPr>
              <w:t xml:space="preserve"> </w:t>
            </w:r>
          </w:p>
        </w:tc>
        <w:tc>
          <w:tcPr>
            <w:tcW w:w="992" w:type="dxa"/>
            <w:shd w:val="clear" w:color="auto" w:fill="C6EFCE"/>
          </w:tcPr>
          <w:p w14:paraId="50B4AD79" w14:textId="77777777" w:rsidR="003B5F50" w:rsidRDefault="000D2D85">
            <w:pPr>
              <w:pStyle w:val="P68B1DB1-Normal14"/>
              <w:spacing w:before="120" w:after="120" w:line="240" w:lineRule="auto"/>
              <w:rPr>
                <w:noProof/>
                <w:szCs w:val="20"/>
              </w:rPr>
            </w:pPr>
            <w:r>
              <w:rPr>
                <w:noProof/>
              </w:rPr>
              <w:t>Longueur (km pondérés)</w:t>
            </w:r>
          </w:p>
        </w:tc>
        <w:tc>
          <w:tcPr>
            <w:tcW w:w="1134" w:type="dxa"/>
            <w:shd w:val="clear" w:color="auto" w:fill="C6EFCE"/>
          </w:tcPr>
          <w:p w14:paraId="50B4AD7A" w14:textId="77777777" w:rsidR="003B5F50" w:rsidRDefault="000D2D85">
            <w:pPr>
              <w:pStyle w:val="P68B1DB1-Normal14"/>
              <w:spacing w:before="120" w:after="120" w:line="240" w:lineRule="auto"/>
              <w:rPr>
                <w:noProof/>
                <w:szCs w:val="20"/>
              </w:rPr>
            </w:pPr>
            <w:r>
              <w:rPr>
                <w:noProof/>
              </w:rPr>
              <w:t>0</w:t>
            </w:r>
          </w:p>
        </w:tc>
        <w:tc>
          <w:tcPr>
            <w:tcW w:w="1134" w:type="dxa"/>
            <w:shd w:val="clear" w:color="auto" w:fill="C6EFCE"/>
          </w:tcPr>
          <w:p w14:paraId="50B4AD7B" w14:textId="77777777" w:rsidR="003B5F50" w:rsidRDefault="000D2D85">
            <w:pPr>
              <w:pStyle w:val="P68B1DB1-Normal14"/>
              <w:spacing w:before="120" w:after="120" w:line="240" w:lineRule="auto"/>
              <w:rPr>
                <w:noProof/>
                <w:szCs w:val="20"/>
              </w:rPr>
            </w:pPr>
            <w:r>
              <w:rPr>
                <w:noProof/>
              </w:rPr>
              <w:t>82</w:t>
            </w:r>
          </w:p>
        </w:tc>
        <w:tc>
          <w:tcPr>
            <w:tcW w:w="1276" w:type="dxa"/>
            <w:shd w:val="clear" w:color="auto" w:fill="C6EFCE"/>
          </w:tcPr>
          <w:p w14:paraId="50B4AD7C" w14:textId="77777777" w:rsidR="003B5F50" w:rsidRDefault="000D2D85">
            <w:pPr>
              <w:pStyle w:val="P68B1DB1-Normal14"/>
              <w:spacing w:before="120" w:after="120" w:line="240" w:lineRule="auto"/>
              <w:rPr>
                <w:noProof/>
                <w:szCs w:val="20"/>
              </w:rPr>
            </w:pPr>
            <w:r>
              <w:rPr>
                <w:noProof/>
              </w:rPr>
              <w:t>T2</w:t>
            </w:r>
          </w:p>
        </w:tc>
        <w:tc>
          <w:tcPr>
            <w:tcW w:w="992" w:type="dxa"/>
            <w:shd w:val="clear" w:color="auto" w:fill="C6EFCE"/>
          </w:tcPr>
          <w:p w14:paraId="50B4AD7D" w14:textId="77777777" w:rsidR="003B5F50" w:rsidRDefault="000D2D85">
            <w:pPr>
              <w:pStyle w:val="P68B1DB1-Normal14"/>
              <w:spacing w:before="120" w:after="120" w:line="240" w:lineRule="auto"/>
              <w:rPr>
                <w:noProof/>
                <w:szCs w:val="20"/>
              </w:rPr>
            </w:pPr>
            <w:r>
              <w:rPr>
                <w:noProof/>
              </w:rPr>
              <w:t>2026</w:t>
            </w:r>
          </w:p>
          <w:p w14:paraId="50B4AD7E" w14:textId="77777777" w:rsidR="003B5F50" w:rsidRDefault="003B5F50">
            <w:pPr>
              <w:spacing w:before="120" w:after="120" w:line="240" w:lineRule="auto"/>
              <w:rPr>
                <w:rFonts w:ascii="Times New Roman" w:hAnsi="Times New Roman"/>
                <w:noProof/>
                <w:color w:val="006100"/>
                <w:sz w:val="20"/>
                <w:szCs w:val="20"/>
                <w:highlight w:val="yellow"/>
              </w:rPr>
            </w:pPr>
          </w:p>
        </w:tc>
        <w:tc>
          <w:tcPr>
            <w:tcW w:w="2945" w:type="dxa"/>
            <w:shd w:val="clear" w:color="auto" w:fill="C6EFCE"/>
          </w:tcPr>
          <w:p w14:paraId="50B4AD7F" w14:textId="77777777" w:rsidR="003B5F50" w:rsidRDefault="000D2D85">
            <w:pPr>
              <w:pStyle w:val="P68B1DB1-Normal15"/>
              <w:spacing w:before="120" w:after="120" w:line="240" w:lineRule="auto"/>
              <w:rPr>
                <w:noProof/>
              </w:rPr>
            </w:pPr>
            <w:r>
              <w:rPr>
                <w:noProof/>
              </w:rPr>
              <w:t>Installation de projets de dispositifs d’expédition/de sécurité numérique et de communication sur au moins 82 km pondérés de lignes ferroviaires.</w:t>
            </w:r>
          </w:p>
          <w:p w14:paraId="50B4AD80" w14:textId="77777777" w:rsidR="003B5F50" w:rsidRDefault="000D2D85">
            <w:pPr>
              <w:pStyle w:val="P68B1DB1-Normal15"/>
              <w:spacing w:before="120" w:after="120" w:line="240" w:lineRule="auto"/>
              <w:rPr>
                <w:rFonts w:eastAsia="Times New Roman"/>
                <w:noProof/>
              </w:rPr>
            </w:pPr>
            <w:r>
              <w:rPr>
                <w:noProof/>
              </w:rPr>
              <w:t>Les investissements comprennent un ou plusieurs des types de projets suivants: ligne/section de chemin de fer nouvellement expédiée (facteur de poids 1); ligne/section ferroviaire équipée de nouveaux dispositifs de sécurité numériques (facteur de poids 0,7); amélioration des paramètres sur la voie déjà dépêchée (par exemple en augmentant le nombre de cloisonnements de voie pour améliorer le flux de trafic) (facteur de poids 0,3); la construction d'un système de communication GSM-R pour accroître la sécurité du trafic sur les lignes ferroviaires (facteur de poids 0,1).</w:t>
            </w:r>
          </w:p>
        </w:tc>
      </w:tr>
      <w:tr w:rsidR="003B5F50" w14:paraId="50B4AD8F" w14:textId="77777777" w:rsidTr="000D2D85">
        <w:trPr>
          <w:trHeight w:val="300"/>
        </w:trPr>
        <w:tc>
          <w:tcPr>
            <w:tcW w:w="817" w:type="dxa"/>
            <w:shd w:val="clear" w:color="auto" w:fill="C6EFCE"/>
          </w:tcPr>
          <w:p w14:paraId="50B4AD82" w14:textId="77777777" w:rsidR="003B5F50" w:rsidRDefault="000D2D85">
            <w:pPr>
              <w:pStyle w:val="P68B1DB1-Normal14"/>
              <w:spacing w:before="120" w:after="120" w:line="240" w:lineRule="auto"/>
              <w:rPr>
                <w:noProof/>
                <w:szCs w:val="20"/>
              </w:rPr>
            </w:pPr>
            <w:r>
              <w:rPr>
                <w:noProof/>
              </w:rPr>
              <w:t>10</w:t>
            </w:r>
          </w:p>
        </w:tc>
        <w:tc>
          <w:tcPr>
            <w:tcW w:w="1588" w:type="dxa"/>
            <w:shd w:val="clear" w:color="auto" w:fill="C6EFCE"/>
          </w:tcPr>
          <w:p w14:paraId="50B4AD83" w14:textId="77777777" w:rsidR="003B5F50" w:rsidRDefault="000D2D85">
            <w:pPr>
              <w:pStyle w:val="P68B1DB1-Normal14"/>
              <w:spacing w:before="120" w:after="120" w:line="240" w:lineRule="auto"/>
              <w:rPr>
                <w:noProof/>
                <w:szCs w:val="20"/>
              </w:rPr>
            </w:pPr>
            <w:r>
              <w:rPr>
                <w:noProof/>
              </w:rPr>
              <w:t>3 – Transports durables – Investissement 2: Promouvoir un transport de passagers propre</w:t>
            </w:r>
          </w:p>
        </w:tc>
        <w:tc>
          <w:tcPr>
            <w:tcW w:w="1276" w:type="dxa"/>
            <w:shd w:val="clear" w:color="auto" w:fill="C6EFCE"/>
          </w:tcPr>
          <w:p w14:paraId="50B4AD84" w14:textId="77777777" w:rsidR="003B5F50" w:rsidRDefault="000D2D85">
            <w:pPr>
              <w:pStyle w:val="P68B1DB1-Normal14"/>
              <w:spacing w:before="120" w:after="120" w:line="240" w:lineRule="auto"/>
              <w:rPr>
                <w:noProof/>
                <w:szCs w:val="20"/>
              </w:rPr>
            </w:pPr>
            <w:r>
              <w:rPr>
                <w:noProof/>
              </w:rPr>
              <w:t>Objectif</w:t>
            </w:r>
          </w:p>
        </w:tc>
        <w:tc>
          <w:tcPr>
            <w:tcW w:w="1134" w:type="dxa"/>
            <w:shd w:val="clear" w:color="auto" w:fill="C6EFCE"/>
          </w:tcPr>
          <w:p w14:paraId="50B4AD85" w14:textId="77777777" w:rsidR="003B5F50" w:rsidRDefault="000D2D85">
            <w:pPr>
              <w:pStyle w:val="P68B1DB1-Normal15"/>
              <w:spacing w:before="120" w:after="120" w:line="240" w:lineRule="auto"/>
              <w:rPr>
                <w:noProof/>
              </w:rPr>
            </w:pPr>
            <w:r>
              <w:rPr>
                <w:noProof/>
              </w:rPr>
              <w:t>Nombre de matériel roulant propre pour le transport de passagers livré (pondéré)</w:t>
            </w:r>
          </w:p>
        </w:tc>
        <w:tc>
          <w:tcPr>
            <w:tcW w:w="1276" w:type="dxa"/>
            <w:shd w:val="clear" w:color="auto" w:fill="C6EFCE"/>
          </w:tcPr>
          <w:p w14:paraId="50B4AD86" w14:textId="77777777" w:rsidR="003B5F50" w:rsidRDefault="000D2D85">
            <w:pPr>
              <w:pStyle w:val="P68B1DB1-Normal14"/>
              <w:spacing w:before="120" w:after="120" w:line="240" w:lineRule="auto"/>
              <w:rPr>
                <w:noProof/>
                <w:szCs w:val="20"/>
              </w:rPr>
            </w:pPr>
            <w:r>
              <w:rPr>
                <w:noProof/>
              </w:rPr>
              <w:t xml:space="preserve"> </w:t>
            </w:r>
          </w:p>
        </w:tc>
        <w:tc>
          <w:tcPr>
            <w:tcW w:w="992" w:type="dxa"/>
            <w:shd w:val="clear" w:color="auto" w:fill="C6EFCE"/>
          </w:tcPr>
          <w:p w14:paraId="50B4AD87" w14:textId="77777777" w:rsidR="003B5F50" w:rsidRDefault="000D2D85">
            <w:pPr>
              <w:pStyle w:val="P68B1DB1-Normal14"/>
              <w:spacing w:before="120" w:after="120" w:line="240" w:lineRule="auto"/>
              <w:rPr>
                <w:noProof/>
                <w:szCs w:val="20"/>
              </w:rPr>
            </w:pPr>
            <w:r>
              <w:rPr>
                <w:noProof/>
              </w:rPr>
              <w:t>Numéro</w:t>
            </w:r>
          </w:p>
        </w:tc>
        <w:tc>
          <w:tcPr>
            <w:tcW w:w="1134" w:type="dxa"/>
            <w:shd w:val="clear" w:color="auto" w:fill="C6EFCE"/>
          </w:tcPr>
          <w:p w14:paraId="50B4AD88" w14:textId="77777777" w:rsidR="003B5F50" w:rsidRDefault="000D2D85">
            <w:pPr>
              <w:pStyle w:val="P68B1DB1-Normal14"/>
              <w:spacing w:before="120" w:after="120" w:line="240" w:lineRule="auto"/>
              <w:rPr>
                <w:noProof/>
                <w:szCs w:val="20"/>
              </w:rPr>
            </w:pPr>
            <w:r>
              <w:rPr>
                <w:noProof/>
              </w:rPr>
              <w:t>0</w:t>
            </w:r>
          </w:p>
        </w:tc>
        <w:tc>
          <w:tcPr>
            <w:tcW w:w="1134" w:type="dxa"/>
            <w:shd w:val="clear" w:color="auto" w:fill="C6EFCE"/>
          </w:tcPr>
          <w:p w14:paraId="50B4AD89" w14:textId="77777777" w:rsidR="003B5F50" w:rsidRDefault="000D2D85">
            <w:pPr>
              <w:pStyle w:val="P68B1DB1-Normal9"/>
              <w:spacing w:before="120" w:after="120" w:line="240" w:lineRule="auto"/>
              <w:rPr>
                <w:noProof/>
                <w:highlight w:val="yellow"/>
              </w:rPr>
            </w:pPr>
            <w:r>
              <w:rPr>
                <w:noProof/>
              </w:rPr>
              <w:t>12</w:t>
            </w:r>
          </w:p>
        </w:tc>
        <w:tc>
          <w:tcPr>
            <w:tcW w:w="1276" w:type="dxa"/>
            <w:shd w:val="clear" w:color="auto" w:fill="C6EFCE"/>
          </w:tcPr>
          <w:p w14:paraId="50B4AD8A" w14:textId="77777777" w:rsidR="003B5F50" w:rsidRDefault="000D2D85">
            <w:pPr>
              <w:pStyle w:val="P68B1DB1-Normal14"/>
              <w:spacing w:before="120" w:after="120" w:line="240" w:lineRule="auto"/>
              <w:rPr>
                <w:noProof/>
                <w:szCs w:val="20"/>
              </w:rPr>
            </w:pPr>
            <w:r>
              <w:rPr>
                <w:noProof/>
              </w:rPr>
              <w:t>T2</w:t>
            </w:r>
          </w:p>
        </w:tc>
        <w:tc>
          <w:tcPr>
            <w:tcW w:w="992" w:type="dxa"/>
            <w:shd w:val="clear" w:color="auto" w:fill="C6EFCE"/>
          </w:tcPr>
          <w:p w14:paraId="50B4AD8B" w14:textId="77777777" w:rsidR="003B5F50" w:rsidRDefault="000D2D85">
            <w:pPr>
              <w:pStyle w:val="P68B1DB1-Normal15"/>
              <w:spacing w:before="120" w:after="120" w:line="240" w:lineRule="auto"/>
              <w:rPr>
                <w:noProof/>
              </w:rPr>
            </w:pPr>
            <w:r>
              <w:rPr>
                <w:noProof/>
              </w:rPr>
              <w:t>2026</w:t>
            </w:r>
          </w:p>
        </w:tc>
        <w:tc>
          <w:tcPr>
            <w:tcW w:w="2945" w:type="dxa"/>
            <w:shd w:val="clear" w:color="auto" w:fill="C6EFCE"/>
          </w:tcPr>
          <w:p w14:paraId="50B4AD8C" w14:textId="77777777" w:rsidR="003B5F50" w:rsidRDefault="000D2D85">
            <w:pPr>
              <w:pStyle w:val="P68B1DB1-Normal23"/>
              <w:spacing w:before="120" w:after="120" w:line="240" w:lineRule="auto"/>
              <w:rPr>
                <w:rFonts w:ascii="Times New Roman" w:hAnsi="Times New Roman"/>
                <w:noProof/>
                <w:sz w:val="20"/>
                <w:szCs w:val="20"/>
              </w:rPr>
            </w:pPr>
            <w:r>
              <w:rPr>
                <w:rFonts w:ascii="Times New Roman" w:hAnsi="Times New Roman"/>
                <w:noProof/>
                <w:sz w:val="20"/>
                <w:szCs w:val="20"/>
              </w:rPr>
              <w:t>Livraison pour 12 unités</w:t>
            </w:r>
            <w:r>
              <w:rPr>
                <w:rFonts w:ascii="Times New Roman" w:eastAsia="Times New Roman" w:hAnsi="Times New Roman" w:cs="Times New Roman"/>
                <w:noProof/>
                <w:sz w:val="16"/>
                <w:szCs w:val="16"/>
              </w:rPr>
              <w:t xml:space="preserve"> </w:t>
            </w:r>
            <w:r>
              <w:rPr>
                <w:rFonts w:ascii="Times New Roman" w:hAnsi="Times New Roman"/>
                <w:noProof/>
                <w:sz w:val="20"/>
                <w:szCs w:val="20"/>
              </w:rPr>
              <w:t xml:space="preserve">pondérées de matériel roulant neuf. </w:t>
            </w:r>
          </w:p>
          <w:p w14:paraId="50B4AD8D" w14:textId="77777777" w:rsidR="003B5F50" w:rsidRDefault="000D2D85">
            <w:pPr>
              <w:pStyle w:val="P68B1DB1-Normal15"/>
              <w:spacing w:before="120" w:after="120" w:line="240" w:lineRule="auto"/>
              <w:rPr>
                <w:noProof/>
              </w:rPr>
            </w:pPr>
            <w:r>
              <w:rPr>
                <w:noProof/>
              </w:rPr>
              <w:t xml:space="preserve">Le matériel roulant comprend les types de matériel roulant suivants: unités de train électrique fermées standard (facteur de poids 1,0), unités de train électrique fermées de grande capacité (facteur de poids 3,0), tramways (facteur de poids 0,3). </w:t>
            </w:r>
          </w:p>
          <w:p w14:paraId="50B4AD8E" w14:textId="77777777" w:rsidR="003B5F50" w:rsidRDefault="003B5F50">
            <w:pPr>
              <w:spacing w:before="120" w:after="120" w:line="240" w:lineRule="auto"/>
              <w:rPr>
                <w:rFonts w:ascii="Times New Roman" w:hAnsi="Times New Roman"/>
                <w:noProof/>
                <w:color w:val="006100"/>
                <w:sz w:val="20"/>
                <w:szCs w:val="20"/>
              </w:rPr>
            </w:pPr>
          </w:p>
        </w:tc>
      </w:tr>
      <w:tr w:rsidR="003B5F50" w14:paraId="50B4AD9B" w14:textId="77777777" w:rsidTr="000D2D85">
        <w:trPr>
          <w:trHeight w:val="2629"/>
        </w:trPr>
        <w:tc>
          <w:tcPr>
            <w:tcW w:w="817" w:type="dxa"/>
            <w:shd w:val="clear" w:color="auto" w:fill="C6EFCE"/>
          </w:tcPr>
          <w:p w14:paraId="50B4AD90" w14:textId="77777777" w:rsidR="003B5F50" w:rsidRDefault="000D2D85">
            <w:pPr>
              <w:pStyle w:val="P68B1DB1-Normal14"/>
              <w:spacing w:before="120" w:after="120" w:line="240" w:lineRule="auto"/>
              <w:rPr>
                <w:noProof/>
                <w:szCs w:val="20"/>
              </w:rPr>
            </w:pPr>
            <w:r>
              <w:rPr>
                <w:noProof/>
              </w:rPr>
              <w:t>11</w:t>
            </w:r>
          </w:p>
        </w:tc>
        <w:tc>
          <w:tcPr>
            <w:tcW w:w="1588" w:type="dxa"/>
            <w:shd w:val="clear" w:color="auto" w:fill="C6EFCE"/>
          </w:tcPr>
          <w:p w14:paraId="50B4AD91" w14:textId="77777777" w:rsidR="003B5F50" w:rsidRDefault="000D2D85">
            <w:pPr>
              <w:pStyle w:val="P68B1DB1-Normal14"/>
              <w:spacing w:before="120" w:after="120" w:line="240" w:lineRule="auto"/>
              <w:rPr>
                <w:noProof/>
              </w:rPr>
            </w:pPr>
            <w:r>
              <w:rPr>
                <w:noProof/>
              </w:rPr>
              <w:t xml:space="preserve">3- Transports durables - réforme 3: Réforme du transport intermodal de marchandises </w:t>
            </w:r>
          </w:p>
        </w:tc>
        <w:tc>
          <w:tcPr>
            <w:tcW w:w="1276" w:type="dxa"/>
            <w:shd w:val="clear" w:color="auto" w:fill="C6EFCE"/>
          </w:tcPr>
          <w:p w14:paraId="50B4AD92" w14:textId="77777777" w:rsidR="003B5F50" w:rsidRDefault="000D2D85">
            <w:pPr>
              <w:pStyle w:val="P68B1DB1-Normal14"/>
              <w:spacing w:before="120" w:after="120" w:line="240" w:lineRule="auto"/>
              <w:rPr>
                <w:noProof/>
                <w:szCs w:val="20"/>
              </w:rPr>
            </w:pPr>
            <w:r>
              <w:rPr>
                <w:noProof/>
              </w:rPr>
              <w:t>Étape</w:t>
            </w:r>
          </w:p>
        </w:tc>
        <w:tc>
          <w:tcPr>
            <w:tcW w:w="1134" w:type="dxa"/>
            <w:shd w:val="clear" w:color="auto" w:fill="C6EFCE"/>
          </w:tcPr>
          <w:p w14:paraId="50B4AD93" w14:textId="77777777" w:rsidR="003B5F50" w:rsidRDefault="000D2D85">
            <w:pPr>
              <w:pStyle w:val="P68B1DB1-Normal14"/>
              <w:spacing w:before="120" w:after="120" w:line="240" w:lineRule="auto"/>
              <w:rPr>
                <w:noProof/>
                <w:szCs w:val="20"/>
              </w:rPr>
            </w:pPr>
            <w:r>
              <w:rPr>
                <w:noProof/>
              </w:rPr>
              <w:t>Concept et appels à de nouveaux régimes de soutien</w:t>
            </w:r>
          </w:p>
        </w:tc>
        <w:tc>
          <w:tcPr>
            <w:tcW w:w="1276" w:type="dxa"/>
            <w:shd w:val="clear" w:color="auto" w:fill="C6EFCE"/>
          </w:tcPr>
          <w:p w14:paraId="50B4AD94" w14:textId="77777777" w:rsidR="003B5F50" w:rsidRDefault="000D2D85">
            <w:pPr>
              <w:pStyle w:val="P68B1DB1-Normal14"/>
              <w:spacing w:before="120" w:after="120" w:line="240" w:lineRule="auto"/>
              <w:rPr>
                <w:noProof/>
                <w:szCs w:val="20"/>
              </w:rPr>
            </w:pPr>
            <w:r>
              <w:rPr>
                <w:noProof/>
              </w:rPr>
              <w:t>Lancement d'appels à de nouveaux régimes d'aide sur la base du concept de développement du transport intermodal</w:t>
            </w:r>
          </w:p>
        </w:tc>
        <w:tc>
          <w:tcPr>
            <w:tcW w:w="992" w:type="dxa"/>
            <w:shd w:val="clear" w:color="auto" w:fill="C6EFCE"/>
          </w:tcPr>
          <w:p w14:paraId="50B4AD95" w14:textId="77777777" w:rsidR="003B5F50" w:rsidRDefault="003B5F50">
            <w:pPr>
              <w:spacing w:before="120" w:after="120" w:line="240" w:lineRule="auto"/>
              <w:rPr>
                <w:rFonts w:ascii="Times New Roman" w:hAnsi="Times New Roman"/>
                <w:noProof/>
                <w:color w:val="006100"/>
                <w:sz w:val="20"/>
                <w:szCs w:val="20"/>
              </w:rPr>
            </w:pPr>
          </w:p>
        </w:tc>
        <w:tc>
          <w:tcPr>
            <w:tcW w:w="1134" w:type="dxa"/>
            <w:shd w:val="clear" w:color="auto" w:fill="C6EFCE"/>
          </w:tcPr>
          <w:p w14:paraId="50B4AD96" w14:textId="77777777" w:rsidR="003B5F50" w:rsidRDefault="003B5F50">
            <w:pPr>
              <w:spacing w:before="120" w:after="120" w:line="240" w:lineRule="auto"/>
              <w:rPr>
                <w:rFonts w:ascii="Times New Roman" w:hAnsi="Times New Roman"/>
                <w:noProof/>
                <w:color w:val="006100"/>
                <w:sz w:val="20"/>
                <w:szCs w:val="20"/>
              </w:rPr>
            </w:pPr>
          </w:p>
        </w:tc>
        <w:tc>
          <w:tcPr>
            <w:tcW w:w="1134" w:type="dxa"/>
            <w:shd w:val="clear" w:color="auto" w:fill="C6EFCE"/>
          </w:tcPr>
          <w:p w14:paraId="50B4AD97" w14:textId="77777777" w:rsidR="003B5F50" w:rsidRDefault="003B5F50">
            <w:pPr>
              <w:spacing w:before="120" w:after="120" w:line="240" w:lineRule="auto"/>
              <w:rPr>
                <w:rFonts w:ascii="Times New Roman" w:hAnsi="Times New Roman"/>
                <w:noProof/>
                <w:color w:val="006100"/>
                <w:sz w:val="20"/>
                <w:szCs w:val="20"/>
              </w:rPr>
            </w:pPr>
          </w:p>
        </w:tc>
        <w:tc>
          <w:tcPr>
            <w:tcW w:w="1276" w:type="dxa"/>
            <w:shd w:val="clear" w:color="auto" w:fill="C6EFCE"/>
          </w:tcPr>
          <w:p w14:paraId="50B4AD98" w14:textId="77777777" w:rsidR="003B5F50" w:rsidRDefault="000D2D85">
            <w:pPr>
              <w:pStyle w:val="P68B1DB1-Normal14"/>
              <w:spacing w:before="120" w:after="120" w:line="240" w:lineRule="auto"/>
              <w:rPr>
                <w:noProof/>
                <w:szCs w:val="20"/>
              </w:rPr>
            </w:pPr>
            <w:r>
              <w:rPr>
                <w:noProof/>
              </w:rPr>
              <w:t>T4</w:t>
            </w:r>
          </w:p>
        </w:tc>
        <w:tc>
          <w:tcPr>
            <w:tcW w:w="992" w:type="dxa"/>
            <w:shd w:val="clear" w:color="auto" w:fill="C6EFCE"/>
          </w:tcPr>
          <w:p w14:paraId="50B4AD99" w14:textId="77777777" w:rsidR="003B5F50" w:rsidRDefault="000D2D85">
            <w:pPr>
              <w:pStyle w:val="P68B1DB1-Normal14"/>
              <w:spacing w:before="120" w:after="120" w:line="240" w:lineRule="auto"/>
              <w:rPr>
                <w:noProof/>
                <w:szCs w:val="20"/>
              </w:rPr>
            </w:pPr>
            <w:r>
              <w:rPr>
                <w:noProof/>
              </w:rPr>
              <w:t>2022</w:t>
            </w:r>
          </w:p>
        </w:tc>
        <w:tc>
          <w:tcPr>
            <w:tcW w:w="2945" w:type="dxa"/>
            <w:shd w:val="clear" w:color="auto" w:fill="C6EFCE"/>
            <w:vAlign w:val="center"/>
          </w:tcPr>
          <w:p w14:paraId="50B4AD9A" w14:textId="77777777" w:rsidR="003B5F50" w:rsidRDefault="000D2D85">
            <w:pPr>
              <w:pStyle w:val="P68B1DB1-Normal14"/>
              <w:spacing w:before="120" w:after="0" w:line="240" w:lineRule="auto"/>
              <w:jc w:val="both"/>
              <w:rPr>
                <w:rFonts w:eastAsia="Times New Roman"/>
                <w:noProof/>
                <w:szCs w:val="20"/>
              </w:rPr>
            </w:pPr>
            <w:r>
              <w:rPr>
                <w:noProof/>
              </w:rPr>
              <w:t xml:space="preserve">Un concept de développement du transport intermodal est approuvé par le gouvernement slovaque au plus tard le 31 décembre 2021. Il comprend des </w:t>
            </w:r>
            <w:r>
              <w:rPr>
                <w:noProof/>
                <w:szCs w:val="20"/>
              </w:rPr>
              <w:t>propositions</w:t>
            </w:r>
            <w:r>
              <w:rPr>
                <w:noProof/>
              </w:rPr>
              <w:t xml:space="preserve"> de modifications législatives nécessaires pour adopter des mesures en vue du développement systémique de modes de transport de marchandises respectueux de l’environnement. Le soutien vise à éliminer les problèmes techniques liés à la transition vers le transport intermodal et à le rendre plus attrayant. Sur cette base, au plus tard le 31 décembre 2022, des appels à de nouveaux régimes d’aide sont lancés afin de contribuer à améliorer la disponibilité du transport intermodal sur une base non discriminatoire, ouvrant ainsi la voie à son développement dans toutes les régions de Slovaquie. L'appel doit être approuvé par le ministère des Transports et de la Construction.  </w:t>
            </w:r>
          </w:p>
        </w:tc>
      </w:tr>
      <w:tr w:rsidR="003B5F50" w14:paraId="50B4ADA8" w14:textId="77777777" w:rsidTr="000D2D85">
        <w:trPr>
          <w:trHeight w:val="300"/>
        </w:trPr>
        <w:tc>
          <w:tcPr>
            <w:tcW w:w="817" w:type="dxa"/>
            <w:shd w:val="clear" w:color="auto" w:fill="C6EFCE"/>
          </w:tcPr>
          <w:p w14:paraId="50B4AD9C" w14:textId="77777777" w:rsidR="003B5F50" w:rsidRDefault="000D2D85">
            <w:pPr>
              <w:pStyle w:val="P68B1DB1-Normal14"/>
              <w:spacing w:before="120" w:after="120" w:line="240" w:lineRule="auto"/>
              <w:rPr>
                <w:noProof/>
                <w:szCs w:val="20"/>
              </w:rPr>
            </w:pPr>
            <w:r>
              <w:rPr>
                <w:noProof/>
              </w:rPr>
              <w:t>12</w:t>
            </w:r>
          </w:p>
        </w:tc>
        <w:tc>
          <w:tcPr>
            <w:tcW w:w="1588" w:type="dxa"/>
            <w:shd w:val="clear" w:color="auto" w:fill="C6EFCE"/>
          </w:tcPr>
          <w:p w14:paraId="50B4AD9D" w14:textId="77777777" w:rsidR="003B5F50" w:rsidRDefault="000D2D85">
            <w:pPr>
              <w:pStyle w:val="P68B1DB1-Normal14"/>
              <w:spacing w:before="120" w:after="120" w:line="240" w:lineRule="auto"/>
              <w:rPr>
                <w:noProof/>
                <w:szCs w:val="20"/>
              </w:rPr>
            </w:pPr>
            <w:r>
              <w:rPr>
                <w:noProof/>
              </w:rPr>
              <w:t>3 – Transports durables – Investissement 3: Développement du transport intermodal de marchandises</w:t>
            </w:r>
          </w:p>
        </w:tc>
        <w:tc>
          <w:tcPr>
            <w:tcW w:w="1276" w:type="dxa"/>
            <w:shd w:val="clear" w:color="auto" w:fill="C6EFCE"/>
          </w:tcPr>
          <w:p w14:paraId="50B4AD9E" w14:textId="77777777" w:rsidR="003B5F50" w:rsidRDefault="000D2D85">
            <w:pPr>
              <w:pStyle w:val="P68B1DB1-Normal14"/>
              <w:spacing w:before="120" w:after="120" w:line="240" w:lineRule="auto"/>
              <w:rPr>
                <w:noProof/>
                <w:szCs w:val="20"/>
              </w:rPr>
            </w:pPr>
            <w:r>
              <w:rPr>
                <w:noProof/>
              </w:rPr>
              <w:t>Étape</w:t>
            </w:r>
          </w:p>
        </w:tc>
        <w:tc>
          <w:tcPr>
            <w:tcW w:w="1134" w:type="dxa"/>
            <w:shd w:val="clear" w:color="auto" w:fill="C6EFCE"/>
          </w:tcPr>
          <w:p w14:paraId="50B4AD9F" w14:textId="77777777" w:rsidR="003B5F50" w:rsidRDefault="000D2D85">
            <w:pPr>
              <w:pStyle w:val="P68B1DB1-Normal14"/>
              <w:spacing w:before="120" w:after="120" w:line="240" w:lineRule="auto"/>
              <w:rPr>
                <w:noProof/>
                <w:szCs w:val="20"/>
              </w:rPr>
            </w:pPr>
            <w:r>
              <w:rPr>
                <w:noProof/>
              </w:rPr>
              <w:t xml:space="preserve">Nombre d'unités de transport intermodal achetées en unités équivalentes de vingt pieds  </w:t>
            </w:r>
          </w:p>
        </w:tc>
        <w:tc>
          <w:tcPr>
            <w:tcW w:w="1276" w:type="dxa"/>
            <w:shd w:val="clear" w:color="auto" w:fill="C6EFCE"/>
          </w:tcPr>
          <w:p w14:paraId="50B4ADA0" w14:textId="77777777" w:rsidR="003B5F50" w:rsidRDefault="000D2D85">
            <w:pPr>
              <w:pStyle w:val="P68B1DB1-Normal14"/>
              <w:spacing w:before="120" w:after="120" w:line="240" w:lineRule="auto"/>
              <w:rPr>
                <w:noProof/>
                <w:szCs w:val="20"/>
              </w:rPr>
            </w:pPr>
            <w:r>
              <w:rPr>
                <w:noProof/>
              </w:rPr>
              <w:t xml:space="preserve">Contrats d'achat d'unités de transport intermodal </w:t>
            </w:r>
          </w:p>
        </w:tc>
        <w:tc>
          <w:tcPr>
            <w:tcW w:w="992" w:type="dxa"/>
            <w:shd w:val="clear" w:color="auto" w:fill="C6EFCE"/>
          </w:tcPr>
          <w:p w14:paraId="50B4ADA1" w14:textId="77777777" w:rsidR="003B5F50" w:rsidRDefault="003B5F50">
            <w:pPr>
              <w:spacing w:before="120" w:after="120" w:line="240" w:lineRule="auto"/>
              <w:rPr>
                <w:rFonts w:ascii="Times New Roman" w:hAnsi="Times New Roman"/>
                <w:noProof/>
                <w:sz w:val="20"/>
                <w:szCs w:val="20"/>
              </w:rPr>
            </w:pPr>
          </w:p>
        </w:tc>
        <w:tc>
          <w:tcPr>
            <w:tcW w:w="1134" w:type="dxa"/>
            <w:shd w:val="clear" w:color="auto" w:fill="C6EFCE"/>
          </w:tcPr>
          <w:p w14:paraId="50B4ADA2" w14:textId="77777777" w:rsidR="003B5F50" w:rsidRDefault="003B5F50">
            <w:pPr>
              <w:spacing w:before="120" w:after="120" w:line="240" w:lineRule="auto"/>
              <w:rPr>
                <w:rFonts w:ascii="Times New Roman" w:hAnsi="Times New Roman"/>
                <w:noProof/>
                <w:sz w:val="20"/>
                <w:szCs w:val="20"/>
              </w:rPr>
            </w:pPr>
          </w:p>
        </w:tc>
        <w:tc>
          <w:tcPr>
            <w:tcW w:w="1134" w:type="dxa"/>
            <w:shd w:val="clear" w:color="auto" w:fill="C6EFCE"/>
          </w:tcPr>
          <w:p w14:paraId="50B4ADA3" w14:textId="77777777" w:rsidR="003B5F50" w:rsidRDefault="003B5F50">
            <w:pPr>
              <w:spacing w:before="120" w:after="120" w:line="240" w:lineRule="auto"/>
              <w:rPr>
                <w:rFonts w:ascii="Times New Roman" w:hAnsi="Times New Roman"/>
                <w:noProof/>
                <w:sz w:val="20"/>
                <w:szCs w:val="20"/>
              </w:rPr>
            </w:pPr>
          </w:p>
        </w:tc>
        <w:tc>
          <w:tcPr>
            <w:tcW w:w="1276" w:type="dxa"/>
            <w:shd w:val="clear" w:color="auto" w:fill="C6EFCE"/>
          </w:tcPr>
          <w:p w14:paraId="50B4ADA4" w14:textId="77777777" w:rsidR="003B5F50" w:rsidRDefault="000D2D85">
            <w:pPr>
              <w:pStyle w:val="P68B1DB1-Normal14"/>
              <w:spacing w:before="120" w:after="120" w:line="240" w:lineRule="auto"/>
              <w:rPr>
                <w:noProof/>
                <w:szCs w:val="20"/>
              </w:rPr>
            </w:pPr>
            <w:r>
              <w:rPr>
                <w:noProof/>
              </w:rPr>
              <w:t>T2</w:t>
            </w:r>
          </w:p>
        </w:tc>
        <w:tc>
          <w:tcPr>
            <w:tcW w:w="992" w:type="dxa"/>
            <w:shd w:val="clear" w:color="auto" w:fill="C6EFCE"/>
          </w:tcPr>
          <w:p w14:paraId="50B4ADA5" w14:textId="77777777" w:rsidR="003B5F50" w:rsidRDefault="000D2D85">
            <w:pPr>
              <w:pStyle w:val="P68B1DB1-Normal14"/>
              <w:spacing w:before="120" w:after="120" w:line="240" w:lineRule="auto"/>
              <w:rPr>
                <w:noProof/>
                <w:szCs w:val="20"/>
              </w:rPr>
            </w:pPr>
            <w:r>
              <w:rPr>
                <w:noProof/>
              </w:rPr>
              <w:t>2026</w:t>
            </w:r>
          </w:p>
        </w:tc>
        <w:tc>
          <w:tcPr>
            <w:tcW w:w="2945" w:type="dxa"/>
            <w:shd w:val="clear" w:color="auto" w:fill="C6EFCE"/>
          </w:tcPr>
          <w:p w14:paraId="50B4ADA6" w14:textId="6D0F7636" w:rsidR="003B5F50" w:rsidRDefault="000D2D85">
            <w:pPr>
              <w:pStyle w:val="P68B1DB1-Normal15"/>
              <w:spacing w:before="120" w:after="120" w:line="240" w:lineRule="auto"/>
              <w:rPr>
                <w:rFonts w:eastAsia="Times New Roman"/>
                <w:noProof/>
              </w:rPr>
            </w:pPr>
            <w:r>
              <w:rPr>
                <w:noProof/>
              </w:rPr>
              <w:t>Acquisition d'au moins 650 unités de transport intermodal (manutention de semi-remorques, caisses mobiles, conteneurs). Les unités de transport intermodal sont exprimées en TEU (unité équivalente de vingt pieds).</w:t>
            </w:r>
          </w:p>
          <w:p w14:paraId="50B4ADA7" w14:textId="77777777" w:rsidR="003B5F50" w:rsidRDefault="003B5F50">
            <w:pPr>
              <w:spacing w:before="120" w:after="120" w:line="240" w:lineRule="auto"/>
              <w:rPr>
                <w:rFonts w:ascii="Times New Roman" w:hAnsi="Times New Roman"/>
                <w:noProof/>
                <w:sz w:val="20"/>
                <w:szCs w:val="20"/>
              </w:rPr>
            </w:pPr>
          </w:p>
        </w:tc>
      </w:tr>
      <w:tr w:rsidR="003B5F50" w14:paraId="50B4ADB4" w14:textId="77777777" w:rsidTr="000D2D85">
        <w:trPr>
          <w:trHeight w:val="300"/>
        </w:trPr>
        <w:tc>
          <w:tcPr>
            <w:tcW w:w="817" w:type="dxa"/>
            <w:shd w:val="clear" w:color="auto" w:fill="C6EFCE"/>
          </w:tcPr>
          <w:p w14:paraId="50B4ADA9" w14:textId="77777777" w:rsidR="003B5F50" w:rsidRDefault="000D2D85">
            <w:pPr>
              <w:pStyle w:val="P68B1DB1-Normal15"/>
              <w:spacing w:line="240" w:lineRule="auto"/>
              <w:rPr>
                <w:noProof/>
              </w:rPr>
            </w:pPr>
            <w:r>
              <w:rPr>
                <w:noProof/>
              </w:rPr>
              <w:t>13</w:t>
            </w:r>
          </w:p>
        </w:tc>
        <w:tc>
          <w:tcPr>
            <w:tcW w:w="1588" w:type="dxa"/>
            <w:shd w:val="clear" w:color="auto" w:fill="C6EFCE"/>
          </w:tcPr>
          <w:p w14:paraId="50B4ADAA" w14:textId="77777777" w:rsidR="003B5F50" w:rsidRDefault="000D2D85">
            <w:pPr>
              <w:pStyle w:val="P68B1DB1-Normal15"/>
              <w:spacing w:line="240" w:lineRule="auto"/>
              <w:rPr>
                <w:noProof/>
              </w:rPr>
            </w:pPr>
            <w:r>
              <w:rPr>
                <w:noProof/>
              </w:rPr>
              <w:t>3– Transports durables – Réforme 4: Introduction de nouvelles politiques pour la promotion à long terme des carburants de substitution dans le secteur des transports</w:t>
            </w:r>
          </w:p>
        </w:tc>
        <w:tc>
          <w:tcPr>
            <w:tcW w:w="1276" w:type="dxa"/>
            <w:shd w:val="clear" w:color="auto" w:fill="C6EFCE"/>
          </w:tcPr>
          <w:p w14:paraId="50B4ADAB" w14:textId="77777777" w:rsidR="003B5F50" w:rsidRDefault="000D2D85">
            <w:pPr>
              <w:pStyle w:val="P68B1DB1-Normal15"/>
              <w:spacing w:line="240" w:lineRule="auto"/>
              <w:rPr>
                <w:noProof/>
              </w:rPr>
            </w:pPr>
            <w:r>
              <w:rPr>
                <w:noProof/>
              </w:rPr>
              <w:t>Étape</w:t>
            </w:r>
          </w:p>
        </w:tc>
        <w:tc>
          <w:tcPr>
            <w:tcW w:w="1134" w:type="dxa"/>
            <w:shd w:val="clear" w:color="auto" w:fill="C6EFCE"/>
          </w:tcPr>
          <w:p w14:paraId="50B4ADAC" w14:textId="77777777" w:rsidR="003B5F50" w:rsidRDefault="000D2D85">
            <w:pPr>
              <w:pStyle w:val="P68B1DB1-Normal15"/>
              <w:spacing w:line="240" w:lineRule="auto"/>
              <w:rPr>
                <w:noProof/>
              </w:rPr>
            </w:pPr>
            <w:r>
              <w:rPr>
                <w:noProof/>
              </w:rPr>
              <w:t>un nouveau train de mesures visant à promouvoir les modes de propulsion alternatifs</w:t>
            </w:r>
          </w:p>
        </w:tc>
        <w:tc>
          <w:tcPr>
            <w:tcW w:w="1276" w:type="dxa"/>
            <w:shd w:val="clear" w:color="auto" w:fill="C6EFCE"/>
          </w:tcPr>
          <w:p w14:paraId="50B4ADAD" w14:textId="77777777" w:rsidR="003B5F50" w:rsidRDefault="000D2D85">
            <w:pPr>
              <w:pStyle w:val="P68B1DB1-Normal15"/>
              <w:spacing w:line="240" w:lineRule="auto"/>
              <w:rPr>
                <w:noProof/>
              </w:rPr>
            </w:pPr>
            <w:r>
              <w:rPr>
                <w:noProof/>
              </w:rPr>
              <w:t>Entrée en vigueur de la résolution visant à promouvoir les modes de propulsion alternatifs</w:t>
            </w:r>
          </w:p>
        </w:tc>
        <w:tc>
          <w:tcPr>
            <w:tcW w:w="992" w:type="dxa"/>
            <w:shd w:val="clear" w:color="auto" w:fill="C6EFCE"/>
          </w:tcPr>
          <w:p w14:paraId="50B4ADAE" w14:textId="77777777" w:rsidR="003B5F50" w:rsidRDefault="003B5F50">
            <w:pPr>
              <w:spacing w:line="240" w:lineRule="auto"/>
              <w:rPr>
                <w:rFonts w:ascii="Times New Roman" w:hAnsi="Times New Roman"/>
                <w:noProof/>
                <w:color w:val="006100"/>
                <w:sz w:val="20"/>
                <w:szCs w:val="20"/>
              </w:rPr>
            </w:pPr>
          </w:p>
        </w:tc>
        <w:tc>
          <w:tcPr>
            <w:tcW w:w="1134" w:type="dxa"/>
            <w:shd w:val="clear" w:color="auto" w:fill="C6EFCE"/>
          </w:tcPr>
          <w:p w14:paraId="50B4ADAF" w14:textId="77777777" w:rsidR="003B5F50" w:rsidRDefault="003B5F50">
            <w:pPr>
              <w:spacing w:line="240" w:lineRule="auto"/>
              <w:rPr>
                <w:rFonts w:ascii="Times New Roman" w:hAnsi="Times New Roman"/>
                <w:noProof/>
                <w:color w:val="006100"/>
                <w:sz w:val="20"/>
                <w:szCs w:val="20"/>
              </w:rPr>
            </w:pPr>
          </w:p>
        </w:tc>
        <w:tc>
          <w:tcPr>
            <w:tcW w:w="1134" w:type="dxa"/>
            <w:shd w:val="clear" w:color="auto" w:fill="C6EFCE"/>
          </w:tcPr>
          <w:p w14:paraId="50B4ADB0" w14:textId="77777777" w:rsidR="003B5F50" w:rsidRDefault="003B5F50">
            <w:pPr>
              <w:spacing w:line="240" w:lineRule="auto"/>
              <w:rPr>
                <w:rFonts w:ascii="Times New Roman" w:hAnsi="Times New Roman"/>
                <w:noProof/>
                <w:color w:val="006100"/>
                <w:sz w:val="20"/>
                <w:szCs w:val="20"/>
              </w:rPr>
            </w:pPr>
          </w:p>
        </w:tc>
        <w:tc>
          <w:tcPr>
            <w:tcW w:w="1276" w:type="dxa"/>
            <w:shd w:val="clear" w:color="auto" w:fill="C6EFCE"/>
          </w:tcPr>
          <w:p w14:paraId="50B4ADB1" w14:textId="77777777" w:rsidR="003B5F50" w:rsidRDefault="000D2D85">
            <w:pPr>
              <w:pStyle w:val="P68B1DB1-Normal15"/>
              <w:spacing w:line="240" w:lineRule="auto"/>
              <w:rPr>
                <w:noProof/>
              </w:rPr>
            </w:pPr>
            <w:r>
              <w:rPr>
                <w:noProof/>
              </w:rPr>
              <w:t>T4</w:t>
            </w:r>
          </w:p>
        </w:tc>
        <w:tc>
          <w:tcPr>
            <w:tcW w:w="992" w:type="dxa"/>
            <w:shd w:val="clear" w:color="auto" w:fill="C6EFCE"/>
          </w:tcPr>
          <w:p w14:paraId="50B4ADB2" w14:textId="77777777" w:rsidR="003B5F50" w:rsidRDefault="000D2D85">
            <w:pPr>
              <w:pStyle w:val="P68B1DB1-Normal15"/>
              <w:spacing w:line="240" w:lineRule="auto"/>
              <w:rPr>
                <w:noProof/>
              </w:rPr>
            </w:pPr>
            <w:r>
              <w:rPr>
                <w:noProof/>
              </w:rPr>
              <w:t>2022</w:t>
            </w:r>
          </w:p>
        </w:tc>
        <w:tc>
          <w:tcPr>
            <w:tcW w:w="2945" w:type="dxa"/>
            <w:shd w:val="clear" w:color="auto" w:fill="C6EFCE"/>
          </w:tcPr>
          <w:p w14:paraId="50B4ADB3" w14:textId="77777777" w:rsidR="003B5F50" w:rsidRDefault="000D2D85">
            <w:pPr>
              <w:pStyle w:val="P68B1DB1-Normal15"/>
              <w:spacing w:line="240" w:lineRule="auto"/>
              <w:rPr>
                <w:rFonts w:eastAsia="Times New Roman" w:cs="Times New Roman"/>
                <w:noProof/>
              </w:rPr>
            </w:pPr>
            <w:r>
              <w:rPr>
                <w:noProof/>
              </w:rPr>
              <w:t>Ces mesures accélèrent le développement de modes de propulsion alternatifs dans le secteur des transports. Il s’agit notamment d’une réforme des tarifs de distribution, de mesures visant à simplifier et à accélérer le processus de construction d’infrastructures de propulsion alternatives, de l’introduction d’un «droit de point de recharge» et de l’introduction d’un cadre pluriannuel stable et prévisible pour soutenir la construction d’infrastructures de propulsion alternatives pertinentes.</w:t>
            </w:r>
          </w:p>
        </w:tc>
      </w:tr>
      <w:tr w:rsidR="003B5F50" w14:paraId="50B4ADC1" w14:textId="77777777" w:rsidTr="000D2D85">
        <w:trPr>
          <w:trHeight w:val="300"/>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ADB5" w14:textId="77777777" w:rsidR="003B5F50" w:rsidRDefault="000D2D85">
            <w:pPr>
              <w:pStyle w:val="P68B1DB1-Normal14"/>
              <w:spacing w:before="120" w:after="120" w:line="240" w:lineRule="auto"/>
              <w:rPr>
                <w:noProof/>
              </w:rPr>
            </w:pPr>
            <w:r>
              <w:rPr>
                <w:noProof/>
              </w:rPr>
              <w:t>14</w:t>
            </w:r>
          </w:p>
        </w:tc>
        <w:tc>
          <w:tcPr>
            <w:tcW w:w="1588" w:type="dxa"/>
            <w:tcBorders>
              <w:top w:val="single" w:sz="4" w:space="0" w:color="auto"/>
              <w:left w:val="single" w:sz="4" w:space="0" w:color="auto"/>
              <w:bottom w:val="single" w:sz="4" w:space="0" w:color="auto"/>
              <w:right w:val="single" w:sz="4" w:space="0" w:color="auto"/>
            </w:tcBorders>
            <w:shd w:val="clear" w:color="auto" w:fill="C6EFCE"/>
          </w:tcPr>
          <w:p w14:paraId="50B4ADB6" w14:textId="77777777" w:rsidR="003B5F50" w:rsidRDefault="000D2D85">
            <w:pPr>
              <w:pStyle w:val="P68B1DB1-Normal14"/>
              <w:spacing w:before="120" w:after="120" w:line="240" w:lineRule="auto"/>
              <w:rPr>
                <w:noProof/>
              </w:rPr>
            </w:pPr>
            <w:r>
              <w:rPr>
                <w:noProof/>
              </w:rPr>
              <w:t xml:space="preserve">3 – Transports durables – Investissement 4: Soutenir le développement d'infrastructures pour les véhicules à carburants alternatifs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ADB7" w14:textId="77777777" w:rsidR="003B5F50" w:rsidRDefault="000D2D85">
            <w:pPr>
              <w:pStyle w:val="P68B1DB1-Normal14"/>
              <w:spacing w:before="120" w:after="120" w:line="240" w:lineRule="auto"/>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ADB8" w14:textId="77777777" w:rsidR="003B5F50" w:rsidRDefault="000D2D85">
            <w:pPr>
              <w:pStyle w:val="P68B1DB1-Normal14"/>
              <w:spacing w:before="120" w:after="120" w:line="240" w:lineRule="auto"/>
              <w:rPr>
                <w:noProof/>
              </w:rPr>
            </w:pPr>
            <w:r>
              <w:rPr>
                <w:noProof/>
              </w:rPr>
              <w:t>Nombre de points de recharge installés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ADB9" w14:textId="77777777" w:rsidR="003B5F50" w:rsidRDefault="003B5F50">
            <w:pPr>
              <w:spacing w:before="120" w:after="120" w:line="240" w:lineRule="auto"/>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ADBA" w14:textId="77777777" w:rsidR="003B5F50" w:rsidRDefault="000D2D85">
            <w:pPr>
              <w:pStyle w:val="P68B1DB1-Normal14"/>
              <w:spacing w:before="120" w:after="120" w:line="240" w:lineRule="auto"/>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ADBB" w14:textId="77777777" w:rsidR="003B5F50" w:rsidRDefault="000D2D85">
            <w:pPr>
              <w:pStyle w:val="P68B1DB1-Normal14"/>
              <w:spacing w:before="120" w:after="120" w:line="240" w:lineRule="auto"/>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ADBC" w14:textId="3AC0ABF7" w:rsidR="003B5F50" w:rsidRDefault="000D2D85">
            <w:pPr>
              <w:pStyle w:val="P68B1DB1-Normal15"/>
              <w:spacing w:before="120" w:after="120" w:line="240" w:lineRule="auto"/>
              <w:rPr>
                <w:noProof/>
              </w:rPr>
            </w:pPr>
            <w:r>
              <w:rPr>
                <w:noProof/>
              </w:rPr>
              <w:t>1 500</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ADBD" w14:textId="77777777" w:rsidR="003B5F50" w:rsidRDefault="000D2D85">
            <w:pPr>
              <w:pStyle w:val="P68B1DB1-Normal14"/>
              <w:spacing w:before="120" w:after="120" w:line="240" w:lineRule="auto"/>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ADBE" w14:textId="77777777" w:rsidR="003B5F50" w:rsidRDefault="000D2D85">
            <w:pPr>
              <w:pStyle w:val="P68B1DB1-Normal14"/>
              <w:spacing w:before="120" w:after="120" w:line="240" w:lineRule="auto"/>
              <w:rPr>
                <w:noProof/>
              </w:rPr>
            </w:pPr>
            <w:r>
              <w:rPr>
                <w:noProof/>
              </w:rPr>
              <w:t>2026</w:t>
            </w:r>
          </w:p>
        </w:tc>
        <w:tc>
          <w:tcPr>
            <w:tcW w:w="2945" w:type="dxa"/>
            <w:tcBorders>
              <w:top w:val="single" w:sz="4" w:space="0" w:color="auto"/>
              <w:left w:val="single" w:sz="4" w:space="0" w:color="auto"/>
              <w:bottom w:val="single" w:sz="4" w:space="0" w:color="auto"/>
              <w:right w:val="single" w:sz="4" w:space="0" w:color="auto"/>
            </w:tcBorders>
            <w:shd w:val="clear" w:color="auto" w:fill="C6EFCE"/>
          </w:tcPr>
          <w:p w14:paraId="50B4ADBF" w14:textId="55995579" w:rsidR="003B5F50" w:rsidRDefault="000D2D85">
            <w:pPr>
              <w:pStyle w:val="P68B1DB1-Normal15"/>
              <w:spacing w:before="120" w:after="120"/>
              <w:rPr>
                <w:noProof/>
              </w:rPr>
            </w:pPr>
            <w:r>
              <w:rPr>
                <w:noProof/>
              </w:rPr>
              <w:t xml:space="preserve">Installation et raccordement au réseau électrique des installations pour au moins 1 500 points de recharge publics. </w:t>
            </w:r>
          </w:p>
          <w:p w14:paraId="50B4ADC0" w14:textId="77777777" w:rsidR="003B5F50" w:rsidRDefault="000D2D85">
            <w:pPr>
              <w:pStyle w:val="P68B1DB1-Normal14"/>
              <w:spacing w:before="120" w:after="120" w:line="240" w:lineRule="auto"/>
              <w:rPr>
                <w:noProof/>
              </w:rPr>
            </w:pPr>
            <w:r>
              <w:rPr>
                <w:noProof/>
              </w:rPr>
              <w:t xml:space="preserve">Cela se traduira également par l’installation de points de recharge rapide d’une puissance égale ou supérieure à 50 kW dans chaque région autonome de Slovaquie. </w:t>
            </w:r>
          </w:p>
        </w:tc>
      </w:tr>
    </w:tbl>
    <w:p w14:paraId="50B4ADC2" w14:textId="77777777" w:rsidR="003B5F50" w:rsidRDefault="003B5F50">
      <w:pPr>
        <w:spacing w:before="120" w:after="120" w:line="240" w:lineRule="auto"/>
        <w:jc w:val="both"/>
        <w:rPr>
          <w:rFonts w:ascii="Times New Roman" w:hAnsi="Times New Roman"/>
          <w:noProof/>
        </w:rPr>
        <w:sectPr w:rsidR="003B5F50" w:rsidSect="003E3DD3">
          <w:headerReference w:type="even" r:id="rId47"/>
          <w:headerReference w:type="default" r:id="rId48"/>
          <w:footerReference w:type="even" r:id="rId49"/>
          <w:footerReference w:type="default" r:id="rId50"/>
          <w:headerReference w:type="first" r:id="rId51"/>
          <w:footerReference w:type="first" r:id="rId52"/>
          <w:pgSz w:w="16839" w:h="11907" w:orient="landscape"/>
          <w:pgMar w:top="1134" w:right="1134" w:bottom="1134" w:left="1134" w:header="567" w:footer="567" w:gutter="0"/>
          <w:cols w:space="720"/>
          <w:docGrid w:linePitch="360"/>
        </w:sectPr>
      </w:pPr>
    </w:p>
    <w:p w14:paraId="50B4ADC3" w14:textId="77777777" w:rsidR="003B5F50" w:rsidRDefault="000D2D85">
      <w:pPr>
        <w:pStyle w:val="P68B1DB1-Heading21"/>
        <w:spacing w:before="40" w:after="0" w:line="257" w:lineRule="auto"/>
        <w:rPr>
          <w:noProof/>
        </w:rPr>
      </w:pPr>
      <w:r>
        <w:rPr>
          <w:noProof/>
        </w:rPr>
        <w:t>Élément 4: Décarbonation de l’industrie</w:t>
      </w:r>
    </w:p>
    <w:p w14:paraId="50B4ADC4" w14:textId="77777777" w:rsidR="003B5F50" w:rsidRDefault="000D2D85">
      <w:pPr>
        <w:pStyle w:val="P68B1DB1-Normal4"/>
        <w:spacing w:before="120" w:after="120"/>
        <w:jc w:val="both"/>
        <w:rPr>
          <w:noProof/>
        </w:rPr>
      </w:pPr>
      <w:r>
        <w:rPr>
          <w:noProof/>
        </w:rPr>
        <w:t xml:space="preserve">La réduction des émissions de gaz à effet de serre en Slovaquie et la réalisation des objectifs nationaux, tels que définis dans le plan national intégré en matière d’énergie et de climat 2021-2030, nécessitent également une action accélérée de la part de l’industrie. La Slovaquie est une économie fortement industrialisée, avec une contribution de l'énergie et des processus industriels aux émissions globales de gaz à effet de serre d'un peu plus de 70%. La Slovaquie se classe parmi les États membres où les concentrations moyennes de particules de poussière dans l’air sont les plus élevées dans l’UE, en grande partie en raison du vieillissement des technologies industrielles et de la combustion de combustibles dans les ménages. </w:t>
      </w:r>
    </w:p>
    <w:p w14:paraId="50B4ADC5" w14:textId="77777777" w:rsidR="003B5F50" w:rsidRDefault="000D2D85">
      <w:pPr>
        <w:pStyle w:val="P68B1DB1-Normal4"/>
        <w:spacing w:before="120" w:after="120"/>
        <w:jc w:val="both"/>
        <w:rPr>
          <w:noProof/>
        </w:rPr>
      </w:pPr>
      <w:r>
        <w:rPr>
          <w:noProof/>
        </w:rPr>
        <w:t xml:space="preserve">Dans ce contexte, le volet 4 du plan slovaque de réforme et de résilience propose l’élaboration et le fonctionnement d’un régime de décarbonation pour le secteur industriel. Les mesures entraînent une réduction des émissions de gaz à effet de serre dans les entreprises, une réduction des pertes d’énergie et une plus grande adoption de technologies environnementales innovantes dans la production industrielle. Ce volet intègre l’engagement de réforme pris par le gouvernement slovaque de s’éloigner du charbon dans la région du Haut-Nitra. Il comprend également l'engagement de mettre fin au soutien à la production d'électricité à partir de charbon indigène et à la fermeture de la centrale au lignite de Nováky. L’investissement dans l’équipement de l’inspection slovaque de l’environnement renforcera la capacité de surveillance des efforts de décarbonation déployés par cette institution. </w:t>
      </w:r>
    </w:p>
    <w:p w14:paraId="50B4ADC6" w14:textId="77777777" w:rsidR="003B5F50" w:rsidRDefault="000D2D85">
      <w:pPr>
        <w:pStyle w:val="P68B1DB1-Normal4"/>
        <w:spacing w:before="120" w:after="120"/>
        <w:jc w:val="both"/>
        <w:rPr>
          <w:noProof/>
        </w:rPr>
      </w:pPr>
      <w:r>
        <w:rPr>
          <w:noProof/>
        </w:rPr>
        <w:t xml:space="preserve">Le volet comprend deux réformes et un investissement principal et un investissement complémentaire. </w:t>
      </w:r>
    </w:p>
    <w:p w14:paraId="50B4ADC7" w14:textId="77777777" w:rsidR="003B5F50" w:rsidRDefault="000D2D85">
      <w:pPr>
        <w:pStyle w:val="P68B1DB1-Normal4"/>
        <w:spacing w:before="120" w:after="120"/>
        <w:jc w:val="both"/>
        <w:rPr>
          <w:noProof/>
          <w:color w:val="000000" w:themeColor="text1"/>
        </w:rPr>
      </w:pPr>
      <w:r>
        <w:rPr>
          <w:noProof/>
          <w:color w:val="000000" w:themeColor="text1"/>
        </w:rPr>
        <w:t xml:space="preserve">Ces réformes et </w:t>
      </w:r>
      <w:r>
        <w:rPr>
          <w:noProof/>
        </w:rPr>
        <w:t xml:space="preserve">investissements contribuent à l’objectif de transition écologique et à l’objectif climatique. La décarbonation a une incidence durable sur l’environnement et la qualité de l’air en Slovaquie. Les investissements renforceront la compétitivité de l'industrie slovaque et garantiront des emplois au niveau local. La transformation de la région du Haut-Nitra présente un fort élément de cohésion, notamment en soutenant la région dans sa transition vers l'abandon du charbon. </w:t>
      </w:r>
    </w:p>
    <w:p w14:paraId="50B4ADC8" w14:textId="77777777" w:rsidR="003B5F50" w:rsidRDefault="000D2D85">
      <w:pPr>
        <w:pStyle w:val="P68B1DB1-Normal4"/>
        <w:spacing w:before="120" w:after="120"/>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ADC9" w14:textId="77777777" w:rsidR="003B5F50" w:rsidRDefault="000D2D85">
      <w:pPr>
        <w:pStyle w:val="P68B1DB1-Normal4"/>
        <w:spacing w:before="120" w:after="120"/>
        <w:jc w:val="both"/>
        <w:rPr>
          <w:noProof/>
        </w:rPr>
      </w:pPr>
      <w:r>
        <w:rPr>
          <w:noProof/>
        </w:rPr>
        <w:t>Les mesures contribuent à donner suite à la recommandation par pays transmise à la Slovaquie en 2020, sur la nécessité de «concentrer les investissements sur les transitions numériques vertes, en particulier sur la production et l’utilisation propres et efficaces de l’énergie et des ressources» (recommandation par pays no 3/2020).</w:t>
      </w:r>
    </w:p>
    <w:p w14:paraId="50B4ADCA" w14:textId="77777777" w:rsidR="003B5F50" w:rsidRDefault="000D2D85">
      <w:pPr>
        <w:spacing w:before="120" w:after="120"/>
        <w:jc w:val="both"/>
        <w:rPr>
          <w:noProof/>
        </w:rPr>
      </w:pPr>
      <w:r>
        <w:rPr>
          <w:rFonts w:ascii="Times New Roman" w:eastAsia="Times New Roman" w:hAnsi="Times New Roman" w:cs="Times New Roman"/>
          <w:b/>
          <w:noProof/>
          <w:u w:val="single"/>
        </w:rPr>
        <w:t xml:space="preserve">A.1. </w:t>
      </w:r>
      <w:r>
        <w:rPr>
          <w:noProof/>
        </w:rPr>
        <w:t xml:space="preserve"> </w:t>
      </w:r>
      <w:r>
        <w:rPr>
          <w:rFonts w:ascii="Times New Roman" w:eastAsia="Times New Roman" w:hAnsi="Times New Roman" w:cs="Times New Roman"/>
          <w:b/>
          <w:noProof/>
          <w:u w:val="single"/>
        </w:rPr>
        <w:t>Description des réformes et des investissements pour le soutien financier non remboursable</w:t>
      </w:r>
    </w:p>
    <w:p w14:paraId="50B4ADCB" w14:textId="77777777" w:rsidR="003B5F50" w:rsidRDefault="000D2D85">
      <w:pPr>
        <w:pStyle w:val="P68B1DB1-Normal6"/>
        <w:spacing w:before="120" w:after="120"/>
        <w:jc w:val="both"/>
        <w:rPr>
          <w:noProof/>
        </w:rPr>
      </w:pPr>
      <w:r>
        <w:rPr>
          <w:noProof/>
        </w:rPr>
        <w:t>Réforme 1: L'arrêt de la production d'électricité à base de charbon à la centrale de Nováky et la transformation de la région du Haut Nitra</w:t>
      </w:r>
    </w:p>
    <w:p w14:paraId="50B4ADCC" w14:textId="77777777" w:rsidR="003B5F50" w:rsidRDefault="000D2D85">
      <w:pPr>
        <w:spacing w:before="120" w:after="120"/>
        <w:jc w:val="both"/>
        <w:rPr>
          <w:noProof/>
        </w:rPr>
      </w:pPr>
      <w:r>
        <w:rPr>
          <w:rFonts w:ascii="Times New Roman" w:eastAsia="Times New Roman" w:hAnsi="Times New Roman" w:cs="Times New Roman"/>
          <w:noProof/>
        </w:rPr>
        <w:t>Cette réforme intègre l'engagement du gouvernement slovaque à progresser dans la transition vers l'abandon du charbon dans la région du Haut Nitra.</w:t>
      </w:r>
      <w:r>
        <w:rPr>
          <w:rFonts w:ascii="Arial Narrow" w:eastAsia="Arial Narrow" w:hAnsi="Arial Narrow" w:cs="Arial Narrow"/>
          <w:noProof/>
          <w:sz w:val="22"/>
          <w:szCs w:val="22"/>
        </w:rPr>
        <w:t xml:space="preserve"> </w:t>
      </w:r>
      <w:r>
        <w:rPr>
          <w:rFonts w:ascii="Times New Roman" w:eastAsia="Times New Roman" w:hAnsi="Times New Roman" w:cs="Times New Roman"/>
          <w:noProof/>
        </w:rPr>
        <w:t xml:space="preserve">La centrale électrique régionale de Nováky est la troisième installation slovaque du système d’échange de quotas d’émission de l’UE dont les émissions de CO2 sont les plus élevées. </w:t>
      </w:r>
    </w:p>
    <w:p w14:paraId="50B4ADCD" w14:textId="77777777" w:rsidR="003B5F50" w:rsidRDefault="000D2D85">
      <w:pPr>
        <w:pStyle w:val="P68B1DB1-Normal4"/>
        <w:spacing w:before="120" w:after="120"/>
        <w:jc w:val="both"/>
        <w:rPr>
          <w:noProof/>
        </w:rPr>
      </w:pPr>
      <w:r>
        <w:rPr>
          <w:noProof/>
        </w:rPr>
        <w:t xml:space="preserve">Cette mesure vise, pour la centrale au lignite de Nováky, à mettre fin au soutien à la production d’électricité et à mettre fin à la production d’électricité à partir de lignite. Cela aura des effets positifs sur l'environnement et entraînera une réduction des prix pour les consommateurs finals d'électricité. </w:t>
      </w:r>
    </w:p>
    <w:p w14:paraId="50B4ADCE" w14:textId="77777777" w:rsidR="003B5F50" w:rsidRDefault="000D2D85">
      <w:pPr>
        <w:pStyle w:val="P68B1DB1-Normal5"/>
        <w:spacing w:before="120" w:after="120"/>
        <w:jc w:val="both"/>
        <w:rPr>
          <w:noProof/>
        </w:rPr>
      </w:pPr>
      <w:r>
        <w:rPr>
          <w:noProof/>
        </w:rPr>
        <w:t>La mise en œuvre de la réforme est achevée au plus tard le 31 décembre 2023.</w:t>
      </w:r>
    </w:p>
    <w:p w14:paraId="50B4ADCF" w14:textId="77777777" w:rsidR="003B5F50" w:rsidRDefault="003B5F50">
      <w:pPr>
        <w:spacing w:after="0"/>
        <w:rPr>
          <w:noProof/>
        </w:rPr>
      </w:pPr>
    </w:p>
    <w:p w14:paraId="50B4ADD0" w14:textId="77777777" w:rsidR="003B5F50" w:rsidRDefault="000D2D85">
      <w:pPr>
        <w:pStyle w:val="P68B1DB1-Normal6"/>
        <w:spacing w:before="120" w:after="120"/>
        <w:jc w:val="both"/>
        <w:rPr>
          <w:noProof/>
        </w:rPr>
      </w:pPr>
      <w:r>
        <w:rPr>
          <w:noProof/>
        </w:rPr>
        <w:t>Réforme 2: Adoption du régime concurrentiel de réduction des émissions de gaz à effet de serre dans l'industrie</w:t>
      </w:r>
    </w:p>
    <w:p w14:paraId="50B4ADD1" w14:textId="77777777" w:rsidR="003B5F50" w:rsidRDefault="000D2D85">
      <w:pPr>
        <w:pStyle w:val="P68B1DB1-Normal5"/>
        <w:spacing w:before="120" w:after="120"/>
        <w:jc w:val="both"/>
        <w:rPr>
          <w:noProof/>
        </w:rPr>
      </w:pPr>
      <w:r>
        <w:rPr>
          <w:noProof/>
        </w:rPr>
        <w:t>Les autorités slovaques lancent un régime concurrentiel de décarbonation ouvert à tous les secteurs industriels. Le régime de décarbonation soutient l’adoption des meilleures technologies actuellement disponibles dans les processus industriels. L’aide cible les procédés et technologies à faible intensité de carbone dans l’industrie et l’adoption de mesures d’efficacité énergétique.</w:t>
      </w:r>
    </w:p>
    <w:p w14:paraId="50B4ADD2" w14:textId="77777777" w:rsidR="003B5F50" w:rsidRDefault="000D2D85">
      <w:pPr>
        <w:pStyle w:val="P68B1DB1-Normal5"/>
        <w:spacing w:before="120" w:after="120"/>
        <w:jc w:val="both"/>
        <w:rPr>
          <w:noProof/>
        </w:rPr>
      </w:pPr>
      <w:r>
        <w:rPr>
          <w:noProof/>
        </w:rPr>
        <w:t xml:space="preserve">La Slovaquie veille à ce que les exigences strictes en matière de respect de la législation environnementale, tant au niveau national qu'au niveau de l'UE, soient respectées. Cela inclut la conformité des activités soutenues et des entreprises avec les orientations techniques DNSH (2021/C58/01). </w:t>
      </w:r>
    </w:p>
    <w:p w14:paraId="50B4ADD3" w14:textId="77777777" w:rsidR="003B5F50" w:rsidRDefault="000D2D85">
      <w:pPr>
        <w:pStyle w:val="P68B1DB1-Normal5"/>
        <w:spacing w:before="120" w:after="120"/>
        <w:jc w:val="both"/>
        <w:rPr>
          <w:noProof/>
        </w:rPr>
      </w:pPr>
      <w:r>
        <w:rPr>
          <w:noProof/>
        </w:rPr>
        <w:t>Le soutien aux installations dans le cadre du système d’échange de quotas d’émission de l’UE réduit leurs émissions de gaz à effet de serre de manière nettement inférieure au référentiel pertinent pour l’offre de projet. La condition «substantiellement inférieure à la valeur de référence» fait partie des critères de sélection pour le marché.</w:t>
      </w:r>
    </w:p>
    <w:p w14:paraId="50B4ADD4" w14:textId="77777777" w:rsidR="003B5F50" w:rsidRDefault="000D2D85">
      <w:pPr>
        <w:pStyle w:val="P68B1DB1-Normal5"/>
        <w:spacing w:before="120" w:after="120"/>
        <w:jc w:val="both"/>
        <w:rPr>
          <w:noProof/>
        </w:rPr>
      </w:pPr>
      <w:r>
        <w:rPr>
          <w:noProof/>
        </w:rPr>
        <w:t>La quantité de gaz à effet de serre émise (en équivalent CO2, moyenne pondérée) par les entreprises bénéficiant du soutien du système diminue d’au moins 30 % par rapport au scénario contrefactuel.</w:t>
      </w:r>
    </w:p>
    <w:p w14:paraId="50B4ADD5" w14:textId="77777777" w:rsidR="003B5F50" w:rsidRDefault="000D2D85">
      <w:pPr>
        <w:pStyle w:val="P68B1DB1-Normal5"/>
        <w:spacing w:before="120" w:after="120"/>
        <w:jc w:val="both"/>
        <w:rPr>
          <w:noProof/>
        </w:rPr>
      </w:pPr>
      <w:r>
        <w:rPr>
          <w:noProof/>
        </w:rPr>
        <w:t>Les autorités slovaques fournissent soit des données sur la décarbonation pour les projets relevant du système (qui doivent être mises à disposition au plus tard le 30 juin 2026), soit la preuve que les réductions des émissions de gaz à effet de serre devraient être réalisées sur la base de paramètres supposés des technologies bénéficiant d’un soutien au titre de la mesure (sur la base de certificats délivrés par les producteurs), soit la combinaison des deux approches.</w:t>
      </w:r>
    </w:p>
    <w:p w14:paraId="50B4ADD6" w14:textId="77777777" w:rsidR="003B5F50" w:rsidRDefault="000D2D85">
      <w:pPr>
        <w:pStyle w:val="P68B1DB1-Normal5"/>
        <w:spacing w:before="120" w:after="120"/>
        <w:jc w:val="both"/>
        <w:rPr>
          <w:noProof/>
        </w:rPr>
      </w:pPr>
      <w:r>
        <w:rPr>
          <w:noProof/>
        </w:rPr>
        <w:t>La mise en œuvre de la réforme est achevée au plus tard le 31 décembre 2022.</w:t>
      </w:r>
    </w:p>
    <w:p w14:paraId="50B4ADD7" w14:textId="77777777" w:rsidR="003B5F50" w:rsidRDefault="003B5F50">
      <w:pPr>
        <w:spacing w:before="120" w:after="120"/>
        <w:jc w:val="both"/>
        <w:rPr>
          <w:noProof/>
        </w:rPr>
      </w:pPr>
    </w:p>
    <w:p w14:paraId="50B4ADD8" w14:textId="77777777" w:rsidR="003B5F50" w:rsidRDefault="000D2D85">
      <w:pPr>
        <w:pStyle w:val="P68B1DB1-Normal6"/>
        <w:spacing w:before="120" w:after="120"/>
        <w:jc w:val="both"/>
        <w:rPr>
          <w:noProof/>
        </w:rPr>
      </w:pPr>
      <w:r>
        <w:rPr>
          <w:noProof/>
        </w:rPr>
        <w:t xml:space="preserve">Investissement 1: Le fonctionnement du régime de décarbonation de l’industrie </w:t>
      </w:r>
    </w:p>
    <w:p w14:paraId="50B4ADD9" w14:textId="77777777" w:rsidR="003B5F50" w:rsidRDefault="000D2D85">
      <w:pPr>
        <w:pStyle w:val="P68B1DB1-Normal24"/>
        <w:spacing w:before="120" w:after="120"/>
        <w:jc w:val="both"/>
        <w:rPr>
          <w:noProof/>
        </w:rPr>
      </w:pPr>
      <w:r>
        <w:rPr>
          <w:noProof/>
        </w:rPr>
        <w:t>L’objectif de cette mesure est de réduire les émissions de gaz à effet de serre grâce à un soutien aux projets en faveur des entreprises industrielles. Cette mesure consiste à achever la mise en œuvre des projets de décarbonation de l’industrie soutenus par la FRR.</w:t>
      </w:r>
    </w:p>
    <w:p w14:paraId="50B4ADDA" w14:textId="38884736" w:rsidR="003B5F50" w:rsidRDefault="000D2D85">
      <w:pPr>
        <w:pStyle w:val="P68B1DB1-Normal5"/>
        <w:rPr>
          <w:noProof/>
        </w:rPr>
      </w:pPr>
      <w:r>
        <w:rPr>
          <w:noProof/>
        </w:rPr>
        <w:br w:type="page"/>
      </w:r>
    </w:p>
    <w:p w14:paraId="5F20B676" w14:textId="77777777" w:rsidR="003B5F50" w:rsidRDefault="003B5F50">
      <w:pPr>
        <w:spacing w:before="120" w:after="120"/>
        <w:jc w:val="both"/>
        <w:rPr>
          <w:rFonts w:ascii="Times New Roman" w:eastAsia="Times New Roman" w:hAnsi="Times New Roman" w:cs="Times New Roman"/>
          <w:noProof/>
          <w:color w:val="000000" w:themeColor="text1"/>
        </w:rPr>
      </w:pPr>
    </w:p>
    <w:p w14:paraId="50B4ADDB" w14:textId="77777777" w:rsidR="003B5F50" w:rsidRDefault="000D2D85">
      <w:pPr>
        <w:pStyle w:val="P68B1DB1-Normal6"/>
        <w:spacing w:line="257" w:lineRule="auto"/>
        <w:rPr>
          <w:noProof/>
        </w:rPr>
      </w:pPr>
      <w:r>
        <w:rPr>
          <w:noProof/>
        </w:rPr>
        <w:t xml:space="preserve">Investissement 2: Soutenir le fonctionnement de l’inspection slovaque de l’environnement en lien avec la décarbonation </w:t>
      </w:r>
    </w:p>
    <w:p w14:paraId="50B4ADDC" w14:textId="77777777" w:rsidR="003B5F50" w:rsidRDefault="000D2D85">
      <w:pPr>
        <w:pStyle w:val="P68B1DB1-Normal5"/>
        <w:spacing w:before="120" w:after="120"/>
        <w:jc w:val="both"/>
        <w:rPr>
          <w:noProof/>
        </w:rPr>
      </w:pPr>
      <w:r>
        <w:rPr>
          <w:noProof/>
        </w:rPr>
        <w:t xml:space="preserve">L’objectif de cette mesure est de renforcer la capacité de surveillance de l’inspection slovaque de l’environnement dans le processus de décarbonation. La mesure consiste à réaliser des investissements dans la modernisation des équipements et des installations de cette institution. </w:t>
      </w:r>
    </w:p>
    <w:p w14:paraId="50B4ADDD" w14:textId="77777777" w:rsidR="003B5F50" w:rsidRDefault="003B5F50">
      <w:pPr>
        <w:spacing w:before="120" w:after="120"/>
        <w:jc w:val="both"/>
        <w:rPr>
          <w:noProof/>
        </w:rPr>
        <w:sectPr w:rsidR="003B5F50" w:rsidSect="003E3DD3">
          <w:headerReference w:type="even" r:id="rId53"/>
          <w:headerReference w:type="default" r:id="rId54"/>
          <w:footerReference w:type="even" r:id="rId55"/>
          <w:footerReference w:type="default" r:id="rId56"/>
          <w:headerReference w:type="first" r:id="rId57"/>
          <w:footerReference w:type="first" r:id="rId58"/>
          <w:pgSz w:w="12240" w:h="15840"/>
          <w:pgMar w:top="1134" w:right="1134" w:bottom="1134" w:left="1134" w:header="567" w:footer="567" w:gutter="0"/>
          <w:cols w:space="720"/>
          <w:docGrid w:linePitch="360"/>
        </w:sectPr>
      </w:pPr>
    </w:p>
    <w:p w14:paraId="50B4ADDE" w14:textId="77777777" w:rsidR="003B5F50" w:rsidRDefault="000D2D85">
      <w:pPr>
        <w:rPr>
          <w:noProof/>
        </w:rPr>
      </w:pPr>
      <w:r>
        <w:rPr>
          <w:rFonts w:ascii="Times New Roman" w:eastAsia="Times New Roman" w:hAnsi="Times New Roman" w:cs="Times New Roman"/>
          <w:b/>
          <w:noProof/>
          <w:u w:val="single"/>
        </w:rPr>
        <w:t xml:space="preserve">A.2. </w:t>
      </w:r>
      <w:r>
        <w:rPr>
          <w:noProof/>
        </w:rPr>
        <w:t xml:space="preserve"> </w:t>
      </w:r>
      <w:r>
        <w:rPr>
          <w:rFonts w:ascii="Times New Roman" w:eastAsia="Times New Roman" w:hAnsi="Times New Roman" w:cs="Times New Roman"/>
          <w:b/>
          <w:noProof/>
          <w:u w:val="single"/>
        </w:rPr>
        <w:t xml:space="preserve">Étapes, cibles, indicateurs et calendrier pour le suivi et la mise en œuvre du soutien financier non remboursable </w:t>
      </w:r>
    </w:p>
    <w:tbl>
      <w:tblPr>
        <w:tblW w:w="1388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725"/>
        <w:gridCol w:w="1535"/>
        <w:gridCol w:w="850"/>
        <w:gridCol w:w="1560"/>
        <w:gridCol w:w="1275"/>
        <w:gridCol w:w="1134"/>
        <w:gridCol w:w="993"/>
        <w:gridCol w:w="1134"/>
        <w:gridCol w:w="850"/>
        <w:gridCol w:w="1980"/>
      </w:tblGrid>
      <w:tr w:rsidR="003B5F50" w14:paraId="50B4ADED" w14:textId="77777777" w:rsidTr="000D2D85">
        <w:trPr>
          <w:trHeight w:val="300"/>
          <w:tblHeader/>
        </w:trPr>
        <w:tc>
          <w:tcPr>
            <w:tcW w:w="852" w:type="dxa"/>
            <w:vMerge w:val="restart"/>
            <w:shd w:val="clear" w:color="auto" w:fill="BDD7EE"/>
            <w:tcMar>
              <w:left w:w="108" w:type="dxa"/>
              <w:right w:w="108" w:type="dxa"/>
            </w:tcMar>
            <w:vAlign w:val="center"/>
          </w:tcPr>
          <w:p w14:paraId="50B4ADDF" w14:textId="77777777" w:rsidR="003B5F50" w:rsidRDefault="000D2D85">
            <w:pPr>
              <w:pStyle w:val="P68B1DB1-Normal7"/>
              <w:spacing w:before="120" w:after="120" w:line="254" w:lineRule="auto"/>
              <w:jc w:val="center"/>
              <w:rPr>
                <w:noProof/>
              </w:rPr>
            </w:pPr>
            <w:r>
              <w:rPr>
                <w:noProof/>
              </w:rPr>
              <w:t>Seq. Num.</w:t>
            </w:r>
          </w:p>
          <w:p w14:paraId="50B4ADE0" w14:textId="77777777" w:rsidR="003B5F50" w:rsidRDefault="003B5F50">
            <w:pPr>
              <w:spacing w:after="0" w:line="254" w:lineRule="auto"/>
              <w:rPr>
                <w:noProof/>
              </w:rPr>
            </w:pPr>
          </w:p>
        </w:tc>
        <w:tc>
          <w:tcPr>
            <w:tcW w:w="1725" w:type="dxa"/>
            <w:vMerge w:val="restart"/>
            <w:shd w:val="clear" w:color="auto" w:fill="BDD7EE"/>
            <w:tcMar>
              <w:left w:w="108" w:type="dxa"/>
              <w:right w:w="108" w:type="dxa"/>
            </w:tcMar>
            <w:vAlign w:val="center"/>
          </w:tcPr>
          <w:p w14:paraId="50B4ADE1" w14:textId="77777777" w:rsidR="003B5F50" w:rsidRDefault="000D2D85">
            <w:pPr>
              <w:pStyle w:val="P68B1DB1-Normal7"/>
              <w:spacing w:after="0" w:line="254" w:lineRule="auto"/>
              <w:jc w:val="center"/>
              <w:rPr>
                <w:noProof/>
              </w:rPr>
            </w:pPr>
            <w:r>
              <w:rPr>
                <w:noProof/>
              </w:rPr>
              <w:t>Mesure connexe (réforme ou investissement)</w:t>
            </w:r>
          </w:p>
          <w:p w14:paraId="50B4ADE2" w14:textId="77777777" w:rsidR="003B5F50" w:rsidRDefault="003B5F50">
            <w:pPr>
              <w:spacing w:after="0" w:line="254" w:lineRule="auto"/>
              <w:rPr>
                <w:noProof/>
              </w:rPr>
            </w:pPr>
          </w:p>
        </w:tc>
        <w:tc>
          <w:tcPr>
            <w:tcW w:w="1535" w:type="dxa"/>
            <w:vMerge w:val="restart"/>
            <w:shd w:val="clear" w:color="auto" w:fill="BDD7EE"/>
            <w:tcMar>
              <w:left w:w="108" w:type="dxa"/>
              <w:right w:w="108" w:type="dxa"/>
            </w:tcMar>
            <w:vAlign w:val="center"/>
          </w:tcPr>
          <w:p w14:paraId="50B4ADE3" w14:textId="77777777" w:rsidR="003B5F50" w:rsidRDefault="000D2D85">
            <w:pPr>
              <w:pStyle w:val="P68B1DB1-Normal7"/>
              <w:spacing w:after="0" w:line="254" w:lineRule="auto"/>
              <w:jc w:val="center"/>
              <w:rPr>
                <w:noProof/>
              </w:rPr>
            </w:pPr>
            <w:r>
              <w:rPr>
                <w:noProof/>
              </w:rPr>
              <w:t>Étape/objectif</w:t>
            </w:r>
          </w:p>
          <w:p w14:paraId="50B4ADE4" w14:textId="77777777" w:rsidR="003B5F50" w:rsidRDefault="003B5F50">
            <w:pPr>
              <w:spacing w:after="0" w:line="254" w:lineRule="auto"/>
              <w:rPr>
                <w:noProof/>
              </w:rPr>
            </w:pPr>
          </w:p>
        </w:tc>
        <w:tc>
          <w:tcPr>
            <w:tcW w:w="850" w:type="dxa"/>
            <w:vMerge w:val="restart"/>
            <w:shd w:val="clear" w:color="auto" w:fill="BDD7EE"/>
            <w:tcMar>
              <w:left w:w="108" w:type="dxa"/>
              <w:right w:w="108" w:type="dxa"/>
            </w:tcMar>
            <w:vAlign w:val="center"/>
          </w:tcPr>
          <w:p w14:paraId="50B4ADE5" w14:textId="77777777" w:rsidR="003B5F50" w:rsidRDefault="000D2D85">
            <w:pPr>
              <w:pStyle w:val="P68B1DB1-Normal7"/>
              <w:spacing w:after="0" w:line="254" w:lineRule="auto"/>
              <w:jc w:val="center"/>
              <w:rPr>
                <w:noProof/>
              </w:rPr>
            </w:pPr>
            <w:r>
              <w:rPr>
                <w:noProof/>
              </w:rPr>
              <w:t>Nom</w:t>
            </w:r>
          </w:p>
          <w:p w14:paraId="50B4ADE6" w14:textId="77777777" w:rsidR="003B5F50" w:rsidRDefault="003B5F50">
            <w:pPr>
              <w:spacing w:after="0" w:line="254" w:lineRule="auto"/>
              <w:rPr>
                <w:noProof/>
              </w:rPr>
            </w:pPr>
          </w:p>
        </w:tc>
        <w:tc>
          <w:tcPr>
            <w:tcW w:w="1560" w:type="dxa"/>
            <w:vMerge w:val="restart"/>
            <w:shd w:val="clear" w:color="auto" w:fill="BDD7EE"/>
            <w:tcMar>
              <w:left w:w="108" w:type="dxa"/>
              <w:right w:w="108" w:type="dxa"/>
            </w:tcMar>
            <w:vAlign w:val="center"/>
          </w:tcPr>
          <w:p w14:paraId="50B4ADE7" w14:textId="77777777" w:rsidR="003B5F50" w:rsidRDefault="000D2D85">
            <w:pPr>
              <w:pStyle w:val="P68B1DB1-Normal7"/>
              <w:spacing w:after="0" w:line="254" w:lineRule="auto"/>
              <w:jc w:val="center"/>
              <w:rPr>
                <w:noProof/>
              </w:rPr>
            </w:pPr>
            <w:r>
              <w:rPr>
                <w:noProof/>
              </w:rPr>
              <w:t>Indicateurs qualitatifs (pour les jalons)</w:t>
            </w:r>
          </w:p>
          <w:p w14:paraId="50B4ADE8" w14:textId="77777777" w:rsidR="003B5F50" w:rsidRDefault="003B5F50">
            <w:pPr>
              <w:spacing w:after="0" w:line="254" w:lineRule="auto"/>
              <w:rPr>
                <w:noProof/>
              </w:rPr>
            </w:pPr>
          </w:p>
        </w:tc>
        <w:tc>
          <w:tcPr>
            <w:tcW w:w="3402" w:type="dxa"/>
            <w:gridSpan w:val="3"/>
            <w:shd w:val="clear" w:color="auto" w:fill="BDD7EE"/>
            <w:tcMar>
              <w:left w:w="108" w:type="dxa"/>
              <w:right w:w="108" w:type="dxa"/>
            </w:tcMar>
            <w:vAlign w:val="center"/>
          </w:tcPr>
          <w:p w14:paraId="50B4ADE9" w14:textId="77777777" w:rsidR="003B5F50" w:rsidRDefault="000D2D85">
            <w:pPr>
              <w:pStyle w:val="P68B1DB1-Normal7"/>
              <w:spacing w:after="0" w:line="254" w:lineRule="auto"/>
              <w:jc w:val="center"/>
              <w:rPr>
                <w:noProof/>
              </w:rPr>
            </w:pPr>
            <w:r>
              <w:rPr>
                <w:noProof/>
              </w:rPr>
              <w:t>Indicateurs quantitatifs (pour les objectifs)</w:t>
            </w:r>
          </w:p>
        </w:tc>
        <w:tc>
          <w:tcPr>
            <w:tcW w:w="1984" w:type="dxa"/>
            <w:gridSpan w:val="2"/>
            <w:shd w:val="clear" w:color="auto" w:fill="BDD7EE"/>
            <w:tcMar>
              <w:left w:w="108" w:type="dxa"/>
              <w:right w:w="108" w:type="dxa"/>
            </w:tcMar>
            <w:vAlign w:val="center"/>
          </w:tcPr>
          <w:p w14:paraId="50B4ADEA" w14:textId="77777777" w:rsidR="003B5F50" w:rsidRDefault="000D2D85">
            <w:pPr>
              <w:pStyle w:val="P68B1DB1-Normal7"/>
              <w:spacing w:after="0" w:line="254" w:lineRule="auto"/>
              <w:jc w:val="center"/>
              <w:rPr>
                <w:noProof/>
              </w:rPr>
            </w:pPr>
            <w:r>
              <w:rPr>
                <w:noProof/>
              </w:rPr>
              <w:t xml:space="preserve">Calendrier indicatif d'achèvement </w:t>
            </w:r>
          </w:p>
        </w:tc>
        <w:tc>
          <w:tcPr>
            <w:tcW w:w="1980" w:type="dxa"/>
            <w:vMerge w:val="restart"/>
            <w:shd w:val="clear" w:color="auto" w:fill="BDD7EE"/>
            <w:tcMar>
              <w:left w:w="108" w:type="dxa"/>
              <w:right w:w="108" w:type="dxa"/>
            </w:tcMar>
            <w:vAlign w:val="center"/>
          </w:tcPr>
          <w:p w14:paraId="50B4ADEB" w14:textId="77777777" w:rsidR="003B5F50" w:rsidRDefault="000D2D85">
            <w:pPr>
              <w:pStyle w:val="P68B1DB1-Normal7"/>
              <w:spacing w:after="0" w:line="254" w:lineRule="auto"/>
              <w:jc w:val="center"/>
              <w:rPr>
                <w:noProof/>
              </w:rPr>
            </w:pPr>
            <w:r>
              <w:rPr>
                <w:noProof/>
              </w:rPr>
              <w:t>Description et définition claire de chaque jalon et cible</w:t>
            </w:r>
          </w:p>
          <w:p w14:paraId="50B4ADEC" w14:textId="77777777" w:rsidR="003B5F50" w:rsidRDefault="000D2D85">
            <w:pPr>
              <w:pStyle w:val="P68B1DB1-Normal25"/>
              <w:spacing w:after="0" w:line="254" w:lineRule="auto"/>
              <w:rPr>
                <w:noProof/>
              </w:rPr>
            </w:pPr>
            <w:r>
              <w:rPr>
                <w:noProof/>
              </w:rPr>
              <w:t xml:space="preserve"> </w:t>
            </w:r>
          </w:p>
        </w:tc>
      </w:tr>
      <w:tr w:rsidR="003B5F50" w14:paraId="50B4ADF9" w14:textId="77777777" w:rsidTr="000D2D85">
        <w:trPr>
          <w:trHeight w:val="300"/>
          <w:tblHeader/>
        </w:trPr>
        <w:tc>
          <w:tcPr>
            <w:tcW w:w="852" w:type="dxa"/>
            <w:vMerge/>
            <w:vAlign w:val="center"/>
          </w:tcPr>
          <w:p w14:paraId="50B4ADEE" w14:textId="77777777" w:rsidR="003B5F50" w:rsidRDefault="003B5F50">
            <w:pPr>
              <w:rPr>
                <w:noProof/>
              </w:rPr>
            </w:pPr>
          </w:p>
        </w:tc>
        <w:tc>
          <w:tcPr>
            <w:tcW w:w="1725" w:type="dxa"/>
            <w:vMerge/>
            <w:vAlign w:val="center"/>
          </w:tcPr>
          <w:p w14:paraId="50B4ADEF" w14:textId="77777777" w:rsidR="003B5F50" w:rsidRDefault="003B5F50">
            <w:pPr>
              <w:rPr>
                <w:noProof/>
              </w:rPr>
            </w:pPr>
          </w:p>
        </w:tc>
        <w:tc>
          <w:tcPr>
            <w:tcW w:w="1535" w:type="dxa"/>
            <w:vMerge/>
            <w:vAlign w:val="center"/>
          </w:tcPr>
          <w:p w14:paraId="50B4ADF0" w14:textId="77777777" w:rsidR="003B5F50" w:rsidRDefault="003B5F50">
            <w:pPr>
              <w:rPr>
                <w:noProof/>
              </w:rPr>
            </w:pPr>
          </w:p>
        </w:tc>
        <w:tc>
          <w:tcPr>
            <w:tcW w:w="850" w:type="dxa"/>
            <w:vMerge/>
            <w:vAlign w:val="center"/>
          </w:tcPr>
          <w:p w14:paraId="50B4ADF1" w14:textId="77777777" w:rsidR="003B5F50" w:rsidRDefault="003B5F50">
            <w:pPr>
              <w:rPr>
                <w:noProof/>
              </w:rPr>
            </w:pPr>
          </w:p>
        </w:tc>
        <w:tc>
          <w:tcPr>
            <w:tcW w:w="1560" w:type="dxa"/>
            <w:vMerge/>
            <w:vAlign w:val="center"/>
          </w:tcPr>
          <w:p w14:paraId="50B4ADF2" w14:textId="77777777" w:rsidR="003B5F50" w:rsidRDefault="003B5F50">
            <w:pPr>
              <w:rPr>
                <w:noProof/>
              </w:rPr>
            </w:pPr>
          </w:p>
        </w:tc>
        <w:tc>
          <w:tcPr>
            <w:tcW w:w="1275" w:type="dxa"/>
            <w:shd w:val="clear" w:color="auto" w:fill="BDD7EE"/>
            <w:tcMar>
              <w:left w:w="108" w:type="dxa"/>
              <w:right w:w="108" w:type="dxa"/>
            </w:tcMar>
            <w:vAlign w:val="center"/>
          </w:tcPr>
          <w:p w14:paraId="50B4ADF3" w14:textId="77777777" w:rsidR="003B5F50" w:rsidRDefault="000D2D85">
            <w:pPr>
              <w:pStyle w:val="P68B1DB1-Normal7"/>
              <w:spacing w:after="0" w:line="254" w:lineRule="auto"/>
              <w:jc w:val="center"/>
              <w:rPr>
                <w:noProof/>
              </w:rPr>
            </w:pPr>
            <w:r>
              <w:rPr>
                <w:noProof/>
              </w:rPr>
              <w:t xml:space="preserve">Unité de mesure </w:t>
            </w:r>
          </w:p>
        </w:tc>
        <w:tc>
          <w:tcPr>
            <w:tcW w:w="1134" w:type="dxa"/>
            <w:shd w:val="clear" w:color="auto" w:fill="BDD7EE"/>
            <w:tcMar>
              <w:left w:w="108" w:type="dxa"/>
              <w:right w:w="108" w:type="dxa"/>
            </w:tcMar>
            <w:vAlign w:val="center"/>
          </w:tcPr>
          <w:p w14:paraId="50B4ADF4" w14:textId="77777777" w:rsidR="003B5F50" w:rsidRDefault="000D2D85">
            <w:pPr>
              <w:pStyle w:val="P68B1DB1-Normal7"/>
              <w:spacing w:after="0" w:line="254" w:lineRule="auto"/>
              <w:jc w:val="center"/>
              <w:rPr>
                <w:noProof/>
              </w:rPr>
            </w:pPr>
            <w:r>
              <w:rPr>
                <w:noProof/>
              </w:rPr>
              <w:t>Données de référence</w:t>
            </w:r>
          </w:p>
        </w:tc>
        <w:tc>
          <w:tcPr>
            <w:tcW w:w="993" w:type="dxa"/>
            <w:shd w:val="clear" w:color="auto" w:fill="BDD7EE"/>
            <w:tcMar>
              <w:left w:w="108" w:type="dxa"/>
              <w:right w:w="108" w:type="dxa"/>
            </w:tcMar>
            <w:vAlign w:val="center"/>
          </w:tcPr>
          <w:p w14:paraId="50B4ADF5" w14:textId="77777777" w:rsidR="003B5F50" w:rsidRDefault="000D2D85">
            <w:pPr>
              <w:pStyle w:val="P68B1DB1-Normal7"/>
              <w:spacing w:after="0" w:line="254" w:lineRule="auto"/>
              <w:jc w:val="center"/>
              <w:rPr>
                <w:noProof/>
              </w:rPr>
            </w:pPr>
            <w:r>
              <w:rPr>
                <w:noProof/>
              </w:rPr>
              <w:t xml:space="preserve">Objectif </w:t>
            </w:r>
          </w:p>
        </w:tc>
        <w:tc>
          <w:tcPr>
            <w:tcW w:w="1134" w:type="dxa"/>
            <w:shd w:val="clear" w:color="auto" w:fill="BDD7EE"/>
            <w:tcMar>
              <w:left w:w="108" w:type="dxa"/>
              <w:right w:w="108" w:type="dxa"/>
            </w:tcMar>
            <w:vAlign w:val="center"/>
          </w:tcPr>
          <w:p w14:paraId="50B4ADF6" w14:textId="77777777" w:rsidR="003B5F50" w:rsidRDefault="000D2D85">
            <w:pPr>
              <w:pStyle w:val="P68B1DB1-Normal7"/>
              <w:spacing w:after="0" w:line="254" w:lineRule="auto"/>
              <w:jc w:val="center"/>
              <w:rPr>
                <w:noProof/>
              </w:rPr>
            </w:pPr>
            <w:r>
              <w:rPr>
                <w:noProof/>
              </w:rPr>
              <w:t>Trimestre</w:t>
            </w:r>
          </w:p>
        </w:tc>
        <w:tc>
          <w:tcPr>
            <w:tcW w:w="850" w:type="dxa"/>
            <w:shd w:val="clear" w:color="auto" w:fill="BDD7EE"/>
            <w:tcMar>
              <w:left w:w="108" w:type="dxa"/>
              <w:right w:w="108" w:type="dxa"/>
            </w:tcMar>
            <w:vAlign w:val="center"/>
          </w:tcPr>
          <w:p w14:paraId="50B4ADF7" w14:textId="77777777" w:rsidR="003B5F50" w:rsidRDefault="000D2D85">
            <w:pPr>
              <w:pStyle w:val="P68B1DB1-Normal7"/>
              <w:spacing w:after="0" w:line="254" w:lineRule="auto"/>
              <w:jc w:val="center"/>
              <w:rPr>
                <w:noProof/>
              </w:rPr>
            </w:pPr>
            <w:r>
              <w:rPr>
                <w:noProof/>
              </w:rPr>
              <w:t>Année</w:t>
            </w:r>
          </w:p>
        </w:tc>
        <w:tc>
          <w:tcPr>
            <w:tcW w:w="1980" w:type="dxa"/>
            <w:vMerge/>
            <w:vAlign w:val="center"/>
          </w:tcPr>
          <w:p w14:paraId="50B4ADF8" w14:textId="77777777" w:rsidR="003B5F50" w:rsidRDefault="003B5F50">
            <w:pPr>
              <w:rPr>
                <w:noProof/>
              </w:rPr>
            </w:pPr>
          </w:p>
        </w:tc>
      </w:tr>
      <w:tr w:rsidR="003B5F50" w14:paraId="50B4AE08" w14:textId="77777777" w:rsidTr="000D2D85">
        <w:trPr>
          <w:trHeight w:val="300"/>
        </w:trPr>
        <w:tc>
          <w:tcPr>
            <w:tcW w:w="852" w:type="dxa"/>
            <w:shd w:val="clear" w:color="auto" w:fill="C6EFCE"/>
            <w:tcMar>
              <w:left w:w="108" w:type="dxa"/>
              <w:right w:w="108" w:type="dxa"/>
            </w:tcMar>
          </w:tcPr>
          <w:p w14:paraId="50B4ADFA" w14:textId="77777777" w:rsidR="003B5F50" w:rsidRDefault="000D2D85">
            <w:pPr>
              <w:pStyle w:val="P68B1DB1-Normal9"/>
              <w:spacing w:after="0" w:line="254" w:lineRule="auto"/>
              <w:jc w:val="center"/>
              <w:rPr>
                <w:noProof/>
              </w:rPr>
            </w:pPr>
            <w:r>
              <w:rPr>
                <w:noProof/>
              </w:rPr>
              <w:t>1</w:t>
            </w:r>
          </w:p>
        </w:tc>
        <w:tc>
          <w:tcPr>
            <w:tcW w:w="1725" w:type="dxa"/>
            <w:shd w:val="clear" w:color="auto" w:fill="C6EFCE"/>
            <w:tcMar>
              <w:left w:w="108" w:type="dxa"/>
              <w:right w:w="108" w:type="dxa"/>
            </w:tcMar>
          </w:tcPr>
          <w:p w14:paraId="50B4ADFB" w14:textId="77777777" w:rsidR="003B5F50" w:rsidRDefault="000D2D85">
            <w:pPr>
              <w:pStyle w:val="P68B1DB1-Normal9"/>
              <w:spacing w:after="0" w:line="254" w:lineRule="auto"/>
              <w:rPr>
                <w:noProof/>
              </w:rPr>
            </w:pPr>
            <w:r>
              <w:rPr>
                <w:noProof/>
              </w:rPr>
              <w:t xml:space="preserve">4 – Décarbonation de l’industrie – Réforme 1: La cessation de </w:t>
            </w:r>
          </w:p>
          <w:p w14:paraId="50B4ADFC" w14:textId="77777777" w:rsidR="003B5F50" w:rsidRDefault="000D2D85">
            <w:pPr>
              <w:pStyle w:val="P68B1DB1-Normal9"/>
              <w:spacing w:after="0" w:line="254" w:lineRule="auto"/>
              <w:rPr>
                <w:noProof/>
              </w:rPr>
            </w:pPr>
            <w:r>
              <w:rPr>
                <w:noProof/>
              </w:rPr>
              <w:t>production d'électricité à base de charbon à la centrale de Nováky et transformation de la région du Haut Nitra</w:t>
            </w:r>
          </w:p>
        </w:tc>
        <w:tc>
          <w:tcPr>
            <w:tcW w:w="1535" w:type="dxa"/>
            <w:shd w:val="clear" w:color="auto" w:fill="C6EFCE"/>
            <w:tcMar>
              <w:left w:w="108" w:type="dxa"/>
              <w:right w:w="108" w:type="dxa"/>
            </w:tcMar>
          </w:tcPr>
          <w:p w14:paraId="50B4ADFD" w14:textId="77777777" w:rsidR="003B5F50" w:rsidRDefault="000D2D85">
            <w:pPr>
              <w:pStyle w:val="P68B1DB1-Normal9"/>
              <w:spacing w:after="0" w:line="254" w:lineRule="auto"/>
              <w:rPr>
                <w:noProof/>
              </w:rPr>
            </w:pPr>
            <w:r>
              <w:rPr>
                <w:noProof/>
              </w:rPr>
              <w:t>Étape</w:t>
            </w:r>
          </w:p>
        </w:tc>
        <w:tc>
          <w:tcPr>
            <w:tcW w:w="850" w:type="dxa"/>
            <w:shd w:val="clear" w:color="auto" w:fill="C6EFCE"/>
            <w:tcMar>
              <w:left w:w="108" w:type="dxa"/>
              <w:right w:w="108" w:type="dxa"/>
            </w:tcMar>
          </w:tcPr>
          <w:p w14:paraId="50B4ADFE" w14:textId="77777777" w:rsidR="003B5F50" w:rsidRDefault="000D2D85">
            <w:pPr>
              <w:pStyle w:val="P68B1DB1-Normal9"/>
              <w:spacing w:after="0" w:line="254" w:lineRule="auto"/>
              <w:rPr>
                <w:noProof/>
              </w:rPr>
            </w:pPr>
            <w:r>
              <w:rPr>
                <w:noProof/>
              </w:rPr>
              <w:t>Éloignement du charbon dans la région du Haut-Nitra</w:t>
            </w:r>
          </w:p>
        </w:tc>
        <w:tc>
          <w:tcPr>
            <w:tcW w:w="1560" w:type="dxa"/>
            <w:shd w:val="clear" w:color="auto" w:fill="C6EFCE"/>
            <w:tcMar>
              <w:left w:w="108" w:type="dxa"/>
              <w:right w:w="108" w:type="dxa"/>
            </w:tcMar>
          </w:tcPr>
          <w:p w14:paraId="50B4ADFF" w14:textId="77777777" w:rsidR="003B5F50" w:rsidRDefault="000D2D85">
            <w:pPr>
              <w:pStyle w:val="P68B1DB1-Normal9"/>
              <w:spacing w:after="0" w:line="254" w:lineRule="auto"/>
              <w:rPr>
                <w:noProof/>
              </w:rPr>
            </w:pPr>
            <w:r>
              <w:rPr>
                <w:noProof/>
              </w:rPr>
              <w:t>Cessation de la production d'électricité au lignite à la centrale de Nováky</w:t>
            </w:r>
          </w:p>
        </w:tc>
        <w:tc>
          <w:tcPr>
            <w:tcW w:w="1275" w:type="dxa"/>
            <w:shd w:val="clear" w:color="auto" w:fill="C6EFCE"/>
            <w:tcMar>
              <w:left w:w="108" w:type="dxa"/>
              <w:right w:w="108" w:type="dxa"/>
            </w:tcMar>
          </w:tcPr>
          <w:p w14:paraId="50B4AE00" w14:textId="77777777" w:rsidR="003B5F50" w:rsidRDefault="003B5F50">
            <w:pPr>
              <w:spacing w:after="0" w:line="254" w:lineRule="auto"/>
              <w:rPr>
                <w:noProof/>
              </w:rPr>
            </w:pPr>
          </w:p>
        </w:tc>
        <w:tc>
          <w:tcPr>
            <w:tcW w:w="1134" w:type="dxa"/>
            <w:shd w:val="clear" w:color="auto" w:fill="C6EFCE"/>
            <w:tcMar>
              <w:left w:w="108" w:type="dxa"/>
              <w:right w:w="108" w:type="dxa"/>
            </w:tcMar>
          </w:tcPr>
          <w:p w14:paraId="50B4AE01" w14:textId="77777777" w:rsidR="003B5F50" w:rsidRDefault="000D2D85">
            <w:pPr>
              <w:pStyle w:val="P68B1DB1-Normal9"/>
              <w:spacing w:after="0" w:line="254" w:lineRule="auto"/>
              <w:rPr>
                <w:noProof/>
              </w:rPr>
            </w:pPr>
            <w:r>
              <w:rPr>
                <w:noProof/>
              </w:rPr>
              <w:t xml:space="preserve"> </w:t>
            </w:r>
          </w:p>
        </w:tc>
        <w:tc>
          <w:tcPr>
            <w:tcW w:w="993" w:type="dxa"/>
            <w:shd w:val="clear" w:color="auto" w:fill="C6EFCE"/>
            <w:tcMar>
              <w:left w:w="108" w:type="dxa"/>
              <w:right w:w="108" w:type="dxa"/>
            </w:tcMar>
          </w:tcPr>
          <w:p w14:paraId="50B4AE02" w14:textId="77777777" w:rsidR="003B5F50" w:rsidRDefault="000D2D85">
            <w:pPr>
              <w:pStyle w:val="P68B1DB1-Normal9"/>
              <w:spacing w:after="0" w:line="254" w:lineRule="auto"/>
              <w:rPr>
                <w:noProof/>
              </w:rPr>
            </w:pPr>
            <w:r>
              <w:rPr>
                <w:noProof/>
              </w:rPr>
              <w:t xml:space="preserve"> </w:t>
            </w:r>
          </w:p>
        </w:tc>
        <w:tc>
          <w:tcPr>
            <w:tcW w:w="1134" w:type="dxa"/>
            <w:shd w:val="clear" w:color="auto" w:fill="C6EFCE"/>
            <w:tcMar>
              <w:left w:w="108" w:type="dxa"/>
              <w:right w:w="108" w:type="dxa"/>
            </w:tcMar>
          </w:tcPr>
          <w:p w14:paraId="50B4AE03" w14:textId="77777777" w:rsidR="003B5F50" w:rsidRDefault="000D2D85">
            <w:pPr>
              <w:pStyle w:val="P68B1DB1-Normal9"/>
              <w:spacing w:after="0" w:line="254" w:lineRule="auto"/>
              <w:jc w:val="center"/>
              <w:rPr>
                <w:noProof/>
              </w:rPr>
            </w:pPr>
            <w:r>
              <w:rPr>
                <w:noProof/>
              </w:rPr>
              <w:t>T4</w:t>
            </w:r>
          </w:p>
        </w:tc>
        <w:tc>
          <w:tcPr>
            <w:tcW w:w="850" w:type="dxa"/>
            <w:shd w:val="clear" w:color="auto" w:fill="C6EFCE"/>
            <w:tcMar>
              <w:left w:w="108" w:type="dxa"/>
              <w:right w:w="108" w:type="dxa"/>
            </w:tcMar>
          </w:tcPr>
          <w:p w14:paraId="50B4AE04" w14:textId="77777777" w:rsidR="003B5F50" w:rsidRDefault="000D2D85">
            <w:pPr>
              <w:pStyle w:val="P68B1DB1-Normal9"/>
              <w:spacing w:after="0" w:line="254" w:lineRule="auto"/>
              <w:jc w:val="center"/>
              <w:rPr>
                <w:noProof/>
              </w:rPr>
            </w:pPr>
            <w:r>
              <w:rPr>
                <w:noProof/>
              </w:rPr>
              <w:t>2023</w:t>
            </w:r>
          </w:p>
        </w:tc>
        <w:tc>
          <w:tcPr>
            <w:tcW w:w="1980" w:type="dxa"/>
            <w:shd w:val="clear" w:color="auto" w:fill="C6EFCE"/>
            <w:tcMar>
              <w:left w:w="108" w:type="dxa"/>
              <w:right w:w="108" w:type="dxa"/>
            </w:tcMar>
            <w:vAlign w:val="center"/>
          </w:tcPr>
          <w:p w14:paraId="50B4AE05" w14:textId="77777777" w:rsidR="003B5F50" w:rsidRDefault="000D2D85">
            <w:pPr>
              <w:pStyle w:val="P68B1DB1-Normal9"/>
              <w:spacing w:after="0" w:line="254" w:lineRule="auto"/>
              <w:rPr>
                <w:noProof/>
              </w:rPr>
            </w:pPr>
            <w:r>
              <w:rPr>
                <w:noProof/>
              </w:rPr>
              <w:t>Dans le cadre de la transformation de la région du Haut Nitra pour la centrale de Nováky:</w:t>
            </w:r>
          </w:p>
          <w:p w14:paraId="50B4AE06" w14:textId="77777777" w:rsidR="003B5F50" w:rsidRDefault="000D2D85">
            <w:pPr>
              <w:pStyle w:val="P68B1DB1-ListParagraph26"/>
              <w:numPr>
                <w:ilvl w:val="0"/>
                <w:numId w:val="28"/>
              </w:numPr>
              <w:spacing w:after="0" w:line="254" w:lineRule="auto"/>
              <w:ind w:left="360"/>
              <w:rPr>
                <w:noProof/>
              </w:rPr>
            </w:pPr>
            <w:r>
              <w:rPr>
                <w:noProof/>
              </w:rPr>
              <w:t>Les autorités slovaques mettent fin au soutien à la production d’électricité à partir de lignite.</w:t>
            </w:r>
          </w:p>
          <w:p w14:paraId="50B4AE07" w14:textId="77777777" w:rsidR="003B5F50" w:rsidRDefault="000D2D85">
            <w:pPr>
              <w:pStyle w:val="P68B1DB1-ListParagraph26"/>
              <w:numPr>
                <w:ilvl w:val="0"/>
                <w:numId w:val="28"/>
              </w:numPr>
              <w:spacing w:after="0" w:line="254" w:lineRule="auto"/>
              <w:ind w:left="360"/>
              <w:rPr>
                <w:noProof/>
              </w:rPr>
            </w:pPr>
            <w:r>
              <w:rPr>
                <w:noProof/>
              </w:rPr>
              <w:t>La production d'électricité à partir de lignite est interrompue.</w:t>
            </w:r>
          </w:p>
        </w:tc>
      </w:tr>
      <w:tr w:rsidR="003B5F50" w14:paraId="50B4AE1F" w14:textId="77777777" w:rsidTr="000D2D85">
        <w:trPr>
          <w:trHeight w:val="300"/>
        </w:trPr>
        <w:tc>
          <w:tcPr>
            <w:tcW w:w="852" w:type="dxa"/>
            <w:shd w:val="clear" w:color="auto" w:fill="C6EFCE"/>
            <w:tcMar>
              <w:left w:w="108" w:type="dxa"/>
              <w:right w:w="108" w:type="dxa"/>
            </w:tcMar>
          </w:tcPr>
          <w:p w14:paraId="50B4AE09" w14:textId="77777777" w:rsidR="003B5F50" w:rsidRDefault="000D2D85">
            <w:pPr>
              <w:pStyle w:val="P68B1DB1-Normal9"/>
              <w:spacing w:after="0" w:line="254" w:lineRule="auto"/>
              <w:jc w:val="center"/>
              <w:rPr>
                <w:noProof/>
              </w:rPr>
            </w:pPr>
            <w:r>
              <w:rPr>
                <w:noProof/>
              </w:rPr>
              <w:t>2</w:t>
            </w:r>
          </w:p>
        </w:tc>
        <w:tc>
          <w:tcPr>
            <w:tcW w:w="1725" w:type="dxa"/>
            <w:shd w:val="clear" w:color="auto" w:fill="C6EFCE"/>
            <w:tcMar>
              <w:left w:w="108" w:type="dxa"/>
              <w:right w:w="108" w:type="dxa"/>
            </w:tcMar>
          </w:tcPr>
          <w:p w14:paraId="11B473ED" w14:textId="77777777" w:rsidR="003B5F50" w:rsidRDefault="000D2D85">
            <w:pPr>
              <w:pStyle w:val="P68B1DB1-Normal9"/>
              <w:spacing w:after="0" w:line="254" w:lineRule="auto"/>
              <w:rPr>
                <w:noProof/>
              </w:rPr>
            </w:pPr>
            <w:r>
              <w:rPr>
                <w:noProof/>
              </w:rPr>
              <w:t xml:space="preserve">4 – </w:t>
            </w:r>
          </w:p>
          <w:p w14:paraId="50B4AE0A" w14:textId="52D00B76" w:rsidR="003B5F50" w:rsidRDefault="000D2D85">
            <w:pPr>
              <w:pStyle w:val="P68B1DB1-Normal9"/>
              <w:spacing w:after="0" w:line="254" w:lineRule="auto"/>
              <w:rPr>
                <w:noProof/>
              </w:rPr>
            </w:pPr>
            <w:r>
              <w:rPr>
                <w:noProof/>
              </w:rPr>
              <w:t>Décarbonation de l’industrie – Réforme 2: Le régime concurrentiel de réduction des émissions de gaz à effet de serre dans l'industrie</w:t>
            </w:r>
          </w:p>
          <w:p w14:paraId="50B4AE0B" w14:textId="77777777" w:rsidR="003B5F50" w:rsidRDefault="003B5F50">
            <w:pPr>
              <w:spacing w:after="0" w:line="254" w:lineRule="auto"/>
              <w:rPr>
                <w:noProof/>
              </w:rPr>
            </w:pPr>
          </w:p>
        </w:tc>
        <w:tc>
          <w:tcPr>
            <w:tcW w:w="1535" w:type="dxa"/>
            <w:shd w:val="clear" w:color="auto" w:fill="C6EFCE"/>
            <w:tcMar>
              <w:left w:w="108" w:type="dxa"/>
              <w:right w:w="108" w:type="dxa"/>
            </w:tcMar>
          </w:tcPr>
          <w:p w14:paraId="50B4AE0C" w14:textId="77777777" w:rsidR="003B5F50" w:rsidRDefault="000D2D85">
            <w:pPr>
              <w:pStyle w:val="P68B1DB1-Normal9"/>
              <w:spacing w:after="0" w:line="254" w:lineRule="auto"/>
              <w:rPr>
                <w:noProof/>
              </w:rPr>
            </w:pPr>
            <w:r>
              <w:rPr>
                <w:noProof/>
              </w:rPr>
              <w:t>Étape</w:t>
            </w:r>
          </w:p>
        </w:tc>
        <w:tc>
          <w:tcPr>
            <w:tcW w:w="850" w:type="dxa"/>
            <w:shd w:val="clear" w:color="auto" w:fill="C6EFCE"/>
            <w:tcMar>
              <w:left w:w="108" w:type="dxa"/>
              <w:right w:w="108" w:type="dxa"/>
            </w:tcMar>
          </w:tcPr>
          <w:p w14:paraId="50B4AE0D" w14:textId="77777777" w:rsidR="003B5F50" w:rsidRDefault="000D2D85">
            <w:pPr>
              <w:pStyle w:val="P68B1DB1-Normal9"/>
              <w:spacing w:after="0" w:line="254" w:lineRule="auto"/>
              <w:rPr>
                <w:noProof/>
              </w:rPr>
            </w:pPr>
            <w:r>
              <w:rPr>
                <w:noProof/>
              </w:rPr>
              <w:t>Adoption de la décarbonation industrielle</w:t>
            </w:r>
          </w:p>
          <w:p w14:paraId="50B4AE0E" w14:textId="77777777" w:rsidR="003B5F50" w:rsidRDefault="000D2D85">
            <w:pPr>
              <w:pStyle w:val="P68B1DB1-Normal9"/>
              <w:spacing w:after="0" w:line="254" w:lineRule="auto"/>
              <w:rPr>
                <w:noProof/>
              </w:rPr>
            </w:pPr>
            <w:r>
              <w:rPr>
                <w:noProof/>
              </w:rPr>
              <w:t>régime</w:t>
            </w:r>
          </w:p>
        </w:tc>
        <w:tc>
          <w:tcPr>
            <w:tcW w:w="1560" w:type="dxa"/>
            <w:shd w:val="clear" w:color="auto" w:fill="C6EFCE"/>
            <w:tcMar>
              <w:left w:w="108" w:type="dxa"/>
              <w:right w:w="108" w:type="dxa"/>
            </w:tcMar>
          </w:tcPr>
          <w:p w14:paraId="50B4AE0F" w14:textId="77777777" w:rsidR="003B5F50" w:rsidRDefault="000D2D85">
            <w:pPr>
              <w:pStyle w:val="P68B1DB1-Normal9"/>
              <w:spacing w:after="0" w:line="254" w:lineRule="auto"/>
              <w:rPr>
                <w:noProof/>
              </w:rPr>
            </w:pPr>
            <w:r>
              <w:rPr>
                <w:noProof/>
              </w:rPr>
              <w:t xml:space="preserve">Adoption du régime de décarbonation industrielle par le ministère de l’environnement  </w:t>
            </w:r>
          </w:p>
        </w:tc>
        <w:tc>
          <w:tcPr>
            <w:tcW w:w="1275" w:type="dxa"/>
            <w:shd w:val="clear" w:color="auto" w:fill="C6EFCE"/>
            <w:tcMar>
              <w:left w:w="108" w:type="dxa"/>
              <w:right w:w="108" w:type="dxa"/>
            </w:tcMar>
          </w:tcPr>
          <w:p w14:paraId="50B4AE10" w14:textId="77777777" w:rsidR="003B5F50" w:rsidRDefault="003B5F50">
            <w:pPr>
              <w:rPr>
                <w:noProof/>
              </w:rPr>
            </w:pPr>
          </w:p>
        </w:tc>
        <w:tc>
          <w:tcPr>
            <w:tcW w:w="1134" w:type="dxa"/>
            <w:shd w:val="clear" w:color="auto" w:fill="C6EFCE"/>
            <w:tcMar>
              <w:left w:w="108" w:type="dxa"/>
              <w:right w:w="108" w:type="dxa"/>
            </w:tcMar>
          </w:tcPr>
          <w:p w14:paraId="50B4AE11" w14:textId="77777777" w:rsidR="003B5F50" w:rsidRDefault="003B5F50">
            <w:pPr>
              <w:rPr>
                <w:noProof/>
              </w:rPr>
            </w:pPr>
          </w:p>
        </w:tc>
        <w:tc>
          <w:tcPr>
            <w:tcW w:w="993" w:type="dxa"/>
            <w:shd w:val="clear" w:color="auto" w:fill="C6EFCE"/>
            <w:tcMar>
              <w:left w:w="108" w:type="dxa"/>
              <w:right w:w="108" w:type="dxa"/>
            </w:tcMar>
          </w:tcPr>
          <w:p w14:paraId="50B4AE12" w14:textId="77777777" w:rsidR="003B5F50" w:rsidRDefault="003B5F50">
            <w:pPr>
              <w:rPr>
                <w:noProof/>
              </w:rPr>
            </w:pPr>
          </w:p>
        </w:tc>
        <w:tc>
          <w:tcPr>
            <w:tcW w:w="1134" w:type="dxa"/>
            <w:shd w:val="clear" w:color="auto" w:fill="C6EFCE"/>
            <w:tcMar>
              <w:left w:w="108" w:type="dxa"/>
              <w:right w:w="108" w:type="dxa"/>
            </w:tcMar>
          </w:tcPr>
          <w:p w14:paraId="50B4AE13" w14:textId="77777777" w:rsidR="003B5F50" w:rsidRDefault="000D2D85">
            <w:pPr>
              <w:pStyle w:val="P68B1DB1-Normal9"/>
              <w:spacing w:after="0" w:line="254" w:lineRule="auto"/>
              <w:jc w:val="center"/>
              <w:rPr>
                <w:noProof/>
              </w:rPr>
            </w:pPr>
            <w:r>
              <w:rPr>
                <w:noProof/>
              </w:rPr>
              <w:t>T4</w:t>
            </w:r>
          </w:p>
        </w:tc>
        <w:tc>
          <w:tcPr>
            <w:tcW w:w="850" w:type="dxa"/>
            <w:shd w:val="clear" w:color="auto" w:fill="C6EFCE"/>
            <w:tcMar>
              <w:left w:w="108" w:type="dxa"/>
              <w:right w:w="108" w:type="dxa"/>
            </w:tcMar>
          </w:tcPr>
          <w:p w14:paraId="50B4AE14" w14:textId="77777777" w:rsidR="003B5F50" w:rsidRDefault="000D2D85">
            <w:pPr>
              <w:pStyle w:val="P68B1DB1-Normal9"/>
              <w:spacing w:after="0" w:line="254" w:lineRule="auto"/>
              <w:jc w:val="center"/>
              <w:rPr>
                <w:noProof/>
              </w:rPr>
            </w:pPr>
            <w:r>
              <w:rPr>
                <w:noProof/>
              </w:rPr>
              <w:t>2022</w:t>
            </w:r>
          </w:p>
        </w:tc>
        <w:tc>
          <w:tcPr>
            <w:tcW w:w="1980" w:type="dxa"/>
            <w:shd w:val="clear" w:color="auto" w:fill="C6EFCE"/>
            <w:tcMar>
              <w:left w:w="108" w:type="dxa"/>
              <w:right w:w="108" w:type="dxa"/>
            </w:tcMar>
            <w:vAlign w:val="center"/>
          </w:tcPr>
          <w:p w14:paraId="50B4AE15" w14:textId="77777777" w:rsidR="003B5F50" w:rsidRDefault="000D2D85">
            <w:pPr>
              <w:pStyle w:val="P68B1DB1-Normal9"/>
              <w:spacing w:before="120" w:after="0" w:line="254" w:lineRule="auto"/>
              <w:rPr>
                <w:noProof/>
              </w:rPr>
            </w:pPr>
            <w:r>
              <w:rPr>
                <w:noProof/>
              </w:rPr>
              <w:t>Adoption du programme de décarbonation industrielle produisant des résultats efficaces par le ministère de l’environnement. Le régime de décarbonation concurrentiel est mis en œuvre au moyen d’une procédure d’appel d’offres non discriminatoire, transparente et ouverte, ouverte à tous les secteurs industriels. L’aide cible les procédés et technologies à faible intensité de carbone dans l’industrie et l’adoption de mesures d’efficacité énergétique.</w:t>
            </w:r>
          </w:p>
          <w:p w14:paraId="50B4AE16" w14:textId="77777777" w:rsidR="003B5F50" w:rsidRDefault="000D2D85">
            <w:pPr>
              <w:pStyle w:val="P68B1DB1-Normal9"/>
              <w:spacing w:before="120" w:after="0" w:line="254" w:lineRule="auto"/>
              <w:rPr>
                <w:noProof/>
              </w:rPr>
            </w:pPr>
            <w:r>
              <w:rPr>
                <w:noProof/>
              </w:rPr>
              <w:t>La politique d'investissement du régime comprend au moins les critères d'éligibilité et de sélection des projets suivants:</w:t>
            </w:r>
          </w:p>
          <w:p w14:paraId="50B4AE17" w14:textId="77777777" w:rsidR="003B5F50" w:rsidRDefault="000D2D85">
            <w:pPr>
              <w:pStyle w:val="P68B1DB1-ListParagraph26"/>
              <w:numPr>
                <w:ilvl w:val="0"/>
                <w:numId w:val="29"/>
              </w:numPr>
              <w:spacing w:after="0" w:line="254" w:lineRule="auto"/>
              <w:ind w:left="360"/>
              <w:rPr>
                <w:noProof/>
              </w:rPr>
            </w:pPr>
            <w:r>
              <w:rPr>
                <w:noProof/>
              </w:rPr>
              <w:t>l'objectif du prix le plus bas par tonne de gaz à effet de serre économisé;</w:t>
            </w:r>
          </w:p>
          <w:p w14:paraId="50B4AE18" w14:textId="77777777" w:rsidR="003B5F50" w:rsidRDefault="000D2D85">
            <w:pPr>
              <w:pStyle w:val="P68B1DB1-ListParagraph26"/>
              <w:numPr>
                <w:ilvl w:val="0"/>
                <w:numId w:val="29"/>
              </w:numPr>
              <w:spacing w:after="0" w:line="254" w:lineRule="auto"/>
              <w:ind w:left="360"/>
              <w:rPr>
                <w:noProof/>
              </w:rPr>
            </w:pPr>
            <w:r>
              <w:rPr>
                <w:noProof/>
              </w:rPr>
              <w:t xml:space="preserve">garantir le respect de l’acquis de l’UE et de la législation nationale en matière d’environnement, ainsi que des orientations techniques DNSH (2021/C58/01) des activités et des entreprises bénéficiant d’un soutien, et préciser les objectifs de décarbonation. </w:t>
            </w:r>
          </w:p>
          <w:p w14:paraId="50B4AE19" w14:textId="77777777" w:rsidR="003B5F50" w:rsidRDefault="000D2D85">
            <w:pPr>
              <w:pStyle w:val="P68B1DB1-ListParagraph26"/>
              <w:numPr>
                <w:ilvl w:val="0"/>
                <w:numId w:val="29"/>
              </w:numPr>
              <w:spacing w:after="0" w:line="254" w:lineRule="auto"/>
              <w:ind w:left="360"/>
              <w:rPr>
                <w:noProof/>
              </w:rPr>
            </w:pPr>
            <w:r>
              <w:rPr>
                <w:noProof/>
              </w:rPr>
              <w:t>soutenir uniquement les projets conformes aux meilleures technologies disponibles;</w:t>
            </w:r>
          </w:p>
          <w:p w14:paraId="50B4AE1A" w14:textId="77777777" w:rsidR="003B5F50" w:rsidRDefault="000D2D85">
            <w:pPr>
              <w:pStyle w:val="P68B1DB1-ListParagraph26"/>
              <w:numPr>
                <w:ilvl w:val="0"/>
                <w:numId w:val="29"/>
              </w:numPr>
              <w:spacing w:after="0" w:line="254" w:lineRule="auto"/>
              <w:ind w:left="360"/>
              <w:rPr>
                <w:noProof/>
              </w:rPr>
            </w:pPr>
            <w:r>
              <w:rPr>
                <w:noProof/>
              </w:rPr>
              <w:t xml:space="preserve">les installations bénéficiant d’un soutien au titre du système d’échange de quotas d’émission de l’UE réduisent leurs émissions de gaz à effet de serre de manière substantielle en deçà du référentiel pertinent pour l’offre de projet. La condition «substantiellement inférieure à la valeur de référence» fait partie des critères de sélection pour le marché. </w:t>
            </w:r>
          </w:p>
          <w:p w14:paraId="50B4AE1B" w14:textId="77777777" w:rsidR="003B5F50" w:rsidRDefault="000D2D85">
            <w:pPr>
              <w:pStyle w:val="P68B1DB1-ListParagraph26"/>
              <w:numPr>
                <w:ilvl w:val="0"/>
                <w:numId w:val="29"/>
              </w:numPr>
              <w:spacing w:after="0" w:line="254" w:lineRule="auto"/>
              <w:ind w:left="360"/>
              <w:rPr>
                <w:noProof/>
              </w:rPr>
            </w:pPr>
            <w:r>
              <w:rPr>
                <w:noProof/>
              </w:rPr>
              <w:t xml:space="preserve">aucun combustible fossile solide n’est soutenu. Les projets utilisant le gaz naturel comme principale matière première ou source d'énergie ne sont pas soutenus. Pour les projets dans lesquels le gaz naturel est utilisé pour être éligible au titre du régime FRR, le gaz naturel ne représente pas plus de 20 % de la consommation d’énergie finale des équipements, des machines et de la production d’énergie. </w:t>
            </w:r>
          </w:p>
          <w:p w14:paraId="50B4AE1C" w14:textId="77777777" w:rsidR="003B5F50" w:rsidRDefault="000D2D85">
            <w:pPr>
              <w:pStyle w:val="P68B1DB1-ListParagraph26"/>
              <w:numPr>
                <w:ilvl w:val="0"/>
                <w:numId w:val="29"/>
              </w:numPr>
              <w:spacing w:after="0" w:line="254" w:lineRule="auto"/>
              <w:ind w:left="360"/>
              <w:rPr>
                <w:noProof/>
              </w:rPr>
            </w:pPr>
            <w:r>
              <w:rPr>
                <w:noProof/>
              </w:rPr>
              <w:t xml:space="preserve">la quantité de gaz à effet de serre émise (en équivalent CO2, moyenne pondérée) par les entreprises bénéficiant du soutien du système diminue d’au moins 30 %; </w:t>
            </w:r>
          </w:p>
          <w:p w14:paraId="50B4AE1D" w14:textId="77777777" w:rsidR="003B5F50" w:rsidRDefault="000D2D85">
            <w:pPr>
              <w:pStyle w:val="P68B1DB1-Normal9"/>
              <w:spacing w:line="252" w:lineRule="auto"/>
              <w:rPr>
                <w:noProof/>
              </w:rPr>
            </w:pPr>
            <w:r>
              <w:rPr>
                <w:noProof/>
              </w:rPr>
              <w:t>Les autorités slovaques fournissent des assurances quant à la fourniture en temps utile des données pour tous les projets bénéficiant d’un soutien au plus tard le 30 juin 2026 ou démontrent que les réductions des émissions de gaz à effet de serre doivent être réalisées sur la base de paramètres supposés des technologies bénéficiant d’un soutien (sur la base de certificats délivrés par les producteurs) ou de la combinaison des deux approches. La quantification préliminaire des réductions des émissions de gaz à effet de serre par les projets de décarbonation peut se fonder sur des documents techniques indiquant les paramètres clés, la consommation d’énergie et les intrants des technologies bénéficiant d’un soutien.</w:t>
            </w:r>
          </w:p>
          <w:p w14:paraId="50B4AE1E" w14:textId="77777777" w:rsidR="003B5F50" w:rsidRDefault="000D2D85">
            <w:pPr>
              <w:pStyle w:val="P68B1DB1-Normal9"/>
              <w:spacing w:before="120" w:after="0" w:line="254" w:lineRule="auto"/>
              <w:rPr>
                <w:noProof/>
              </w:rPr>
            </w:pPr>
            <w:r>
              <w:rPr>
                <w:noProof/>
              </w:rPr>
              <w:t>Les autorités slovaques partagent avec la Commission les scénarios de référence ainsi que l’incidence prévue des technologies bénéficiant d’un soutien, à la suite de la sélection des projets.</w:t>
            </w:r>
          </w:p>
        </w:tc>
      </w:tr>
      <w:tr w:rsidR="003B5F50" w14:paraId="50B4AE2C" w14:textId="77777777" w:rsidTr="000D2D85">
        <w:trPr>
          <w:trHeight w:val="300"/>
        </w:trPr>
        <w:tc>
          <w:tcPr>
            <w:tcW w:w="852" w:type="dxa"/>
            <w:shd w:val="clear" w:color="auto" w:fill="C6EFCE"/>
            <w:tcMar>
              <w:left w:w="108" w:type="dxa"/>
              <w:right w:w="108" w:type="dxa"/>
            </w:tcMar>
          </w:tcPr>
          <w:p w14:paraId="50B4AE20" w14:textId="77777777" w:rsidR="003B5F50" w:rsidRDefault="000D2D85">
            <w:pPr>
              <w:pStyle w:val="P68B1DB1-Normal9"/>
              <w:spacing w:after="0" w:line="254" w:lineRule="auto"/>
              <w:jc w:val="center"/>
              <w:rPr>
                <w:noProof/>
              </w:rPr>
            </w:pPr>
            <w:r>
              <w:rPr>
                <w:noProof/>
              </w:rPr>
              <w:t>3</w:t>
            </w:r>
          </w:p>
        </w:tc>
        <w:tc>
          <w:tcPr>
            <w:tcW w:w="1725" w:type="dxa"/>
            <w:shd w:val="clear" w:color="auto" w:fill="C6EFCE"/>
            <w:tcMar>
              <w:left w:w="108" w:type="dxa"/>
              <w:right w:w="108" w:type="dxa"/>
            </w:tcMar>
          </w:tcPr>
          <w:p w14:paraId="50B4AE21" w14:textId="77777777" w:rsidR="003B5F50" w:rsidRDefault="000D2D85">
            <w:pPr>
              <w:pStyle w:val="P68B1DB1-Normal9"/>
              <w:spacing w:after="0" w:line="254" w:lineRule="auto"/>
              <w:rPr>
                <w:noProof/>
              </w:rPr>
            </w:pPr>
            <w:r>
              <w:rPr>
                <w:noProof/>
              </w:rPr>
              <w:t>4 – Décarbonisation de l’industrie – Investissement 1:  Le fonctionnement du régime de décarbonisation de l’industrie</w:t>
            </w:r>
          </w:p>
        </w:tc>
        <w:tc>
          <w:tcPr>
            <w:tcW w:w="1535" w:type="dxa"/>
            <w:shd w:val="clear" w:color="auto" w:fill="C6EFCE"/>
            <w:tcMar>
              <w:left w:w="108" w:type="dxa"/>
              <w:right w:w="108" w:type="dxa"/>
            </w:tcMar>
          </w:tcPr>
          <w:p w14:paraId="50B4AE22" w14:textId="77777777" w:rsidR="003B5F50" w:rsidRDefault="000D2D85">
            <w:pPr>
              <w:pStyle w:val="P68B1DB1-Normal9"/>
              <w:spacing w:after="0" w:line="254" w:lineRule="auto"/>
              <w:rPr>
                <w:noProof/>
              </w:rPr>
            </w:pPr>
            <w:r>
              <w:rPr>
                <w:noProof/>
              </w:rPr>
              <w:t>Étape</w:t>
            </w:r>
          </w:p>
        </w:tc>
        <w:tc>
          <w:tcPr>
            <w:tcW w:w="850" w:type="dxa"/>
            <w:shd w:val="clear" w:color="auto" w:fill="C6EFCE"/>
            <w:tcMar>
              <w:left w:w="108" w:type="dxa"/>
              <w:right w:w="108" w:type="dxa"/>
            </w:tcMar>
          </w:tcPr>
          <w:p w14:paraId="50B4AE23" w14:textId="77777777" w:rsidR="003B5F50" w:rsidRDefault="000D2D85">
            <w:pPr>
              <w:pStyle w:val="P68B1DB1-Normal9"/>
              <w:spacing w:after="0" w:line="254" w:lineRule="auto"/>
              <w:rPr>
                <w:noProof/>
              </w:rPr>
            </w:pPr>
            <w:r>
              <w:rPr>
                <w:noProof/>
              </w:rPr>
              <w:t>Finalisation des projets de décarbonation de l’industrie soutenus par la FRR</w:t>
            </w:r>
          </w:p>
        </w:tc>
        <w:tc>
          <w:tcPr>
            <w:tcW w:w="1560" w:type="dxa"/>
            <w:shd w:val="clear" w:color="auto" w:fill="C6EFCE"/>
            <w:tcMar>
              <w:left w:w="108" w:type="dxa"/>
              <w:right w:w="108" w:type="dxa"/>
            </w:tcMar>
          </w:tcPr>
          <w:p w14:paraId="50B4AE24" w14:textId="77777777" w:rsidR="003B5F50" w:rsidRDefault="000D2D85">
            <w:pPr>
              <w:pStyle w:val="P68B1DB1-Normal9"/>
              <w:spacing w:after="0" w:line="254" w:lineRule="auto"/>
              <w:rPr>
                <w:noProof/>
              </w:rPr>
            </w:pPr>
            <w:r>
              <w:rPr>
                <w:noProof/>
              </w:rPr>
              <w:t>Finalisation des projets de décarbonation soutenus par la FRR</w:t>
            </w:r>
          </w:p>
        </w:tc>
        <w:tc>
          <w:tcPr>
            <w:tcW w:w="1275" w:type="dxa"/>
            <w:shd w:val="clear" w:color="auto" w:fill="C6EFCE"/>
            <w:tcMar>
              <w:left w:w="108" w:type="dxa"/>
              <w:right w:w="108" w:type="dxa"/>
            </w:tcMar>
          </w:tcPr>
          <w:p w14:paraId="50B4AE25" w14:textId="77777777" w:rsidR="003B5F50" w:rsidRDefault="003B5F50">
            <w:pPr>
              <w:rPr>
                <w:noProof/>
              </w:rPr>
            </w:pPr>
          </w:p>
        </w:tc>
        <w:tc>
          <w:tcPr>
            <w:tcW w:w="1134" w:type="dxa"/>
            <w:shd w:val="clear" w:color="auto" w:fill="C6EFCE"/>
            <w:tcMar>
              <w:left w:w="108" w:type="dxa"/>
              <w:right w:w="108" w:type="dxa"/>
            </w:tcMar>
          </w:tcPr>
          <w:p w14:paraId="50B4AE26" w14:textId="77777777" w:rsidR="003B5F50" w:rsidRDefault="003B5F50">
            <w:pPr>
              <w:rPr>
                <w:noProof/>
              </w:rPr>
            </w:pPr>
          </w:p>
        </w:tc>
        <w:tc>
          <w:tcPr>
            <w:tcW w:w="993" w:type="dxa"/>
            <w:shd w:val="clear" w:color="auto" w:fill="C6EFCE"/>
            <w:tcMar>
              <w:left w:w="108" w:type="dxa"/>
              <w:right w:w="108" w:type="dxa"/>
            </w:tcMar>
          </w:tcPr>
          <w:p w14:paraId="50B4AE27" w14:textId="77777777" w:rsidR="003B5F50" w:rsidRDefault="003B5F50">
            <w:pPr>
              <w:rPr>
                <w:noProof/>
              </w:rPr>
            </w:pPr>
          </w:p>
        </w:tc>
        <w:tc>
          <w:tcPr>
            <w:tcW w:w="1134" w:type="dxa"/>
            <w:shd w:val="clear" w:color="auto" w:fill="C6EFCE"/>
            <w:tcMar>
              <w:left w:w="108" w:type="dxa"/>
              <w:right w:w="108" w:type="dxa"/>
            </w:tcMar>
          </w:tcPr>
          <w:p w14:paraId="50B4AE28" w14:textId="77777777" w:rsidR="003B5F50" w:rsidRDefault="000D2D85">
            <w:pPr>
              <w:pStyle w:val="P68B1DB1-Normal9"/>
              <w:spacing w:after="0" w:line="254" w:lineRule="auto"/>
              <w:jc w:val="center"/>
              <w:rPr>
                <w:noProof/>
              </w:rPr>
            </w:pPr>
            <w:r>
              <w:rPr>
                <w:noProof/>
              </w:rPr>
              <w:t>T2</w:t>
            </w:r>
          </w:p>
        </w:tc>
        <w:tc>
          <w:tcPr>
            <w:tcW w:w="850" w:type="dxa"/>
            <w:shd w:val="clear" w:color="auto" w:fill="C6EFCE"/>
            <w:tcMar>
              <w:left w:w="108" w:type="dxa"/>
              <w:right w:w="108" w:type="dxa"/>
            </w:tcMar>
          </w:tcPr>
          <w:p w14:paraId="50B4AE29" w14:textId="77777777" w:rsidR="003B5F50" w:rsidRDefault="000D2D85">
            <w:pPr>
              <w:pStyle w:val="P68B1DB1-Normal9"/>
              <w:spacing w:after="0" w:line="254" w:lineRule="auto"/>
              <w:jc w:val="center"/>
              <w:rPr>
                <w:noProof/>
              </w:rPr>
            </w:pPr>
            <w:r>
              <w:rPr>
                <w:noProof/>
              </w:rPr>
              <w:t>2026</w:t>
            </w:r>
          </w:p>
        </w:tc>
        <w:tc>
          <w:tcPr>
            <w:tcW w:w="1980" w:type="dxa"/>
            <w:shd w:val="clear" w:color="auto" w:fill="C6EFCE"/>
            <w:tcMar>
              <w:left w:w="108" w:type="dxa"/>
              <w:right w:w="108" w:type="dxa"/>
            </w:tcMar>
          </w:tcPr>
          <w:p w14:paraId="50B4AE2A" w14:textId="77777777" w:rsidR="003B5F50" w:rsidRDefault="000D2D85">
            <w:pPr>
              <w:pStyle w:val="P68B1DB1-Normal27"/>
              <w:spacing w:before="120" w:after="0" w:line="254"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Les projets finalisés du système de décarbonation soutenus par la FRR permettent une réduction globale de 121</w:t>
            </w:r>
            <w:r>
              <w:rPr>
                <w:rFonts w:ascii="Times New Roman" w:hAnsi="Times New Roman"/>
                <w:noProof/>
              </w:rPr>
              <w:t> </w:t>
            </w:r>
            <w:r>
              <w:rPr>
                <w:rFonts w:ascii="Times New Roman" w:eastAsia="Times New Roman" w:hAnsi="Times New Roman" w:cs="Times New Roman"/>
                <w:noProof/>
                <w:szCs w:val="20"/>
              </w:rPr>
              <w:t xml:space="preserve">956,66 tonnes équivalent CO2, en plus du scénario contrefactuel présenté à la Commission. </w:t>
            </w:r>
          </w:p>
          <w:p w14:paraId="50B4AE2B" w14:textId="77777777" w:rsidR="003B5F50" w:rsidRDefault="000D2D85">
            <w:pPr>
              <w:pStyle w:val="P68B1DB1-Normal9"/>
              <w:spacing w:before="120" w:after="0" w:line="254" w:lineRule="auto"/>
              <w:rPr>
                <w:noProof/>
              </w:rPr>
            </w:pPr>
            <w:r>
              <w:rPr>
                <w:noProof/>
              </w:rPr>
              <w:t xml:space="preserve">La réduction des émissions est démontrée au moyen des paramètres des technologies bénéficiant d’un soutien au titre de la mesure. </w:t>
            </w:r>
          </w:p>
        </w:tc>
      </w:tr>
      <w:tr w:rsidR="003B5F50" w14:paraId="50B4AE3F" w14:textId="77777777" w:rsidTr="000D2D85">
        <w:trPr>
          <w:trHeight w:val="300"/>
        </w:trPr>
        <w:tc>
          <w:tcPr>
            <w:tcW w:w="852" w:type="dxa"/>
            <w:shd w:val="clear" w:color="auto" w:fill="C6EFCE"/>
            <w:tcMar>
              <w:left w:w="108" w:type="dxa"/>
              <w:right w:w="108" w:type="dxa"/>
            </w:tcMar>
          </w:tcPr>
          <w:p w14:paraId="50B4AE2D" w14:textId="77777777" w:rsidR="003B5F50" w:rsidRDefault="000D2D85">
            <w:pPr>
              <w:pStyle w:val="P68B1DB1-Normal9"/>
              <w:spacing w:after="0" w:line="254" w:lineRule="auto"/>
              <w:jc w:val="center"/>
              <w:rPr>
                <w:noProof/>
              </w:rPr>
            </w:pPr>
            <w:bookmarkStart w:id="2" w:name="_Hlk210056906"/>
            <w:r>
              <w:rPr>
                <w:noProof/>
              </w:rPr>
              <w:t>4</w:t>
            </w:r>
          </w:p>
          <w:p w14:paraId="50B4AE2E" w14:textId="77777777" w:rsidR="003B5F50" w:rsidRDefault="000D2D85">
            <w:pPr>
              <w:pStyle w:val="P68B1DB1-Normal9"/>
              <w:spacing w:after="0" w:line="254" w:lineRule="auto"/>
              <w:jc w:val="center"/>
              <w:rPr>
                <w:noProof/>
              </w:rPr>
            </w:pPr>
            <w:r>
              <w:rPr>
                <w:noProof/>
              </w:rPr>
              <w:t xml:space="preserve"> </w:t>
            </w:r>
          </w:p>
          <w:p w14:paraId="50B4AE2F" w14:textId="77777777" w:rsidR="003B5F50" w:rsidRDefault="000D2D85">
            <w:pPr>
              <w:pStyle w:val="P68B1DB1-Normal9"/>
              <w:spacing w:after="0" w:line="254" w:lineRule="auto"/>
              <w:jc w:val="center"/>
              <w:rPr>
                <w:noProof/>
              </w:rPr>
            </w:pPr>
            <w:r>
              <w:rPr>
                <w:noProof/>
              </w:rPr>
              <w:t xml:space="preserve"> </w:t>
            </w:r>
          </w:p>
          <w:p w14:paraId="50B4AE30" w14:textId="77777777" w:rsidR="003B5F50" w:rsidRDefault="000D2D85">
            <w:pPr>
              <w:pStyle w:val="P68B1DB1-Normal9"/>
              <w:spacing w:after="0" w:line="254" w:lineRule="auto"/>
              <w:jc w:val="center"/>
              <w:rPr>
                <w:noProof/>
              </w:rPr>
            </w:pPr>
            <w:r>
              <w:rPr>
                <w:noProof/>
              </w:rPr>
              <w:t xml:space="preserve"> </w:t>
            </w:r>
          </w:p>
          <w:p w14:paraId="50B4AE31" w14:textId="77777777" w:rsidR="003B5F50" w:rsidRDefault="000D2D85">
            <w:pPr>
              <w:pStyle w:val="P68B1DB1-Normal9"/>
              <w:spacing w:after="0" w:line="254" w:lineRule="auto"/>
              <w:jc w:val="center"/>
              <w:rPr>
                <w:noProof/>
              </w:rPr>
            </w:pPr>
            <w:r>
              <w:rPr>
                <w:noProof/>
              </w:rPr>
              <w:t xml:space="preserve"> </w:t>
            </w:r>
          </w:p>
        </w:tc>
        <w:tc>
          <w:tcPr>
            <w:tcW w:w="1725" w:type="dxa"/>
            <w:shd w:val="clear" w:color="auto" w:fill="C6EFCE"/>
            <w:tcMar>
              <w:left w:w="108" w:type="dxa"/>
              <w:right w:w="108" w:type="dxa"/>
            </w:tcMar>
          </w:tcPr>
          <w:p w14:paraId="50B4AE32" w14:textId="125488D5" w:rsidR="003B5F50" w:rsidRDefault="000D2D85">
            <w:pPr>
              <w:pStyle w:val="P68B1DB1-Normal9"/>
              <w:spacing w:after="0" w:line="254" w:lineRule="auto"/>
              <w:rPr>
                <w:noProof/>
              </w:rPr>
            </w:pPr>
            <w:r>
              <w:rPr>
                <w:noProof/>
              </w:rPr>
              <w:t xml:space="preserve">4 – Décarbonisation de l’industrie – Investissement 2: Assurer le fonctionnement de l’inspection slovaque de l’environnement en lien avec la décarbonation </w:t>
            </w:r>
          </w:p>
          <w:p w14:paraId="50B4AE33" w14:textId="77777777" w:rsidR="003B5F50" w:rsidRDefault="000D2D85">
            <w:pPr>
              <w:pStyle w:val="P68B1DB1-Normal9"/>
              <w:spacing w:after="0" w:line="254" w:lineRule="auto"/>
              <w:rPr>
                <w:noProof/>
              </w:rPr>
            </w:pPr>
            <w:r>
              <w:rPr>
                <w:noProof/>
              </w:rPr>
              <w:t xml:space="preserve"> </w:t>
            </w:r>
          </w:p>
        </w:tc>
        <w:tc>
          <w:tcPr>
            <w:tcW w:w="1535" w:type="dxa"/>
            <w:shd w:val="clear" w:color="auto" w:fill="C6EFCE"/>
            <w:tcMar>
              <w:left w:w="108" w:type="dxa"/>
              <w:right w:w="108" w:type="dxa"/>
            </w:tcMar>
          </w:tcPr>
          <w:p w14:paraId="50B4AE34" w14:textId="77777777" w:rsidR="003B5F50" w:rsidRDefault="000D2D85">
            <w:pPr>
              <w:pStyle w:val="P68B1DB1-Normal9"/>
              <w:spacing w:after="0" w:line="254" w:lineRule="auto"/>
              <w:rPr>
                <w:noProof/>
              </w:rPr>
            </w:pPr>
            <w:r>
              <w:rPr>
                <w:noProof/>
              </w:rPr>
              <w:t>Étape</w:t>
            </w:r>
          </w:p>
        </w:tc>
        <w:tc>
          <w:tcPr>
            <w:tcW w:w="850" w:type="dxa"/>
            <w:shd w:val="clear" w:color="auto" w:fill="C6EFCE"/>
            <w:tcMar>
              <w:left w:w="108" w:type="dxa"/>
              <w:right w:w="108" w:type="dxa"/>
            </w:tcMar>
          </w:tcPr>
          <w:p w14:paraId="50B4AE35" w14:textId="77777777" w:rsidR="003B5F50" w:rsidRDefault="000D2D85">
            <w:pPr>
              <w:pStyle w:val="P68B1DB1-Normal9"/>
              <w:spacing w:after="0" w:line="254" w:lineRule="auto"/>
              <w:rPr>
                <w:noProof/>
              </w:rPr>
            </w:pPr>
            <w:r>
              <w:rPr>
                <w:noProof/>
              </w:rPr>
              <w:t xml:space="preserve">Investissements visant à accroître les capacités de l'Inspection slovaque de l'environnement </w:t>
            </w:r>
          </w:p>
        </w:tc>
        <w:tc>
          <w:tcPr>
            <w:tcW w:w="1560" w:type="dxa"/>
            <w:shd w:val="clear" w:color="auto" w:fill="C6EFCE"/>
            <w:tcMar>
              <w:left w:w="108" w:type="dxa"/>
              <w:right w:w="108" w:type="dxa"/>
            </w:tcMar>
          </w:tcPr>
          <w:p w14:paraId="50B4AE36" w14:textId="77777777" w:rsidR="003B5F50" w:rsidRDefault="000D2D85">
            <w:pPr>
              <w:pStyle w:val="P68B1DB1-Normal9"/>
              <w:spacing w:after="0" w:line="254" w:lineRule="auto"/>
              <w:rPr>
                <w:noProof/>
              </w:rPr>
            </w:pPr>
            <w:r>
              <w:rPr>
                <w:noProof/>
              </w:rPr>
              <w:t xml:space="preserve">Livraison de nouveaux équipements et d'installations modernisées de l'Inspection slovaque de l'environnement </w:t>
            </w:r>
          </w:p>
        </w:tc>
        <w:tc>
          <w:tcPr>
            <w:tcW w:w="1275" w:type="dxa"/>
            <w:shd w:val="clear" w:color="auto" w:fill="C6EFCE"/>
            <w:tcMar>
              <w:left w:w="108" w:type="dxa"/>
              <w:right w:w="108" w:type="dxa"/>
            </w:tcMar>
          </w:tcPr>
          <w:p w14:paraId="50B4AE37" w14:textId="77777777" w:rsidR="003B5F50" w:rsidRDefault="000D2D85">
            <w:pPr>
              <w:pStyle w:val="P68B1DB1-Normal9"/>
              <w:spacing w:after="0" w:line="254" w:lineRule="auto"/>
              <w:rPr>
                <w:noProof/>
              </w:rPr>
            </w:pPr>
            <w:r>
              <w:rPr>
                <w:noProof/>
              </w:rPr>
              <w:t xml:space="preserve"> </w:t>
            </w:r>
          </w:p>
        </w:tc>
        <w:tc>
          <w:tcPr>
            <w:tcW w:w="1134" w:type="dxa"/>
            <w:shd w:val="clear" w:color="auto" w:fill="C6EFCE"/>
            <w:tcMar>
              <w:left w:w="108" w:type="dxa"/>
              <w:right w:w="108" w:type="dxa"/>
            </w:tcMar>
          </w:tcPr>
          <w:p w14:paraId="50B4AE38" w14:textId="77777777" w:rsidR="003B5F50" w:rsidRDefault="000D2D85">
            <w:pPr>
              <w:pStyle w:val="P68B1DB1-Normal9"/>
              <w:spacing w:after="0" w:line="254" w:lineRule="auto"/>
              <w:rPr>
                <w:noProof/>
              </w:rPr>
            </w:pPr>
            <w:r>
              <w:rPr>
                <w:noProof/>
              </w:rPr>
              <w:t xml:space="preserve"> </w:t>
            </w:r>
          </w:p>
        </w:tc>
        <w:tc>
          <w:tcPr>
            <w:tcW w:w="993" w:type="dxa"/>
            <w:shd w:val="clear" w:color="auto" w:fill="C6EFCE"/>
            <w:tcMar>
              <w:left w:w="108" w:type="dxa"/>
              <w:right w:w="108" w:type="dxa"/>
            </w:tcMar>
          </w:tcPr>
          <w:p w14:paraId="50B4AE39" w14:textId="77777777" w:rsidR="003B5F50" w:rsidRDefault="000D2D85">
            <w:pPr>
              <w:pStyle w:val="P68B1DB1-Normal9"/>
              <w:spacing w:after="0" w:line="254" w:lineRule="auto"/>
              <w:rPr>
                <w:noProof/>
              </w:rPr>
            </w:pPr>
            <w:r>
              <w:rPr>
                <w:noProof/>
              </w:rPr>
              <w:t xml:space="preserve"> </w:t>
            </w:r>
          </w:p>
        </w:tc>
        <w:tc>
          <w:tcPr>
            <w:tcW w:w="1134" w:type="dxa"/>
            <w:shd w:val="clear" w:color="auto" w:fill="C6EFCE"/>
            <w:tcMar>
              <w:left w:w="108" w:type="dxa"/>
              <w:right w:w="108" w:type="dxa"/>
            </w:tcMar>
          </w:tcPr>
          <w:p w14:paraId="50B4AE3A" w14:textId="77777777" w:rsidR="003B5F50" w:rsidRDefault="000D2D85">
            <w:pPr>
              <w:pStyle w:val="P68B1DB1-Normal9"/>
              <w:spacing w:after="0" w:line="254" w:lineRule="auto"/>
              <w:jc w:val="center"/>
              <w:rPr>
                <w:noProof/>
              </w:rPr>
            </w:pPr>
            <w:r>
              <w:rPr>
                <w:noProof/>
              </w:rPr>
              <w:t>T2</w:t>
            </w:r>
          </w:p>
        </w:tc>
        <w:tc>
          <w:tcPr>
            <w:tcW w:w="850" w:type="dxa"/>
            <w:shd w:val="clear" w:color="auto" w:fill="C6EFCE"/>
            <w:tcMar>
              <w:left w:w="108" w:type="dxa"/>
              <w:right w:w="108" w:type="dxa"/>
            </w:tcMar>
          </w:tcPr>
          <w:p w14:paraId="50B4AE3B" w14:textId="77777777" w:rsidR="003B5F50" w:rsidRDefault="000D2D85">
            <w:pPr>
              <w:pStyle w:val="P68B1DB1-Normal9"/>
              <w:spacing w:after="0" w:line="254" w:lineRule="auto"/>
              <w:jc w:val="center"/>
              <w:rPr>
                <w:noProof/>
              </w:rPr>
            </w:pPr>
            <w:r>
              <w:rPr>
                <w:noProof/>
              </w:rPr>
              <w:t>2025</w:t>
            </w:r>
          </w:p>
        </w:tc>
        <w:tc>
          <w:tcPr>
            <w:tcW w:w="1980" w:type="dxa"/>
            <w:shd w:val="clear" w:color="auto" w:fill="C6EFCE"/>
            <w:tcMar>
              <w:left w:w="108" w:type="dxa"/>
              <w:right w:w="108" w:type="dxa"/>
            </w:tcMar>
          </w:tcPr>
          <w:p w14:paraId="50B4AE3C" w14:textId="77777777" w:rsidR="003B5F50" w:rsidRDefault="000D2D85">
            <w:pPr>
              <w:pStyle w:val="P68B1DB1-Normal9"/>
              <w:spacing w:before="120" w:after="0" w:line="254" w:lineRule="auto"/>
              <w:rPr>
                <w:noProof/>
              </w:rPr>
            </w:pPr>
            <w:r>
              <w:rPr>
                <w:noProof/>
              </w:rPr>
              <w:t>L'investissement comprend:</w:t>
            </w:r>
          </w:p>
          <w:p w14:paraId="50B4AE3D" w14:textId="77777777" w:rsidR="003B5F50" w:rsidRDefault="000D2D85">
            <w:pPr>
              <w:pStyle w:val="P68B1DB1-Normal9"/>
              <w:spacing w:before="120" w:after="0" w:line="254" w:lineRule="auto"/>
              <w:rPr>
                <w:noProof/>
              </w:rPr>
            </w:pPr>
            <w:r>
              <w:rPr>
                <w:noProof/>
              </w:rPr>
              <w:t xml:space="preserve">(1) Nouveaux véhicules d'inspection équipés de technologies de bureau et de mesure, spécifiquement pour l'inspection de la protection de l'air, de la protection de l'eau et de la gestion des déchets; </w:t>
            </w:r>
          </w:p>
          <w:p w14:paraId="50B4AE3E" w14:textId="77777777" w:rsidR="003B5F50" w:rsidRDefault="000D2D85">
            <w:pPr>
              <w:pStyle w:val="P68B1DB1-Normal9"/>
              <w:spacing w:before="120" w:after="0" w:line="254" w:lineRule="auto"/>
              <w:rPr>
                <w:noProof/>
              </w:rPr>
            </w:pPr>
            <w:r>
              <w:rPr>
                <w:noProof/>
              </w:rPr>
              <w:t xml:space="preserve">(2) Rénovation des locaux de l'Inspection, y compris, mais sans s'y limiter, l'isolation des locaux ou la rénovation des systèmes d'assainissement </w:t>
            </w:r>
          </w:p>
        </w:tc>
      </w:tr>
      <w:bookmarkEnd w:id="2"/>
    </w:tbl>
    <w:p w14:paraId="50B4AE40" w14:textId="77777777" w:rsidR="003B5F50" w:rsidRDefault="003B5F50">
      <w:pPr>
        <w:spacing w:before="120" w:after="120"/>
        <w:jc w:val="both"/>
        <w:rPr>
          <w:rFonts w:ascii="Times New Roman" w:eastAsia="Times New Roman" w:hAnsi="Times New Roman" w:cs="Times New Roman"/>
          <w:noProof/>
        </w:rPr>
      </w:pPr>
    </w:p>
    <w:p w14:paraId="50B4AE41" w14:textId="77777777" w:rsidR="003B5F50" w:rsidRDefault="003B5F50">
      <w:pPr>
        <w:pStyle w:val="Heading2"/>
        <w:rPr>
          <w:rFonts w:ascii="Times New Roman" w:eastAsiaTheme="minorEastAsia" w:hAnsi="Times New Roman" w:cstheme="minorBidi"/>
          <w:b/>
          <w:smallCaps/>
          <w:noProof/>
          <w:color w:val="auto"/>
          <w:sz w:val="24"/>
          <w:szCs w:val="22"/>
        </w:rPr>
        <w:sectPr w:rsidR="003B5F50" w:rsidSect="003E3DD3">
          <w:headerReference w:type="even" r:id="rId59"/>
          <w:headerReference w:type="default" r:id="rId60"/>
          <w:footerReference w:type="even" r:id="rId61"/>
          <w:footerReference w:type="default" r:id="rId62"/>
          <w:headerReference w:type="first" r:id="rId63"/>
          <w:footerReference w:type="first" r:id="rId64"/>
          <w:pgSz w:w="15840" w:h="12240" w:orient="landscape"/>
          <w:pgMar w:top="1134" w:right="1134" w:bottom="1134" w:left="1134" w:header="567" w:footer="567" w:gutter="0"/>
          <w:cols w:space="720"/>
          <w:docGrid w:linePitch="360"/>
        </w:sectPr>
      </w:pPr>
    </w:p>
    <w:p w14:paraId="50B4AE42" w14:textId="77777777" w:rsidR="003B5F50" w:rsidRDefault="000D2D85">
      <w:pPr>
        <w:pStyle w:val="P68B1DB1-Heading228"/>
        <w:rPr>
          <w:noProof/>
        </w:rPr>
      </w:pPr>
      <w:r>
        <w:rPr>
          <w:noProof/>
        </w:rPr>
        <w:t>Élément 5: Adaptation au changement climatique</w:t>
      </w:r>
    </w:p>
    <w:p w14:paraId="50B4AE43" w14:textId="77777777" w:rsidR="003B5F50" w:rsidRDefault="000D2D85">
      <w:pPr>
        <w:pStyle w:val="NormalWeb"/>
        <w:rPr>
          <w:rFonts w:eastAsia="Times New Roman"/>
          <w:noProof/>
        </w:rPr>
      </w:pPr>
      <w:r>
        <w:rPr>
          <w:noProof/>
        </w:rPr>
        <w:t xml:space="preserve">Le volet 5 «Adaptation au changement climatique» du plan slovaque pour la reprise et la résilience vise à accroître la résilience des écosystèmes et des établissements humains aux effets négatifs du changement climatique au moyen de réformes du système de gestion de l’eau, de la gestion des terres, de la protection de la nature et de la biodiversité, de la mise en œuvre d’éléments verts dans le paysage et d’investissements dans l’imperméabilisation, ainsi que du développement d’infrastructures vertes, y compris la plantation. </w:t>
      </w:r>
    </w:p>
    <w:p w14:paraId="50B4AE44" w14:textId="77777777" w:rsidR="003B5F50" w:rsidRDefault="000D2D85">
      <w:pPr>
        <w:pStyle w:val="NormalWeb"/>
        <w:rPr>
          <w:rFonts w:eastAsia="Times New Roman"/>
          <w:noProof/>
        </w:rPr>
      </w:pPr>
      <w:r>
        <w:rPr>
          <w:noProof/>
        </w:rPr>
        <w:t>Le volet comprend deux réformes et un investissement.</w:t>
      </w:r>
    </w:p>
    <w:p w14:paraId="50B4AE45" w14:textId="77777777" w:rsidR="003B5F50" w:rsidRDefault="000D2D85">
      <w:pPr>
        <w:pStyle w:val="NormalWeb"/>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AE46" w14:textId="77777777" w:rsidR="003B5F50" w:rsidRDefault="000D2D85">
      <w:pPr>
        <w:pStyle w:val="NormalWeb"/>
        <w:rPr>
          <w:noProof/>
        </w:rPr>
      </w:pPr>
      <w:r>
        <w:rPr>
          <w:noProof/>
        </w:rPr>
        <w:t xml:space="preserve">Les objectifs de ce volet sont cohérents avec la stratégie nationale pour la politique environnementale à l’horizon 2030, la stratégie pour l’adaptation de la République slovaque au changement climatique, la vision et la stratégie de développement de la Slovaquie à l’horizon 2030 – la stratégie de développement durable à long terme de la République slovaque – Slovaquie 2030, ainsi que les stratégies et les objectifs à long terme de l’Union européenne, en particulier le pacte vert pour l’Europe, et s’inscrivent dans ce cadre. </w:t>
      </w:r>
    </w:p>
    <w:p w14:paraId="50B4AE47" w14:textId="77777777" w:rsidR="003B5F50" w:rsidRDefault="000D2D85">
      <w:pPr>
        <w:pStyle w:val="NormalWeb"/>
        <w:rPr>
          <w:noProof/>
        </w:rPr>
      </w:pPr>
      <w:r>
        <w:rPr>
          <w:noProof/>
        </w:rPr>
        <w:t xml:space="preserve">La réforme 2 contribuera à donner suite à la recommandation par pays transmise à la Slovaquie en 2024 sur la nécessité de «renforcer [...] la conservation des ressources naturelles en intégrant les solutions fondées sur la nature et en finalisant la zonation des zones protégées par la nature» (recommandation par pays 3/2024). </w:t>
      </w:r>
    </w:p>
    <w:p w14:paraId="50B4AE48" w14:textId="77777777" w:rsidR="003B5F50" w:rsidRDefault="000D2D85">
      <w:pPr>
        <w:pStyle w:val="NormalWeb"/>
        <w:rPr>
          <w:noProof/>
        </w:rPr>
      </w:pPr>
      <w:r>
        <w:rPr>
          <w:b/>
          <w:noProof/>
          <w:u w:val="single"/>
        </w:rPr>
        <w:t xml:space="preserve">A.1. </w:t>
      </w:r>
      <w:r>
        <w:rPr>
          <w:noProof/>
        </w:rPr>
        <w:t xml:space="preserve"> </w:t>
      </w:r>
      <w:r>
        <w:rPr>
          <w:b/>
          <w:noProof/>
          <w:u w:val="single"/>
        </w:rPr>
        <w:t>Description des réformes et des investissements pour le soutien financier non remboursable</w:t>
      </w:r>
    </w:p>
    <w:p w14:paraId="50B4AE49" w14:textId="77777777" w:rsidR="003B5F50" w:rsidRDefault="000D2D85">
      <w:pPr>
        <w:pStyle w:val="P68B1DB1-Normal19"/>
        <w:spacing w:before="120" w:after="120" w:line="240" w:lineRule="auto"/>
        <w:jc w:val="both"/>
        <w:rPr>
          <w:noProof/>
        </w:rPr>
      </w:pPr>
      <w:r>
        <w:rPr>
          <w:noProof/>
        </w:rPr>
        <w:t>Réforme 1 sur l'aménagement paysager.</w:t>
      </w:r>
    </w:p>
    <w:p w14:paraId="50B4AE4A" w14:textId="77777777" w:rsidR="003B5F50" w:rsidRDefault="000D2D85">
      <w:pPr>
        <w:pStyle w:val="NormalWeb"/>
        <w:rPr>
          <w:rFonts w:eastAsia="Times New Roman"/>
          <w:noProof/>
        </w:rPr>
      </w:pPr>
      <w:r>
        <w:rPr>
          <w:noProof/>
        </w:rPr>
        <w:t>La réforme fournit une base pour la sauvegarde des structures paysagères, de la stabilité écologique et de la biodiversité</w:t>
      </w:r>
      <w:r>
        <w:rPr>
          <w:b/>
          <w:noProof/>
        </w:rPr>
        <w:t xml:space="preserve"> </w:t>
      </w:r>
      <w:r>
        <w:rPr>
          <w:noProof/>
        </w:rPr>
        <w:t>dans la documentation relative à l’aménagement du territoire et les processus d’approbation ultérieurs pour l’autorisation des bâtiments et des activités. Avec les documents méthodologiques et les cartes ultérieurs, l’acte fournit la base technique de la documentation relative à l’aménagement du territoire et des processus d’approbation ultérieurs pour l’autorisation des bâtiments et des activités. Cela a une incidence significative sur le maintien des structures du paysage, la stabilité écologique et la protection de la biodiversité. Leur perte compromettrait la capacité d'adaptation au changement climatique.</w:t>
      </w:r>
    </w:p>
    <w:p w14:paraId="50B4AE4B" w14:textId="77777777" w:rsidR="003B5F50" w:rsidRDefault="000D2D85">
      <w:pPr>
        <w:pStyle w:val="NormalWeb"/>
        <w:rPr>
          <w:noProof/>
        </w:rPr>
      </w:pPr>
      <w:r>
        <w:rPr>
          <w:noProof/>
        </w:rPr>
        <w:t xml:space="preserve">La mise en œuvre de la réforme est achevée au plus tard le 31 décembre 2023. </w:t>
      </w:r>
    </w:p>
    <w:p w14:paraId="50B4AE4C" w14:textId="77777777" w:rsidR="003B5F50" w:rsidRDefault="000D2D85">
      <w:pPr>
        <w:pStyle w:val="P68B1DB1-Normal19"/>
        <w:spacing w:before="120" w:after="120" w:line="240" w:lineRule="auto"/>
        <w:jc w:val="both"/>
        <w:rPr>
          <w:noProof/>
        </w:rPr>
      </w:pPr>
      <w:r>
        <w:rPr>
          <w:noProof/>
        </w:rPr>
        <w:t>Réforme 2 Réforme de la conservation de la nature et de la gestion de l'eau dans les campagnes</w:t>
      </w:r>
    </w:p>
    <w:p w14:paraId="50B4AE4D" w14:textId="77777777" w:rsidR="003B5F50" w:rsidRDefault="000D2D85">
      <w:pPr>
        <w:pStyle w:val="NormalWeb"/>
        <w:rPr>
          <w:rFonts w:eastAsia="Times New Roman"/>
          <w:noProof/>
        </w:rPr>
      </w:pPr>
      <w:r>
        <w:rPr>
          <w:noProof/>
        </w:rPr>
        <w:t>L’objectif de la réforme est</w:t>
      </w:r>
      <w:r>
        <w:rPr>
          <w:b/>
          <w:noProof/>
        </w:rPr>
        <w:t xml:space="preserve"> </w:t>
      </w:r>
      <w:r>
        <w:rPr>
          <w:noProof/>
        </w:rPr>
        <w:t>d’améliorer</w:t>
      </w:r>
      <w:r>
        <w:rPr>
          <w:b/>
          <w:noProof/>
        </w:rPr>
        <w:t xml:space="preserve"> </w:t>
      </w:r>
      <w:r>
        <w:rPr>
          <w:noProof/>
        </w:rPr>
        <w:t xml:space="preserve">l’état des habitats dans les zones protégées, de garantir leur contribution croissante à long terme à la protection des paysages contre le changement climatique et leur propre résilience aux effets néfastes du changement climatique. Au plus tard le 31 décembre 2022, une loi modifiée sur la protection de la nature et du paysage et une législation sur l’eau entrent en vigueur. Cette législation renforce la protection institutionnelle de la nature, réduit au minimum les conflits de compétence au sein des zones protégées, simplifie le système de protection, intègre les réseaux de zones protégées (nationales, européennes et internationales) et crée les conditions du zonage des parcs nationaux. Il en résulte un système moderne dont l’objectif premier est de protéger la nature et la biodiversité dans les territoires concernés, en garantissant une contribution stable à long terme des écosystèmes à l’adaptation au changement climatique et à l’atténuation de ses effets. Dans le même temps, la réforme permettra de revitaliser les cours d'eau et créera une marge de manœuvre pour la gestion écologique, la restauration de l'espace fluvial et la protection progressive contre les inondations, en tenant compte de la protection de la nature et de la rétention d'eau dans les campagnes. </w:t>
      </w:r>
    </w:p>
    <w:p w14:paraId="50B4AE4E" w14:textId="7D7AB98F" w:rsidR="003B5F50" w:rsidRDefault="000D2D85">
      <w:pPr>
        <w:pStyle w:val="P68B1DB1-Normal4"/>
        <w:spacing w:before="120" w:after="120" w:line="257" w:lineRule="auto"/>
        <w:jc w:val="both"/>
        <w:rPr>
          <w:noProof/>
        </w:rPr>
      </w:pPr>
      <w:r>
        <w:rPr>
          <w:noProof/>
        </w:rPr>
        <w:t xml:space="preserve">La réforme comprend également l’entrée en vigueur et l’application de décrets établissant sept parcs nationaux (Slovenský kras, Velká Fatra, Muránska planina, Malá Fatra, Nízké Tatry, Vysoké Tatry et Poloniny) afin de garantir la finalisation des zonages de leurs zones protégées respectives. </w:t>
      </w:r>
    </w:p>
    <w:p w14:paraId="50B4AE4F" w14:textId="77777777" w:rsidR="003B5F50" w:rsidRDefault="000D2D85">
      <w:pPr>
        <w:pStyle w:val="P68B1DB1-Normal19"/>
        <w:spacing w:before="120" w:after="120" w:line="240" w:lineRule="auto"/>
        <w:jc w:val="both"/>
        <w:rPr>
          <w:noProof/>
        </w:rPr>
      </w:pPr>
      <w:r>
        <w:rPr>
          <w:noProof/>
        </w:rPr>
        <w:t>l’investissement 1 sur l’adaptation des régions au changement climatique, en mettant l’accent sur la conservation de la nature et le développement de la biodiversité.</w:t>
      </w:r>
    </w:p>
    <w:p w14:paraId="50B4AE50" w14:textId="77777777" w:rsidR="003B5F50" w:rsidRDefault="000D2D85">
      <w:pPr>
        <w:pStyle w:val="NormalWeb"/>
        <w:rPr>
          <w:noProof/>
        </w:rPr>
      </w:pPr>
      <w:r>
        <w:rPr>
          <w:noProof/>
        </w:rPr>
        <w:t xml:space="preserve">L’investissement vise à garantir la contribution durable à long terme des écosystèmes à l’adaptation au changement climatique et à l’atténuation de ses effets (atténuation des inondations, prévention de la sécheresse) en protégeant les écosystèmes. L'investissement consiste en un réalignement des biens, en limitant l'exploitation forestière et en développant la conservation de la nature et en revitalisant les cours d'eau, y compris les zones humides, afin d'assurer la rétention d'eau dans les campagnes et sa libération progressive. </w:t>
      </w:r>
    </w:p>
    <w:p w14:paraId="50B4AE51" w14:textId="77777777" w:rsidR="003B5F50" w:rsidRDefault="000D2D85">
      <w:pPr>
        <w:pStyle w:val="P68B1DB1-Normal6"/>
        <w:spacing w:before="120" w:after="120" w:line="240" w:lineRule="auto"/>
        <w:jc w:val="both"/>
        <w:rPr>
          <w:bCs/>
          <w:noProof/>
        </w:rPr>
      </w:pPr>
      <w:r>
        <w:rPr>
          <w:noProof/>
        </w:rPr>
        <w:t>Investissement 2 sur la construction de forêts résilientes au changement climatique.</w:t>
      </w:r>
    </w:p>
    <w:p w14:paraId="50B4AE52" w14:textId="37ED56F5" w:rsidR="003B5F50" w:rsidRDefault="000D2D85">
      <w:pPr>
        <w:pStyle w:val="P68B1DB1-Normal4"/>
        <w:spacing w:before="120" w:after="0" w:line="240" w:lineRule="auto"/>
        <w:jc w:val="both"/>
        <w:rPr>
          <w:noProof/>
        </w:rPr>
      </w:pPr>
      <w:r>
        <w:rPr>
          <w:noProof/>
        </w:rPr>
        <w:t xml:space="preserve">L’objectif de cette mesure est de construire des forêts résilientes et adaptées aux effets du changement climatique. L'investissement consiste à mettre en œuvre un ensemble d'activités dédiées à la gestion durable des forêts. </w:t>
      </w:r>
    </w:p>
    <w:p w14:paraId="50B4AE53" w14:textId="77777777" w:rsidR="003B5F50" w:rsidRDefault="003B5F50">
      <w:pPr>
        <w:spacing w:before="120" w:after="0" w:line="240" w:lineRule="auto"/>
        <w:jc w:val="both"/>
        <w:rPr>
          <w:rFonts w:ascii="Times New Roman" w:hAnsi="Times New Roman"/>
          <w:noProof/>
        </w:rPr>
      </w:pPr>
    </w:p>
    <w:p w14:paraId="50B4AE54" w14:textId="77777777" w:rsidR="003B5F50" w:rsidRDefault="003B5F50">
      <w:pPr>
        <w:rPr>
          <w:rFonts w:ascii="Times New Roman" w:hAnsi="Times New Roman"/>
          <w:noProof/>
        </w:rPr>
      </w:pPr>
    </w:p>
    <w:p w14:paraId="50B4AE55" w14:textId="77777777" w:rsidR="003B5F50" w:rsidRDefault="003B5F50">
      <w:pPr>
        <w:rPr>
          <w:rFonts w:ascii="Times New Roman" w:hAnsi="Times New Roman"/>
          <w:noProof/>
        </w:rPr>
      </w:pPr>
    </w:p>
    <w:p w14:paraId="50B4AE56" w14:textId="77777777" w:rsidR="003B5F50" w:rsidRDefault="003B5F50">
      <w:pPr>
        <w:rPr>
          <w:rFonts w:ascii="Times New Roman" w:hAnsi="Times New Roman"/>
          <w:noProof/>
        </w:rPr>
      </w:pPr>
    </w:p>
    <w:p w14:paraId="50B4AE57" w14:textId="77777777" w:rsidR="003B5F50" w:rsidRDefault="003B5F50">
      <w:pPr>
        <w:tabs>
          <w:tab w:val="left" w:pos="1335"/>
        </w:tabs>
        <w:rPr>
          <w:rFonts w:ascii="Times New Roman" w:hAnsi="Times New Roman"/>
          <w:noProof/>
        </w:rPr>
        <w:sectPr w:rsidR="003B5F50" w:rsidSect="003E3DD3">
          <w:headerReference w:type="even" r:id="rId65"/>
          <w:headerReference w:type="default" r:id="rId66"/>
          <w:footerReference w:type="even" r:id="rId67"/>
          <w:footerReference w:type="default" r:id="rId68"/>
          <w:headerReference w:type="first" r:id="rId69"/>
          <w:footerReference w:type="first" r:id="rId70"/>
          <w:pgSz w:w="12240" w:h="15840"/>
          <w:pgMar w:top="1134" w:right="1134" w:bottom="1134" w:left="1134" w:header="567" w:footer="567" w:gutter="0"/>
          <w:cols w:space="720"/>
          <w:docGrid w:linePitch="360"/>
        </w:sectPr>
      </w:pPr>
    </w:p>
    <w:p w14:paraId="50B4AE58" w14:textId="77777777" w:rsidR="003B5F50" w:rsidRDefault="000D2D85">
      <w:pPr>
        <w:framePr w:w="15588" w:wrap="auto" w:hAnchor="text"/>
        <w:spacing w:before="120" w:after="120" w:line="240" w:lineRule="auto"/>
        <w:ind w:left="850"/>
        <w:jc w:val="both"/>
        <w:rPr>
          <w:rFonts w:ascii="Times New Roman" w:hAnsi="Times New Roman"/>
          <w:noProof/>
        </w:rPr>
      </w:pPr>
      <w:r>
        <w:rPr>
          <w:rFonts w:ascii="Times New Roman" w:hAnsi="Times New Roman"/>
          <w:b/>
          <w:noProof/>
          <w:u w:val="single"/>
        </w:rPr>
        <w:t xml:space="preserve">A.2.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50B4AE59" w14:textId="77777777" w:rsidR="003B5F50" w:rsidRDefault="003B5F50">
      <w:pPr>
        <w:framePr w:w="15588" w:wrap="auto" w:hAnchor="text"/>
        <w:spacing w:before="120" w:after="120" w:line="240" w:lineRule="auto"/>
        <w:ind w:left="850"/>
        <w:jc w:val="both"/>
        <w:rPr>
          <w:rFonts w:ascii="Times New Roman" w:hAnsi="Times New Roman"/>
          <w:b/>
          <w:bCs/>
          <w:noProof/>
          <w:u w:val="single"/>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1581"/>
        <w:gridCol w:w="851"/>
        <w:gridCol w:w="850"/>
        <w:gridCol w:w="1276"/>
        <w:gridCol w:w="1559"/>
        <w:gridCol w:w="1418"/>
        <w:gridCol w:w="992"/>
        <w:gridCol w:w="1254"/>
        <w:gridCol w:w="872"/>
        <w:gridCol w:w="3373"/>
      </w:tblGrid>
      <w:tr w:rsidR="003B5F50" w14:paraId="50B4AE68" w14:textId="77777777" w:rsidTr="00042E43">
        <w:trPr>
          <w:trHeight w:val="690"/>
          <w:tblHeader/>
          <w:jc w:val="center"/>
        </w:trPr>
        <w:tc>
          <w:tcPr>
            <w:tcW w:w="824" w:type="dxa"/>
            <w:vMerge w:val="restart"/>
            <w:shd w:val="clear" w:color="auto" w:fill="BDD7EE"/>
            <w:vAlign w:val="center"/>
          </w:tcPr>
          <w:p w14:paraId="50B4AE5A" w14:textId="77777777" w:rsidR="003B5F50" w:rsidRDefault="000D2D85">
            <w:pPr>
              <w:pStyle w:val="P68B1DB1-Normal13"/>
              <w:jc w:val="center"/>
              <w:rPr>
                <w:noProof/>
                <w:szCs w:val="20"/>
              </w:rPr>
            </w:pPr>
            <w:r>
              <w:rPr>
                <w:noProof/>
              </w:rPr>
              <w:t>Seq. Num.</w:t>
            </w:r>
          </w:p>
          <w:p w14:paraId="50B4AE5B" w14:textId="77777777" w:rsidR="003B5F50" w:rsidRDefault="000D2D85">
            <w:pPr>
              <w:pStyle w:val="P68B1DB1-Normal13"/>
              <w:jc w:val="center"/>
              <w:rPr>
                <w:noProof/>
                <w:szCs w:val="20"/>
              </w:rPr>
            </w:pPr>
            <w:r>
              <w:rPr>
                <w:noProof/>
              </w:rPr>
              <w:t xml:space="preserve"> </w:t>
            </w:r>
          </w:p>
        </w:tc>
        <w:tc>
          <w:tcPr>
            <w:tcW w:w="1581" w:type="dxa"/>
            <w:vMerge w:val="restart"/>
            <w:shd w:val="clear" w:color="auto" w:fill="BDD7EE"/>
            <w:vAlign w:val="center"/>
          </w:tcPr>
          <w:p w14:paraId="50B4AE5C" w14:textId="77777777" w:rsidR="003B5F50" w:rsidRDefault="000D2D85">
            <w:pPr>
              <w:pStyle w:val="P68B1DB1-Normal13"/>
              <w:jc w:val="center"/>
              <w:rPr>
                <w:noProof/>
                <w:szCs w:val="20"/>
              </w:rPr>
            </w:pPr>
            <w:r>
              <w:rPr>
                <w:noProof/>
              </w:rPr>
              <w:t>Mesure connexe (réforme ou investissement)</w:t>
            </w:r>
          </w:p>
          <w:p w14:paraId="50B4AE5D" w14:textId="77777777" w:rsidR="003B5F50" w:rsidRDefault="000D2D85">
            <w:pPr>
              <w:pStyle w:val="P68B1DB1-Normal13"/>
              <w:jc w:val="center"/>
              <w:rPr>
                <w:noProof/>
                <w:szCs w:val="20"/>
              </w:rPr>
            </w:pPr>
            <w:r>
              <w:rPr>
                <w:noProof/>
              </w:rPr>
              <w:t xml:space="preserve"> </w:t>
            </w:r>
          </w:p>
        </w:tc>
        <w:tc>
          <w:tcPr>
            <w:tcW w:w="851" w:type="dxa"/>
            <w:vMerge w:val="restart"/>
            <w:shd w:val="clear" w:color="auto" w:fill="BDD7EE"/>
            <w:vAlign w:val="center"/>
          </w:tcPr>
          <w:p w14:paraId="50B4AE5E" w14:textId="77777777" w:rsidR="003B5F50" w:rsidRDefault="000D2D85">
            <w:pPr>
              <w:pStyle w:val="P68B1DB1-Normal13"/>
              <w:jc w:val="center"/>
              <w:rPr>
                <w:noProof/>
                <w:szCs w:val="20"/>
              </w:rPr>
            </w:pPr>
            <w:r>
              <w:rPr>
                <w:noProof/>
              </w:rPr>
              <w:t>Étape/cible</w:t>
            </w:r>
          </w:p>
          <w:p w14:paraId="50B4AE5F" w14:textId="77777777" w:rsidR="003B5F50" w:rsidRDefault="000D2D85">
            <w:pPr>
              <w:pStyle w:val="P68B1DB1-Normal13"/>
              <w:jc w:val="center"/>
              <w:rPr>
                <w:noProof/>
                <w:szCs w:val="20"/>
              </w:rPr>
            </w:pPr>
            <w:r>
              <w:rPr>
                <w:noProof/>
              </w:rPr>
              <w:t xml:space="preserve"> </w:t>
            </w:r>
          </w:p>
        </w:tc>
        <w:tc>
          <w:tcPr>
            <w:tcW w:w="850" w:type="dxa"/>
            <w:vMerge w:val="restart"/>
            <w:shd w:val="clear" w:color="auto" w:fill="BDD7EE"/>
            <w:vAlign w:val="center"/>
          </w:tcPr>
          <w:p w14:paraId="50B4AE60" w14:textId="77777777" w:rsidR="003B5F50" w:rsidRDefault="000D2D85">
            <w:pPr>
              <w:pStyle w:val="P68B1DB1-Normal13"/>
              <w:jc w:val="center"/>
              <w:rPr>
                <w:noProof/>
                <w:szCs w:val="20"/>
              </w:rPr>
            </w:pPr>
            <w:r>
              <w:rPr>
                <w:noProof/>
              </w:rPr>
              <w:t>Nom</w:t>
            </w:r>
          </w:p>
          <w:p w14:paraId="50B4AE61" w14:textId="77777777" w:rsidR="003B5F50" w:rsidRDefault="000D2D85">
            <w:pPr>
              <w:pStyle w:val="P68B1DB1-Normal13"/>
              <w:jc w:val="center"/>
              <w:rPr>
                <w:noProof/>
                <w:szCs w:val="20"/>
              </w:rPr>
            </w:pPr>
            <w:r>
              <w:rPr>
                <w:noProof/>
              </w:rPr>
              <w:t xml:space="preserve"> </w:t>
            </w:r>
          </w:p>
        </w:tc>
        <w:tc>
          <w:tcPr>
            <w:tcW w:w="1276" w:type="dxa"/>
            <w:vMerge w:val="restart"/>
            <w:shd w:val="clear" w:color="auto" w:fill="BDD7EE"/>
            <w:vAlign w:val="center"/>
          </w:tcPr>
          <w:p w14:paraId="50B4AE62" w14:textId="77777777" w:rsidR="003B5F50" w:rsidRDefault="000D2D85">
            <w:pPr>
              <w:pStyle w:val="P68B1DB1-Normal16"/>
              <w:jc w:val="center"/>
              <w:rPr>
                <w:noProof/>
                <w:szCs w:val="20"/>
              </w:rPr>
            </w:pPr>
            <w:r>
              <w:rPr>
                <w:b/>
                <w:noProof/>
              </w:rPr>
              <w:t>Indicateurs qualitatifs</w:t>
            </w:r>
            <w:r>
              <w:rPr>
                <w:noProof/>
              </w:rPr>
              <w:t xml:space="preserve"> </w:t>
            </w:r>
            <w:r>
              <w:rPr>
                <w:b/>
                <w:noProof/>
              </w:rPr>
              <w:t>(pour les jalons)</w:t>
            </w:r>
          </w:p>
          <w:p w14:paraId="50B4AE63" w14:textId="77777777" w:rsidR="003B5F50" w:rsidRDefault="000D2D85">
            <w:pPr>
              <w:pStyle w:val="P68B1DB1-Normal13"/>
              <w:jc w:val="center"/>
              <w:rPr>
                <w:noProof/>
                <w:szCs w:val="20"/>
              </w:rPr>
            </w:pPr>
            <w:r>
              <w:rPr>
                <w:noProof/>
              </w:rPr>
              <w:t xml:space="preserve"> </w:t>
            </w:r>
          </w:p>
        </w:tc>
        <w:tc>
          <w:tcPr>
            <w:tcW w:w="3969" w:type="dxa"/>
            <w:gridSpan w:val="3"/>
            <w:shd w:val="clear" w:color="auto" w:fill="BDD7EE"/>
            <w:vAlign w:val="center"/>
          </w:tcPr>
          <w:p w14:paraId="50B4AE64" w14:textId="77777777" w:rsidR="003B5F50" w:rsidRDefault="000D2D85">
            <w:pPr>
              <w:pStyle w:val="P68B1DB1-Normal16"/>
              <w:jc w:val="center"/>
              <w:rPr>
                <w:noProof/>
                <w:szCs w:val="20"/>
              </w:rPr>
            </w:pPr>
            <w:r>
              <w:rPr>
                <w:b/>
                <w:noProof/>
              </w:rPr>
              <w:t>Indicateurs quantitatifs</w:t>
            </w:r>
            <w:r>
              <w:rPr>
                <w:noProof/>
              </w:rPr>
              <w:t xml:space="preserve"> </w:t>
            </w:r>
            <w:r>
              <w:rPr>
                <w:b/>
                <w:noProof/>
              </w:rPr>
              <w:t>(pour les objectifs)</w:t>
            </w:r>
          </w:p>
        </w:tc>
        <w:tc>
          <w:tcPr>
            <w:tcW w:w="2126" w:type="dxa"/>
            <w:gridSpan w:val="2"/>
            <w:shd w:val="clear" w:color="auto" w:fill="BDD7EE"/>
            <w:vAlign w:val="center"/>
          </w:tcPr>
          <w:p w14:paraId="50B4AE65" w14:textId="77777777" w:rsidR="003B5F50" w:rsidRDefault="000D2D85">
            <w:pPr>
              <w:pStyle w:val="P68B1DB1-Normal13"/>
              <w:jc w:val="center"/>
              <w:rPr>
                <w:noProof/>
                <w:szCs w:val="20"/>
              </w:rPr>
            </w:pPr>
            <w:r>
              <w:rPr>
                <w:noProof/>
              </w:rPr>
              <w:t xml:space="preserve">Calendrier indicatif d'achèvement </w:t>
            </w:r>
          </w:p>
        </w:tc>
        <w:tc>
          <w:tcPr>
            <w:tcW w:w="3373" w:type="dxa"/>
            <w:vMerge w:val="restart"/>
            <w:shd w:val="clear" w:color="auto" w:fill="BDD7EE"/>
            <w:vAlign w:val="center"/>
          </w:tcPr>
          <w:p w14:paraId="50B4AE66" w14:textId="77777777" w:rsidR="003B5F50" w:rsidRDefault="000D2D85">
            <w:pPr>
              <w:pStyle w:val="P68B1DB1-Normal13"/>
              <w:jc w:val="center"/>
              <w:rPr>
                <w:noProof/>
                <w:szCs w:val="20"/>
              </w:rPr>
            </w:pPr>
            <w:r>
              <w:rPr>
                <w:noProof/>
              </w:rPr>
              <w:t>Description et définition claire de chaque jalon et cible</w:t>
            </w:r>
          </w:p>
          <w:p w14:paraId="50B4AE67" w14:textId="77777777" w:rsidR="003B5F50" w:rsidRDefault="000D2D85">
            <w:pPr>
              <w:pStyle w:val="P68B1DB1-Normal16"/>
              <w:rPr>
                <w:noProof/>
                <w:szCs w:val="20"/>
              </w:rPr>
            </w:pPr>
            <w:r>
              <w:rPr>
                <w:noProof/>
              </w:rPr>
              <w:t xml:space="preserve"> </w:t>
            </w:r>
          </w:p>
        </w:tc>
      </w:tr>
      <w:tr w:rsidR="003B5F50" w14:paraId="50B4AE74" w14:textId="77777777" w:rsidTr="00042E43">
        <w:trPr>
          <w:trHeight w:val="660"/>
          <w:tblHeader/>
          <w:jc w:val="center"/>
        </w:trPr>
        <w:tc>
          <w:tcPr>
            <w:tcW w:w="824" w:type="dxa"/>
            <w:vMerge/>
            <w:vAlign w:val="center"/>
          </w:tcPr>
          <w:p w14:paraId="50B4AE69" w14:textId="77777777" w:rsidR="003B5F50" w:rsidRDefault="003B5F50">
            <w:pPr>
              <w:jc w:val="center"/>
              <w:rPr>
                <w:rFonts w:ascii="Times New Roman" w:hAnsi="Times New Roman"/>
                <w:noProof/>
                <w:sz w:val="20"/>
                <w:szCs w:val="20"/>
              </w:rPr>
            </w:pPr>
          </w:p>
        </w:tc>
        <w:tc>
          <w:tcPr>
            <w:tcW w:w="1581" w:type="dxa"/>
            <w:vMerge/>
            <w:vAlign w:val="center"/>
          </w:tcPr>
          <w:p w14:paraId="50B4AE6A" w14:textId="77777777" w:rsidR="003B5F50" w:rsidRDefault="003B5F50">
            <w:pPr>
              <w:jc w:val="center"/>
              <w:rPr>
                <w:rFonts w:ascii="Times New Roman" w:hAnsi="Times New Roman"/>
                <w:noProof/>
                <w:sz w:val="20"/>
                <w:szCs w:val="20"/>
              </w:rPr>
            </w:pPr>
          </w:p>
        </w:tc>
        <w:tc>
          <w:tcPr>
            <w:tcW w:w="851" w:type="dxa"/>
            <w:vMerge/>
            <w:vAlign w:val="center"/>
          </w:tcPr>
          <w:p w14:paraId="50B4AE6B" w14:textId="77777777" w:rsidR="003B5F50" w:rsidRDefault="003B5F50">
            <w:pPr>
              <w:jc w:val="center"/>
              <w:rPr>
                <w:rFonts w:ascii="Times New Roman" w:hAnsi="Times New Roman"/>
                <w:noProof/>
                <w:sz w:val="20"/>
                <w:szCs w:val="20"/>
              </w:rPr>
            </w:pPr>
          </w:p>
        </w:tc>
        <w:tc>
          <w:tcPr>
            <w:tcW w:w="850" w:type="dxa"/>
            <w:vMerge/>
            <w:vAlign w:val="center"/>
          </w:tcPr>
          <w:p w14:paraId="50B4AE6C" w14:textId="77777777" w:rsidR="003B5F50" w:rsidRDefault="003B5F50">
            <w:pPr>
              <w:jc w:val="center"/>
              <w:rPr>
                <w:rFonts w:ascii="Times New Roman" w:hAnsi="Times New Roman"/>
                <w:noProof/>
                <w:sz w:val="20"/>
                <w:szCs w:val="20"/>
              </w:rPr>
            </w:pPr>
          </w:p>
        </w:tc>
        <w:tc>
          <w:tcPr>
            <w:tcW w:w="1276" w:type="dxa"/>
            <w:vMerge/>
            <w:vAlign w:val="center"/>
          </w:tcPr>
          <w:p w14:paraId="50B4AE6D" w14:textId="77777777" w:rsidR="003B5F50" w:rsidRDefault="003B5F50">
            <w:pPr>
              <w:jc w:val="center"/>
              <w:rPr>
                <w:rFonts w:ascii="Times New Roman" w:hAnsi="Times New Roman"/>
                <w:noProof/>
                <w:sz w:val="20"/>
                <w:szCs w:val="20"/>
              </w:rPr>
            </w:pPr>
          </w:p>
        </w:tc>
        <w:tc>
          <w:tcPr>
            <w:tcW w:w="1559" w:type="dxa"/>
            <w:shd w:val="clear" w:color="auto" w:fill="BDD7EE"/>
            <w:vAlign w:val="center"/>
          </w:tcPr>
          <w:p w14:paraId="50B4AE6E" w14:textId="77777777" w:rsidR="003B5F50" w:rsidRDefault="000D2D85">
            <w:pPr>
              <w:pStyle w:val="P68B1DB1-Normal13"/>
              <w:jc w:val="center"/>
              <w:rPr>
                <w:noProof/>
                <w:szCs w:val="20"/>
              </w:rPr>
            </w:pPr>
            <w:r>
              <w:rPr>
                <w:noProof/>
              </w:rPr>
              <w:t>Unité de mesure</w:t>
            </w:r>
          </w:p>
        </w:tc>
        <w:tc>
          <w:tcPr>
            <w:tcW w:w="1418" w:type="dxa"/>
            <w:shd w:val="clear" w:color="auto" w:fill="BDD7EE"/>
            <w:vAlign w:val="center"/>
          </w:tcPr>
          <w:p w14:paraId="50B4AE6F" w14:textId="77777777" w:rsidR="003B5F50" w:rsidRDefault="000D2D85">
            <w:pPr>
              <w:pStyle w:val="P68B1DB1-Normal13"/>
              <w:jc w:val="center"/>
              <w:rPr>
                <w:noProof/>
                <w:szCs w:val="20"/>
              </w:rPr>
            </w:pPr>
            <w:r>
              <w:rPr>
                <w:noProof/>
              </w:rPr>
              <w:t>Données de référence</w:t>
            </w:r>
          </w:p>
        </w:tc>
        <w:tc>
          <w:tcPr>
            <w:tcW w:w="992" w:type="dxa"/>
            <w:shd w:val="clear" w:color="auto" w:fill="BDD7EE"/>
            <w:vAlign w:val="center"/>
          </w:tcPr>
          <w:p w14:paraId="50B4AE70" w14:textId="77777777" w:rsidR="003B5F50" w:rsidRDefault="000D2D85">
            <w:pPr>
              <w:pStyle w:val="P68B1DB1-Normal13"/>
              <w:jc w:val="center"/>
              <w:rPr>
                <w:noProof/>
                <w:szCs w:val="20"/>
              </w:rPr>
            </w:pPr>
            <w:r>
              <w:rPr>
                <w:noProof/>
              </w:rPr>
              <w:t>Objectif</w:t>
            </w:r>
          </w:p>
        </w:tc>
        <w:tc>
          <w:tcPr>
            <w:tcW w:w="1254" w:type="dxa"/>
            <w:shd w:val="clear" w:color="auto" w:fill="BDD7EE"/>
            <w:vAlign w:val="center"/>
          </w:tcPr>
          <w:p w14:paraId="50B4AE71" w14:textId="77777777" w:rsidR="003B5F50" w:rsidRDefault="000D2D85">
            <w:pPr>
              <w:pStyle w:val="P68B1DB1-Normal13"/>
              <w:jc w:val="center"/>
              <w:rPr>
                <w:noProof/>
                <w:szCs w:val="20"/>
              </w:rPr>
            </w:pPr>
            <w:r>
              <w:rPr>
                <w:noProof/>
              </w:rPr>
              <w:t>Trimestre</w:t>
            </w:r>
          </w:p>
        </w:tc>
        <w:tc>
          <w:tcPr>
            <w:tcW w:w="872" w:type="dxa"/>
            <w:shd w:val="clear" w:color="auto" w:fill="BDD7EE"/>
            <w:vAlign w:val="center"/>
          </w:tcPr>
          <w:p w14:paraId="50B4AE72" w14:textId="77777777" w:rsidR="003B5F50" w:rsidRDefault="000D2D85">
            <w:pPr>
              <w:pStyle w:val="P68B1DB1-Normal13"/>
              <w:jc w:val="center"/>
              <w:rPr>
                <w:noProof/>
                <w:szCs w:val="20"/>
              </w:rPr>
            </w:pPr>
            <w:r>
              <w:rPr>
                <w:noProof/>
              </w:rPr>
              <w:t>Année</w:t>
            </w:r>
          </w:p>
        </w:tc>
        <w:tc>
          <w:tcPr>
            <w:tcW w:w="3373" w:type="dxa"/>
            <w:vMerge/>
            <w:vAlign w:val="center"/>
          </w:tcPr>
          <w:p w14:paraId="50B4AE73" w14:textId="77777777" w:rsidR="003B5F50" w:rsidRDefault="003B5F50">
            <w:pPr>
              <w:rPr>
                <w:rFonts w:ascii="Times New Roman" w:hAnsi="Times New Roman"/>
                <w:noProof/>
                <w:sz w:val="20"/>
                <w:szCs w:val="20"/>
              </w:rPr>
            </w:pPr>
          </w:p>
        </w:tc>
      </w:tr>
      <w:tr w:rsidR="00042E43" w14:paraId="50B4AE80" w14:textId="77777777" w:rsidTr="00042E43">
        <w:trPr>
          <w:trHeight w:val="1395"/>
          <w:jc w:val="center"/>
        </w:trPr>
        <w:tc>
          <w:tcPr>
            <w:tcW w:w="824" w:type="dxa"/>
            <w:shd w:val="clear" w:color="auto" w:fill="C6EFCE"/>
          </w:tcPr>
          <w:p w14:paraId="50B4AE75" w14:textId="77777777" w:rsidR="003B5F50" w:rsidRDefault="000D2D85">
            <w:pPr>
              <w:pStyle w:val="P68B1DB1-Normal14"/>
              <w:jc w:val="center"/>
              <w:rPr>
                <w:noProof/>
                <w:szCs w:val="20"/>
              </w:rPr>
            </w:pPr>
            <w:r>
              <w:rPr>
                <w:noProof/>
              </w:rPr>
              <w:t>1</w:t>
            </w:r>
          </w:p>
        </w:tc>
        <w:tc>
          <w:tcPr>
            <w:tcW w:w="1581" w:type="dxa"/>
            <w:shd w:val="clear" w:color="auto" w:fill="C6EFCE"/>
          </w:tcPr>
          <w:p w14:paraId="50B4AE76" w14:textId="77777777" w:rsidR="003B5F50" w:rsidRDefault="000D2D85">
            <w:pPr>
              <w:pStyle w:val="P68B1DB1-Normal14"/>
              <w:rPr>
                <w:noProof/>
                <w:szCs w:val="20"/>
              </w:rPr>
            </w:pPr>
            <w:r>
              <w:rPr>
                <w:noProof/>
              </w:rPr>
              <w:t>5 – Adaptation au changement climatique – Réforme 1: Réforme de l'aménagement du territoire</w:t>
            </w:r>
          </w:p>
        </w:tc>
        <w:tc>
          <w:tcPr>
            <w:tcW w:w="851" w:type="dxa"/>
            <w:shd w:val="clear" w:color="auto" w:fill="C6EFCE"/>
          </w:tcPr>
          <w:p w14:paraId="50B4AE77" w14:textId="77777777" w:rsidR="003B5F50" w:rsidRDefault="000D2D85">
            <w:pPr>
              <w:pStyle w:val="P68B1DB1-Normal14"/>
              <w:rPr>
                <w:noProof/>
                <w:szCs w:val="20"/>
              </w:rPr>
            </w:pPr>
            <w:r>
              <w:rPr>
                <w:noProof/>
              </w:rPr>
              <w:t>Étape</w:t>
            </w:r>
          </w:p>
        </w:tc>
        <w:tc>
          <w:tcPr>
            <w:tcW w:w="850" w:type="dxa"/>
            <w:shd w:val="clear" w:color="auto" w:fill="C6EFCE"/>
          </w:tcPr>
          <w:p w14:paraId="50B4AE78" w14:textId="77777777" w:rsidR="003B5F50" w:rsidRDefault="000D2D85">
            <w:pPr>
              <w:pStyle w:val="P68B1DB1-Normal14"/>
              <w:rPr>
                <w:noProof/>
                <w:szCs w:val="20"/>
              </w:rPr>
            </w:pPr>
            <w:r>
              <w:rPr>
                <w:noProof/>
              </w:rPr>
              <w:t xml:space="preserve">la réforme de l' aménagement du territoire </w:t>
            </w:r>
          </w:p>
        </w:tc>
        <w:tc>
          <w:tcPr>
            <w:tcW w:w="1276" w:type="dxa"/>
            <w:shd w:val="clear" w:color="auto" w:fill="C6EFCE"/>
          </w:tcPr>
          <w:p w14:paraId="50B4AE79" w14:textId="77777777" w:rsidR="003B5F50" w:rsidRDefault="000D2D85">
            <w:pPr>
              <w:pStyle w:val="P68B1DB1-Normal14"/>
              <w:rPr>
                <w:noProof/>
                <w:szCs w:val="20"/>
              </w:rPr>
            </w:pPr>
            <w:r>
              <w:rPr>
                <w:noProof/>
              </w:rPr>
              <w:t>Entrée en vigueur de la loi sur l'aménagement du territoire par le Parlement</w:t>
            </w:r>
          </w:p>
        </w:tc>
        <w:tc>
          <w:tcPr>
            <w:tcW w:w="1559" w:type="dxa"/>
            <w:shd w:val="clear" w:color="auto" w:fill="C6EFCE"/>
          </w:tcPr>
          <w:p w14:paraId="50B4AE7A" w14:textId="77777777" w:rsidR="003B5F50" w:rsidRDefault="003B5F50">
            <w:pPr>
              <w:rPr>
                <w:rFonts w:ascii="Times New Roman" w:hAnsi="Times New Roman"/>
                <w:noProof/>
                <w:sz w:val="20"/>
                <w:szCs w:val="20"/>
              </w:rPr>
            </w:pPr>
          </w:p>
        </w:tc>
        <w:tc>
          <w:tcPr>
            <w:tcW w:w="1418" w:type="dxa"/>
            <w:shd w:val="clear" w:color="auto" w:fill="C6EFCE"/>
          </w:tcPr>
          <w:p w14:paraId="50B4AE7B" w14:textId="77777777" w:rsidR="003B5F50" w:rsidRDefault="003B5F50">
            <w:pPr>
              <w:rPr>
                <w:rFonts w:ascii="Times New Roman" w:hAnsi="Times New Roman"/>
                <w:noProof/>
                <w:sz w:val="20"/>
                <w:szCs w:val="20"/>
              </w:rPr>
            </w:pPr>
          </w:p>
        </w:tc>
        <w:tc>
          <w:tcPr>
            <w:tcW w:w="992" w:type="dxa"/>
            <w:shd w:val="clear" w:color="auto" w:fill="C6EFCE"/>
          </w:tcPr>
          <w:p w14:paraId="50B4AE7C" w14:textId="77777777" w:rsidR="003B5F50" w:rsidRDefault="003B5F50">
            <w:pPr>
              <w:rPr>
                <w:rFonts w:ascii="Times New Roman" w:hAnsi="Times New Roman"/>
                <w:noProof/>
                <w:sz w:val="20"/>
                <w:szCs w:val="20"/>
              </w:rPr>
            </w:pPr>
          </w:p>
        </w:tc>
        <w:tc>
          <w:tcPr>
            <w:tcW w:w="1254" w:type="dxa"/>
            <w:shd w:val="clear" w:color="auto" w:fill="C6EFCE"/>
          </w:tcPr>
          <w:p w14:paraId="50B4AE7D" w14:textId="77777777" w:rsidR="003B5F50" w:rsidRDefault="000D2D85">
            <w:pPr>
              <w:pStyle w:val="P68B1DB1-Normal14"/>
              <w:jc w:val="center"/>
              <w:rPr>
                <w:noProof/>
                <w:szCs w:val="20"/>
              </w:rPr>
            </w:pPr>
            <w:r>
              <w:rPr>
                <w:noProof/>
              </w:rPr>
              <w:t>T4</w:t>
            </w:r>
          </w:p>
        </w:tc>
        <w:tc>
          <w:tcPr>
            <w:tcW w:w="872" w:type="dxa"/>
            <w:shd w:val="clear" w:color="auto" w:fill="C6EFCE"/>
          </w:tcPr>
          <w:p w14:paraId="50B4AE7E" w14:textId="77777777" w:rsidR="003B5F50" w:rsidRDefault="000D2D85">
            <w:pPr>
              <w:pStyle w:val="P68B1DB1-Normal14"/>
              <w:jc w:val="center"/>
              <w:rPr>
                <w:rFonts w:eastAsia="Calibri" w:cs="Times New Roman"/>
                <w:noProof/>
                <w:szCs w:val="20"/>
              </w:rPr>
            </w:pPr>
            <w:r>
              <w:rPr>
                <w:noProof/>
              </w:rPr>
              <w:t>2023</w:t>
            </w:r>
          </w:p>
        </w:tc>
        <w:tc>
          <w:tcPr>
            <w:tcW w:w="3373" w:type="dxa"/>
            <w:shd w:val="clear" w:color="auto" w:fill="C6EFCE"/>
          </w:tcPr>
          <w:p w14:paraId="50B4AE7F" w14:textId="429FF31C" w:rsidR="003B5F50" w:rsidRDefault="000D2D85">
            <w:pPr>
              <w:pStyle w:val="P68B1DB1-Normal14"/>
              <w:rPr>
                <w:noProof/>
                <w:szCs w:val="20"/>
              </w:rPr>
            </w:pPr>
            <w:r>
              <w:rPr>
                <w:noProof/>
              </w:rPr>
              <w:t>Au plus tard le 31 décembre 2023, le ministère de l’environnement élabore un acte qui est ensuite approuvé par le Conseil national de la République slovaque. L’acte est accompagné, au plus tard le 31 décembre 2023, de l’élaboration d’une méthode d’évaluation de la valeur des paysages et des écosystèmes qui vise à garantir que les considérations d’adaptation au changement climatique sont prises en compte dans la prise de décision territoriale et les procédures de construction, en promouvant la mise en œuvre de mesures de prévention des inondations fondées sur la nature et de mesures visant à prévenir la sécheresse et la perte de biodiversité.</w:t>
            </w:r>
          </w:p>
        </w:tc>
      </w:tr>
      <w:tr w:rsidR="00042E43" w14:paraId="50B4AE8C" w14:textId="77777777" w:rsidTr="00042E43">
        <w:trPr>
          <w:trHeight w:val="1905"/>
          <w:jc w:val="center"/>
        </w:trPr>
        <w:tc>
          <w:tcPr>
            <w:tcW w:w="824" w:type="dxa"/>
            <w:shd w:val="clear" w:color="auto" w:fill="C6EFCE"/>
          </w:tcPr>
          <w:p w14:paraId="50B4AE81" w14:textId="77777777" w:rsidR="003B5F50" w:rsidRDefault="000D2D85">
            <w:pPr>
              <w:pStyle w:val="P68B1DB1-Normal14"/>
              <w:jc w:val="center"/>
              <w:rPr>
                <w:noProof/>
                <w:szCs w:val="20"/>
              </w:rPr>
            </w:pPr>
            <w:r>
              <w:rPr>
                <w:noProof/>
              </w:rPr>
              <w:t>2</w:t>
            </w:r>
          </w:p>
        </w:tc>
        <w:tc>
          <w:tcPr>
            <w:tcW w:w="1581" w:type="dxa"/>
            <w:shd w:val="clear" w:color="auto" w:fill="C6EFCE"/>
          </w:tcPr>
          <w:p w14:paraId="50B4AE82" w14:textId="77777777" w:rsidR="003B5F50" w:rsidRDefault="000D2D85">
            <w:pPr>
              <w:pStyle w:val="P68B1DB1-Normal14"/>
              <w:rPr>
                <w:noProof/>
                <w:szCs w:val="20"/>
              </w:rPr>
            </w:pPr>
            <w:r>
              <w:rPr>
                <w:noProof/>
              </w:rPr>
              <w:t>5 – Adaptation au changement climatique – Réforme 2: Réforme de la conservation de la nature et de la gestion de l'eau à la campagne</w:t>
            </w:r>
          </w:p>
        </w:tc>
        <w:tc>
          <w:tcPr>
            <w:tcW w:w="851" w:type="dxa"/>
            <w:shd w:val="clear" w:color="auto" w:fill="C6EFCE"/>
          </w:tcPr>
          <w:p w14:paraId="50B4AE83" w14:textId="77777777" w:rsidR="003B5F50" w:rsidRDefault="000D2D85">
            <w:pPr>
              <w:pStyle w:val="P68B1DB1-Normal14"/>
              <w:rPr>
                <w:noProof/>
                <w:szCs w:val="20"/>
              </w:rPr>
            </w:pPr>
            <w:r>
              <w:rPr>
                <w:noProof/>
              </w:rPr>
              <w:t>Étape</w:t>
            </w:r>
          </w:p>
        </w:tc>
        <w:tc>
          <w:tcPr>
            <w:tcW w:w="850" w:type="dxa"/>
            <w:shd w:val="clear" w:color="auto" w:fill="C6EFCE"/>
          </w:tcPr>
          <w:p w14:paraId="50B4AE84" w14:textId="2A0F16C2" w:rsidR="003B5F50" w:rsidRDefault="000D2D85">
            <w:pPr>
              <w:pStyle w:val="P68B1DB1-Normal14"/>
              <w:rPr>
                <w:noProof/>
                <w:szCs w:val="20"/>
              </w:rPr>
            </w:pPr>
            <w:r>
              <w:rPr>
                <w:noProof/>
              </w:rPr>
              <w:t>Application plus efficace des mesures de protection de la nature dans les paysages des zones protégées et revitalisation des cours d'eau</w:t>
            </w:r>
          </w:p>
        </w:tc>
        <w:tc>
          <w:tcPr>
            <w:tcW w:w="1276" w:type="dxa"/>
            <w:shd w:val="clear" w:color="auto" w:fill="C6EFCE"/>
          </w:tcPr>
          <w:p w14:paraId="50B4AE85" w14:textId="4061916D" w:rsidR="003B5F50" w:rsidRDefault="000D2D85">
            <w:pPr>
              <w:pStyle w:val="P68B1DB1-Normal14"/>
              <w:rPr>
                <w:noProof/>
                <w:szCs w:val="20"/>
              </w:rPr>
            </w:pPr>
            <w:r>
              <w:rPr>
                <w:noProof/>
              </w:rPr>
              <w:t>Entrée en vigueur de la loi modifiée sur la protection de la nature et du paysage et de la législation sur l'eau</w:t>
            </w:r>
          </w:p>
        </w:tc>
        <w:tc>
          <w:tcPr>
            <w:tcW w:w="1559" w:type="dxa"/>
            <w:shd w:val="clear" w:color="auto" w:fill="C6EFCE"/>
          </w:tcPr>
          <w:p w14:paraId="50B4AE86" w14:textId="77777777" w:rsidR="003B5F50" w:rsidRDefault="000D2D85">
            <w:pPr>
              <w:pStyle w:val="P68B1DB1-Normal14"/>
              <w:rPr>
                <w:noProof/>
                <w:szCs w:val="20"/>
              </w:rPr>
            </w:pPr>
            <w:r>
              <w:rPr>
                <w:noProof/>
              </w:rPr>
              <w:t xml:space="preserve"> </w:t>
            </w:r>
          </w:p>
        </w:tc>
        <w:tc>
          <w:tcPr>
            <w:tcW w:w="1418" w:type="dxa"/>
            <w:shd w:val="clear" w:color="auto" w:fill="C6EFCE"/>
          </w:tcPr>
          <w:p w14:paraId="50B4AE87" w14:textId="77777777" w:rsidR="003B5F50" w:rsidRDefault="000D2D85">
            <w:pPr>
              <w:pStyle w:val="P68B1DB1-Normal14"/>
              <w:jc w:val="right"/>
              <w:rPr>
                <w:noProof/>
                <w:szCs w:val="20"/>
              </w:rPr>
            </w:pPr>
            <w:r>
              <w:rPr>
                <w:noProof/>
              </w:rPr>
              <w:t xml:space="preserve"> </w:t>
            </w:r>
          </w:p>
        </w:tc>
        <w:tc>
          <w:tcPr>
            <w:tcW w:w="992" w:type="dxa"/>
            <w:shd w:val="clear" w:color="auto" w:fill="C6EFCE"/>
          </w:tcPr>
          <w:p w14:paraId="50B4AE88" w14:textId="77777777" w:rsidR="003B5F50" w:rsidRDefault="000D2D85">
            <w:pPr>
              <w:pStyle w:val="P68B1DB1-Normal14"/>
              <w:jc w:val="right"/>
              <w:rPr>
                <w:noProof/>
                <w:szCs w:val="20"/>
              </w:rPr>
            </w:pPr>
            <w:r>
              <w:rPr>
                <w:noProof/>
              </w:rPr>
              <w:t xml:space="preserve"> </w:t>
            </w:r>
          </w:p>
        </w:tc>
        <w:tc>
          <w:tcPr>
            <w:tcW w:w="1254" w:type="dxa"/>
            <w:shd w:val="clear" w:color="auto" w:fill="C6EFCE"/>
          </w:tcPr>
          <w:p w14:paraId="50B4AE89" w14:textId="77777777" w:rsidR="003B5F50" w:rsidRDefault="000D2D85">
            <w:pPr>
              <w:pStyle w:val="P68B1DB1-Normal14"/>
              <w:jc w:val="center"/>
              <w:rPr>
                <w:noProof/>
                <w:szCs w:val="20"/>
              </w:rPr>
            </w:pPr>
            <w:r>
              <w:rPr>
                <w:noProof/>
              </w:rPr>
              <w:t>T4</w:t>
            </w:r>
          </w:p>
        </w:tc>
        <w:tc>
          <w:tcPr>
            <w:tcW w:w="872" w:type="dxa"/>
            <w:shd w:val="clear" w:color="auto" w:fill="C6EFCE"/>
          </w:tcPr>
          <w:p w14:paraId="50B4AE8A" w14:textId="77777777" w:rsidR="003B5F50" w:rsidRDefault="000D2D85">
            <w:pPr>
              <w:pStyle w:val="P68B1DB1-Normal14"/>
              <w:jc w:val="center"/>
              <w:rPr>
                <w:noProof/>
                <w:szCs w:val="20"/>
              </w:rPr>
            </w:pPr>
            <w:r>
              <w:rPr>
                <w:noProof/>
              </w:rPr>
              <w:t>2022</w:t>
            </w:r>
          </w:p>
        </w:tc>
        <w:tc>
          <w:tcPr>
            <w:tcW w:w="3373" w:type="dxa"/>
            <w:shd w:val="clear" w:color="auto" w:fill="C6EFCE"/>
          </w:tcPr>
          <w:p w14:paraId="50B4AE8B" w14:textId="77777777" w:rsidR="003B5F50" w:rsidRDefault="000D2D85">
            <w:pPr>
              <w:pStyle w:val="P68B1DB1-Normal14"/>
              <w:rPr>
                <w:noProof/>
                <w:szCs w:val="20"/>
              </w:rPr>
            </w:pPr>
            <w:r>
              <w:rPr>
                <w:noProof/>
              </w:rPr>
              <w:t>Le ministère de l’environnement prépare une modification de la loi sur la protection de la nature, qui entrera en vigueur en janvier 2022. Elle sera suivie de l’élaboration d’une proposition de nouveau modèle de fonctionnement des zones protégées (d’ici au 31 décembre 2022). La réforme de la gestion de l’eau dans le pays ouvrira la voie à la revitalisation des cours d’eau, augmentant ainsi la protection contre les inondations dans le pays. Le ministère de l’environnement élabore un nouveau concept de politique de l’eau au plus tard le 31 décembre 2022 et modifie la loi sur l’eau au plus tard le 31 décembre 2022 en établissant des normes techniques qui permettent de revitaliser les cours d’eau de manière à maximiser la rétention d’eau dans le pays, à ralentir les sorties d’eau et à restaurer les réserves d’eaux souterraines.</w:t>
            </w:r>
          </w:p>
        </w:tc>
      </w:tr>
      <w:tr w:rsidR="00042E43" w14:paraId="50B4AE98" w14:textId="77777777" w:rsidTr="00042E43">
        <w:trPr>
          <w:trHeight w:val="75"/>
          <w:jc w:val="center"/>
        </w:trPr>
        <w:tc>
          <w:tcPr>
            <w:tcW w:w="824" w:type="dxa"/>
            <w:shd w:val="clear" w:color="auto" w:fill="C6EFCE"/>
          </w:tcPr>
          <w:p w14:paraId="50B4AE8D" w14:textId="77777777" w:rsidR="003B5F50" w:rsidRDefault="000D2D85">
            <w:pPr>
              <w:pStyle w:val="P68B1DB1-Normal14"/>
              <w:jc w:val="center"/>
              <w:rPr>
                <w:noProof/>
                <w:szCs w:val="20"/>
              </w:rPr>
            </w:pPr>
            <w:r>
              <w:rPr>
                <w:noProof/>
              </w:rPr>
              <w:t>4</w:t>
            </w:r>
          </w:p>
        </w:tc>
        <w:tc>
          <w:tcPr>
            <w:tcW w:w="1581" w:type="dxa"/>
            <w:shd w:val="clear" w:color="auto" w:fill="C6EFCE"/>
          </w:tcPr>
          <w:p w14:paraId="50B4AE8E" w14:textId="77777777" w:rsidR="003B5F50" w:rsidRDefault="000D2D85">
            <w:pPr>
              <w:pStyle w:val="P68B1DB1-Normal14"/>
              <w:rPr>
                <w:noProof/>
                <w:szCs w:val="20"/>
              </w:rPr>
            </w:pPr>
            <w:r>
              <w:rPr>
                <w:noProof/>
              </w:rPr>
              <w:t>5 – Adaptation au changement climatique – Investissement 1: Adapter les régions au changement climatique, en mettant l'accent sur la conservation de la nature et le développement de la biodiversité</w:t>
            </w:r>
          </w:p>
        </w:tc>
        <w:tc>
          <w:tcPr>
            <w:tcW w:w="851" w:type="dxa"/>
            <w:shd w:val="clear" w:color="auto" w:fill="C6EFCE"/>
          </w:tcPr>
          <w:p w14:paraId="50B4AE8F" w14:textId="77777777" w:rsidR="003B5F50" w:rsidRDefault="000D2D85">
            <w:pPr>
              <w:pStyle w:val="P68B1DB1-Normal14"/>
              <w:rPr>
                <w:noProof/>
                <w:szCs w:val="20"/>
              </w:rPr>
            </w:pPr>
            <w:r>
              <w:rPr>
                <w:noProof/>
              </w:rPr>
              <w:t>Objectif</w:t>
            </w:r>
          </w:p>
        </w:tc>
        <w:tc>
          <w:tcPr>
            <w:tcW w:w="850" w:type="dxa"/>
            <w:shd w:val="clear" w:color="auto" w:fill="C6EFCE"/>
          </w:tcPr>
          <w:p w14:paraId="50B4AE90" w14:textId="77777777" w:rsidR="003B5F50" w:rsidRDefault="000D2D85">
            <w:pPr>
              <w:pStyle w:val="P68B1DB1-Normal15"/>
              <w:rPr>
                <w:noProof/>
              </w:rPr>
            </w:pPr>
            <w:r>
              <w:rPr>
                <w:noProof/>
              </w:rPr>
              <w:t>Revitalisation des cours d'eau (en km de cours d'eau revitalisés)</w:t>
            </w:r>
          </w:p>
        </w:tc>
        <w:tc>
          <w:tcPr>
            <w:tcW w:w="1276" w:type="dxa"/>
            <w:shd w:val="clear" w:color="auto" w:fill="C6EFCE"/>
          </w:tcPr>
          <w:p w14:paraId="50B4AE91" w14:textId="77777777" w:rsidR="003B5F50" w:rsidRDefault="000D2D85">
            <w:pPr>
              <w:pStyle w:val="P68B1DB1-Normal15"/>
              <w:rPr>
                <w:noProof/>
              </w:rPr>
            </w:pPr>
            <w:r>
              <w:rPr>
                <w:noProof/>
              </w:rPr>
              <w:t>Km de cours d'eau revitalisés</w:t>
            </w:r>
          </w:p>
        </w:tc>
        <w:tc>
          <w:tcPr>
            <w:tcW w:w="1559" w:type="dxa"/>
            <w:shd w:val="clear" w:color="auto" w:fill="C6EFCE"/>
          </w:tcPr>
          <w:p w14:paraId="50B4AE92" w14:textId="77777777" w:rsidR="003B5F50" w:rsidRDefault="000D2D85">
            <w:pPr>
              <w:pStyle w:val="P68B1DB1-Normal14"/>
              <w:rPr>
                <w:noProof/>
                <w:szCs w:val="20"/>
              </w:rPr>
            </w:pPr>
            <w:r>
              <w:rPr>
                <w:noProof/>
              </w:rPr>
              <w:t>Numéro</w:t>
            </w:r>
          </w:p>
        </w:tc>
        <w:tc>
          <w:tcPr>
            <w:tcW w:w="1418" w:type="dxa"/>
            <w:shd w:val="clear" w:color="auto" w:fill="C6EFCE"/>
          </w:tcPr>
          <w:p w14:paraId="50B4AE93" w14:textId="77777777" w:rsidR="003B5F50" w:rsidRDefault="000D2D85">
            <w:pPr>
              <w:pStyle w:val="P68B1DB1-Normal15"/>
              <w:jc w:val="right"/>
              <w:rPr>
                <w:noProof/>
              </w:rPr>
            </w:pPr>
            <w:r>
              <w:rPr>
                <w:noProof/>
              </w:rPr>
              <w:t>0</w:t>
            </w:r>
          </w:p>
        </w:tc>
        <w:tc>
          <w:tcPr>
            <w:tcW w:w="992" w:type="dxa"/>
            <w:shd w:val="clear" w:color="auto" w:fill="C6EFCE"/>
          </w:tcPr>
          <w:p w14:paraId="50B4AE94" w14:textId="77777777" w:rsidR="003B5F50" w:rsidRDefault="000D2D85">
            <w:pPr>
              <w:pStyle w:val="P68B1DB1-Normal15"/>
              <w:jc w:val="right"/>
              <w:rPr>
                <w:noProof/>
              </w:rPr>
            </w:pPr>
            <w:r>
              <w:rPr>
                <w:noProof/>
              </w:rPr>
              <w:t>90</w:t>
            </w:r>
          </w:p>
        </w:tc>
        <w:tc>
          <w:tcPr>
            <w:tcW w:w="1254" w:type="dxa"/>
            <w:shd w:val="clear" w:color="auto" w:fill="C6EFCE"/>
          </w:tcPr>
          <w:p w14:paraId="50B4AE95" w14:textId="77777777" w:rsidR="003B5F50" w:rsidRDefault="000D2D85">
            <w:pPr>
              <w:pStyle w:val="P68B1DB1-Normal14"/>
              <w:jc w:val="center"/>
              <w:rPr>
                <w:noProof/>
                <w:szCs w:val="20"/>
              </w:rPr>
            </w:pPr>
            <w:r>
              <w:rPr>
                <w:noProof/>
              </w:rPr>
              <w:t>T2</w:t>
            </w:r>
          </w:p>
        </w:tc>
        <w:tc>
          <w:tcPr>
            <w:tcW w:w="872" w:type="dxa"/>
            <w:shd w:val="clear" w:color="auto" w:fill="C6EFCE"/>
          </w:tcPr>
          <w:p w14:paraId="50B4AE96" w14:textId="77777777" w:rsidR="003B5F50" w:rsidRDefault="000D2D85">
            <w:pPr>
              <w:pStyle w:val="P68B1DB1-Normal14"/>
              <w:jc w:val="center"/>
              <w:rPr>
                <w:noProof/>
                <w:szCs w:val="20"/>
              </w:rPr>
            </w:pPr>
            <w:r>
              <w:rPr>
                <w:noProof/>
              </w:rPr>
              <w:t>2026</w:t>
            </w:r>
          </w:p>
        </w:tc>
        <w:tc>
          <w:tcPr>
            <w:tcW w:w="3373" w:type="dxa"/>
            <w:shd w:val="clear" w:color="auto" w:fill="C6EFCE"/>
          </w:tcPr>
          <w:p w14:paraId="50B4AE97" w14:textId="77777777" w:rsidR="003B5F50" w:rsidRDefault="000D2D85">
            <w:pPr>
              <w:pStyle w:val="P68B1DB1-Normal15"/>
              <w:jc w:val="both"/>
              <w:rPr>
                <w:noProof/>
              </w:rPr>
            </w:pPr>
            <w:r>
              <w:rPr>
                <w:noProof/>
              </w:rPr>
              <w:t xml:space="preserve">Des passeports de revitalisation doivent être fournis pour au moins 90 km de cours d’eau, y compris les zones humides. </w:t>
            </w:r>
          </w:p>
        </w:tc>
      </w:tr>
      <w:tr w:rsidR="00042E43" w14:paraId="50B4AEA5" w14:textId="77777777" w:rsidTr="00042E43">
        <w:trPr>
          <w:trHeight w:val="1590"/>
          <w:jc w:val="center"/>
        </w:trPr>
        <w:tc>
          <w:tcPr>
            <w:tcW w:w="824" w:type="dxa"/>
            <w:shd w:val="clear" w:color="auto" w:fill="C6EFCE"/>
          </w:tcPr>
          <w:p w14:paraId="50B4AE99" w14:textId="77777777" w:rsidR="003B5F50" w:rsidRDefault="000D2D85">
            <w:pPr>
              <w:pStyle w:val="P68B1DB1-Normal14"/>
              <w:jc w:val="center"/>
              <w:rPr>
                <w:noProof/>
                <w:szCs w:val="20"/>
              </w:rPr>
            </w:pPr>
            <w:r>
              <w:rPr>
                <w:noProof/>
              </w:rPr>
              <w:t>5</w:t>
            </w:r>
          </w:p>
        </w:tc>
        <w:tc>
          <w:tcPr>
            <w:tcW w:w="1581" w:type="dxa"/>
            <w:shd w:val="clear" w:color="auto" w:fill="C6EFCE"/>
          </w:tcPr>
          <w:p w14:paraId="50B4AE9A" w14:textId="77777777" w:rsidR="003B5F50" w:rsidRDefault="000D2D85">
            <w:pPr>
              <w:pStyle w:val="P68B1DB1-Normal14"/>
              <w:rPr>
                <w:noProof/>
                <w:szCs w:val="20"/>
              </w:rPr>
            </w:pPr>
            <w:r>
              <w:rPr>
                <w:noProof/>
              </w:rPr>
              <w:t>6 – Adaptation au changement climatique – Investissement 1: Adapter les régions au changement climatique, en mettant l'accent sur la conservation de la nature et le développement de la biodiversité</w:t>
            </w:r>
          </w:p>
        </w:tc>
        <w:tc>
          <w:tcPr>
            <w:tcW w:w="851" w:type="dxa"/>
            <w:shd w:val="clear" w:color="auto" w:fill="C6EFCE"/>
          </w:tcPr>
          <w:p w14:paraId="50B4AE9B" w14:textId="77777777" w:rsidR="003B5F50" w:rsidRDefault="000D2D85">
            <w:pPr>
              <w:pStyle w:val="P68B1DB1-Normal14"/>
              <w:rPr>
                <w:noProof/>
                <w:szCs w:val="20"/>
              </w:rPr>
            </w:pPr>
            <w:r>
              <w:rPr>
                <w:noProof/>
              </w:rPr>
              <w:t>Objectif</w:t>
            </w:r>
          </w:p>
        </w:tc>
        <w:tc>
          <w:tcPr>
            <w:tcW w:w="850" w:type="dxa"/>
            <w:shd w:val="clear" w:color="auto" w:fill="C6EFCE"/>
          </w:tcPr>
          <w:p w14:paraId="50B4AE9C" w14:textId="77777777" w:rsidR="003B5F50" w:rsidRDefault="000D2D85">
            <w:pPr>
              <w:pStyle w:val="P68B1DB1-Normal16"/>
              <w:rPr>
                <w:noProof/>
                <w:szCs w:val="20"/>
              </w:rPr>
            </w:pPr>
            <w:r>
              <w:rPr>
                <w:noProof/>
                <w:color w:val="006100"/>
              </w:rPr>
              <w:t>Règlement de la propriété avec des propriétaires fonciers privés (en</w:t>
            </w:r>
            <w:r>
              <w:rPr>
                <w:noProof/>
              </w:rPr>
              <w:t xml:space="preserve"> </w:t>
            </w:r>
            <w:r>
              <w:rPr>
                <w:noProof/>
                <w:color w:val="006100"/>
              </w:rPr>
              <w:t>superficie de terres réglées en ha)</w:t>
            </w:r>
          </w:p>
        </w:tc>
        <w:tc>
          <w:tcPr>
            <w:tcW w:w="1276" w:type="dxa"/>
            <w:shd w:val="clear" w:color="auto" w:fill="C6EFCE"/>
          </w:tcPr>
          <w:p w14:paraId="50B4AE9D" w14:textId="77777777" w:rsidR="003B5F50" w:rsidRDefault="003B5F50">
            <w:pPr>
              <w:rPr>
                <w:rFonts w:ascii="Times New Roman" w:hAnsi="Times New Roman"/>
                <w:noProof/>
                <w:sz w:val="20"/>
                <w:szCs w:val="20"/>
              </w:rPr>
            </w:pPr>
          </w:p>
        </w:tc>
        <w:tc>
          <w:tcPr>
            <w:tcW w:w="1559" w:type="dxa"/>
            <w:shd w:val="clear" w:color="auto" w:fill="C6EFCE"/>
          </w:tcPr>
          <w:p w14:paraId="50B4AE9E" w14:textId="77777777" w:rsidR="003B5F50" w:rsidRDefault="000D2D85">
            <w:pPr>
              <w:pStyle w:val="P68B1DB1-Normal14"/>
              <w:rPr>
                <w:noProof/>
                <w:szCs w:val="20"/>
              </w:rPr>
            </w:pPr>
            <w:r>
              <w:rPr>
                <w:noProof/>
              </w:rPr>
              <w:t>Numéro</w:t>
            </w:r>
          </w:p>
        </w:tc>
        <w:tc>
          <w:tcPr>
            <w:tcW w:w="1418" w:type="dxa"/>
            <w:shd w:val="clear" w:color="auto" w:fill="C6EFCE"/>
          </w:tcPr>
          <w:p w14:paraId="50B4AE9F" w14:textId="77777777" w:rsidR="003B5F50" w:rsidRDefault="000D2D85">
            <w:pPr>
              <w:pStyle w:val="P68B1DB1-Normal14"/>
              <w:jc w:val="right"/>
              <w:rPr>
                <w:noProof/>
                <w:szCs w:val="20"/>
              </w:rPr>
            </w:pPr>
            <w:r>
              <w:rPr>
                <w:noProof/>
              </w:rPr>
              <w:t>0</w:t>
            </w:r>
          </w:p>
        </w:tc>
        <w:tc>
          <w:tcPr>
            <w:tcW w:w="992" w:type="dxa"/>
            <w:shd w:val="clear" w:color="auto" w:fill="C6EFCE"/>
          </w:tcPr>
          <w:p w14:paraId="50B4AEA0" w14:textId="77777777" w:rsidR="003B5F50" w:rsidRDefault="000D2D85">
            <w:pPr>
              <w:pStyle w:val="P68B1DB1-Normal15"/>
              <w:jc w:val="right"/>
              <w:rPr>
                <w:noProof/>
              </w:rPr>
            </w:pPr>
            <w:r>
              <w:rPr>
                <w:noProof/>
              </w:rPr>
              <w:t>32.82</w:t>
            </w:r>
          </w:p>
        </w:tc>
        <w:tc>
          <w:tcPr>
            <w:tcW w:w="1254" w:type="dxa"/>
            <w:shd w:val="clear" w:color="auto" w:fill="C6EFCE"/>
          </w:tcPr>
          <w:p w14:paraId="50B4AEA1" w14:textId="77777777" w:rsidR="003B5F50" w:rsidRDefault="000D2D85">
            <w:pPr>
              <w:pStyle w:val="P68B1DB1-Normal14"/>
              <w:jc w:val="center"/>
              <w:rPr>
                <w:noProof/>
                <w:szCs w:val="20"/>
              </w:rPr>
            </w:pPr>
            <w:r>
              <w:rPr>
                <w:noProof/>
              </w:rPr>
              <w:t>T4</w:t>
            </w:r>
          </w:p>
        </w:tc>
        <w:tc>
          <w:tcPr>
            <w:tcW w:w="872" w:type="dxa"/>
            <w:shd w:val="clear" w:color="auto" w:fill="C6EFCE"/>
          </w:tcPr>
          <w:p w14:paraId="50B4AEA2" w14:textId="77777777" w:rsidR="003B5F50" w:rsidRDefault="000D2D85">
            <w:pPr>
              <w:pStyle w:val="P68B1DB1-Normal14"/>
              <w:jc w:val="center"/>
              <w:rPr>
                <w:noProof/>
                <w:szCs w:val="20"/>
              </w:rPr>
            </w:pPr>
            <w:r>
              <w:rPr>
                <w:noProof/>
              </w:rPr>
              <w:t>2023</w:t>
            </w:r>
          </w:p>
        </w:tc>
        <w:tc>
          <w:tcPr>
            <w:tcW w:w="3373" w:type="dxa"/>
            <w:shd w:val="clear" w:color="auto" w:fill="C6EFCE"/>
          </w:tcPr>
          <w:p w14:paraId="50B4AEA3" w14:textId="77777777" w:rsidR="003B5F50" w:rsidRDefault="000D2D85">
            <w:pPr>
              <w:pStyle w:val="P68B1DB1-Normal15"/>
              <w:jc w:val="both"/>
              <w:rPr>
                <w:noProof/>
              </w:rPr>
            </w:pPr>
            <w:r>
              <w:rPr>
                <w:noProof/>
              </w:rPr>
              <w:t>Les colonies de peuplement pour une superficie de 32,82 ha dans des zones protégées par la nature doivent être atteintes.</w:t>
            </w:r>
          </w:p>
          <w:p w14:paraId="50B4AEA4" w14:textId="77777777" w:rsidR="003B5F50" w:rsidRDefault="000D2D85">
            <w:pPr>
              <w:pStyle w:val="P68B1DB1-Normal14"/>
              <w:rPr>
                <w:noProof/>
                <w:szCs w:val="20"/>
              </w:rPr>
            </w:pPr>
            <w:r>
              <w:rPr>
                <w:noProof/>
              </w:rPr>
              <w:t xml:space="preserve">Au plus tard le 30 juin 2022, un groupe de travail du ministère de l’environnement élabore une méthode de détermination de la valeur et du prix des terrains. Des appels à l’achat de terres dans les zones protégées, principalement dans les parcs nationaux, sont lancés pour certaines zones sur une base continue jusqu’au 31 décembre 2023. </w:t>
            </w:r>
          </w:p>
        </w:tc>
      </w:tr>
      <w:tr w:rsidR="00042E43" w14:paraId="50B4AEB1" w14:textId="77777777" w:rsidTr="00042E43">
        <w:trPr>
          <w:trHeight w:val="580"/>
          <w:jc w:val="center"/>
        </w:trPr>
        <w:tc>
          <w:tcPr>
            <w:tcW w:w="824" w:type="dxa"/>
            <w:shd w:val="clear" w:color="auto" w:fill="C6EFCE"/>
          </w:tcPr>
          <w:p w14:paraId="50B4AEA6" w14:textId="77777777" w:rsidR="003B5F50" w:rsidRDefault="000D2D85">
            <w:pPr>
              <w:pStyle w:val="P68B1DB1-Normal14"/>
              <w:jc w:val="center"/>
              <w:rPr>
                <w:noProof/>
                <w:szCs w:val="20"/>
              </w:rPr>
            </w:pPr>
            <w:r>
              <w:rPr>
                <w:noProof/>
              </w:rPr>
              <w:t>7</w:t>
            </w:r>
          </w:p>
        </w:tc>
        <w:tc>
          <w:tcPr>
            <w:tcW w:w="1581" w:type="dxa"/>
            <w:shd w:val="clear" w:color="auto" w:fill="C6EFCE"/>
          </w:tcPr>
          <w:p w14:paraId="50B4AEA7" w14:textId="77777777" w:rsidR="003B5F50" w:rsidRDefault="000D2D85">
            <w:pPr>
              <w:pStyle w:val="P68B1DB1-Normal15"/>
              <w:rPr>
                <w:noProof/>
              </w:rPr>
            </w:pPr>
            <w:r>
              <w:rPr>
                <w:noProof/>
              </w:rPr>
              <w:t>6 – Adaptation au changement climatique – Investissement 1: Adapter les régions au changement climatique, en mettant l'accent sur la conservation de la nature et le développement de la biodiversité</w:t>
            </w:r>
          </w:p>
        </w:tc>
        <w:tc>
          <w:tcPr>
            <w:tcW w:w="851" w:type="dxa"/>
            <w:shd w:val="clear" w:color="auto" w:fill="C6EFCE"/>
          </w:tcPr>
          <w:p w14:paraId="50B4AEA8" w14:textId="77777777" w:rsidR="003B5F50" w:rsidRDefault="000D2D85">
            <w:pPr>
              <w:pStyle w:val="P68B1DB1-Normal14"/>
              <w:rPr>
                <w:noProof/>
                <w:szCs w:val="20"/>
              </w:rPr>
            </w:pPr>
            <w:r>
              <w:rPr>
                <w:noProof/>
              </w:rPr>
              <w:t>Objectif</w:t>
            </w:r>
          </w:p>
        </w:tc>
        <w:tc>
          <w:tcPr>
            <w:tcW w:w="850" w:type="dxa"/>
            <w:shd w:val="clear" w:color="auto" w:fill="C6EFCE"/>
          </w:tcPr>
          <w:p w14:paraId="50B4AEA9" w14:textId="77777777" w:rsidR="003B5F50" w:rsidRDefault="000D2D85">
            <w:pPr>
              <w:pStyle w:val="P68B1DB1-Normal14"/>
              <w:rPr>
                <w:noProof/>
                <w:szCs w:val="20"/>
              </w:rPr>
            </w:pPr>
            <w:r>
              <w:rPr>
                <w:noProof/>
              </w:rPr>
              <w:t>Liste des projets sélectionnés pour les régions de Muránska Planina et Polonina</w:t>
            </w:r>
          </w:p>
        </w:tc>
        <w:tc>
          <w:tcPr>
            <w:tcW w:w="1276" w:type="dxa"/>
            <w:shd w:val="clear" w:color="auto" w:fill="C6EFCE"/>
          </w:tcPr>
          <w:p w14:paraId="50B4AEAA" w14:textId="77777777" w:rsidR="003B5F50" w:rsidRDefault="003B5F50">
            <w:pPr>
              <w:rPr>
                <w:rFonts w:ascii="Times New Roman" w:hAnsi="Times New Roman"/>
                <w:noProof/>
                <w:sz w:val="20"/>
                <w:szCs w:val="20"/>
              </w:rPr>
            </w:pPr>
          </w:p>
        </w:tc>
        <w:tc>
          <w:tcPr>
            <w:tcW w:w="1559" w:type="dxa"/>
            <w:shd w:val="clear" w:color="auto" w:fill="C6EFCE"/>
          </w:tcPr>
          <w:p w14:paraId="50B4AEAB" w14:textId="77777777" w:rsidR="003B5F50" w:rsidRDefault="000D2D85">
            <w:pPr>
              <w:pStyle w:val="P68B1DB1-Normal14"/>
              <w:rPr>
                <w:noProof/>
                <w:szCs w:val="20"/>
              </w:rPr>
            </w:pPr>
            <w:r>
              <w:rPr>
                <w:noProof/>
              </w:rPr>
              <w:t>Numéro</w:t>
            </w:r>
          </w:p>
        </w:tc>
        <w:tc>
          <w:tcPr>
            <w:tcW w:w="1418" w:type="dxa"/>
            <w:shd w:val="clear" w:color="auto" w:fill="C6EFCE"/>
          </w:tcPr>
          <w:p w14:paraId="50B4AEAC" w14:textId="77777777" w:rsidR="003B5F50" w:rsidRDefault="000D2D85">
            <w:pPr>
              <w:pStyle w:val="P68B1DB1-Normal14"/>
              <w:jc w:val="right"/>
              <w:rPr>
                <w:noProof/>
                <w:szCs w:val="20"/>
              </w:rPr>
            </w:pPr>
            <w:r>
              <w:rPr>
                <w:noProof/>
              </w:rPr>
              <w:t>0</w:t>
            </w:r>
          </w:p>
        </w:tc>
        <w:tc>
          <w:tcPr>
            <w:tcW w:w="992" w:type="dxa"/>
            <w:shd w:val="clear" w:color="auto" w:fill="C6EFCE"/>
          </w:tcPr>
          <w:p w14:paraId="50B4AEAD" w14:textId="77777777" w:rsidR="003B5F50" w:rsidRDefault="000D2D85">
            <w:pPr>
              <w:pStyle w:val="P68B1DB1-Normal14"/>
              <w:jc w:val="right"/>
              <w:rPr>
                <w:noProof/>
                <w:szCs w:val="20"/>
              </w:rPr>
            </w:pPr>
            <w:r>
              <w:rPr>
                <w:noProof/>
              </w:rPr>
              <w:t>2</w:t>
            </w:r>
          </w:p>
        </w:tc>
        <w:tc>
          <w:tcPr>
            <w:tcW w:w="1254" w:type="dxa"/>
            <w:shd w:val="clear" w:color="auto" w:fill="C6EFCE"/>
          </w:tcPr>
          <w:p w14:paraId="50B4AEAE" w14:textId="77777777" w:rsidR="003B5F50" w:rsidRDefault="000D2D85">
            <w:pPr>
              <w:pStyle w:val="P68B1DB1-Normal14"/>
              <w:jc w:val="center"/>
              <w:rPr>
                <w:noProof/>
                <w:szCs w:val="20"/>
              </w:rPr>
            </w:pPr>
            <w:r>
              <w:rPr>
                <w:noProof/>
              </w:rPr>
              <w:t>T2</w:t>
            </w:r>
          </w:p>
        </w:tc>
        <w:tc>
          <w:tcPr>
            <w:tcW w:w="872" w:type="dxa"/>
            <w:shd w:val="clear" w:color="auto" w:fill="C6EFCE"/>
          </w:tcPr>
          <w:p w14:paraId="50B4AEAF" w14:textId="77777777" w:rsidR="003B5F50" w:rsidRDefault="000D2D85">
            <w:pPr>
              <w:pStyle w:val="P68B1DB1-Normal14"/>
              <w:jc w:val="center"/>
              <w:rPr>
                <w:noProof/>
                <w:szCs w:val="20"/>
              </w:rPr>
            </w:pPr>
            <w:r>
              <w:rPr>
                <w:noProof/>
              </w:rPr>
              <w:t>2022</w:t>
            </w:r>
          </w:p>
        </w:tc>
        <w:tc>
          <w:tcPr>
            <w:tcW w:w="3373" w:type="dxa"/>
            <w:shd w:val="clear" w:color="auto" w:fill="C6EFCE"/>
          </w:tcPr>
          <w:p w14:paraId="50B4AEB0" w14:textId="77777777" w:rsidR="003B5F50" w:rsidRDefault="000D2D85">
            <w:pPr>
              <w:pStyle w:val="P68B1DB1-Normal14"/>
              <w:rPr>
                <w:noProof/>
                <w:szCs w:val="20"/>
              </w:rPr>
            </w:pPr>
            <w:r>
              <w:rPr>
                <w:noProof/>
              </w:rPr>
              <w:t>Le comité directeur sélectionne les projets pour deux régions de Muránska Planina et Polonina conformément au principe consistant à «ne pas causer de préjudice important» sur la base d’une discussion ouverte avec les acteurs locaux concernés.</w:t>
            </w:r>
          </w:p>
        </w:tc>
      </w:tr>
      <w:tr w:rsidR="00042E43" w14:paraId="50B4AECE" w14:textId="77777777" w:rsidTr="00042E43">
        <w:trPr>
          <w:trHeight w:val="300"/>
          <w:jc w:val="center"/>
        </w:trPr>
        <w:tc>
          <w:tcPr>
            <w:tcW w:w="824" w:type="dxa"/>
            <w:shd w:val="clear" w:color="auto" w:fill="C6EFCE"/>
          </w:tcPr>
          <w:p w14:paraId="50B4AEB2" w14:textId="77777777" w:rsidR="003B5F50" w:rsidRDefault="003B5F50">
            <w:pPr>
              <w:jc w:val="center"/>
              <w:rPr>
                <w:rFonts w:ascii="Times New Roman" w:eastAsia="Times New Roman" w:hAnsi="Times New Roman" w:cs="Times New Roman"/>
                <w:noProof/>
                <w:color w:val="006100"/>
                <w:sz w:val="20"/>
                <w:szCs w:val="20"/>
              </w:rPr>
            </w:pPr>
          </w:p>
          <w:p w14:paraId="50B4AEB3" w14:textId="77777777" w:rsidR="003B5F50" w:rsidRDefault="000D2D85">
            <w:pPr>
              <w:pStyle w:val="P68B1DB1-Normal9"/>
              <w:jc w:val="center"/>
              <w:rPr>
                <w:noProof/>
              </w:rPr>
            </w:pPr>
            <w:r>
              <w:rPr>
                <w:noProof/>
              </w:rPr>
              <w:t>8</w:t>
            </w:r>
          </w:p>
          <w:p w14:paraId="50B4AEB4" w14:textId="77777777" w:rsidR="003B5F50" w:rsidRDefault="003B5F50">
            <w:pPr>
              <w:jc w:val="center"/>
              <w:rPr>
                <w:rFonts w:ascii="Times New Roman" w:eastAsia="Times New Roman" w:hAnsi="Times New Roman" w:cs="Times New Roman"/>
                <w:noProof/>
                <w:color w:val="006100"/>
                <w:sz w:val="20"/>
                <w:szCs w:val="20"/>
              </w:rPr>
            </w:pPr>
          </w:p>
        </w:tc>
        <w:tc>
          <w:tcPr>
            <w:tcW w:w="1581" w:type="dxa"/>
            <w:shd w:val="clear" w:color="auto" w:fill="C6EFCE"/>
          </w:tcPr>
          <w:p w14:paraId="50B4AEB5" w14:textId="0A1ACBBD" w:rsidR="003B5F50" w:rsidRDefault="000D2D85">
            <w:pPr>
              <w:pStyle w:val="P68B1DB1-Normal9"/>
              <w:rPr>
                <w:noProof/>
              </w:rPr>
            </w:pPr>
            <w:r>
              <w:rPr>
                <w:noProof/>
              </w:rPr>
              <w:t>5 – Adaptation au changement climatique – Réforme 2: Réforme de la conservation de la nature et de la gestion de l'eau à la campagne</w:t>
            </w:r>
          </w:p>
          <w:p w14:paraId="50B4AEB6" w14:textId="77777777" w:rsidR="003B5F50" w:rsidRDefault="003B5F50">
            <w:pPr>
              <w:rPr>
                <w:rFonts w:ascii="Times New Roman" w:eastAsia="Times New Roman" w:hAnsi="Times New Roman" w:cs="Times New Roman"/>
                <w:noProof/>
                <w:color w:val="006100"/>
                <w:sz w:val="20"/>
                <w:szCs w:val="20"/>
              </w:rPr>
            </w:pPr>
          </w:p>
        </w:tc>
        <w:tc>
          <w:tcPr>
            <w:tcW w:w="851" w:type="dxa"/>
            <w:shd w:val="clear" w:color="auto" w:fill="C6EFCE"/>
          </w:tcPr>
          <w:p w14:paraId="50B4AEB7" w14:textId="77777777" w:rsidR="003B5F50" w:rsidRDefault="000D2D85">
            <w:pPr>
              <w:pStyle w:val="P68B1DB1-Normal9"/>
              <w:rPr>
                <w:noProof/>
              </w:rPr>
            </w:pPr>
            <w:r>
              <w:rPr>
                <w:noProof/>
              </w:rPr>
              <w:t>Étape</w:t>
            </w:r>
          </w:p>
          <w:p w14:paraId="50B4AEB8" w14:textId="77777777" w:rsidR="003B5F50" w:rsidRDefault="003B5F50">
            <w:pPr>
              <w:rPr>
                <w:rFonts w:ascii="Times New Roman" w:eastAsia="Times New Roman" w:hAnsi="Times New Roman" w:cs="Times New Roman"/>
                <w:noProof/>
                <w:color w:val="006100"/>
                <w:sz w:val="20"/>
                <w:szCs w:val="20"/>
              </w:rPr>
            </w:pPr>
          </w:p>
        </w:tc>
        <w:tc>
          <w:tcPr>
            <w:tcW w:w="850" w:type="dxa"/>
            <w:shd w:val="clear" w:color="auto" w:fill="C6EFCE"/>
          </w:tcPr>
          <w:p w14:paraId="50B4AEB9" w14:textId="77777777" w:rsidR="003B5F50" w:rsidRDefault="000D2D85">
            <w:pPr>
              <w:pStyle w:val="P68B1DB1-Normal9"/>
              <w:rPr>
                <w:noProof/>
              </w:rPr>
            </w:pPr>
            <w:r>
              <w:rPr>
                <w:noProof/>
              </w:rPr>
              <w:t>Processus de zonage des parcs nationaux</w:t>
            </w:r>
          </w:p>
          <w:p w14:paraId="50B4AEBA" w14:textId="77777777" w:rsidR="003B5F50" w:rsidRDefault="003B5F50">
            <w:pPr>
              <w:rPr>
                <w:rFonts w:ascii="Times New Roman" w:eastAsia="Times New Roman" w:hAnsi="Times New Roman" w:cs="Times New Roman"/>
                <w:noProof/>
                <w:color w:val="006100"/>
                <w:sz w:val="20"/>
                <w:szCs w:val="20"/>
              </w:rPr>
            </w:pPr>
          </w:p>
        </w:tc>
        <w:tc>
          <w:tcPr>
            <w:tcW w:w="1276" w:type="dxa"/>
            <w:shd w:val="clear" w:color="auto" w:fill="C6EFCE"/>
          </w:tcPr>
          <w:p w14:paraId="50B4AEBB" w14:textId="77777777" w:rsidR="003B5F50" w:rsidRDefault="000D2D85">
            <w:pPr>
              <w:pStyle w:val="P68B1DB1-Normal9"/>
              <w:rPr>
                <w:noProof/>
              </w:rPr>
            </w:pPr>
            <w:r>
              <w:rPr>
                <w:noProof/>
              </w:rPr>
              <w:t>Entrée en vigueur et application des décrets gouvernementaux établissant les parcs nationaux, leurs zones et zones protégées</w:t>
            </w:r>
          </w:p>
          <w:p w14:paraId="50B4AEBC" w14:textId="77777777" w:rsidR="003B5F50" w:rsidRDefault="003B5F50">
            <w:pPr>
              <w:rPr>
                <w:rFonts w:ascii="Times New Roman" w:eastAsia="Times New Roman" w:hAnsi="Times New Roman" w:cs="Times New Roman"/>
                <w:noProof/>
                <w:color w:val="006100"/>
                <w:sz w:val="20"/>
                <w:szCs w:val="20"/>
              </w:rPr>
            </w:pPr>
          </w:p>
        </w:tc>
        <w:tc>
          <w:tcPr>
            <w:tcW w:w="1559" w:type="dxa"/>
            <w:shd w:val="clear" w:color="auto" w:fill="C6EFCE"/>
          </w:tcPr>
          <w:p w14:paraId="50B4AEBD" w14:textId="77777777" w:rsidR="003B5F50" w:rsidRDefault="003B5F50">
            <w:pPr>
              <w:rPr>
                <w:rFonts w:ascii="Times New Roman" w:eastAsia="Times New Roman" w:hAnsi="Times New Roman" w:cs="Times New Roman"/>
                <w:noProof/>
                <w:color w:val="006100"/>
                <w:sz w:val="20"/>
                <w:szCs w:val="20"/>
              </w:rPr>
            </w:pPr>
          </w:p>
        </w:tc>
        <w:tc>
          <w:tcPr>
            <w:tcW w:w="1418" w:type="dxa"/>
            <w:shd w:val="clear" w:color="auto" w:fill="C6EFCE"/>
          </w:tcPr>
          <w:p w14:paraId="50B4AEBE" w14:textId="77777777" w:rsidR="003B5F50" w:rsidRDefault="003B5F50">
            <w:pPr>
              <w:jc w:val="right"/>
              <w:rPr>
                <w:rFonts w:ascii="Times New Roman" w:eastAsia="Times New Roman" w:hAnsi="Times New Roman" w:cs="Times New Roman"/>
                <w:noProof/>
                <w:color w:val="006100"/>
                <w:sz w:val="20"/>
                <w:szCs w:val="20"/>
              </w:rPr>
            </w:pPr>
          </w:p>
        </w:tc>
        <w:tc>
          <w:tcPr>
            <w:tcW w:w="992" w:type="dxa"/>
            <w:shd w:val="clear" w:color="auto" w:fill="C6EFCE"/>
          </w:tcPr>
          <w:p w14:paraId="50B4AEBF" w14:textId="77777777" w:rsidR="003B5F50" w:rsidRDefault="003B5F50">
            <w:pPr>
              <w:jc w:val="right"/>
              <w:rPr>
                <w:rFonts w:ascii="Times New Roman" w:eastAsia="Times New Roman" w:hAnsi="Times New Roman" w:cs="Times New Roman"/>
                <w:noProof/>
                <w:color w:val="006100"/>
                <w:sz w:val="20"/>
                <w:szCs w:val="20"/>
              </w:rPr>
            </w:pPr>
          </w:p>
        </w:tc>
        <w:tc>
          <w:tcPr>
            <w:tcW w:w="1254" w:type="dxa"/>
            <w:shd w:val="clear" w:color="auto" w:fill="C6EFCE"/>
          </w:tcPr>
          <w:p w14:paraId="50B4AEC0" w14:textId="77777777" w:rsidR="003B5F50" w:rsidRDefault="000D2D85">
            <w:pPr>
              <w:pStyle w:val="P68B1DB1-Normal9"/>
              <w:jc w:val="center"/>
              <w:rPr>
                <w:noProof/>
              </w:rPr>
            </w:pPr>
            <w:r>
              <w:rPr>
                <w:noProof/>
              </w:rPr>
              <w:t>T1</w:t>
            </w:r>
          </w:p>
        </w:tc>
        <w:tc>
          <w:tcPr>
            <w:tcW w:w="872" w:type="dxa"/>
            <w:shd w:val="clear" w:color="auto" w:fill="C6EFCE"/>
          </w:tcPr>
          <w:p w14:paraId="50B4AEC1" w14:textId="77777777" w:rsidR="003B5F50" w:rsidRDefault="000D2D85">
            <w:pPr>
              <w:pStyle w:val="P68B1DB1-Normal9"/>
              <w:jc w:val="center"/>
              <w:rPr>
                <w:noProof/>
              </w:rPr>
            </w:pPr>
            <w:r>
              <w:rPr>
                <w:noProof/>
              </w:rPr>
              <w:t>2026</w:t>
            </w:r>
          </w:p>
        </w:tc>
        <w:tc>
          <w:tcPr>
            <w:tcW w:w="3373" w:type="dxa"/>
            <w:shd w:val="clear" w:color="auto" w:fill="C6EFCE"/>
          </w:tcPr>
          <w:p w14:paraId="50B4AEC2" w14:textId="77777777" w:rsidR="003B5F50" w:rsidRDefault="000D2D85">
            <w:pPr>
              <w:pStyle w:val="P68B1DB1-Normal14"/>
              <w:rPr>
                <w:noProof/>
              </w:rPr>
            </w:pPr>
            <w:bookmarkStart w:id="3" w:name="_Hlk194053896"/>
            <w:r>
              <w:rPr>
                <w:noProof/>
              </w:rPr>
              <w:t>Le gouvernement finalise le processus de zonage en adoptant des décrets établissant les parcs nationaux suivants, leurs zones et leurs aires protégées respectives:</w:t>
            </w:r>
          </w:p>
          <w:p w14:paraId="50B4AEC3" w14:textId="77777777" w:rsidR="003B5F50" w:rsidRDefault="000D2D85">
            <w:pPr>
              <w:pStyle w:val="P68B1DB1-ListParagraph29"/>
              <w:numPr>
                <w:ilvl w:val="0"/>
                <w:numId w:val="30"/>
              </w:numPr>
              <w:spacing w:after="0"/>
              <w:rPr>
                <w:noProof/>
              </w:rPr>
            </w:pPr>
            <w:r>
              <w:rPr>
                <w:noProof/>
              </w:rPr>
              <w:t>Slovenský kras,</w:t>
            </w:r>
          </w:p>
          <w:p w14:paraId="50B4AEC4" w14:textId="77777777" w:rsidR="003B5F50" w:rsidRDefault="000D2D85">
            <w:pPr>
              <w:pStyle w:val="P68B1DB1-ListParagraph29"/>
              <w:numPr>
                <w:ilvl w:val="0"/>
                <w:numId w:val="30"/>
              </w:numPr>
              <w:spacing w:after="0"/>
              <w:rPr>
                <w:noProof/>
              </w:rPr>
            </w:pPr>
            <w:r>
              <w:rPr>
                <w:noProof/>
              </w:rPr>
              <w:t xml:space="preserve">Velká Fatra, </w:t>
            </w:r>
          </w:p>
          <w:p w14:paraId="50B4AEC5" w14:textId="77777777" w:rsidR="003B5F50" w:rsidRDefault="000D2D85">
            <w:pPr>
              <w:pStyle w:val="P68B1DB1-ListParagraph29"/>
              <w:numPr>
                <w:ilvl w:val="0"/>
                <w:numId w:val="30"/>
              </w:numPr>
              <w:spacing w:after="0"/>
              <w:rPr>
                <w:noProof/>
              </w:rPr>
            </w:pPr>
            <w:r>
              <w:rPr>
                <w:noProof/>
              </w:rPr>
              <w:t>Muránska planina,</w:t>
            </w:r>
          </w:p>
          <w:p w14:paraId="50B4AEC6" w14:textId="77777777" w:rsidR="003B5F50" w:rsidRDefault="000D2D85">
            <w:pPr>
              <w:pStyle w:val="P68B1DB1-ListParagraph30"/>
              <w:numPr>
                <w:ilvl w:val="0"/>
                <w:numId w:val="30"/>
              </w:numPr>
              <w:spacing w:after="0"/>
              <w:rPr>
                <w:noProof/>
              </w:rPr>
            </w:pPr>
            <w:r>
              <w:rPr>
                <w:noProof/>
              </w:rPr>
              <w:t>Malá Fatra,</w:t>
            </w:r>
          </w:p>
          <w:p w14:paraId="50B4AEC7" w14:textId="77777777" w:rsidR="003B5F50" w:rsidRDefault="000D2D85">
            <w:pPr>
              <w:pStyle w:val="P68B1DB1-ListParagraph30"/>
              <w:numPr>
                <w:ilvl w:val="0"/>
                <w:numId w:val="30"/>
              </w:numPr>
              <w:spacing w:after="0"/>
              <w:rPr>
                <w:noProof/>
              </w:rPr>
            </w:pPr>
            <w:r>
              <w:rPr>
                <w:noProof/>
              </w:rPr>
              <w:t>Nízké Tatry,</w:t>
            </w:r>
          </w:p>
          <w:p w14:paraId="50B4AEC8" w14:textId="77777777" w:rsidR="003B5F50" w:rsidRDefault="000D2D85">
            <w:pPr>
              <w:pStyle w:val="P68B1DB1-ListParagraph30"/>
              <w:numPr>
                <w:ilvl w:val="0"/>
                <w:numId w:val="30"/>
              </w:numPr>
              <w:spacing w:after="0"/>
              <w:rPr>
                <w:noProof/>
              </w:rPr>
            </w:pPr>
            <w:r>
              <w:rPr>
                <w:noProof/>
              </w:rPr>
              <w:t>Vysoké Tatry, et</w:t>
            </w:r>
          </w:p>
          <w:p w14:paraId="50B4AEC9" w14:textId="77777777" w:rsidR="003B5F50" w:rsidRDefault="000D2D85">
            <w:pPr>
              <w:pStyle w:val="P68B1DB1-ListParagraph30"/>
              <w:numPr>
                <w:ilvl w:val="0"/>
                <w:numId w:val="30"/>
              </w:numPr>
              <w:spacing w:after="0"/>
              <w:rPr>
                <w:noProof/>
              </w:rPr>
            </w:pPr>
            <w:r>
              <w:rPr>
                <w:noProof/>
              </w:rPr>
              <w:t>Un poloniny.</w:t>
            </w:r>
          </w:p>
          <w:p w14:paraId="11348FEF" w14:textId="6218B8C5" w:rsidR="003B5F50" w:rsidRDefault="003B5F50">
            <w:pPr>
              <w:rPr>
                <w:rFonts w:ascii="Times New Roman" w:hAnsi="Times New Roman"/>
                <w:noProof/>
                <w:color w:val="006100"/>
                <w:sz w:val="20"/>
                <w:szCs w:val="20"/>
              </w:rPr>
            </w:pPr>
          </w:p>
          <w:p w14:paraId="50B4AECB" w14:textId="3BF95F0F" w:rsidR="003B5F50" w:rsidRDefault="000D2D85">
            <w:pPr>
              <w:pStyle w:val="P68B1DB1-Normal15"/>
              <w:rPr>
                <w:noProof/>
              </w:rPr>
            </w:pPr>
            <w:r>
              <w:rPr>
                <w:noProof/>
              </w:rPr>
              <w:t xml:space="preserve">Les décrets gouvernementaux respectifs veillent à ce que: </w:t>
            </w:r>
          </w:p>
          <w:p w14:paraId="50B4AECC" w14:textId="77777777" w:rsidR="003B5F50" w:rsidRDefault="000D2D85">
            <w:pPr>
              <w:pStyle w:val="P68B1DB1-Normal15"/>
              <w:rPr>
                <w:noProof/>
              </w:rPr>
            </w:pPr>
            <w:r>
              <w:rPr>
                <w:noProof/>
              </w:rPr>
              <w:t>i) les zones de forêts primaires et de forêts anciennes dans les parcs nationaux sont couvertes par la zone A du cinquième niveau de protection conformément aux articles 16 et 30 de la loi n° 543/2002 Rec. sur la protection de la nature, et</w:t>
            </w:r>
          </w:p>
          <w:p w14:paraId="50B4AECD" w14:textId="408910EF" w:rsidR="003B5F50" w:rsidRDefault="000D2D85">
            <w:pPr>
              <w:pStyle w:val="P68B1DB1-Normal15"/>
              <w:rPr>
                <w:noProof/>
              </w:rPr>
            </w:pPr>
            <w:r>
              <w:rPr>
                <w:noProof/>
              </w:rPr>
              <w:t xml:space="preserve">ii) ils sont conformes au programme de conservation déjà approuvé de Capercaillie (Tetrao urogallus Linnaeus, 1758) pour les années 2025 à 2029, adopté le 20 janvier 2025. Il en résulte que la zone A du cinquième niveau de protection, conformément aux articles 16 et 30 de la loi n° 543/2002 Rec. sur la protection de la nature, est imposée dans les zones identifiées comme nécessitant une non-intervention dans le programme de conservation. </w:t>
            </w:r>
            <w:bookmarkEnd w:id="3"/>
          </w:p>
        </w:tc>
      </w:tr>
      <w:tr w:rsidR="00042E43" w14:paraId="50B4AEE8" w14:textId="77777777" w:rsidTr="00042E43">
        <w:trPr>
          <w:trHeight w:val="300"/>
          <w:jc w:val="center"/>
        </w:trPr>
        <w:tc>
          <w:tcPr>
            <w:tcW w:w="824" w:type="dxa"/>
            <w:shd w:val="clear" w:color="auto" w:fill="C6EFCE"/>
          </w:tcPr>
          <w:p w14:paraId="50B4AECF" w14:textId="77777777" w:rsidR="003B5F50" w:rsidRDefault="000D2D85">
            <w:pPr>
              <w:pStyle w:val="P68B1DB1-Normal9"/>
              <w:rPr>
                <w:noProof/>
              </w:rPr>
            </w:pPr>
            <w:r>
              <w:rPr>
                <w:noProof/>
              </w:rPr>
              <w:t>9</w:t>
            </w:r>
          </w:p>
        </w:tc>
        <w:tc>
          <w:tcPr>
            <w:tcW w:w="1581" w:type="dxa"/>
            <w:shd w:val="clear" w:color="auto" w:fill="C6EFCE"/>
          </w:tcPr>
          <w:p w14:paraId="50B4AED0" w14:textId="77777777" w:rsidR="003B5F50" w:rsidRDefault="000D2D85">
            <w:pPr>
              <w:pStyle w:val="P68B1DB1-Normal10"/>
              <w:rPr>
                <w:noProof/>
                <w:color w:val="006100"/>
              </w:rPr>
            </w:pPr>
            <w:r>
              <w:rPr>
                <w:noProof/>
                <w:color w:val="006100"/>
              </w:rPr>
              <w:t>Investissement 2: Construire des forêts</w:t>
            </w:r>
            <w:r>
              <w:rPr>
                <w:noProof/>
              </w:rPr>
              <w:t xml:space="preserve"> </w:t>
            </w:r>
            <w:r>
              <w:rPr>
                <w:noProof/>
                <w:color w:val="006100"/>
              </w:rPr>
              <w:t>résilientes au changement climatique</w:t>
            </w:r>
          </w:p>
        </w:tc>
        <w:tc>
          <w:tcPr>
            <w:tcW w:w="851" w:type="dxa"/>
            <w:shd w:val="clear" w:color="auto" w:fill="C6EFCE"/>
          </w:tcPr>
          <w:p w14:paraId="50B4AED1" w14:textId="77777777" w:rsidR="003B5F50" w:rsidRDefault="000D2D85">
            <w:pPr>
              <w:pStyle w:val="P68B1DB1-Normal9"/>
              <w:rPr>
                <w:noProof/>
              </w:rPr>
            </w:pPr>
            <w:r>
              <w:rPr>
                <w:noProof/>
              </w:rPr>
              <w:t>Objectif</w:t>
            </w:r>
          </w:p>
        </w:tc>
        <w:tc>
          <w:tcPr>
            <w:tcW w:w="850" w:type="dxa"/>
            <w:shd w:val="clear" w:color="auto" w:fill="C6EFCE"/>
          </w:tcPr>
          <w:p w14:paraId="50B4AED2" w14:textId="77777777" w:rsidR="003B5F50" w:rsidRDefault="000D2D85">
            <w:pPr>
              <w:pStyle w:val="P68B1DB1-Normal9"/>
              <w:rPr>
                <w:noProof/>
              </w:rPr>
            </w:pPr>
            <w:r>
              <w:rPr>
                <w:noProof/>
              </w:rPr>
              <w:t>Activités de reboisement durable</w:t>
            </w:r>
          </w:p>
        </w:tc>
        <w:tc>
          <w:tcPr>
            <w:tcW w:w="1276" w:type="dxa"/>
            <w:shd w:val="clear" w:color="auto" w:fill="C6EFCE"/>
          </w:tcPr>
          <w:p w14:paraId="50B4AED3" w14:textId="77777777" w:rsidR="003B5F50" w:rsidRDefault="000D2D85">
            <w:pPr>
              <w:pStyle w:val="P68B1DB1-Normal9"/>
              <w:rPr>
                <w:noProof/>
              </w:rPr>
            </w:pPr>
            <w:r>
              <w:rPr>
                <w:noProof/>
              </w:rPr>
              <w:t>Superficie des terres ayant fait l'objet de mesures de gestion durable des forêts</w:t>
            </w:r>
          </w:p>
        </w:tc>
        <w:tc>
          <w:tcPr>
            <w:tcW w:w="1559" w:type="dxa"/>
            <w:shd w:val="clear" w:color="auto" w:fill="C6EFCE"/>
          </w:tcPr>
          <w:p w14:paraId="50B4AED4" w14:textId="77777777" w:rsidR="003B5F50" w:rsidRDefault="000D2D85">
            <w:pPr>
              <w:pStyle w:val="P68B1DB1-Normal9"/>
              <w:rPr>
                <w:noProof/>
              </w:rPr>
            </w:pPr>
            <w:r>
              <w:rPr>
                <w:noProof/>
              </w:rPr>
              <w:t>ha</w:t>
            </w:r>
          </w:p>
        </w:tc>
        <w:tc>
          <w:tcPr>
            <w:tcW w:w="1418" w:type="dxa"/>
            <w:shd w:val="clear" w:color="auto" w:fill="C6EFCE"/>
          </w:tcPr>
          <w:p w14:paraId="50B4AED5" w14:textId="77777777" w:rsidR="003B5F50" w:rsidRDefault="000D2D85">
            <w:pPr>
              <w:pStyle w:val="P68B1DB1-Normal9"/>
              <w:rPr>
                <w:noProof/>
              </w:rPr>
            </w:pPr>
            <w:r>
              <w:rPr>
                <w:noProof/>
              </w:rPr>
              <w:t>0</w:t>
            </w:r>
          </w:p>
        </w:tc>
        <w:tc>
          <w:tcPr>
            <w:tcW w:w="992" w:type="dxa"/>
            <w:shd w:val="clear" w:color="auto" w:fill="C6EFCE"/>
          </w:tcPr>
          <w:p w14:paraId="50B4AED6" w14:textId="77777777" w:rsidR="003B5F50" w:rsidRDefault="000D2D85">
            <w:pPr>
              <w:pStyle w:val="P68B1DB1-Normal27"/>
              <w:rPr>
                <w:rFonts w:ascii="Times New Roman" w:eastAsia="Times New Roman" w:hAnsi="Times New Roman" w:cs="Times New Roman"/>
                <w:noProof/>
                <w:szCs w:val="20"/>
              </w:rPr>
            </w:pPr>
            <w:r>
              <w:rPr>
                <w:rFonts w:ascii="Times New Roman" w:eastAsia="Times New Roman" w:hAnsi="Times New Roman" w:cs="Times New Roman"/>
                <w:noProof/>
                <w:szCs w:val="20"/>
              </w:rPr>
              <w:t>31</w:t>
            </w:r>
            <w:r>
              <w:rPr>
                <w:rFonts w:ascii="Times New Roman" w:hAnsi="Times New Roman"/>
                <w:noProof/>
              </w:rPr>
              <w:t xml:space="preserve"> </w:t>
            </w:r>
            <w:r>
              <w:rPr>
                <w:rFonts w:ascii="Times New Roman" w:eastAsia="Times New Roman" w:hAnsi="Times New Roman" w:cs="Times New Roman"/>
                <w:noProof/>
                <w:szCs w:val="20"/>
              </w:rPr>
              <w:t>069</w:t>
            </w:r>
          </w:p>
        </w:tc>
        <w:tc>
          <w:tcPr>
            <w:tcW w:w="1254" w:type="dxa"/>
            <w:shd w:val="clear" w:color="auto" w:fill="C6EFCE"/>
          </w:tcPr>
          <w:p w14:paraId="50B4AED7" w14:textId="77777777" w:rsidR="003B5F50" w:rsidRDefault="000D2D85">
            <w:pPr>
              <w:pStyle w:val="P68B1DB1-Normal9"/>
              <w:rPr>
                <w:noProof/>
              </w:rPr>
            </w:pPr>
            <w:r>
              <w:rPr>
                <w:noProof/>
              </w:rPr>
              <w:t xml:space="preserve"> T2</w:t>
            </w:r>
          </w:p>
        </w:tc>
        <w:tc>
          <w:tcPr>
            <w:tcW w:w="872" w:type="dxa"/>
            <w:shd w:val="clear" w:color="auto" w:fill="C6EFCE"/>
          </w:tcPr>
          <w:p w14:paraId="50B4AED8" w14:textId="77777777" w:rsidR="003B5F50" w:rsidRDefault="000D2D85">
            <w:pPr>
              <w:pStyle w:val="P68B1DB1-Normal9"/>
              <w:rPr>
                <w:noProof/>
              </w:rPr>
            </w:pPr>
            <w:r>
              <w:rPr>
                <w:noProof/>
              </w:rPr>
              <w:t>2026</w:t>
            </w:r>
          </w:p>
        </w:tc>
        <w:tc>
          <w:tcPr>
            <w:tcW w:w="3373" w:type="dxa"/>
            <w:shd w:val="clear" w:color="auto" w:fill="C6EFCE"/>
          </w:tcPr>
          <w:p w14:paraId="50B4AED9" w14:textId="77777777" w:rsidR="003B5F50" w:rsidRDefault="000D2D85">
            <w:pPr>
              <w:pStyle w:val="P68B1DB1-Normal9"/>
              <w:spacing w:line="257" w:lineRule="auto"/>
              <w:rPr>
                <w:noProof/>
                <w:sz w:val="22"/>
                <w:szCs w:val="22"/>
              </w:rPr>
            </w:pPr>
            <w:r>
              <w:rPr>
                <w:noProof/>
              </w:rPr>
              <w:t xml:space="preserve">Les activités soutenues sont mises en œuvre uniquement sur des terres forestières. </w:t>
            </w:r>
          </w:p>
          <w:p w14:paraId="50B4AEDA" w14:textId="77777777" w:rsidR="003B5F50" w:rsidRDefault="000D2D85">
            <w:pPr>
              <w:pStyle w:val="P68B1DB1-Normal9"/>
              <w:spacing w:line="257" w:lineRule="auto"/>
              <w:rPr>
                <w:noProof/>
              </w:rPr>
            </w:pPr>
            <w:r>
              <w:rPr>
                <w:noProof/>
              </w:rPr>
              <w:t>Sont exclues les zones suivantes:</w:t>
            </w:r>
          </w:p>
          <w:p w14:paraId="50B4AEDB" w14:textId="77777777" w:rsidR="003B5F50" w:rsidRDefault="000D2D85">
            <w:pPr>
              <w:pStyle w:val="P68B1DB1-ListParagraph26"/>
              <w:numPr>
                <w:ilvl w:val="0"/>
                <w:numId w:val="31"/>
              </w:numPr>
              <w:spacing w:line="257" w:lineRule="auto"/>
              <w:rPr>
                <w:noProof/>
              </w:rPr>
            </w:pPr>
            <w:r>
              <w:rPr>
                <w:noProof/>
              </w:rPr>
              <w:t>Natura 2000;</w:t>
            </w:r>
          </w:p>
          <w:p w14:paraId="50B4AEDC" w14:textId="77777777" w:rsidR="003B5F50" w:rsidRDefault="000D2D85">
            <w:pPr>
              <w:pStyle w:val="P68B1DB1-ListParagraph26"/>
              <w:numPr>
                <w:ilvl w:val="0"/>
                <w:numId w:val="31"/>
              </w:numPr>
              <w:spacing w:line="257" w:lineRule="auto"/>
              <w:rPr>
                <w:noProof/>
              </w:rPr>
            </w:pPr>
            <w:r>
              <w:rPr>
                <w:noProof/>
              </w:rPr>
              <w:t>4</w:t>
            </w:r>
            <w:r>
              <w:rPr>
                <w:noProof/>
                <w:vertAlign w:val="superscript"/>
              </w:rPr>
              <w:t xml:space="preserve"> e et</w:t>
            </w:r>
            <w:r>
              <w:rPr>
                <w:noProof/>
              </w:rPr>
              <w:t xml:space="preserve"> 5</w:t>
            </w:r>
            <w:r>
              <w:rPr>
                <w:noProof/>
                <w:vertAlign w:val="superscript"/>
              </w:rPr>
              <w:t xml:space="preserve"> e niveaux</w:t>
            </w:r>
            <w:r>
              <w:rPr>
                <w:noProof/>
              </w:rPr>
              <w:t xml:space="preserve"> de zones protégées sur la base de la législation slovaque;</w:t>
            </w:r>
          </w:p>
          <w:p w14:paraId="50B4AEDD" w14:textId="77777777" w:rsidR="003B5F50" w:rsidRDefault="000D2D85">
            <w:pPr>
              <w:pStyle w:val="P68B1DB1-ListParagraph26"/>
              <w:numPr>
                <w:ilvl w:val="0"/>
                <w:numId w:val="31"/>
              </w:numPr>
              <w:spacing w:line="257" w:lineRule="auto"/>
              <w:rPr>
                <w:noProof/>
              </w:rPr>
            </w:pPr>
            <w:r>
              <w:rPr>
                <w:noProof/>
              </w:rPr>
              <w:t>les zones où la présence d’espèces de tétras de l’Ouest est enregistrée.</w:t>
            </w:r>
          </w:p>
          <w:p w14:paraId="50B4AEDE" w14:textId="77777777" w:rsidR="003B5F50" w:rsidRDefault="000D2D85">
            <w:pPr>
              <w:pStyle w:val="P68B1DB1-Normal27"/>
              <w:spacing w:line="257"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Un protocole d'acceptation est publié, démontrant que les mesures de gestion durable des forêts ont été mises en œuvre sur une superficie de 31</w:t>
            </w:r>
            <w:r>
              <w:rPr>
                <w:rFonts w:ascii="Times New Roman" w:hAnsi="Times New Roman"/>
                <w:noProof/>
              </w:rPr>
              <w:t> </w:t>
            </w:r>
            <w:r>
              <w:rPr>
                <w:rFonts w:ascii="Times New Roman" w:eastAsia="Times New Roman" w:hAnsi="Times New Roman" w:cs="Times New Roman"/>
                <w:noProof/>
                <w:szCs w:val="20"/>
              </w:rPr>
              <w:t>069</w:t>
            </w:r>
            <w:r>
              <w:rPr>
                <w:rFonts w:ascii="Times New Roman" w:eastAsia="Times New Roman" w:hAnsi="Times New Roman" w:cs="Times New Roman"/>
                <w:b/>
                <w:noProof/>
                <w:szCs w:val="20"/>
              </w:rPr>
              <w:t xml:space="preserve"> </w:t>
            </w:r>
            <w:r>
              <w:rPr>
                <w:rFonts w:ascii="Times New Roman" w:eastAsia="Times New Roman" w:hAnsi="Times New Roman" w:cs="Times New Roman"/>
                <w:noProof/>
                <w:szCs w:val="20"/>
              </w:rPr>
              <w:t>ha, et qu'il comprenait les activités suivantes:</w:t>
            </w:r>
          </w:p>
          <w:p w14:paraId="50B4AEDF" w14:textId="77777777" w:rsidR="003B5F50" w:rsidRDefault="000D2D85">
            <w:pPr>
              <w:pStyle w:val="P68B1DB1-ListParagraph31"/>
              <w:numPr>
                <w:ilvl w:val="0"/>
                <w:numId w:val="32"/>
              </w:numPr>
              <w:spacing w:line="257"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régénération artificielle des forêts de 1</w:t>
            </w:r>
            <w:r>
              <w:rPr>
                <w:rFonts w:ascii="Times New Roman" w:hAnsi="Times New Roman"/>
                <w:noProof/>
              </w:rPr>
              <w:t> </w:t>
            </w:r>
            <w:r>
              <w:rPr>
                <w:rFonts w:ascii="Times New Roman" w:eastAsia="Times New Roman" w:hAnsi="Times New Roman" w:cs="Times New Roman"/>
                <w:noProof/>
                <w:szCs w:val="20"/>
              </w:rPr>
              <w:t xml:space="preserve">972 ha; </w:t>
            </w:r>
          </w:p>
          <w:p w14:paraId="50B4AEE0" w14:textId="77777777" w:rsidR="003B5F50" w:rsidRDefault="000D2D85">
            <w:pPr>
              <w:pStyle w:val="P68B1DB1-ListParagraph26"/>
              <w:numPr>
                <w:ilvl w:val="0"/>
                <w:numId w:val="32"/>
              </w:numPr>
              <w:spacing w:line="257" w:lineRule="auto"/>
              <w:rPr>
                <w:noProof/>
              </w:rPr>
            </w:pPr>
            <w:r>
              <w:rPr>
                <w:noProof/>
              </w:rPr>
              <w:t xml:space="preserve">Renforcement de la régénération naturelle de la forêt de 188 ha; </w:t>
            </w:r>
          </w:p>
          <w:p w14:paraId="50B4AEE1" w14:textId="77777777" w:rsidR="003B5F50" w:rsidRDefault="000D2D85">
            <w:pPr>
              <w:pStyle w:val="P68B1DB1-ListParagraph31"/>
              <w:numPr>
                <w:ilvl w:val="0"/>
                <w:numId w:val="32"/>
              </w:numPr>
              <w:spacing w:line="257"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Protection de la couverture forestière des jeunes de 15</w:t>
            </w:r>
            <w:r>
              <w:rPr>
                <w:rFonts w:ascii="Times New Roman" w:hAnsi="Times New Roman"/>
                <w:noProof/>
              </w:rPr>
              <w:t> </w:t>
            </w:r>
            <w:r>
              <w:rPr>
                <w:rFonts w:ascii="Times New Roman" w:eastAsia="Times New Roman" w:hAnsi="Times New Roman" w:cs="Times New Roman"/>
                <w:noProof/>
                <w:szCs w:val="20"/>
              </w:rPr>
              <w:t>421 ha;</w:t>
            </w:r>
          </w:p>
          <w:p w14:paraId="50B4AEE2" w14:textId="77777777" w:rsidR="003B5F50" w:rsidRDefault="000D2D85">
            <w:pPr>
              <w:pStyle w:val="P68B1DB1-ListParagraph29"/>
              <w:numPr>
                <w:ilvl w:val="0"/>
                <w:numId w:val="32"/>
              </w:numPr>
              <w:spacing w:after="0" w:line="257" w:lineRule="auto"/>
              <w:ind w:left="357" w:hanging="357"/>
              <w:rPr>
                <w:rFonts w:eastAsia="Times New Roman" w:cs="Times New Roman"/>
                <w:noProof/>
              </w:rPr>
            </w:pPr>
            <w:r>
              <w:rPr>
                <w:noProof/>
              </w:rPr>
              <w:t>Tendance des jeunes peuplements forestiers pour assurer la composition des espèces et de l'espace d'au moins 9 166 ha;</w:t>
            </w:r>
          </w:p>
          <w:p w14:paraId="50B4AEE3" w14:textId="77777777" w:rsidR="003B5F50" w:rsidRDefault="000D2D85">
            <w:pPr>
              <w:pStyle w:val="P68B1DB1-Normal27"/>
              <w:numPr>
                <w:ilvl w:val="0"/>
                <w:numId w:val="32"/>
              </w:numPr>
              <w:spacing w:line="257"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Premier éclaircissement jusqu'à 50 ans de maximum 4</w:t>
            </w:r>
            <w:r>
              <w:rPr>
                <w:rFonts w:ascii="Times New Roman" w:hAnsi="Times New Roman"/>
                <w:noProof/>
              </w:rPr>
              <w:t> </w:t>
            </w:r>
            <w:r>
              <w:rPr>
                <w:rFonts w:ascii="Times New Roman" w:eastAsia="Times New Roman" w:hAnsi="Times New Roman" w:cs="Times New Roman"/>
                <w:noProof/>
                <w:szCs w:val="20"/>
              </w:rPr>
              <w:t>322 ha.</w:t>
            </w:r>
          </w:p>
          <w:p w14:paraId="50B4AEE4" w14:textId="77777777" w:rsidR="003B5F50" w:rsidRDefault="000D2D85">
            <w:pPr>
              <w:pStyle w:val="P68B1DB1-Normal32"/>
              <w:spacing w:line="257" w:lineRule="auto"/>
              <w:rPr>
                <w:rFonts w:ascii="Times New Roman" w:eastAsia="Times New Roman" w:hAnsi="Times New Roman" w:cs="Times New Roman"/>
                <w:noProof/>
                <w:highlight w:val="yellow"/>
              </w:rPr>
            </w:pPr>
            <w:r>
              <w:rPr>
                <w:noProof/>
              </w:rPr>
              <w:t xml:space="preserve">Un </w:t>
            </w:r>
            <w:r>
              <w:rPr>
                <w:rFonts w:ascii="Times New Roman" w:hAnsi="Times New Roman" w:cs="Times New Roman"/>
                <w:noProof/>
              </w:rPr>
              <w:t>rapport d'un expert indépendant est publié, confirmant que:</w:t>
            </w:r>
          </w:p>
          <w:p w14:paraId="50B4AEE5" w14:textId="77777777" w:rsidR="003B5F50" w:rsidRDefault="000D2D85">
            <w:pPr>
              <w:pStyle w:val="P68B1DB1-ListParagraph33"/>
              <w:numPr>
                <w:ilvl w:val="0"/>
                <w:numId w:val="32"/>
              </w:numPr>
              <w:spacing w:line="257" w:lineRule="auto"/>
              <w:rPr>
                <w:noProof/>
              </w:rPr>
            </w:pPr>
            <w:r>
              <w:rPr>
                <w:noProof/>
              </w:rPr>
              <w:t>les activités soutenues n’ont été mises en œuvre que sur des terres forestières, et Natura 2 000, les zones aux 4</w:t>
            </w:r>
            <w:r>
              <w:rPr>
                <w:noProof/>
                <w:vertAlign w:val="superscript"/>
              </w:rPr>
              <w:t xml:space="preserve"> e</w:t>
            </w:r>
            <w:r>
              <w:rPr>
                <w:noProof/>
              </w:rPr>
              <w:t xml:space="preserve"> et 5</w:t>
            </w:r>
            <w:r>
              <w:rPr>
                <w:noProof/>
                <w:vertAlign w:val="superscript"/>
              </w:rPr>
              <w:t xml:space="preserve"> e</w:t>
            </w:r>
            <w:r>
              <w:rPr>
                <w:noProof/>
              </w:rPr>
              <w:t xml:space="preserve"> niveaux de protection et les zones où la présence du grand tétras occidental a été enregistrée ont été exclues. </w:t>
            </w:r>
          </w:p>
          <w:p w14:paraId="50B4AEE6" w14:textId="77777777" w:rsidR="003B5F50" w:rsidRDefault="000D2D85">
            <w:pPr>
              <w:pStyle w:val="P68B1DB1-ListParagraph33"/>
              <w:numPr>
                <w:ilvl w:val="0"/>
                <w:numId w:val="32"/>
              </w:numPr>
              <w:spacing w:line="257" w:lineRule="auto"/>
              <w:rPr>
                <w:rFonts w:eastAsia="Times New Roman"/>
                <w:noProof/>
              </w:rPr>
            </w:pPr>
            <w:r>
              <w:rPr>
                <w:noProof/>
              </w:rPr>
              <w:t>les activités ont contribué à la construction d’une forêt multispécifique et multigénérationnelle, en ce qui concerne la composition spatiale et gérée selon une approche de couverture forestière continue,</w:t>
            </w:r>
          </w:p>
          <w:p w14:paraId="50B4AEE7" w14:textId="77777777" w:rsidR="003B5F50" w:rsidRDefault="000D2D85">
            <w:pPr>
              <w:pStyle w:val="P68B1DB1-ListParagraph33"/>
              <w:numPr>
                <w:ilvl w:val="0"/>
                <w:numId w:val="32"/>
              </w:numPr>
              <w:spacing w:line="257" w:lineRule="auto"/>
              <w:rPr>
                <w:rFonts w:eastAsia="Times New Roman"/>
                <w:noProof/>
              </w:rPr>
            </w:pPr>
            <w:r>
              <w:rPr>
                <w:noProof/>
              </w:rPr>
              <w:t>Pour le reboisement, seules des espèces d'arbres indigènes ont été plantées ou adaptées aux conditions climatiques et pédohydrologiques projetées.</w:t>
            </w:r>
          </w:p>
        </w:tc>
      </w:tr>
    </w:tbl>
    <w:p w14:paraId="50B4AEE9" w14:textId="77777777" w:rsidR="003B5F50" w:rsidRDefault="003B5F50">
      <w:pPr>
        <w:rPr>
          <w:noProof/>
        </w:rPr>
      </w:pPr>
    </w:p>
    <w:p w14:paraId="50B4AEEA" w14:textId="77777777" w:rsidR="003B5F50" w:rsidRDefault="003B5F50">
      <w:pPr>
        <w:keepNext/>
        <w:keepLines/>
        <w:spacing w:before="40" w:after="0" w:line="259" w:lineRule="auto"/>
        <w:outlineLvl w:val="1"/>
        <w:rPr>
          <w:rFonts w:ascii="Times New Roman" w:eastAsia="MS Gothic" w:hAnsi="Times New Roman" w:cs="Times New Roman"/>
          <w:b/>
          <w:noProof/>
        </w:rPr>
        <w:sectPr w:rsidR="003B5F50" w:rsidSect="003E3DD3">
          <w:headerReference w:type="even" r:id="rId71"/>
          <w:headerReference w:type="default" r:id="rId72"/>
          <w:footerReference w:type="even" r:id="rId73"/>
          <w:footerReference w:type="default" r:id="rId74"/>
          <w:headerReference w:type="first" r:id="rId75"/>
          <w:footerReference w:type="first" r:id="rId76"/>
          <w:pgSz w:w="15840" w:h="12240" w:orient="landscape"/>
          <w:pgMar w:top="1134" w:right="1134" w:bottom="1134" w:left="1134" w:header="567" w:footer="567" w:gutter="0"/>
          <w:cols w:space="720"/>
          <w:docGrid w:linePitch="360"/>
        </w:sectPr>
      </w:pPr>
    </w:p>
    <w:p w14:paraId="50B4AEEB" w14:textId="77777777" w:rsidR="003B5F50" w:rsidRDefault="000D2D85">
      <w:pPr>
        <w:pStyle w:val="P68B1DB1-Normal34"/>
        <w:keepNext/>
        <w:keepLines/>
        <w:spacing w:before="40" w:after="0" w:line="259" w:lineRule="auto"/>
        <w:outlineLvl w:val="1"/>
        <w:rPr>
          <w:noProof/>
        </w:rPr>
      </w:pPr>
      <w:r>
        <w:rPr>
          <w:noProof/>
        </w:rPr>
        <w:t xml:space="preserve">Élément 6: Accessibilité, développement et qualité de l'éducation inclusive </w:t>
      </w:r>
    </w:p>
    <w:p w14:paraId="50B4AEEC" w14:textId="77777777" w:rsidR="003B5F50" w:rsidRDefault="000D2D85">
      <w:pPr>
        <w:pStyle w:val="P68B1DB1-Normal35"/>
        <w:spacing w:before="120" w:after="120" w:line="240" w:lineRule="auto"/>
        <w:jc w:val="both"/>
        <w:rPr>
          <w:noProof/>
        </w:rPr>
      </w:pPr>
      <w:r>
        <w:rPr>
          <w:noProof/>
        </w:rPr>
        <w:t>L’objectif de ce volet est d’améliorer l’accessibilité et l’inclusivité de l’enseignement préscolaire et scolaire général en Slovaquie. Le volet améliorera l’accès à l’enseignement préprimaire en veillant à ce que les enfants âgés de 5 ans aient leur place dans le système préscolaire et en introduisant le droit légal à l’enseignement préprimaire pour les enfants âgés de 4 et 3 ans. Ce volet vise à réformer le système de financement de l'enseignement préscolaire et à introduire le système de mesures de soutien à l'éducation inclusive. Ce volet peut contribuer à réduire le décrochage scolaire en encourageant le système d'orientation et de conseil scolaire au premier cycle du secondaire et à améliorer l'inclusion des enfants roms en réduisant la ségrégation dans les écoles. Le volet doit pallier les lacunes dans les résultats scolaires dues à la pandémie et aider les enfants ayant des besoins éducatifs particuliers par des mesures de soutien plus ciblées.</w:t>
      </w:r>
    </w:p>
    <w:p w14:paraId="50B4AEED" w14:textId="0160DEBA" w:rsidR="003B5F50" w:rsidRDefault="000D2D85">
      <w:pPr>
        <w:pStyle w:val="P68B1DB1-Normal36"/>
        <w:spacing w:before="120" w:after="120"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AEEE" w14:textId="77777777" w:rsidR="003B5F50" w:rsidRDefault="000D2D85">
      <w:pPr>
        <w:pStyle w:val="P68B1DB1-Normal36"/>
        <w:spacing w:before="120" w:after="120" w:line="240" w:lineRule="auto"/>
        <w:jc w:val="both"/>
        <w:rPr>
          <w:noProof/>
        </w:rPr>
      </w:pPr>
      <w:r>
        <w:rPr>
          <w:noProof/>
        </w:rPr>
        <w:t xml:space="preserve">Le volet contribue à donner suite aux recommandations par pays adressées à la Slovaquie au cours des deux dernières années, sur la nécessité d’améliorer </w:t>
      </w:r>
      <w:r>
        <w:rPr>
          <w:i/>
          <w:noProof/>
        </w:rPr>
        <w:t>la qualité et l’inclusivité de l’éducation à tous les niveaux et de favoriser les compétences.</w:t>
      </w:r>
      <w:r>
        <w:rPr>
          <w:noProof/>
        </w:rPr>
        <w:t xml:space="preserve"> </w:t>
      </w:r>
      <w:r>
        <w:rPr>
          <w:i/>
          <w:noProof/>
        </w:rPr>
        <w:t xml:space="preserve">Améliorer l’accès à des services de garde d’enfants et de soins de longue durée abordables et de qualité. Promouvoir l'intégration des groupes défavorisés, en particulier les Roms. </w:t>
      </w:r>
      <w:r>
        <w:rPr>
          <w:noProof/>
        </w:rPr>
        <w:t>(Recommandation spécifique par pays no 2/2019).</w:t>
      </w:r>
    </w:p>
    <w:p w14:paraId="50B4AEEF" w14:textId="77777777" w:rsidR="003B5F50" w:rsidRDefault="000D2D85">
      <w:pPr>
        <w:pStyle w:val="P68B1DB1-Normal37"/>
        <w:spacing w:before="120" w:after="120" w:line="240" w:lineRule="auto"/>
        <w:jc w:val="both"/>
        <w:rPr>
          <w:i/>
          <w:noProof/>
        </w:rPr>
      </w:pPr>
      <w:r>
        <w:rPr>
          <w:noProof/>
        </w:rPr>
        <w:t xml:space="preserve">A.1. </w:t>
      </w:r>
      <w:r>
        <w:rPr>
          <w:noProof/>
        </w:rPr>
        <w:tab/>
        <w:t>Description des réformes et des investissements pour le soutien financier non remboursable</w:t>
      </w:r>
    </w:p>
    <w:p w14:paraId="50B4AEF1" w14:textId="77777777" w:rsidR="003B5F50" w:rsidRDefault="000D2D85">
      <w:pPr>
        <w:pStyle w:val="P68B1DB1-Normal38"/>
        <w:spacing w:before="120" w:after="120" w:line="240" w:lineRule="auto"/>
        <w:jc w:val="both"/>
        <w:rPr>
          <w:bCs/>
          <w:noProof/>
        </w:rPr>
      </w:pPr>
      <w:r>
        <w:rPr>
          <w:noProof/>
        </w:rPr>
        <w:t xml:space="preserve">Réforme 1: Prévoir des conditions pour la mise en œuvre de l'enseignement préprimaire obligatoire pour les enfants à partir de l'âge de 5 ans et introduire un droit légal à une place à la maternelle ou dans d'autres établissements d'enseignement préprimaire à partir de l'âge de 3 ans. </w:t>
      </w:r>
    </w:p>
    <w:p w14:paraId="50B4AEF2" w14:textId="39EE4EE5" w:rsidR="003B5F50" w:rsidRDefault="000D2D85">
      <w:pPr>
        <w:pStyle w:val="P68B1DB1-Normal35"/>
        <w:spacing w:before="120" w:after="120" w:line="240" w:lineRule="auto"/>
        <w:jc w:val="both"/>
        <w:rPr>
          <w:noProof/>
        </w:rPr>
      </w:pPr>
      <w:r>
        <w:rPr>
          <w:noProof/>
        </w:rPr>
        <w:t xml:space="preserve">L'objectif de cette réforme est de remplir les conditions préalables à la mise en œuvre de l'enseignement préprimaire obligatoire pour les enfants de 5 ans et d'un droit légal à une place dans l'enseignement préprimaire pour les enfants de 3 et 4 ans. Cette mesure consiste à modifier la législation et à créer des capacités dans les jardins d'enfants. </w:t>
      </w:r>
    </w:p>
    <w:p w14:paraId="50B4AEF4" w14:textId="77777777" w:rsidR="003B5F50" w:rsidRDefault="000D2D85">
      <w:pPr>
        <w:pStyle w:val="P68B1DB1-Normal35"/>
        <w:spacing w:before="120" w:after="120" w:line="240" w:lineRule="auto"/>
        <w:jc w:val="both"/>
        <w:rPr>
          <w:noProof/>
        </w:rPr>
      </w:pPr>
      <w:r>
        <w:rPr>
          <w:b/>
          <w:noProof/>
        </w:rPr>
        <w:t>Réforme 2: La définition de la notion de besoins éducatifs spéciaux des enfants et des élèves et l'élaboration d'un modèle pour les mesures de soutien éligibles dans le domaine de l'éducation, y compris leur système de financement.</w:t>
      </w:r>
      <w:r>
        <w:rPr>
          <w:noProof/>
        </w:rPr>
        <w:t xml:space="preserve"> L'objectif de cette réforme est de soutenir les élèves ayant des besoins éducatifs spéciaux. Cette mesure consiste en la modification de la législation, l'introduction de mesures de soutien et l'offre de formation. </w:t>
      </w:r>
    </w:p>
    <w:p w14:paraId="50B4AEF5" w14:textId="77777777" w:rsidR="003B5F50" w:rsidRDefault="000D2D85">
      <w:pPr>
        <w:pStyle w:val="P68B1DB1-Normal36"/>
        <w:spacing w:before="120" w:after="120" w:line="240" w:lineRule="auto"/>
        <w:jc w:val="both"/>
        <w:rPr>
          <w:noProof/>
        </w:rPr>
      </w:pPr>
      <w:r>
        <w:rPr>
          <w:b/>
          <w:noProof/>
        </w:rPr>
        <w:t xml:space="preserve">Réforme 3: Réformer le système de conseil et de prévention et assurer la collecte systématique de données dans le domaine de la promotion de la santé mentale pour les enfants, les élèves et les étudiants. </w:t>
      </w:r>
      <w:r>
        <w:rPr>
          <w:noProof/>
        </w:rPr>
        <w:t>L'objectif de la réforme est de déplacer les centres de conseil et de prévention (CPP) nouvellement créés pour qu'ils fonctionnent plus près des écoles. En modifiant les actes juridiques respectifs, ces centres exercent des activités professionnelles sans définir les désavantages sanitaires, comme c’est actuellement le cas, qui sont à l’origine de discriminations. Une modification du système de conseil s'accompagne d'autres mesures de soutien telles que: modification de la mise en place du financement sur la base des activités professionnelles.</w:t>
      </w:r>
    </w:p>
    <w:p w14:paraId="50B4AEF6" w14:textId="77777777" w:rsidR="003B5F50" w:rsidRDefault="000D2D85">
      <w:pPr>
        <w:pStyle w:val="P68B1DB1-Normal36"/>
        <w:spacing w:before="120" w:after="120" w:line="240" w:lineRule="auto"/>
        <w:jc w:val="both"/>
        <w:rPr>
          <w:noProof/>
        </w:rPr>
      </w:pPr>
      <w:r>
        <w:rPr>
          <w:noProof/>
        </w:rPr>
        <w:t>La mise en œuvre de la réforme est achevée au plus tard le 31 mars 2023.</w:t>
      </w:r>
    </w:p>
    <w:p w14:paraId="618EEF58" w14:textId="77777777" w:rsidR="003B5F50" w:rsidRDefault="000D2D85">
      <w:pPr>
        <w:pStyle w:val="P68B1DB1-Normal35"/>
        <w:rPr>
          <w:b/>
          <w:bCs/>
          <w:noProof/>
        </w:rPr>
      </w:pPr>
      <w:r>
        <w:rPr>
          <w:noProof/>
        </w:rPr>
        <w:br w:type="page"/>
      </w:r>
    </w:p>
    <w:p w14:paraId="50B4AEF7" w14:textId="50121A7C" w:rsidR="003B5F50" w:rsidRDefault="000D2D85">
      <w:pPr>
        <w:pStyle w:val="P68B1DB1-Normal35"/>
        <w:spacing w:before="120" w:after="120" w:line="240" w:lineRule="auto"/>
        <w:jc w:val="both"/>
        <w:rPr>
          <w:noProof/>
        </w:rPr>
      </w:pPr>
      <w:r>
        <w:rPr>
          <w:b/>
          <w:noProof/>
        </w:rPr>
        <w:t>Réforme 4: Adapter les programmes d'études de type F.</w:t>
      </w:r>
      <w:r>
        <w:rPr>
          <w:noProof/>
        </w:rPr>
        <w:t xml:space="preserve"> </w:t>
      </w:r>
    </w:p>
    <w:p w14:paraId="50B4AEF8" w14:textId="18696B69" w:rsidR="003B5F50" w:rsidRDefault="000D2D85">
      <w:pPr>
        <w:pStyle w:val="P68B1DB1-Normal35"/>
        <w:spacing w:before="120" w:after="120" w:line="240" w:lineRule="auto"/>
        <w:jc w:val="both"/>
        <w:rPr>
          <w:noProof/>
        </w:rPr>
      </w:pPr>
      <w:r>
        <w:rPr>
          <w:noProof/>
        </w:rPr>
        <w:t xml:space="preserve">L’objectif de cette réforme est d’introduire la possibilité d’atteindre le niveau de l’enseignement secondaire inférieur dans les programmes d’enseignement professionnel du premier cycle de l’enseignement secondaire, appelés «programmes F». Cette mesure consiste à modifier la législation et à adapter la liste des programmes F proposés.  </w:t>
      </w:r>
    </w:p>
    <w:p w14:paraId="50B4AEF9" w14:textId="77777777" w:rsidR="003B5F50" w:rsidRDefault="000D2D85">
      <w:pPr>
        <w:pStyle w:val="P68B1DB1-Normal36"/>
        <w:spacing w:before="120" w:after="120" w:line="240" w:lineRule="auto"/>
        <w:jc w:val="both"/>
        <w:rPr>
          <w:noProof/>
        </w:rPr>
      </w:pPr>
      <w:r>
        <w:rPr>
          <w:b/>
          <w:noProof/>
        </w:rPr>
        <w:t>Réforme n° 5: Promouvoir la déségrégation scolaire.</w:t>
      </w:r>
      <w:r>
        <w:rPr>
          <w:noProof/>
        </w:rPr>
        <w:t xml:space="preserve"> </w:t>
      </w:r>
    </w:p>
    <w:p w14:paraId="50B4AEFA" w14:textId="77777777" w:rsidR="003B5F50" w:rsidRDefault="000D2D85">
      <w:pPr>
        <w:pStyle w:val="P68B1DB1-Normal36"/>
        <w:spacing w:before="120" w:after="120" w:line="240" w:lineRule="auto"/>
        <w:jc w:val="both"/>
        <w:rPr>
          <w:noProof/>
        </w:rPr>
      </w:pPr>
      <w:r>
        <w:rPr>
          <w:noProof/>
        </w:rPr>
        <w:t>L'objectif de cette réforme est d'introduire une définition légale de la ségrégation dans les écoles. Cette mesure consiste à modifier la législation et à établir du matériel méthodologique et des normes de déségrégation.</w:t>
      </w:r>
    </w:p>
    <w:p w14:paraId="50B4AEFB" w14:textId="77777777" w:rsidR="003B5F50" w:rsidRDefault="000D2D85">
      <w:pPr>
        <w:pStyle w:val="P68B1DB1-Normal39"/>
        <w:spacing w:before="120" w:after="120" w:line="240" w:lineRule="auto"/>
        <w:jc w:val="both"/>
        <w:rPr>
          <w:noProof/>
        </w:rPr>
      </w:pPr>
      <w:r>
        <w:rPr>
          <w:noProof/>
        </w:rPr>
        <w:t>Réforme 6</w:t>
      </w:r>
      <w:r>
        <w:rPr>
          <w:i/>
          <w:noProof/>
        </w:rPr>
        <w:t xml:space="preserve">: Mesures </w:t>
      </w:r>
      <w:r>
        <w:rPr>
          <w:noProof/>
        </w:rPr>
        <w:t xml:space="preserve">compensatoires visant à atténuer les effets de la pandémie dans l’enseignement primaire et secondaire. </w:t>
      </w:r>
    </w:p>
    <w:p w14:paraId="50B4AEFC" w14:textId="77777777" w:rsidR="003B5F50" w:rsidRDefault="000D2D85">
      <w:pPr>
        <w:pStyle w:val="P68B1DB1-Normal36"/>
        <w:spacing w:before="120" w:after="120" w:line="240" w:lineRule="auto"/>
        <w:jc w:val="both"/>
        <w:rPr>
          <w:noProof/>
        </w:rPr>
      </w:pPr>
      <w:r>
        <w:rPr>
          <w:noProof/>
        </w:rPr>
        <w:t>La réforme établit un programme d’enseignement destiné principalement aux élèves qui ont eu des possibilités limitées de participer à l’éducation pendant la pandémie. Le programme d’enseignement est organisé par les écoles des élèves participants et se concentre en particulier sur des matières relevant des «principaux domaines éducatifs». La sélection des élèves ainsi que la communication avec les représentants légaux des élèves sont des responsabilités attribuées à l’école.</w:t>
      </w:r>
    </w:p>
    <w:p w14:paraId="50B4AEFD" w14:textId="77777777" w:rsidR="003B5F50" w:rsidRDefault="000D2D85">
      <w:pPr>
        <w:pStyle w:val="P68B1DB1-Normal36"/>
        <w:spacing w:before="120" w:after="120" w:line="240" w:lineRule="auto"/>
        <w:jc w:val="both"/>
        <w:rPr>
          <w:noProof/>
        </w:rPr>
      </w:pPr>
      <w:r>
        <w:rPr>
          <w:noProof/>
        </w:rPr>
        <w:t>Afin de remédier au problème du manque de données complètes sur le cours de l’enseignement à distance, le ministère de l’éducation lance un appel en faveur de la réalisation de recherches pédagogiques approfondies afin d’analyser l’impact de la pandémie sur l’éducation et ses implications pour les politiques éducatives.</w:t>
      </w:r>
    </w:p>
    <w:p w14:paraId="50B4AEFE" w14:textId="77777777" w:rsidR="003B5F50" w:rsidRDefault="000D2D85">
      <w:pPr>
        <w:pStyle w:val="P68B1DB1-Normal36"/>
        <w:spacing w:before="120" w:after="120" w:line="240" w:lineRule="auto"/>
        <w:jc w:val="both"/>
        <w:rPr>
          <w:noProof/>
        </w:rPr>
      </w:pPr>
      <w:r>
        <w:rPr>
          <w:noProof/>
        </w:rPr>
        <w:t>La mise en œuvre de la réforme devrait débuter le 30 septembre 2021 au plus tard et s’achever le 31 décembre 2024 au plus tard.</w:t>
      </w:r>
    </w:p>
    <w:p w14:paraId="50B4AEFF" w14:textId="77777777" w:rsidR="003B5F50" w:rsidRDefault="003B5F50">
      <w:pPr>
        <w:spacing w:before="120" w:after="120" w:line="240" w:lineRule="auto"/>
        <w:jc w:val="both"/>
        <w:rPr>
          <w:rFonts w:ascii="Times New Roman" w:eastAsia="MS Mincho" w:hAnsi="Times New Roman" w:cs="Arial"/>
          <w:noProof/>
          <w:szCs w:val="22"/>
        </w:rPr>
      </w:pPr>
    </w:p>
    <w:p w14:paraId="50B4AF00" w14:textId="77777777" w:rsidR="003B5F50" w:rsidRDefault="000D2D85">
      <w:pPr>
        <w:pStyle w:val="P68B1DB1-Normal39"/>
        <w:spacing w:before="120" w:after="120" w:line="240" w:lineRule="auto"/>
        <w:jc w:val="both"/>
        <w:rPr>
          <w:bCs/>
          <w:noProof/>
        </w:rPr>
      </w:pPr>
      <w:r>
        <w:rPr>
          <w:noProof/>
        </w:rPr>
        <w:t xml:space="preserve">Investissement 1: Suppression des barrières dans les bâtiments scolaires. </w:t>
      </w:r>
    </w:p>
    <w:p w14:paraId="50B4AF01" w14:textId="77777777" w:rsidR="003B5F50" w:rsidRDefault="000D2D85">
      <w:pPr>
        <w:pStyle w:val="P68B1DB1-Normal36"/>
        <w:spacing w:before="120" w:after="120" w:line="240" w:lineRule="auto"/>
        <w:jc w:val="both"/>
        <w:rPr>
          <w:noProof/>
        </w:rPr>
      </w:pPr>
      <w:r>
        <w:rPr>
          <w:noProof/>
        </w:rPr>
        <w:t>L'objectif de cet investissement est d'éliminer les obstacles architecturaux dans 135 écoles secondaires. Cette mesure consiste en la mise en place d'un manuel et l'élimination des barrières dans 135 écoles secondaires.</w:t>
      </w:r>
    </w:p>
    <w:p w14:paraId="50B4AF02" w14:textId="77777777" w:rsidR="003B5F50" w:rsidRDefault="003B5F50">
      <w:pPr>
        <w:tabs>
          <w:tab w:val="left" w:pos="993"/>
        </w:tabs>
        <w:spacing w:before="120" w:after="120" w:line="240" w:lineRule="auto"/>
        <w:ind w:hanging="142"/>
        <w:jc w:val="both"/>
        <w:rPr>
          <w:rFonts w:ascii="Times New Roman" w:eastAsia="MS Mincho" w:hAnsi="Times New Roman" w:cs="Arial"/>
          <w:noProof/>
          <w:szCs w:val="22"/>
        </w:rPr>
      </w:pPr>
    </w:p>
    <w:p w14:paraId="50B4AF03" w14:textId="77777777" w:rsidR="003B5F50" w:rsidRDefault="003B5F50">
      <w:pPr>
        <w:tabs>
          <w:tab w:val="left" w:pos="993"/>
        </w:tabs>
        <w:spacing w:before="120" w:after="120" w:line="240" w:lineRule="auto"/>
        <w:ind w:left="426" w:right="-143" w:hanging="142"/>
        <w:jc w:val="both"/>
        <w:rPr>
          <w:rFonts w:ascii="Times New Roman" w:eastAsia="MS Mincho" w:hAnsi="Times New Roman" w:cs="Arial"/>
          <w:noProof/>
          <w:szCs w:val="22"/>
        </w:rPr>
      </w:pPr>
    </w:p>
    <w:p w14:paraId="50B4AF04" w14:textId="77777777" w:rsidR="003B5F50" w:rsidRDefault="003B5F50">
      <w:pPr>
        <w:tabs>
          <w:tab w:val="left" w:pos="993"/>
        </w:tabs>
        <w:spacing w:before="120" w:after="120" w:line="240" w:lineRule="auto"/>
        <w:jc w:val="both"/>
        <w:rPr>
          <w:rFonts w:ascii="Times New Roman" w:eastAsia="MS Mincho" w:hAnsi="Times New Roman" w:cs="Arial"/>
          <w:b/>
          <w:noProof/>
          <w:szCs w:val="22"/>
          <w:u w:val="single"/>
        </w:rPr>
        <w:sectPr w:rsidR="003B5F50" w:rsidSect="003E3DD3">
          <w:headerReference w:type="even" r:id="rId77"/>
          <w:headerReference w:type="default" r:id="rId78"/>
          <w:footerReference w:type="even" r:id="rId79"/>
          <w:footerReference w:type="default" r:id="rId80"/>
          <w:headerReference w:type="first" r:id="rId81"/>
          <w:footerReference w:type="first" r:id="rId82"/>
          <w:pgSz w:w="12240" w:h="15840"/>
          <w:pgMar w:top="1134" w:right="1134" w:bottom="1134" w:left="1134" w:header="567" w:footer="567" w:gutter="0"/>
          <w:cols w:space="720"/>
          <w:docGrid w:linePitch="360"/>
        </w:sectPr>
      </w:pPr>
    </w:p>
    <w:p w14:paraId="50B4AF05" w14:textId="0197315A" w:rsidR="003B5F50" w:rsidRDefault="000D2D85">
      <w:pPr>
        <w:pStyle w:val="P68B1DB1-Normal37"/>
        <w:tabs>
          <w:tab w:val="left" w:pos="993"/>
        </w:tabs>
        <w:spacing w:before="120" w:after="120" w:line="240" w:lineRule="auto"/>
        <w:ind w:right="-285" w:hanging="142"/>
        <w:jc w:val="both"/>
        <w:rPr>
          <w:noProof/>
        </w:rPr>
      </w:pPr>
      <w:r>
        <w:rPr>
          <w:noProof/>
        </w:rPr>
        <w:t xml:space="preserve">A.2. </w:t>
      </w:r>
      <w:r>
        <w:rPr>
          <w:noProof/>
        </w:rPr>
        <w:tab/>
        <w:t>Étapes, objectifs, indicateurs et calendrier du suivi de la mise en œuvre du soutien financier non remboursable</w:t>
      </w:r>
    </w:p>
    <w:p w14:paraId="50B4AF06" w14:textId="77777777" w:rsidR="003B5F50" w:rsidRDefault="003B5F50">
      <w:pPr>
        <w:tabs>
          <w:tab w:val="left" w:pos="993"/>
        </w:tabs>
        <w:spacing w:before="120" w:after="120" w:line="240" w:lineRule="auto"/>
        <w:jc w:val="both"/>
        <w:rPr>
          <w:rFonts w:ascii="Times New Roman" w:eastAsia="MS Mincho" w:hAnsi="Times New Roman" w:cs="Arial"/>
          <w:b/>
          <w:noProof/>
          <w:u w:val="single"/>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1540"/>
        <w:gridCol w:w="743"/>
        <w:gridCol w:w="851"/>
        <w:gridCol w:w="2126"/>
        <w:gridCol w:w="1720"/>
        <w:gridCol w:w="1016"/>
        <w:gridCol w:w="916"/>
        <w:gridCol w:w="1072"/>
        <w:gridCol w:w="761"/>
        <w:gridCol w:w="2128"/>
      </w:tblGrid>
      <w:tr w:rsidR="003B5F50" w14:paraId="50B4AF15" w14:textId="77777777" w:rsidTr="00F133D4">
        <w:trPr>
          <w:trHeight w:val="765"/>
          <w:tblHeader/>
        </w:trPr>
        <w:tc>
          <w:tcPr>
            <w:tcW w:w="689" w:type="dxa"/>
            <w:vMerge w:val="restart"/>
            <w:shd w:val="clear" w:color="auto" w:fill="BDD7EE"/>
            <w:vAlign w:val="center"/>
          </w:tcPr>
          <w:p w14:paraId="50B4AF07" w14:textId="77777777" w:rsidR="003B5F50" w:rsidRDefault="000D2D85">
            <w:pPr>
              <w:pStyle w:val="P68B1DB1-Normal40"/>
              <w:spacing w:line="259" w:lineRule="auto"/>
              <w:jc w:val="center"/>
              <w:rPr>
                <w:noProof/>
              </w:rPr>
            </w:pPr>
            <w:r>
              <w:rPr>
                <w:noProof/>
              </w:rPr>
              <w:t>Seq. Num.</w:t>
            </w:r>
          </w:p>
          <w:p w14:paraId="50B4AF08" w14:textId="77777777" w:rsidR="003B5F50" w:rsidRDefault="000D2D85">
            <w:pPr>
              <w:pStyle w:val="P68B1DB1-Normal40"/>
              <w:spacing w:line="259" w:lineRule="auto"/>
              <w:jc w:val="center"/>
              <w:rPr>
                <w:noProof/>
              </w:rPr>
            </w:pPr>
            <w:r>
              <w:rPr>
                <w:noProof/>
              </w:rPr>
              <w:t xml:space="preserve"> </w:t>
            </w:r>
          </w:p>
        </w:tc>
        <w:tc>
          <w:tcPr>
            <w:tcW w:w="1540" w:type="dxa"/>
            <w:vMerge w:val="restart"/>
            <w:shd w:val="clear" w:color="auto" w:fill="BDD7EE"/>
            <w:vAlign w:val="center"/>
          </w:tcPr>
          <w:p w14:paraId="50B4AF09" w14:textId="77777777" w:rsidR="003B5F50" w:rsidRDefault="000D2D85">
            <w:pPr>
              <w:pStyle w:val="P68B1DB1-Normal40"/>
              <w:spacing w:line="259" w:lineRule="auto"/>
              <w:jc w:val="center"/>
              <w:rPr>
                <w:rFonts w:eastAsia="Calibri" w:cs="Times New Roman"/>
                <w:noProof/>
              </w:rPr>
            </w:pPr>
            <w:r>
              <w:rPr>
                <w:noProof/>
              </w:rPr>
              <w:t>Mesure connexe (réforme ou investissement)</w:t>
            </w:r>
          </w:p>
          <w:p w14:paraId="50B4AF0A" w14:textId="77777777" w:rsidR="003B5F50" w:rsidRDefault="000D2D85">
            <w:pPr>
              <w:pStyle w:val="P68B1DB1-Normal40"/>
              <w:spacing w:line="259" w:lineRule="auto"/>
              <w:jc w:val="center"/>
              <w:rPr>
                <w:noProof/>
              </w:rPr>
            </w:pPr>
            <w:r>
              <w:rPr>
                <w:noProof/>
              </w:rPr>
              <w:t xml:space="preserve"> </w:t>
            </w:r>
          </w:p>
        </w:tc>
        <w:tc>
          <w:tcPr>
            <w:tcW w:w="743" w:type="dxa"/>
            <w:vMerge w:val="restart"/>
            <w:shd w:val="clear" w:color="auto" w:fill="BDD7EE"/>
            <w:vAlign w:val="center"/>
          </w:tcPr>
          <w:p w14:paraId="50B4AF0B" w14:textId="77777777" w:rsidR="003B5F50" w:rsidRDefault="000D2D85">
            <w:pPr>
              <w:pStyle w:val="P68B1DB1-Normal40"/>
              <w:spacing w:line="259" w:lineRule="auto"/>
              <w:jc w:val="center"/>
              <w:rPr>
                <w:rFonts w:eastAsia="Calibri" w:cs="Times New Roman"/>
                <w:noProof/>
              </w:rPr>
            </w:pPr>
            <w:r>
              <w:rPr>
                <w:noProof/>
              </w:rPr>
              <w:t>Étape/cible</w:t>
            </w:r>
          </w:p>
          <w:p w14:paraId="50B4AF0C" w14:textId="77777777" w:rsidR="003B5F50" w:rsidRDefault="000D2D85">
            <w:pPr>
              <w:pStyle w:val="P68B1DB1-Normal40"/>
              <w:spacing w:line="259" w:lineRule="auto"/>
              <w:jc w:val="center"/>
              <w:rPr>
                <w:noProof/>
              </w:rPr>
            </w:pPr>
            <w:r>
              <w:rPr>
                <w:noProof/>
              </w:rPr>
              <w:t xml:space="preserve"> </w:t>
            </w:r>
          </w:p>
        </w:tc>
        <w:tc>
          <w:tcPr>
            <w:tcW w:w="851" w:type="dxa"/>
            <w:vMerge w:val="restart"/>
            <w:shd w:val="clear" w:color="auto" w:fill="BDD7EE"/>
            <w:vAlign w:val="center"/>
          </w:tcPr>
          <w:p w14:paraId="50B4AF0D" w14:textId="77777777" w:rsidR="003B5F50" w:rsidRDefault="000D2D85">
            <w:pPr>
              <w:pStyle w:val="P68B1DB1-Normal40"/>
              <w:spacing w:line="259" w:lineRule="auto"/>
              <w:jc w:val="center"/>
              <w:rPr>
                <w:rFonts w:eastAsia="Calibri" w:cs="Times New Roman"/>
                <w:noProof/>
              </w:rPr>
            </w:pPr>
            <w:r>
              <w:rPr>
                <w:noProof/>
              </w:rPr>
              <w:t>Nom</w:t>
            </w:r>
          </w:p>
          <w:p w14:paraId="50B4AF0E" w14:textId="77777777" w:rsidR="003B5F50" w:rsidRDefault="000D2D85">
            <w:pPr>
              <w:pStyle w:val="P68B1DB1-Normal40"/>
              <w:spacing w:line="259" w:lineRule="auto"/>
              <w:jc w:val="center"/>
              <w:rPr>
                <w:noProof/>
              </w:rPr>
            </w:pPr>
            <w:r>
              <w:rPr>
                <w:noProof/>
              </w:rPr>
              <w:t xml:space="preserve"> </w:t>
            </w:r>
          </w:p>
        </w:tc>
        <w:tc>
          <w:tcPr>
            <w:tcW w:w="2126" w:type="dxa"/>
            <w:vMerge w:val="restart"/>
            <w:shd w:val="clear" w:color="auto" w:fill="BDD7EE"/>
            <w:vAlign w:val="center"/>
          </w:tcPr>
          <w:p w14:paraId="50B4AF0F" w14:textId="77777777" w:rsidR="003B5F50" w:rsidRDefault="000D2D85">
            <w:pPr>
              <w:pStyle w:val="P68B1DB1-Normal40"/>
              <w:spacing w:line="259" w:lineRule="auto"/>
              <w:jc w:val="center"/>
              <w:rPr>
                <w:rFonts w:eastAsia="Calibri" w:cs="Times New Roman"/>
                <w:noProof/>
              </w:rPr>
            </w:pPr>
            <w:r>
              <w:rPr>
                <w:noProof/>
              </w:rPr>
              <w:t>Indicateurs qualitatifs (pour les jalons)</w:t>
            </w:r>
          </w:p>
          <w:p w14:paraId="50B4AF10" w14:textId="77777777" w:rsidR="003B5F50" w:rsidRDefault="000D2D85">
            <w:pPr>
              <w:pStyle w:val="P68B1DB1-Normal40"/>
              <w:spacing w:line="259" w:lineRule="auto"/>
              <w:jc w:val="center"/>
              <w:rPr>
                <w:noProof/>
              </w:rPr>
            </w:pPr>
            <w:r>
              <w:rPr>
                <w:noProof/>
              </w:rPr>
              <w:t xml:space="preserve"> </w:t>
            </w:r>
          </w:p>
        </w:tc>
        <w:tc>
          <w:tcPr>
            <w:tcW w:w="3652" w:type="dxa"/>
            <w:gridSpan w:val="3"/>
            <w:shd w:val="clear" w:color="auto" w:fill="BDD7EE"/>
            <w:vAlign w:val="center"/>
          </w:tcPr>
          <w:p w14:paraId="50B4AF11" w14:textId="77777777" w:rsidR="003B5F50" w:rsidRDefault="000D2D85">
            <w:pPr>
              <w:pStyle w:val="P68B1DB1-Normal40"/>
              <w:spacing w:line="259" w:lineRule="auto"/>
              <w:jc w:val="center"/>
              <w:rPr>
                <w:rFonts w:eastAsia="Calibri" w:cs="Times New Roman"/>
                <w:noProof/>
              </w:rPr>
            </w:pPr>
            <w:r>
              <w:rPr>
                <w:noProof/>
              </w:rPr>
              <w:t>Indicateurs quantitatifs (pour les objectifs)</w:t>
            </w:r>
          </w:p>
        </w:tc>
        <w:tc>
          <w:tcPr>
            <w:tcW w:w="1833" w:type="dxa"/>
            <w:gridSpan w:val="2"/>
            <w:shd w:val="clear" w:color="auto" w:fill="BDD7EE"/>
            <w:vAlign w:val="center"/>
          </w:tcPr>
          <w:p w14:paraId="50B4AF12" w14:textId="77777777" w:rsidR="003B5F50" w:rsidRDefault="000D2D85">
            <w:pPr>
              <w:pStyle w:val="P68B1DB1-Normal40"/>
              <w:spacing w:line="259" w:lineRule="auto"/>
              <w:jc w:val="center"/>
              <w:rPr>
                <w:rFonts w:eastAsia="Calibri" w:cs="Times New Roman"/>
                <w:noProof/>
              </w:rPr>
            </w:pPr>
            <w:r>
              <w:rPr>
                <w:noProof/>
              </w:rPr>
              <w:t xml:space="preserve">Calendrier indicatif d'achèvement </w:t>
            </w:r>
          </w:p>
        </w:tc>
        <w:tc>
          <w:tcPr>
            <w:tcW w:w="2128" w:type="dxa"/>
            <w:vMerge w:val="restart"/>
            <w:shd w:val="clear" w:color="auto" w:fill="BDD7EE"/>
            <w:vAlign w:val="center"/>
          </w:tcPr>
          <w:p w14:paraId="50B4AF13" w14:textId="77777777" w:rsidR="003B5F50" w:rsidRDefault="000D2D85">
            <w:pPr>
              <w:pStyle w:val="P68B1DB1-Normal40"/>
              <w:spacing w:line="259" w:lineRule="auto"/>
              <w:rPr>
                <w:rFonts w:eastAsia="Calibri" w:cs="Times New Roman"/>
                <w:noProof/>
              </w:rPr>
            </w:pPr>
            <w:r>
              <w:rPr>
                <w:noProof/>
              </w:rPr>
              <w:t>Description et définition claire de chaque jalon et cible</w:t>
            </w:r>
          </w:p>
          <w:p w14:paraId="50B4AF14" w14:textId="77777777" w:rsidR="003B5F50" w:rsidRDefault="000D2D85">
            <w:pPr>
              <w:pStyle w:val="P68B1DB1-Normal41"/>
              <w:spacing w:line="259" w:lineRule="auto"/>
              <w:rPr>
                <w:noProof/>
              </w:rPr>
            </w:pPr>
            <w:r>
              <w:rPr>
                <w:noProof/>
              </w:rPr>
              <w:t xml:space="preserve"> </w:t>
            </w:r>
          </w:p>
        </w:tc>
      </w:tr>
      <w:tr w:rsidR="003B5F50" w14:paraId="50B4AF21" w14:textId="77777777" w:rsidTr="00F133D4">
        <w:trPr>
          <w:trHeight w:val="705"/>
          <w:tblHeader/>
        </w:trPr>
        <w:tc>
          <w:tcPr>
            <w:tcW w:w="689" w:type="dxa"/>
            <w:vMerge/>
            <w:vAlign w:val="center"/>
          </w:tcPr>
          <w:p w14:paraId="50B4AF16" w14:textId="77777777" w:rsidR="003B5F50" w:rsidRDefault="003B5F50">
            <w:pPr>
              <w:spacing w:line="259" w:lineRule="auto"/>
              <w:jc w:val="center"/>
              <w:rPr>
                <w:rFonts w:ascii="Times New Roman" w:eastAsia="MS Mincho" w:hAnsi="Times New Roman" w:cs="Arial"/>
                <w:noProof/>
                <w:sz w:val="20"/>
                <w:szCs w:val="22"/>
              </w:rPr>
            </w:pPr>
          </w:p>
        </w:tc>
        <w:tc>
          <w:tcPr>
            <w:tcW w:w="1540" w:type="dxa"/>
            <w:vMerge/>
            <w:vAlign w:val="center"/>
          </w:tcPr>
          <w:p w14:paraId="50B4AF17" w14:textId="77777777" w:rsidR="003B5F50" w:rsidRDefault="003B5F50">
            <w:pPr>
              <w:spacing w:line="259" w:lineRule="auto"/>
              <w:jc w:val="center"/>
              <w:rPr>
                <w:rFonts w:ascii="Times New Roman" w:eastAsia="MS Mincho" w:hAnsi="Times New Roman" w:cs="Arial"/>
                <w:noProof/>
                <w:sz w:val="20"/>
                <w:szCs w:val="22"/>
              </w:rPr>
            </w:pPr>
          </w:p>
        </w:tc>
        <w:tc>
          <w:tcPr>
            <w:tcW w:w="743" w:type="dxa"/>
            <w:vMerge/>
            <w:vAlign w:val="center"/>
          </w:tcPr>
          <w:p w14:paraId="50B4AF18" w14:textId="77777777" w:rsidR="003B5F50" w:rsidRDefault="003B5F50">
            <w:pPr>
              <w:spacing w:line="259" w:lineRule="auto"/>
              <w:jc w:val="center"/>
              <w:rPr>
                <w:rFonts w:ascii="Times New Roman" w:eastAsia="MS Mincho" w:hAnsi="Times New Roman" w:cs="Arial"/>
                <w:noProof/>
                <w:sz w:val="20"/>
                <w:szCs w:val="22"/>
              </w:rPr>
            </w:pPr>
          </w:p>
        </w:tc>
        <w:tc>
          <w:tcPr>
            <w:tcW w:w="851" w:type="dxa"/>
            <w:vMerge/>
            <w:vAlign w:val="center"/>
          </w:tcPr>
          <w:p w14:paraId="50B4AF19" w14:textId="77777777" w:rsidR="003B5F50" w:rsidRDefault="003B5F50">
            <w:pPr>
              <w:spacing w:line="259" w:lineRule="auto"/>
              <w:jc w:val="center"/>
              <w:rPr>
                <w:rFonts w:ascii="Times New Roman" w:eastAsia="MS Mincho" w:hAnsi="Times New Roman" w:cs="Arial"/>
                <w:noProof/>
                <w:sz w:val="20"/>
                <w:szCs w:val="22"/>
              </w:rPr>
            </w:pPr>
          </w:p>
        </w:tc>
        <w:tc>
          <w:tcPr>
            <w:tcW w:w="2126" w:type="dxa"/>
            <w:vMerge/>
            <w:vAlign w:val="center"/>
          </w:tcPr>
          <w:p w14:paraId="50B4AF1A" w14:textId="77777777" w:rsidR="003B5F50" w:rsidRDefault="003B5F50">
            <w:pPr>
              <w:spacing w:line="259" w:lineRule="auto"/>
              <w:jc w:val="center"/>
              <w:rPr>
                <w:rFonts w:ascii="Times New Roman" w:eastAsia="MS Mincho" w:hAnsi="Times New Roman" w:cs="Arial"/>
                <w:noProof/>
                <w:sz w:val="20"/>
                <w:szCs w:val="22"/>
              </w:rPr>
            </w:pPr>
          </w:p>
        </w:tc>
        <w:tc>
          <w:tcPr>
            <w:tcW w:w="1720" w:type="dxa"/>
            <w:shd w:val="clear" w:color="auto" w:fill="BDD7EE"/>
            <w:vAlign w:val="center"/>
          </w:tcPr>
          <w:p w14:paraId="50B4AF1B" w14:textId="77777777" w:rsidR="003B5F50" w:rsidRDefault="000D2D85">
            <w:pPr>
              <w:pStyle w:val="P68B1DB1-Normal40"/>
              <w:spacing w:line="259" w:lineRule="auto"/>
              <w:jc w:val="center"/>
              <w:rPr>
                <w:rFonts w:eastAsia="Calibri" w:cs="Times New Roman"/>
                <w:noProof/>
              </w:rPr>
            </w:pPr>
            <w:r>
              <w:rPr>
                <w:noProof/>
              </w:rPr>
              <w:t>Unité de mesure</w:t>
            </w:r>
          </w:p>
        </w:tc>
        <w:tc>
          <w:tcPr>
            <w:tcW w:w="1016" w:type="dxa"/>
            <w:shd w:val="clear" w:color="auto" w:fill="BDD7EE"/>
            <w:vAlign w:val="center"/>
          </w:tcPr>
          <w:p w14:paraId="50B4AF1C" w14:textId="77777777" w:rsidR="003B5F50" w:rsidRDefault="000D2D85">
            <w:pPr>
              <w:pStyle w:val="P68B1DB1-Normal40"/>
              <w:spacing w:line="259" w:lineRule="auto"/>
              <w:jc w:val="center"/>
              <w:rPr>
                <w:rFonts w:eastAsia="Calibri" w:cs="Times New Roman"/>
                <w:noProof/>
              </w:rPr>
            </w:pPr>
            <w:r>
              <w:rPr>
                <w:noProof/>
              </w:rPr>
              <w:t>Données de référence</w:t>
            </w:r>
          </w:p>
        </w:tc>
        <w:tc>
          <w:tcPr>
            <w:tcW w:w="916" w:type="dxa"/>
            <w:shd w:val="clear" w:color="auto" w:fill="BDD7EE"/>
            <w:vAlign w:val="center"/>
          </w:tcPr>
          <w:p w14:paraId="50B4AF1D" w14:textId="77777777" w:rsidR="003B5F50" w:rsidRDefault="000D2D85">
            <w:pPr>
              <w:pStyle w:val="P68B1DB1-Normal40"/>
              <w:spacing w:line="259" w:lineRule="auto"/>
              <w:jc w:val="center"/>
              <w:rPr>
                <w:rFonts w:eastAsia="Calibri" w:cs="Times New Roman"/>
                <w:noProof/>
              </w:rPr>
            </w:pPr>
            <w:r>
              <w:rPr>
                <w:noProof/>
              </w:rPr>
              <w:t>Objectif</w:t>
            </w:r>
          </w:p>
        </w:tc>
        <w:tc>
          <w:tcPr>
            <w:tcW w:w="1072" w:type="dxa"/>
            <w:shd w:val="clear" w:color="auto" w:fill="BDD7EE"/>
            <w:vAlign w:val="center"/>
          </w:tcPr>
          <w:p w14:paraId="50B4AF1E" w14:textId="77777777" w:rsidR="003B5F50" w:rsidRDefault="000D2D85">
            <w:pPr>
              <w:pStyle w:val="P68B1DB1-Normal40"/>
              <w:spacing w:line="259" w:lineRule="auto"/>
              <w:jc w:val="center"/>
              <w:rPr>
                <w:rFonts w:eastAsia="Calibri" w:cs="Times New Roman"/>
                <w:noProof/>
              </w:rPr>
            </w:pPr>
            <w:r>
              <w:rPr>
                <w:noProof/>
              </w:rPr>
              <w:t>Trimestre</w:t>
            </w:r>
          </w:p>
        </w:tc>
        <w:tc>
          <w:tcPr>
            <w:tcW w:w="761" w:type="dxa"/>
            <w:shd w:val="clear" w:color="auto" w:fill="BDD7EE"/>
            <w:vAlign w:val="center"/>
          </w:tcPr>
          <w:p w14:paraId="50B4AF1F" w14:textId="77777777" w:rsidR="003B5F50" w:rsidRDefault="000D2D85">
            <w:pPr>
              <w:pStyle w:val="P68B1DB1-Normal40"/>
              <w:spacing w:line="259" w:lineRule="auto"/>
              <w:jc w:val="center"/>
              <w:rPr>
                <w:rFonts w:eastAsia="Calibri" w:cs="Times New Roman"/>
                <w:noProof/>
              </w:rPr>
            </w:pPr>
            <w:r>
              <w:rPr>
                <w:noProof/>
              </w:rPr>
              <w:t>Année</w:t>
            </w:r>
          </w:p>
        </w:tc>
        <w:tc>
          <w:tcPr>
            <w:tcW w:w="2128" w:type="dxa"/>
            <w:vMerge/>
            <w:vAlign w:val="center"/>
          </w:tcPr>
          <w:p w14:paraId="50B4AF20" w14:textId="77777777" w:rsidR="003B5F50" w:rsidRDefault="003B5F50">
            <w:pPr>
              <w:spacing w:line="259" w:lineRule="auto"/>
              <w:rPr>
                <w:rFonts w:ascii="Times New Roman" w:eastAsia="MS Mincho" w:hAnsi="Times New Roman" w:cs="Arial"/>
                <w:noProof/>
                <w:sz w:val="20"/>
                <w:szCs w:val="22"/>
              </w:rPr>
            </w:pPr>
          </w:p>
        </w:tc>
      </w:tr>
      <w:tr w:rsidR="003B5F50" w14:paraId="50B4AF2F" w14:textId="77777777" w:rsidTr="00F133D4">
        <w:trPr>
          <w:trHeight w:val="1965"/>
        </w:trPr>
        <w:tc>
          <w:tcPr>
            <w:tcW w:w="689" w:type="dxa"/>
            <w:shd w:val="clear" w:color="auto" w:fill="C6EFCE"/>
          </w:tcPr>
          <w:p w14:paraId="50B4AF22" w14:textId="77777777" w:rsidR="003B5F50" w:rsidRDefault="000D2D85">
            <w:pPr>
              <w:pStyle w:val="P68B1DB1-Normal42"/>
              <w:spacing w:line="259" w:lineRule="auto"/>
              <w:jc w:val="center"/>
              <w:rPr>
                <w:noProof/>
              </w:rPr>
            </w:pPr>
            <w:r>
              <w:rPr>
                <w:noProof/>
              </w:rPr>
              <w:t>1</w:t>
            </w:r>
          </w:p>
        </w:tc>
        <w:tc>
          <w:tcPr>
            <w:tcW w:w="1540" w:type="dxa"/>
            <w:shd w:val="clear" w:color="auto" w:fill="C6EFCE"/>
          </w:tcPr>
          <w:p w14:paraId="50B4AF23" w14:textId="77777777" w:rsidR="003B5F50" w:rsidRDefault="000D2D85">
            <w:pPr>
              <w:pStyle w:val="P68B1DB1-Normal42"/>
              <w:spacing w:line="259" w:lineRule="auto"/>
              <w:rPr>
                <w:rFonts w:eastAsia="Calibri" w:cs="Times New Roman"/>
                <w:noProof/>
              </w:rPr>
            </w:pPr>
            <w:r>
              <w:rPr>
                <w:noProof/>
              </w:rPr>
              <w:t>6 – Accessibilité, développement et qualité de l’éducation inclusive – Réforme 1:1.Assurer les conditions de mise en œuvre de l’enseignement préprimaire obligatoire pour les enfants âgés de cinq ans et introduire un droit légal à une place à la maternelle ou dans d’autres établissements d’enseignement préprimaire à partir de l’âge de trois ans</w:t>
            </w:r>
          </w:p>
        </w:tc>
        <w:tc>
          <w:tcPr>
            <w:tcW w:w="743" w:type="dxa"/>
            <w:shd w:val="clear" w:color="auto" w:fill="C6EFCE"/>
          </w:tcPr>
          <w:p w14:paraId="50B4AF24" w14:textId="77777777" w:rsidR="003B5F50" w:rsidRDefault="000D2D85">
            <w:pPr>
              <w:pStyle w:val="P68B1DB1-Normal42"/>
              <w:spacing w:line="259" w:lineRule="auto"/>
              <w:rPr>
                <w:rFonts w:eastAsia="Calibri" w:cs="Times New Roman"/>
                <w:noProof/>
              </w:rPr>
            </w:pPr>
            <w:r>
              <w:rPr>
                <w:noProof/>
              </w:rPr>
              <w:t>Étape</w:t>
            </w:r>
          </w:p>
        </w:tc>
        <w:tc>
          <w:tcPr>
            <w:tcW w:w="851" w:type="dxa"/>
            <w:shd w:val="clear" w:color="auto" w:fill="C6EFCE"/>
          </w:tcPr>
          <w:p w14:paraId="50B4AF25" w14:textId="77777777" w:rsidR="003B5F50" w:rsidRDefault="000D2D85">
            <w:pPr>
              <w:pStyle w:val="P68B1DB1-Normal42"/>
              <w:spacing w:line="259" w:lineRule="auto"/>
              <w:rPr>
                <w:rFonts w:eastAsia="Calibri" w:cs="Times New Roman"/>
                <w:noProof/>
              </w:rPr>
            </w:pPr>
            <w:r>
              <w:rPr>
                <w:noProof/>
              </w:rPr>
              <w:t>L'introduction de modifications juridiques d'un enseignement préprimaire obligatoire pour les enfants âgés de cinq ans et l'introduction d'un droit légal à une place dans la maternelle ou d'autres prestataires d'enseignement préprimaire à partir de l'âge de trois ans.</w:t>
            </w:r>
          </w:p>
        </w:tc>
        <w:tc>
          <w:tcPr>
            <w:tcW w:w="2126" w:type="dxa"/>
            <w:shd w:val="clear" w:color="auto" w:fill="C6EFCE"/>
          </w:tcPr>
          <w:p w14:paraId="50B4AF26" w14:textId="77777777" w:rsidR="003B5F50" w:rsidRDefault="000D2D85">
            <w:pPr>
              <w:pStyle w:val="P68B1DB1-Normal42"/>
              <w:spacing w:line="259" w:lineRule="auto"/>
              <w:rPr>
                <w:rFonts w:eastAsia="Calibri" w:cs="Times New Roman"/>
                <w:noProof/>
              </w:rPr>
            </w:pPr>
            <w:r>
              <w:rPr>
                <w:noProof/>
              </w:rPr>
              <w:t>Adoption par le Parlement de la loi no 596/2003 de la ,, de la loi no 245/2008, de la loi no 138/2019, de la modification du règlement du gouvernement, de la modification du décret no 1/2020.</w:t>
            </w:r>
          </w:p>
        </w:tc>
        <w:tc>
          <w:tcPr>
            <w:tcW w:w="1720" w:type="dxa"/>
            <w:shd w:val="clear" w:color="auto" w:fill="C6EFCE"/>
          </w:tcPr>
          <w:p w14:paraId="50B4AF27" w14:textId="77777777" w:rsidR="003B5F50" w:rsidRDefault="000D2D85">
            <w:pPr>
              <w:pStyle w:val="P68B1DB1-Normal42"/>
              <w:spacing w:line="259" w:lineRule="auto"/>
              <w:rPr>
                <w:noProof/>
              </w:rPr>
            </w:pPr>
            <w:r>
              <w:rPr>
                <w:noProof/>
              </w:rPr>
              <w:t xml:space="preserve"> </w:t>
            </w:r>
          </w:p>
        </w:tc>
        <w:tc>
          <w:tcPr>
            <w:tcW w:w="1016" w:type="dxa"/>
            <w:shd w:val="clear" w:color="auto" w:fill="C6EFCE"/>
          </w:tcPr>
          <w:p w14:paraId="50B4AF28" w14:textId="77777777" w:rsidR="003B5F50" w:rsidRDefault="000D2D85">
            <w:pPr>
              <w:pStyle w:val="P68B1DB1-Normal42"/>
              <w:spacing w:line="259" w:lineRule="auto"/>
              <w:rPr>
                <w:noProof/>
              </w:rPr>
            </w:pPr>
            <w:r>
              <w:rPr>
                <w:noProof/>
              </w:rPr>
              <w:t xml:space="preserve"> </w:t>
            </w:r>
          </w:p>
        </w:tc>
        <w:tc>
          <w:tcPr>
            <w:tcW w:w="916" w:type="dxa"/>
            <w:shd w:val="clear" w:color="auto" w:fill="C6EFCE"/>
          </w:tcPr>
          <w:p w14:paraId="50B4AF29" w14:textId="77777777" w:rsidR="003B5F50" w:rsidRDefault="000D2D85">
            <w:pPr>
              <w:pStyle w:val="P68B1DB1-Normal42"/>
              <w:spacing w:line="259" w:lineRule="auto"/>
              <w:rPr>
                <w:noProof/>
              </w:rPr>
            </w:pPr>
            <w:r>
              <w:rPr>
                <w:noProof/>
              </w:rPr>
              <w:t xml:space="preserve"> </w:t>
            </w:r>
          </w:p>
        </w:tc>
        <w:tc>
          <w:tcPr>
            <w:tcW w:w="1072" w:type="dxa"/>
            <w:shd w:val="clear" w:color="auto" w:fill="C6EFCE"/>
          </w:tcPr>
          <w:p w14:paraId="50B4AF2A" w14:textId="77777777" w:rsidR="003B5F50" w:rsidRDefault="000D2D85">
            <w:pPr>
              <w:pStyle w:val="P68B1DB1-Normal42"/>
              <w:spacing w:line="259" w:lineRule="auto"/>
              <w:jc w:val="center"/>
              <w:rPr>
                <w:noProof/>
              </w:rPr>
            </w:pPr>
            <w:r>
              <w:rPr>
                <w:noProof/>
              </w:rPr>
              <w:t>T2</w:t>
            </w:r>
          </w:p>
        </w:tc>
        <w:tc>
          <w:tcPr>
            <w:tcW w:w="761" w:type="dxa"/>
            <w:shd w:val="clear" w:color="auto" w:fill="C6EFCE"/>
          </w:tcPr>
          <w:p w14:paraId="50B4AF2B" w14:textId="77777777" w:rsidR="003B5F50" w:rsidRDefault="000D2D85">
            <w:pPr>
              <w:pStyle w:val="P68B1DB1-Normal42"/>
              <w:spacing w:line="259" w:lineRule="auto"/>
              <w:jc w:val="center"/>
              <w:rPr>
                <w:noProof/>
              </w:rPr>
            </w:pPr>
            <w:r>
              <w:rPr>
                <w:noProof/>
              </w:rPr>
              <w:t>2023</w:t>
            </w:r>
          </w:p>
        </w:tc>
        <w:tc>
          <w:tcPr>
            <w:tcW w:w="2128" w:type="dxa"/>
            <w:shd w:val="clear" w:color="auto" w:fill="C6EFCE"/>
          </w:tcPr>
          <w:p w14:paraId="50B4AF2C" w14:textId="77777777" w:rsidR="003B5F50" w:rsidRDefault="000D2D85">
            <w:pPr>
              <w:pStyle w:val="P68B1DB1-Normal42"/>
              <w:spacing w:line="259" w:lineRule="auto"/>
              <w:rPr>
                <w:rFonts w:eastAsia="Calibri" w:cs="Times New Roman"/>
                <w:noProof/>
                <w:szCs w:val="20"/>
              </w:rPr>
            </w:pPr>
            <w:r>
              <w:rPr>
                <w:noProof/>
              </w:rPr>
              <w:t>Les dispositions pertinentes de la loi no 596/2003 relative à l’administration publique dans le domaine de l’éducation et à l’autonomie scolaire renforcent la transparence du financement de l’enseignement préprimaire avant l’introduction du nouveau système de financement normatif.</w:t>
            </w:r>
          </w:p>
          <w:p w14:paraId="50B4AF2D" w14:textId="77777777" w:rsidR="003B5F50" w:rsidRDefault="000D2D85">
            <w:pPr>
              <w:pStyle w:val="P68B1DB1-Normal42"/>
              <w:spacing w:line="259" w:lineRule="auto"/>
              <w:rPr>
                <w:noProof/>
              </w:rPr>
            </w:pPr>
            <w:r>
              <w:rPr>
                <w:noProof/>
              </w:rPr>
              <w:t xml:space="preserve">La loi no 245/2008 instaure un droit légal universel à une place dans les jardins d’enfants ou dans d’autres établissements d’enseignement préprimaire pour les enfants âgés de quatre ans et, par la suite, de trois ans. La législation est adoptée au plus tard le 30 juin 2023, avec effet au 1.1.2024 et au 1.1.2025, et prévoit des places suffisantes en maternelle ou dans d’autres établissements d’enseignement préprimaire pour tous les enfants à partir de l’âge de 4 ans (à partir du 09/2024) et ensuite à partir de l’âge de trois ans (à partir du 09/2025). </w:t>
            </w:r>
          </w:p>
          <w:p w14:paraId="50B4AF2E" w14:textId="425A6C86" w:rsidR="003B5F50" w:rsidRDefault="000D2D85">
            <w:pPr>
              <w:pStyle w:val="P68B1DB1-Normal42"/>
              <w:spacing w:line="259" w:lineRule="auto"/>
              <w:rPr>
                <w:noProof/>
              </w:rPr>
            </w:pPr>
            <w:r>
              <w:rPr>
                <w:noProof/>
              </w:rPr>
              <w:t xml:space="preserve">La modification de la loi no 138/2019 sur le personnel pédagogique et professionnel et la modification du décret no 1/2020 Coll. sur les exigences en matière de qualifications pour le personnel enseignant et le personnel spécialisé introduisent la condition selon laquelle le personnel pédagogique des jardins d’enfants ou d’autres établissements d’enseignement préprimaire en tant qu’enseignant est titulaire d’un diplôme d’enseignement supérieur dans le programme d’enseignement de l’enseignement préscolaire et préprimaire s’il enseigne aux enfants pour lesquels l’enseignement préprimaire est obligatoire. En outre, le règlement introduit la condition selon laquelle chaque jardin d'enfants ou autre prestataire d'enseignement préprimaire doit avoir au moins un membre du personnel titulaire d'un diplôme de l'enseignement supérieur dans le programme d'enseignement de l'enseignement préscolaire et préprimaire qui est chargé de superviser la qualité pédagogique. La modification est adoptée au plus tard le 30 juin 2023, avec une date d’application à partir du 1.1.2029. </w:t>
            </w:r>
          </w:p>
        </w:tc>
      </w:tr>
      <w:tr w:rsidR="003B5F50" w14:paraId="50B4AF3B" w14:textId="77777777" w:rsidTr="00F133D4">
        <w:trPr>
          <w:trHeight w:val="450"/>
        </w:trPr>
        <w:tc>
          <w:tcPr>
            <w:tcW w:w="689" w:type="dxa"/>
            <w:shd w:val="clear" w:color="auto" w:fill="C6EFCE"/>
            <w:vAlign w:val="center"/>
          </w:tcPr>
          <w:p w14:paraId="50B4AF30" w14:textId="77777777" w:rsidR="003B5F50" w:rsidRDefault="000D2D85">
            <w:pPr>
              <w:pStyle w:val="P68B1DB1-Normal42"/>
              <w:spacing w:line="259" w:lineRule="auto"/>
              <w:jc w:val="center"/>
              <w:rPr>
                <w:noProof/>
                <w:szCs w:val="20"/>
              </w:rPr>
            </w:pPr>
            <w:r>
              <w:rPr>
                <w:noProof/>
              </w:rPr>
              <w:t>2</w:t>
            </w:r>
          </w:p>
        </w:tc>
        <w:tc>
          <w:tcPr>
            <w:tcW w:w="1540" w:type="dxa"/>
            <w:shd w:val="clear" w:color="auto" w:fill="C6EFCE"/>
            <w:vAlign w:val="center"/>
          </w:tcPr>
          <w:p w14:paraId="50B4AF31" w14:textId="77777777" w:rsidR="003B5F50" w:rsidRDefault="000D2D85">
            <w:pPr>
              <w:pStyle w:val="P68B1DB1-Normal42"/>
              <w:spacing w:line="259" w:lineRule="auto"/>
              <w:rPr>
                <w:noProof/>
              </w:rPr>
            </w:pPr>
            <w:r>
              <w:rPr>
                <w:noProof/>
              </w:rPr>
              <w:t>6 – Accessibilité, développement et qualité de l’éducation inclusive – Réforme 1:1.Assurer les conditions de mise en œuvre de l’enseignement préprimaire obligatoire pour les enfants âgés de cinq ans et introduire un droit légal à une place à la maternelle ou dans d’autres établissements d’enseignement préprimaire à partir de l’âge de trois ans</w:t>
            </w:r>
          </w:p>
        </w:tc>
        <w:tc>
          <w:tcPr>
            <w:tcW w:w="743" w:type="dxa"/>
            <w:shd w:val="clear" w:color="auto" w:fill="C6EFCE"/>
            <w:vAlign w:val="center"/>
          </w:tcPr>
          <w:p w14:paraId="50B4AF32" w14:textId="77777777" w:rsidR="003B5F50" w:rsidRDefault="000D2D85">
            <w:pPr>
              <w:pStyle w:val="P68B1DB1-Normal42"/>
              <w:spacing w:line="259" w:lineRule="auto"/>
              <w:rPr>
                <w:rFonts w:eastAsia="Calibri" w:cs="Times New Roman"/>
                <w:noProof/>
              </w:rPr>
            </w:pPr>
            <w:r>
              <w:rPr>
                <w:noProof/>
              </w:rPr>
              <w:t>Objectif</w:t>
            </w:r>
          </w:p>
        </w:tc>
        <w:tc>
          <w:tcPr>
            <w:tcW w:w="851" w:type="dxa"/>
            <w:shd w:val="clear" w:color="auto" w:fill="C6EFCE"/>
            <w:vAlign w:val="center"/>
          </w:tcPr>
          <w:p w14:paraId="50B4AF33" w14:textId="77777777" w:rsidR="003B5F50" w:rsidRDefault="000D2D85">
            <w:pPr>
              <w:pStyle w:val="P68B1DB1-Normal42"/>
              <w:spacing w:line="259" w:lineRule="auto"/>
              <w:rPr>
                <w:rFonts w:eastAsia="Calibri" w:cs="Times New Roman"/>
                <w:noProof/>
              </w:rPr>
            </w:pPr>
            <w:r>
              <w:rPr>
                <w:noProof/>
              </w:rPr>
              <w:t>Taux de scolarisation des enfants de 5 ans dans les écoles préprimaires</w:t>
            </w:r>
          </w:p>
        </w:tc>
        <w:tc>
          <w:tcPr>
            <w:tcW w:w="2126" w:type="dxa"/>
            <w:shd w:val="clear" w:color="auto" w:fill="C6EFCE"/>
            <w:vAlign w:val="center"/>
          </w:tcPr>
          <w:p w14:paraId="50B4AF34" w14:textId="77777777" w:rsidR="003B5F50" w:rsidRDefault="003B5F50">
            <w:pPr>
              <w:spacing w:line="259" w:lineRule="auto"/>
              <w:rPr>
                <w:rFonts w:ascii="Times New Roman" w:eastAsia="MS Mincho" w:hAnsi="Times New Roman" w:cs="Arial"/>
                <w:noProof/>
                <w:sz w:val="20"/>
                <w:szCs w:val="22"/>
              </w:rPr>
            </w:pPr>
          </w:p>
        </w:tc>
        <w:tc>
          <w:tcPr>
            <w:tcW w:w="1720" w:type="dxa"/>
            <w:shd w:val="clear" w:color="auto" w:fill="C6EFCE"/>
            <w:vAlign w:val="center"/>
          </w:tcPr>
          <w:p w14:paraId="50B4AF35" w14:textId="77777777" w:rsidR="003B5F50" w:rsidRDefault="000D2D85">
            <w:pPr>
              <w:pStyle w:val="P68B1DB1-Normal42"/>
              <w:spacing w:line="259" w:lineRule="auto"/>
              <w:rPr>
                <w:rFonts w:eastAsia="Calibri" w:cs="Times New Roman"/>
                <w:noProof/>
              </w:rPr>
            </w:pPr>
            <w:r>
              <w:rPr>
                <w:noProof/>
              </w:rPr>
              <w:t xml:space="preserve">% </w:t>
            </w:r>
          </w:p>
        </w:tc>
        <w:tc>
          <w:tcPr>
            <w:tcW w:w="1016" w:type="dxa"/>
            <w:shd w:val="clear" w:color="auto" w:fill="C6EFCE"/>
            <w:vAlign w:val="center"/>
          </w:tcPr>
          <w:p w14:paraId="50B4AF36" w14:textId="77777777" w:rsidR="003B5F50" w:rsidRDefault="000D2D85">
            <w:pPr>
              <w:pStyle w:val="P68B1DB1-Normal42"/>
              <w:spacing w:line="259" w:lineRule="auto"/>
              <w:jc w:val="right"/>
              <w:rPr>
                <w:rFonts w:eastAsia="Calibri" w:cs="Times New Roman"/>
                <w:noProof/>
              </w:rPr>
            </w:pPr>
            <w:r>
              <w:rPr>
                <w:noProof/>
              </w:rPr>
              <w:t>88</w:t>
            </w:r>
          </w:p>
        </w:tc>
        <w:tc>
          <w:tcPr>
            <w:tcW w:w="916" w:type="dxa"/>
            <w:shd w:val="clear" w:color="auto" w:fill="C6EFCE"/>
            <w:vAlign w:val="center"/>
          </w:tcPr>
          <w:p w14:paraId="50B4AF37" w14:textId="77777777" w:rsidR="003B5F50" w:rsidRDefault="000D2D85">
            <w:pPr>
              <w:pStyle w:val="P68B1DB1-Normal42"/>
              <w:spacing w:line="259" w:lineRule="auto"/>
              <w:jc w:val="right"/>
              <w:rPr>
                <w:rFonts w:eastAsia="Calibri" w:cs="Times New Roman"/>
                <w:noProof/>
              </w:rPr>
            </w:pPr>
            <w:r>
              <w:rPr>
                <w:noProof/>
              </w:rPr>
              <w:t>95</w:t>
            </w:r>
          </w:p>
        </w:tc>
        <w:tc>
          <w:tcPr>
            <w:tcW w:w="1072" w:type="dxa"/>
            <w:shd w:val="clear" w:color="auto" w:fill="C6EFCE"/>
            <w:vAlign w:val="center"/>
          </w:tcPr>
          <w:p w14:paraId="50B4AF38" w14:textId="77777777" w:rsidR="003B5F50" w:rsidRDefault="000D2D85">
            <w:pPr>
              <w:pStyle w:val="P68B1DB1-Normal42"/>
              <w:spacing w:line="259" w:lineRule="auto"/>
              <w:jc w:val="center"/>
              <w:rPr>
                <w:rFonts w:eastAsia="Calibri" w:cs="Times New Roman"/>
                <w:noProof/>
              </w:rPr>
            </w:pPr>
            <w:r>
              <w:rPr>
                <w:noProof/>
              </w:rPr>
              <w:t>T3</w:t>
            </w:r>
          </w:p>
        </w:tc>
        <w:tc>
          <w:tcPr>
            <w:tcW w:w="761" w:type="dxa"/>
            <w:shd w:val="clear" w:color="auto" w:fill="C6EFCE"/>
            <w:vAlign w:val="center"/>
          </w:tcPr>
          <w:p w14:paraId="50B4AF39" w14:textId="77777777" w:rsidR="003B5F50" w:rsidRDefault="000D2D85">
            <w:pPr>
              <w:pStyle w:val="P68B1DB1-Normal42"/>
              <w:spacing w:line="259" w:lineRule="auto"/>
              <w:jc w:val="center"/>
              <w:rPr>
                <w:rFonts w:eastAsia="Calibri" w:cs="Times New Roman"/>
                <w:noProof/>
              </w:rPr>
            </w:pPr>
            <w:r>
              <w:rPr>
                <w:noProof/>
              </w:rPr>
              <w:t>2022</w:t>
            </w:r>
          </w:p>
        </w:tc>
        <w:tc>
          <w:tcPr>
            <w:tcW w:w="2128" w:type="dxa"/>
            <w:shd w:val="clear" w:color="auto" w:fill="C6EFCE"/>
            <w:vAlign w:val="center"/>
          </w:tcPr>
          <w:p w14:paraId="50B4AF3A" w14:textId="77777777" w:rsidR="003B5F50" w:rsidRDefault="000D2D85">
            <w:pPr>
              <w:pStyle w:val="P68B1DB1-Normal42"/>
              <w:spacing w:line="259" w:lineRule="auto"/>
              <w:rPr>
                <w:rFonts w:eastAsia="Calibri" w:cs="Times New Roman"/>
                <w:noProof/>
              </w:rPr>
            </w:pPr>
            <w:r>
              <w:rPr>
                <w:noProof/>
              </w:rPr>
              <w:t>Pour les enfants de 5 ans, l'enseignement préprimaire est obligatoire. En vertu de la modification de la loi sur les écoles, ils doivent recevoir un enseignement préprimaire: i) dans les jardins d'enfants/jardins d'enfants spéciaux inclus dans le réseau slovaque d'écoles et d'écoles, ii) dans l'enseignement individuel, par exemple à la demande d'un représentant légal à la maison, ou iii) à la création d'un prestataire d'enseignement préprimaire enregistré.</w:t>
            </w:r>
          </w:p>
        </w:tc>
      </w:tr>
      <w:tr w:rsidR="003B5F50" w14:paraId="50B4AF48" w14:textId="77777777" w:rsidTr="00F133D4">
        <w:trPr>
          <w:trHeight w:val="75"/>
        </w:trPr>
        <w:tc>
          <w:tcPr>
            <w:tcW w:w="689" w:type="dxa"/>
            <w:shd w:val="clear" w:color="auto" w:fill="C6EFCE"/>
          </w:tcPr>
          <w:p w14:paraId="50B4AF3C" w14:textId="77777777" w:rsidR="003B5F50" w:rsidRDefault="000D2D85">
            <w:pPr>
              <w:pStyle w:val="P68B1DB1-Normal42"/>
              <w:spacing w:line="259" w:lineRule="auto"/>
              <w:jc w:val="center"/>
              <w:rPr>
                <w:noProof/>
                <w:szCs w:val="20"/>
              </w:rPr>
            </w:pPr>
            <w:r>
              <w:rPr>
                <w:noProof/>
              </w:rPr>
              <w:t>3</w:t>
            </w:r>
          </w:p>
        </w:tc>
        <w:tc>
          <w:tcPr>
            <w:tcW w:w="1540" w:type="dxa"/>
            <w:shd w:val="clear" w:color="auto" w:fill="C6EFCE"/>
          </w:tcPr>
          <w:p w14:paraId="50B4AF3D" w14:textId="77777777" w:rsidR="003B5F50" w:rsidRDefault="000D2D85">
            <w:pPr>
              <w:pStyle w:val="P68B1DB1-Normal42"/>
              <w:spacing w:line="259" w:lineRule="auto"/>
              <w:rPr>
                <w:noProof/>
              </w:rPr>
            </w:pPr>
            <w:r>
              <w:rPr>
                <w:noProof/>
              </w:rPr>
              <w:t>6 – Accessibilité, développement et qualité de l’éducation inclusive – Réforme 1:1.Fournir des conditions pour la mise en œuvre de l’enseignement préprimaire obligatoire pour les enfants à partir de l’âge de 5 ans et introduire un droit légal à une place dans la maternelle ou dans d’autres établissements d’enseignement préprimaire à partir de l’âge de 3 ans</w:t>
            </w:r>
          </w:p>
        </w:tc>
        <w:tc>
          <w:tcPr>
            <w:tcW w:w="743" w:type="dxa"/>
            <w:shd w:val="clear" w:color="auto" w:fill="C6EFCE"/>
          </w:tcPr>
          <w:p w14:paraId="50B4AF3E" w14:textId="77777777" w:rsidR="003B5F50" w:rsidRDefault="000D2D85">
            <w:pPr>
              <w:pStyle w:val="P68B1DB1-Normal42"/>
              <w:spacing w:line="259" w:lineRule="auto"/>
              <w:rPr>
                <w:rFonts w:eastAsia="Calibri" w:cs="Times New Roman"/>
                <w:noProof/>
              </w:rPr>
            </w:pPr>
            <w:r>
              <w:rPr>
                <w:noProof/>
              </w:rPr>
              <w:t>Objectif</w:t>
            </w:r>
          </w:p>
        </w:tc>
        <w:tc>
          <w:tcPr>
            <w:tcW w:w="851" w:type="dxa"/>
            <w:shd w:val="clear" w:color="auto" w:fill="C6EFCE"/>
          </w:tcPr>
          <w:p w14:paraId="50B4AF3F" w14:textId="77777777" w:rsidR="003B5F50" w:rsidRDefault="000D2D85">
            <w:pPr>
              <w:pStyle w:val="P68B1DB1-Normal42"/>
              <w:spacing w:line="259" w:lineRule="auto"/>
              <w:jc w:val="both"/>
              <w:rPr>
                <w:rFonts w:eastAsia="Calibri" w:cs="Times New Roman"/>
                <w:noProof/>
              </w:rPr>
            </w:pPr>
            <w:r>
              <w:rPr>
                <w:noProof/>
              </w:rPr>
              <w:t xml:space="preserve">Nombre de jardins d'enfants construits ou reconstruits </w:t>
            </w:r>
          </w:p>
        </w:tc>
        <w:tc>
          <w:tcPr>
            <w:tcW w:w="2126" w:type="dxa"/>
            <w:shd w:val="clear" w:color="auto" w:fill="C6EFCE"/>
          </w:tcPr>
          <w:p w14:paraId="50B4AF40" w14:textId="77777777" w:rsidR="003B5F50" w:rsidRDefault="003B5F50">
            <w:pPr>
              <w:spacing w:line="259" w:lineRule="auto"/>
              <w:rPr>
                <w:rFonts w:ascii="Times New Roman" w:eastAsia="MS Mincho" w:hAnsi="Times New Roman" w:cs="Arial"/>
                <w:noProof/>
                <w:sz w:val="20"/>
                <w:szCs w:val="22"/>
              </w:rPr>
            </w:pPr>
          </w:p>
        </w:tc>
        <w:tc>
          <w:tcPr>
            <w:tcW w:w="1720" w:type="dxa"/>
            <w:shd w:val="clear" w:color="auto" w:fill="C6EFCE"/>
          </w:tcPr>
          <w:p w14:paraId="50B4AF41" w14:textId="77777777" w:rsidR="003B5F50" w:rsidRDefault="000D2D85">
            <w:pPr>
              <w:pStyle w:val="P68B1DB1-Normal42"/>
              <w:spacing w:line="259" w:lineRule="auto"/>
              <w:rPr>
                <w:rFonts w:eastAsia="Calibri" w:cs="Times New Roman"/>
                <w:noProof/>
              </w:rPr>
            </w:pPr>
            <w:r>
              <w:rPr>
                <w:noProof/>
              </w:rPr>
              <w:t>Numéro</w:t>
            </w:r>
          </w:p>
        </w:tc>
        <w:tc>
          <w:tcPr>
            <w:tcW w:w="1016" w:type="dxa"/>
            <w:shd w:val="clear" w:color="auto" w:fill="C6EFCE"/>
          </w:tcPr>
          <w:p w14:paraId="50B4AF42" w14:textId="77777777" w:rsidR="003B5F50" w:rsidRDefault="000D2D85">
            <w:pPr>
              <w:pStyle w:val="P68B1DB1-Normal42"/>
              <w:spacing w:line="259" w:lineRule="auto"/>
              <w:jc w:val="right"/>
              <w:rPr>
                <w:noProof/>
              </w:rPr>
            </w:pPr>
            <w:r>
              <w:rPr>
                <w:noProof/>
              </w:rPr>
              <w:t>0</w:t>
            </w:r>
          </w:p>
        </w:tc>
        <w:tc>
          <w:tcPr>
            <w:tcW w:w="916" w:type="dxa"/>
            <w:shd w:val="clear" w:color="auto" w:fill="C6EFCE"/>
          </w:tcPr>
          <w:p w14:paraId="50B4AF43" w14:textId="77777777" w:rsidR="003B5F50" w:rsidRDefault="000D2D85">
            <w:pPr>
              <w:pStyle w:val="P68B1DB1-Normal43"/>
              <w:spacing w:line="259" w:lineRule="auto"/>
              <w:jc w:val="right"/>
              <w:rPr>
                <w:noProof/>
              </w:rPr>
            </w:pPr>
            <w:r>
              <w:rPr>
                <w:noProof/>
              </w:rPr>
              <w:t>220</w:t>
            </w:r>
          </w:p>
        </w:tc>
        <w:tc>
          <w:tcPr>
            <w:tcW w:w="1072" w:type="dxa"/>
            <w:shd w:val="clear" w:color="auto" w:fill="C6EFCE"/>
          </w:tcPr>
          <w:p w14:paraId="50B4AF44" w14:textId="77777777" w:rsidR="003B5F50" w:rsidRDefault="000D2D85">
            <w:pPr>
              <w:pStyle w:val="P68B1DB1-Normal42"/>
              <w:spacing w:line="259" w:lineRule="auto"/>
              <w:jc w:val="center"/>
              <w:rPr>
                <w:noProof/>
              </w:rPr>
            </w:pPr>
            <w:r>
              <w:rPr>
                <w:noProof/>
              </w:rPr>
              <w:t>T2</w:t>
            </w:r>
          </w:p>
        </w:tc>
        <w:tc>
          <w:tcPr>
            <w:tcW w:w="761" w:type="dxa"/>
            <w:shd w:val="clear" w:color="auto" w:fill="C6EFCE"/>
          </w:tcPr>
          <w:p w14:paraId="50B4AF45" w14:textId="77777777" w:rsidR="003B5F50" w:rsidRDefault="000D2D85">
            <w:pPr>
              <w:pStyle w:val="P68B1DB1-Normal42"/>
              <w:spacing w:line="259" w:lineRule="auto"/>
              <w:jc w:val="center"/>
              <w:rPr>
                <w:rFonts w:eastAsia="Calibri" w:cs="Times New Roman"/>
                <w:noProof/>
              </w:rPr>
            </w:pPr>
            <w:r>
              <w:rPr>
                <w:noProof/>
              </w:rPr>
              <w:t>2026</w:t>
            </w:r>
          </w:p>
        </w:tc>
        <w:tc>
          <w:tcPr>
            <w:tcW w:w="2128" w:type="dxa"/>
            <w:shd w:val="clear" w:color="auto" w:fill="C6EFCE"/>
          </w:tcPr>
          <w:p w14:paraId="50B4AF46" w14:textId="77777777" w:rsidR="003B5F50" w:rsidRDefault="000D2D85">
            <w:pPr>
              <w:pStyle w:val="P68B1DB1-Normal43"/>
              <w:spacing w:line="259" w:lineRule="auto"/>
              <w:rPr>
                <w:strike/>
                <w:noProof/>
              </w:rPr>
            </w:pPr>
            <w:bookmarkStart w:id="4" w:name="_Hlk209532797"/>
            <w:r>
              <w:rPr>
                <w:noProof/>
              </w:rPr>
              <w:t>220 jardins d'enfants sont soit nouvellement construits, soit reconstruits.</w:t>
            </w:r>
            <w:bookmarkEnd w:id="4"/>
          </w:p>
          <w:p w14:paraId="50B4AF47" w14:textId="77777777" w:rsidR="003B5F50" w:rsidRDefault="003B5F50">
            <w:pPr>
              <w:spacing w:line="259" w:lineRule="auto"/>
              <w:rPr>
                <w:rFonts w:ascii="Times New Roman" w:eastAsia="Calibri" w:hAnsi="Times New Roman" w:cs="Times New Roman"/>
                <w:noProof/>
                <w:sz w:val="20"/>
                <w:szCs w:val="22"/>
              </w:rPr>
            </w:pPr>
          </w:p>
        </w:tc>
      </w:tr>
      <w:tr w:rsidR="003B5F50" w14:paraId="50B4AF58" w14:textId="77777777" w:rsidTr="00F133D4">
        <w:trPr>
          <w:trHeight w:val="1125"/>
        </w:trPr>
        <w:tc>
          <w:tcPr>
            <w:tcW w:w="689" w:type="dxa"/>
            <w:shd w:val="clear" w:color="auto" w:fill="C6EFCE"/>
          </w:tcPr>
          <w:p w14:paraId="50B4AF49" w14:textId="77777777" w:rsidR="003B5F50" w:rsidRDefault="000D2D85">
            <w:pPr>
              <w:pStyle w:val="P68B1DB1-Normal42"/>
              <w:spacing w:line="259" w:lineRule="auto"/>
              <w:jc w:val="center"/>
              <w:rPr>
                <w:noProof/>
                <w:szCs w:val="20"/>
              </w:rPr>
            </w:pPr>
            <w:r>
              <w:rPr>
                <w:noProof/>
              </w:rPr>
              <w:t>4</w:t>
            </w:r>
          </w:p>
        </w:tc>
        <w:tc>
          <w:tcPr>
            <w:tcW w:w="1540" w:type="dxa"/>
            <w:shd w:val="clear" w:color="auto" w:fill="C6EFCE"/>
          </w:tcPr>
          <w:p w14:paraId="50B4AF4A" w14:textId="77777777" w:rsidR="003B5F50" w:rsidRDefault="000D2D85">
            <w:pPr>
              <w:pStyle w:val="P68B1DB1-Normal42"/>
              <w:spacing w:line="259" w:lineRule="auto"/>
              <w:rPr>
                <w:noProof/>
              </w:rPr>
            </w:pPr>
            <w:r>
              <w:rPr>
                <w:noProof/>
              </w:rPr>
              <w:t>6 – Accessibilité, développement et qualité de l’éducation inclusive – Réforme 2: Définition de la notion de besoins éducatifs spéciaux des enfants et des élèves et élaboration d’un modèle pour les mesures de soutien éligibles dans le domaine de l’éducation et de l’éducation, y compris leur système de financement</w:t>
            </w:r>
          </w:p>
        </w:tc>
        <w:tc>
          <w:tcPr>
            <w:tcW w:w="743" w:type="dxa"/>
            <w:shd w:val="clear" w:color="auto" w:fill="C6EFCE"/>
          </w:tcPr>
          <w:p w14:paraId="50B4AF4B" w14:textId="77777777" w:rsidR="003B5F50" w:rsidRDefault="000D2D85">
            <w:pPr>
              <w:pStyle w:val="P68B1DB1-Normal42"/>
              <w:spacing w:line="259" w:lineRule="auto"/>
              <w:rPr>
                <w:rFonts w:eastAsia="Calibri" w:cs="Times New Roman"/>
                <w:noProof/>
              </w:rPr>
            </w:pPr>
            <w:r>
              <w:rPr>
                <w:noProof/>
              </w:rPr>
              <w:t>Étape</w:t>
            </w:r>
          </w:p>
        </w:tc>
        <w:tc>
          <w:tcPr>
            <w:tcW w:w="851" w:type="dxa"/>
            <w:shd w:val="clear" w:color="auto" w:fill="C6EFCE"/>
          </w:tcPr>
          <w:p w14:paraId="50B4AF4C" w14:textId="46D72118" w:rsidR="003B5F50" w:rsidRDefault="000D2D85">
            <w:pPr>
              <w:pStyle w:val="P68B1DB1-Normal42"/>
              <w:spacing w:line="259" w:lineRule="auto"/>
              <w:rPr>
                <w:rFonts w:eastAsia="Calibri" w:cs="Times New Roman"/>
                <w:noProof/>
              </w:rPr>
            </w:pPr>
            <w:r>
              <w:rPr>
                <w:noProof/>
              </w:rPr>
              <w:t>Adoption de la loi sur la redéfinition de la notion de besoins éducatifs spéciaux et élaboration de documents méthodologiques d'accompagnement à l'intention du personnel enseignant, du personnel spécialisé et des chefs d'établissement.</w:t>
            </w:r>
          </w:p>
        </w:tc>
        <w:tc>
          <w:tcPr>
            <w:tcW w:w="2126" w:type="dxa"/>
            <w:shd w:val="clear" w:color="auto" w:fill="C6EFCE"/>
          </w:tcPr>
          <w:p w14:paraId="50B4AF4D" w14:textId="77777777" w:rsidR="003B5F50" w:rsidRDefault="000D2D85">
            <w:pPr>
              <w:pStyle w:val="P68B1DB1-Normal42"/>
              <w:spacing w:line="259" w:lineRule="auto"/>
              <w:rPr>
                <w:rFonts w:eastAsia="Calibri" w:cs="Times New Roman"/>
                <w:noProof/>
              </w:rPr>
            </w:pPr>
            <w:r>
              <w:rPr>
                <w:noProof/>
              </w:rPr>
              <w:t>Adoption par le Parlement de la modification de la loi no 245/2008 Rec., loi no 597/2003 Rec.;</w:t>
            </w:r>
          </w:p>
          <w:p w14:paraId="50B4AF4E" w14:textId="6FF7AD85" w:rsidR="003B5F50" w:rsidRDefault="000D2D85">
            <w:pPr>
              <w:pStyle w:val="P68B1DB1-Normal42"/>
              <w:spacing w:line="259" w:lineRule="auto"/>
              <w:rPr>
                <w:rFonts w:eastAsia="Calibri" w:cs="Times New Roman"/>
                <w:noProof/>
              </w:rPr>
            </w:pPr>
            <w:r>
              <w:rPr>
                <w:noProof/>
              </w:rPr>
              <w:t>Modification du règlement gouvernemental n° 630/2008 et adoption par le gouvernement d'un matériel méthodologique sur le modèle vertical des mesures de soutien, d'un matériel didactique et méthodologique pour l'enseignement du slovaque comme deuxième langue et l'introduction d'un soutien aux enfants de langues maternelles différentes dans l'éducation</w:t>
            </w:r>
          </w:p>
        </w:tc>
        <w:tc>
          <w:tcPr>
            <w:tcW w:w="1720" w:type="dxa"/>
            <w:shd w:val="clear" w:color="auto" w:fill="C6EFCE"/>
          </w:tcPr>
          <w:p w14:paraId="50B4AF4F" w14:textId="77777777" w:rsidR="003B5F50" w:rsidRDefault="000D2D85">
            <w:pPr>
              <w:pStyle w:val="P68B1DB1-Normal42"/>
              <w:spacing w:line="259" w:lineRule="auto"/>
              <w:rPr>
                <w:noProof/>
              </w:rPr>
            </w:pPr>
            <w:r>
              <w:rPr>
                <w:noProof/>
              </w:rPr>
              <w:t xml:space="preserve"> </w:t>
            </w:r>
          </w:p>
        </w:tc>
        <w:tc>
          <w:tcPr>
            <w:tcW w:w="1016" w:type="dxa"/>
            <w:shd w:val="clear" w:color="auto" w:fill="C6EFCE"/>
          </w:tcPr>
          <w:p w14:paraId="50B4AF50" w14:textId="77777777" w:rsidR="003B5F50" w:rsidRDefault="000D2D85">
            <w:pPr>
              <w:pStyle w:val="P68B1DB1-Normal42"/>
              <w:spacing w:line="259" w:lineRule="auto"/>
              <w:rPr>
                <w:noProof/>
              </w:rPr>
            </w:pPr>
            <w:r>
              <w:rPr>
                <w:noProof/>
              </w:rPr>
              <w:t xml:space="preserve"> </w:t>
            </w:r>
          </w:p>
        </w:tc>
        <w:tc>
          <w:tcPr>
            <w:tcW w:w="916" w:type="dxa"/>
            <w:shd w:val="clear" w:color="auto" w:fill="C6EFCE"/>
          </w:tcPr>
          <w:p w14:paraId="50B4AF51" w14:textId="77777777" w:rsidR="003B5F50" w:rsidRDefault="000D2D85">
            <w:pPr>
              <w:pStyle w:val="P68B1DB1-Normal42"/>
              <w:spacing w:line="259" w:lineRule="auto"/>
              <w:rPr>
                <w:noProof/>
              </w:rPr>
            </w:pPr>
            <w:r>
              <w:rPr>
                <w:noProof/>
              </w:rPr>
              <w:t xml:space="preserve"> </w:t>
            </w:r>
          </w:p>
        </w:tc>
        <w:tc>
          <w:tcPr>
            <w:tcW w:w="1072" w:type="dxa"/>
            <w:shd w:val="clear" w:color="auto" w:fill="C6EFCE"/>
          </w:tcPr>
          <w:p w14:paraId="50B4AF52" w14:textId="77777777" w:rsidR="003B5F50" w:rsidRDefault="000D2D85">
            <w:pPr>
              <w:pStyle w:val="P68B1DB1-Normal42"/>
              <w:spacing w:line="259" w:lineRule="auto"/>
              <w:jc w:val="center"/>
              <w:rPr>
                <w:rFonts w:eastAsia="Calibri" w:cs="Times New Roman"/>
                <w:noProof/>
              </w:rPr>
            </w:pPr>
            <w:r>
              <w:rPr>
                <w:noProof/>
              </w:rPr>
              <w:t>T4</w:t>
            </w:r>
          </w:p>
        </w:tc>
        <w:tc>
          <w:tcPr>
            <w:tcW w:w="761" w:type="dxa"/>
            <w:shd w:val="clear" w:color="auto" w:fill="C6EFCE"/>
          </w:tcPr>
          <w:p w14:paraId="50B4AF53" w14:textId="77777777" w:rsidR="003B5F50" w:rsidRDefault="000D2D85">
            <w:pPr>
              <w:pStyle w:val="P68B1DB1-Normal42"/>
              <w:spacing w:line="259" w:lineRule="auto"/>
              <w:jc w:val="center"/>
              <w:rPr>
                <w:rFonts w:eastAsia="Calibri" w:cs="Times New Roman"/>
                <w:noProof/>
              </w:rPr>
            </w:pPr>
            <w:r>
              <w:rPr>
                <w:noProof/>
              </w:rPr>
              <w:t>2022</w:t>
            </w:r>
          </w:p>
        </w:tc>
        <w:tc>
          <w:tcPr>
            <w:tcW w:w="2128" w:type="dxa"/>
            <w:shd w:val="clear" w:color="auto" w:fill="C6EFCE"/>
          </w:tcPr>
          <w:p w14:paraId="50B4AF54" w14:textId="77777777" w:rsidR="003B5F50" w:rsidRDefault="000D2D85">
            <w:pPr>
              <w:pStyle w:val="P68B1DB1-Normal42"/>
              <w:spacing w:line="259" w:lineRule="auto"/>
              <w:jc w:val="both"/>
              <w:rPr>
                <w:rFonts w:eastAsia="Calibri" w:cs="Times New Roman"/>
                <w:noProof/>
              </w:rPr>
            </w:pPr>
            <w:r>
              <w:rPr>
                <w:noProof/>
              </w:rPr>
              <w:t xml:space="preserve">La modification de la loi no 245/2008 sur l’éducation (ainsi qu’un nouveau décret distinct) et la modification de la loi no 597/2003 sur le financement des écoles primaires, des écoles secondaires et des établissements d’enseignement définissent les enfants et les élèves qui rencontrent des obstacles à l’accès à l’éducation et à leur droit à une aide à l’éducation au moyen de mesures de soutien spécifiques. </w:t>
            </w:r>
          </w:p>
          <w:p w14:paraId="50B4AF55" w14:textId="77777777" w:rsidR="003B5F50" w:rsidRDefault="000D2D85">
            <w:pPr>
              <w:pStyle w:val="P68B1DB1-Normal42"/>
              <w:spacing w:line="259" w:lineRule="auto"/>
              <w:jc w:val="both"/>
              <w:rPr>
                <w:rFonts w:eastAsia="Calibri" w:cs="Times New Roman"/>
                <w:noProof/>
              </w:rPr>
            </w:pPr>
            <w:r>
              <w:rPr>
                <w:noProof/>
              </w:rPr>
              <w:t xml:space="preserve">Le règlement du gouvernement slovaque no 630/2008 est adapté, ce qui tient compte des différentes spécificités lors du calcul de la contribution normative au moyen de coefficients. </w:t>
            </w:r>
          </w:p>
          <w:p w14:paraId="50B4AF56" w14:textId="77777777" w:rsidR="003B5F50" w:rsidRDefault="000D2D85">
            <w:pPr>
              <w:pStyle w:val="P68B1DB1-Normal42"/>
              <w:spacing w:line="259" w:lineRule="auto"/>
              <w:jc w:val="both"/>
              <w:rPr>
                <w:rFonts w:eastAsia="Calibri" w:cs="Times New Roman"/>
                <w:noProof/>
              </w:rPr>
            </w:pPr>
            <w:r>
              <w:rPr>
                <w:noProof/>
              </w:rPr>
              <w:t>La réforme nécessite la préparation d'un matériel méthodologique d'accompagnement. Dans le même temps, des fiches méthodologiques pour les enseignants et des fiches de travail pour les élèves, visant à développer les compétences linguistiques des enfants et des élèves de langues maternelles différentes de la langue d’enseignement de l’école, seront élaborées pour différents niveaux de compétences linguistiques et différents groupes d’âge.</w:t>
            </w:r>
          </w:p>
          <w:p w14:paraId="50B4AF57" w14:textId="77777777" w:rsidR="003B5F50" w:rsidRDefault="000D2D85">
            <w:pPr>
              <w:pStyle w:val="P68B1DB1-Normal42"/>
              <w:spacing w:line="259" w:lineRule="auto"/>
              <w:jc w:val="both"/>
              <w:rPr>
                <w:rFonts w:eastAsia="Calibri" w:cs="Times New Roman"/>
                <w:noProof/>
              </w:rPr>
            </w:pPr>
            <w:r>
              <w:rPr>
                <w:noProof/>
              </w:rPr>
              <w:t>Le matériel méthodologique et didactique est publié sur un portail web distinct et est librement accessible à tous les acteurs éducatifs concernés.</w:t>
            </w:r>
          </w:p>
        </w:tc>
      </w:tr>
      <w:tr w:rsidR="003B5F50" w14:paraId="50B4AF66" w14:textId="77777777" w:rsidTr="00F133D4">
        <w:trPr>
          <w:trHeight w:val="1125"/>
        </w:trPr>
        <w:tc>
          <w:tcPr>
            <w:tcW w:w="689" w:type="dxa"/>
            <w:shd w:val="clear" w:color="auto" w:fill="C6EFCE"/>
          </w:tcPr>
          <w:p w14:paraId="50B4AF59" w14:textId="77777777" w:rsidR="003B5F50" w:rsidRDefault="000D2D85">
            <w:pPr>
              <w:pStyle w:val="P68B1DB1-Normal42"/>
              <w:spacing w:line="259" w:lineRule="auto"/>
              <w:jc w:val="center"/>
              <w:rPr>
                <w:noProof/>
                <w:szCs w:val="20"/>
              </w:rPr>
            </w:pPr>
            <w:r>
              <w:rPr>
                <w:noProof/>
              </w:rPr>
              <w:t>5</w:t>
            </w:r>
          </w:p>
        </w:tc>
        <w:tc>
          <w:tcPr>
            <w:tcW w:w="1540" w:type="dxa"/>
            <w:shd w:val="clear" w:color="auto" w:fill="C6EFCE"/>
          </w:tcPr>
          <w:p w14:paraId="50B4AF5A" w14:textId="77777777" w:rsidR="003B5F50" w:rsidRDefault="000D2D85">
            <w:pPr>
              <w:pStyle w:val="P68B1DB1-Normal42"/>
              <w:spacing w:line="259" w:lineRule="auto"/>
              <w:rPr>
                <w:noProof/>
              </w:rPr>
            </w:pPr>
            <w:r>
              <w:rPr>
                <w:noProof/>
              </w:rPr>
              <w:t>6 – Accessibilité, développement et qualité de l’éducation inclusive – Réforme 2: Définition de la notion de besoins éducatifs spéciaux des enfants et des élèves et élaboration d’un modèle pour les mesures de soutien éligibles dans le domaine de l’éducation et de l’éducation, y compris leur système de financement</w:t>
            </w:r>
          </w:p>
        </w:tc>
        <w:tc>
          <w:tcPr>
            <w:tcW w:w="743" w:type="dxa"/>
            <w:shd w:val="clear" w:color="auto" w:fill="C6EFCE"/>
          </w:tcPr>
          <w:p w14:paraId="50B4AF5B" w14:textId="77777777" w:rsidR="003B5F50" w:rsidRDefault="000D2D85">
            <w:pPr>
              <w:pStyle w:val="P68B1DB1-Normal42"/>
              <w:spacing w:line="259" w:lineRule="auto"/>
              <w:rPr>
                <w:rFonts w:eastAsia="Calibri" w:cs="Times New Roman"/>
                <w:noProof/>
              </w:rPr>
            </w:pPr>
            <w:r>
              <w:rPr>
                <w:noProof/>
              </w:rPr>
              <w:t>Étape</w:t>
            </w:r>
          </w:p>
        </w:tc>
        <w:tc>
          <w:tcPr>
            <w:tcW w:w="851" w:type="dxa"/>
            <w:shd w:val="clear" w:color="auto" w:fill="C6EFCE"/>
          </w:tcPr>
          <w:p w14:paraId="50B4AF5C" w14:textId="77777777" w:rsidR="003B5F50" w:rsidRDefault="000D2D85">
            <w:pPr>
              <w:pStyle w:val="P68B1DB1-Normal42"/>
              <w:spacing w:line="259" w:lineRule="auto"/>
              <w:rPr>
                <w:rFonts w:eastAsia="Calibri" w:cs="Times New Roman"/>
                <w:noProof/>
              </w:rPr>
            </w:pPr>
            <w:r>
              <w:rPr>
                <w:noProof/>
              </w:rPr>
              <w:t>Entrée en vigueur de la redéfinition de la notion de besoins éducatifs spéciaux</w:t>
            </w:r>
          </w:p>
        </w:tc>
        <w:tc>
          <w:tcPr>
            <w:tcW w:w="2126" w:type="dxa"/>
            <w:shd w:val="clear" w:color="auto" w:fill="C6EFCE"/>
          </w:tcPr>
          <w:p w14:paraId="50B4AF5D" w14:textId="2CC3F74B" w:rsidR="003B5F50" w:rsidRDefault="000D2D85">
            <w:pPr>
              <w:pStyle w:val="P68B1DB1-Normal42"/>
              <w:spacing w:line="259" w:lineRule="auto"/>
              <w:rPr>
                <w:rFonts w:eastAsia="Calibri" w:cs="Times New Roman"/>
                <w:noProof/>
              </w:rPr>
            </w:pPr>
            <w:r>
              <w:rPr>
                <w:noProof/>
              </w:rPr>
              <w:t>Entrée en vigueur de la modification de la loi no 245/2008 Rec., loi no 597/2003 Rec.;</w:t>
            </w:r>
          </w:p>
          <w:p w14:paraId="50B4AF5E" w14:textId="77777777" w:rsidR="003B5F50" w:rsidRDefault="003B5F50">
            <w:pPr>
              <w:spacing w:line="259" w:lineRule="auto"/>
              <w:rPr>
                <w:rFonts w:ascii="Times New Roman" w:eastAsia="MS Mincho" w:hAnsi="Times New Roman" w:cs="Arial"/>
                <w:noProof/>
                <w:color w:val="006100"/>
                <w:sz w:val="20"/>
                <w:szCs w:val="22"/>
              </w:rPr>
            </w:pPr>
          </w:p>
        </w:tc>
        <w:tc>
          <w:tcPr>
            <w:tcW w:w="1720" w:type="dxa"/>
            <w:shd w:val="clear" w:color="auto" w:fill="C6EFCE"/>
          </w:tcPr>
          <w:p w14:paraId="50B4AF5F" w14:textId="77777777" w:rsidR="003B5F50" w:rsidRDefault="000D2D85">
            <w:pPr>
              <w:pStyle w:val="P68B1DB1-Normal42"/>
              <w:spacing w:line="259" w:lineRule="auto"/>
              <w:rPr>
                <w:noProof/>
              </w:rPr>
            </w:pPr>
            <w:r>
              <w:rPr>
                <w:noProof/>
              </w:rPr>
              <w:t xml:space="preserve"> </w:t>
            </w:r>
          </w:p>
        </w:tc>
        <w:tc>
          <w:tcPr>
            <w:tcW w:w="1016" w:type="dxa"/>
            <w:shd w:val="clear" w:color="auto" w:fill="C6EFCE"/>
          </w:tcPr>
          <w:p w14:paraId="50B4AF60" w14:textId="77777777" w:rsidR="003B5F50" w:rsidRDefault="000D2D85">
            <w:pPr>
              <w:pStyle w:val="P68B1DB1-Normal42"/>
              <w:spacing w:line="259" w:lineRule="auto"/>
              <w:rPr>
                <w:noProof/>
              </w:rPr>
            </w:pPr>
            <w:r>
              <w:rPr>
                <w:noProof/>
              </w:rPr>
              <w:t xml:space="preserve"> </w:t>
            </w:r>
          </w:p>
        </w:tc>
        <w:tc>
          <w:tcPr>
            <w:tcW w:w="916" w:type="dxa"/>
            <w:shd w:val="clear" w:color="auto" w:fill="C6EFCE"/>
          </w:tcPr>
          <w:p w14:paraId="50B4AF61" w14:textId="77777777" w:rsidR="003B5F50" w:rsidRDefault="000D2D85">
            <w:pPr>
              <w:pStyle w:val="P68B1DB1-Normal42"/>
              <w:spacing w:line="259" w:lineRule="auto"/>
              <w:rPr>
                <w:noProof/>
              </w:rPr>
            </w:pPr>
            <w:r>
              <w:rPr>
                <w:noProof/>
              </w:rPr>
              <w:t xml:space="preserve"> </w:t>
            </w:r>
          </w:p>
        </w:tc>
        <w:tc>
          <w:tcPr>
            <w:tcW w:w="1072" w:type="dxa"/>
            <w:shd w:val="clear" w:color="auto" w:fill="C6EFCE"/>
          </w:tcPr>
          <w:p w14:paraId="50B4AF62" w14:textId="77777777" w:rsidR="003B5F50" w:rsidRDefault="000D2D85">
            <w:pPr>
              <w:pStyle w:val="P68B1DB1-Normal42"/>
              <w:spacing w:line="259" w:lineRule="auto"/>
              <w:jc w:val="center"/>
              <w:rPr>
                <w:noProof/>
                <w:szCs w:val="20"/>
              </w:rPr>
            </w:pPr>
            <w:r>
              <w:rPr>
                <w:noProof/>
              </w:rPr>
              <w:t>T1</w:t>
            </w:r>
          </w:p>
        </w:tc>
        <w:tc>
          <w:tcPr>
            <w:tcW w:w="761" w:type="dxa"/>
            <w:shd w:val="clear" w:color="auto" w:fill="C6EFCE"/>
          </w:tcPr>
          <w:p w14:paraId="50B4AF63" w14:textId="77777777" w:rsidR="003B5F50" w:rsidRDefault="000D2D85">
            <w:pPr>
              <w:pStyle w:val="P68B1DB1-Normal42"/>
              <w:spacing w:line="259" w:lineRule="auto"/>
              <w:jc w:val="center"/>
              <w:rPr>
                <w:noProof/>
                <w:szCs w:val="20"/>
              </w:rPr>
            </w:pPr>
            <w:r>
              <w:rPr>
                <w:noProof/>
              </w:rPr>
              <w:t>2023</w:t>
            </w:r>
          </w:p>
        </w:tc>
        <w:tc>
          <w:tcPr>
            <w:tcW w:w="2128" w:type="dxa"/>
            <w:shd w:val="clear" w:color="auto" w:fill="C6EFCE"/>
          </w:tcPr>
          <w:p w14:paraId="50B4AF64" w14:textId="77777777" w:rsidR="003B5F50" w:rsidRDefault="000D2D85">
            <w:pPr>
              <w:pStyle w:val="P68B1DB1-Normal42"/>
              <w:spacing w:line="259" w:lineRule="auto"/>
              <w:jc w:val="both"/>
              <w:rPr>
                <w:noProof/>
              </w:rPr>
            </w:pPr>
            <w:r>
              <w:rPr>
                <w:noProof/>
              </w:rPr>
              <w:t>La modification de la loi no 245/2008 sur l’éducation (ainsi qu’un nouveau décret distinct) définit les enfants et les élèves qui rencontrent des obstacles à l’accès à l’éducation et leur droit à une aide à l’éducation au moyen de mesures de soutien spécifiques entre en vigueur au plus tard le 31 mars 2023.</w:t>
            </w:r>
          </w:p>
          <w:p w14:paraId="50B4AF65" w14:textId="77777777" w:rsidR="003B5F50" w:rsidRDefault="003B5F50">
            <w:pPr>
              <w:spacing w:line="259" w:lineRule="auto"/>
              <w:jc w:val="both"/>
              <w:rPr>
                <w:rFonts w:ascii="Times New Roman" w:eastAsia="MS Mincho" w:hAnsi="Times New Roman" w:cs="Arial"/>
                <w:noProof/>
                <w:color w:val="006100"/>
                <w:sz w:val="20"/>
                <w:szCs w:val="22"/>
              </w:rPr>
            </w:pPr>
          </w:p>
        </w:tc>
      </w:tr>
      <w:tr w:rsidR="003B5F50" w14:paraId="50B4AF72" w14:textId="77777777" w:rsidTr="00F133D4">
        <w:trPr>
          <w:trHeight w:val="75"/>
        </w:trPr>
        <w:tc>
          <w:tcPr>
            <w:tcW w:w="689" w:type="dxa"/>
            <w:shd w:val="clear" w:color="auto" w:fill="C6EFCE"/>
          </w:tcPr>
          <w:p w14:paraId="50B4AF67" w14:textId="77777777" w:rsidR="003B5F50" w:rsidRDefault="000D2D85">
            <w:pPr>
              <w:pStyle w:val="P68B1DB1-Normal42"/>
              <w:spacing w:line="259" w:lineRule="auto"/>
              <w:jc w:val="center"/>
              <w:rPr>
                <w:noProof/>
                <w:szCs w:val="20"/>
              </w:rPr>
            </w:pPr>
            <w:r>
              <w:rPr>
                <w:noProof/>
              </w:rPr>
              <w:t>6</w:t>
            </w:r>
          </w:p>
        </w:tc>
        <w:tc>
          <w:tcPr>
            <w:tcW w:w="1540" w:type="dxa"/>
            <w:shd w:val="clear" w:color="auto" w:fill="C6EFCE"/>
          </w:tcPr>
          <w:p w14:paraId="50B4AF68" w14:textId="77777777" w:rsidR="003B5F50" w:rsidRDefault="000D2D85">
            <w:pPr>
              <w:pStyle w:val="P68B1DB1-Normal42"/>
              <w:spacing w:line="259" w:lineRule="auto"/>
              <w:rPr>
                <w:noProof/>
              </w:rPr>
            </w:pPr>
            <w:r>
              <w:rPr>
                <w:noProof/>
              </w:rPr>
              <w:t>6– Accessibilité, développement et qualité de l’éducation inclusive– Réforme 2: définition de la notion de besoins éducatifs spéciaux des enfants et des élèves et élaboration d’un modèle pour les mesures de soutien éligibles dans le domaine de l’éducation, y compris leur système de financement</w:t>
            </w:r>
          </w:p>
        </w:tc>
        <w:tc>
          <w:tcPr>
            <w:tcW w:w="743" w:type="dxa"/>
            <w:shd w:val="clear" w:color="auto" w:fill="C6EFCE"/>
          </w:tcPr>
          <w:p w14:paraId="50B4AF69" w14:textId="77777777" w:rsidR="003B5F50" w:rsidRDefault="000D2D85">
            <w:pPr>
              <w:pStyle w:val="P68B1DB1-Normal43"/>
              <w:spacing w:line="259" w:lineRule="auto"/>
              <w:rPr>
                <w:rFonts w:eastAsia="Calibri" w:cs="Times New Roman"/>
                <w:noProof/>
              </w:rPr>
            </w:pPr>
            <w:r>
              <w:rPr>
                <w:noProof/>
              </w:rPr>
              <w:t>Objectif</w:t>
            </w:r>
          </w:p>
        </w:tc>
        <w:tc>
          <w:tcPr>
            <w:tcW w:w="851" w:type="dxa"/>
            <w:shd w:val="clear" w:color="auto" w:fill="C6EFCE"/>
          </w:tcPr>
          <w:p w14:paraId="50B4AF6A" w14:textId="77777777" w:rsidR="003B5F50" w:rsidRDefault="000D2D85">
            <w:pPr>
              <w:pStyle w:val="P68B1DB1-Normal42"/>
              <w:spacing w:line="259" w:lineRule="auto"/>
              <w:rPr>
                <w:noProof/>
              </w:rPr>
            </w:pPr>
            <w:r>
              <w:rPr>
                <w:noProof/>
              </w:rPr>
              <w:t xml:space="preserve">Nombre de personnes formées qui sont soit un enseignant, soit un spécialiste de l'éducation </w:t>
            </w:r>
          </w:p>
        </w:tc>
        <w:tc>
          <w:tcPr>
            <w:tcW w:w="2126" w:type="dxa"/>
            <w:shd w:val="clear" w:color="auto" w:fill="C6EFCE"/>
          </w:tcPr>
          <w:p w14:paraId="50B4AF6B" w14:textId="77777777" w:rsidR="003B5F50" w:rsidRDefault="000D2D85">
            <w:pPr>
              <w:pStyle w:val="P68B1DB1-Normal42"/>
              <w:spacing w:line="259" w:lineRule="auto"/>
              <w:rPr>
                <w:noProof/>
              </w:rPr>
            </w:pPr>
            <w:r>
              <w:rPr>
                <w:noProof/>
              </w:rPr>
              <w:t xml:space="preserve"> </w:t>
            </w:r>
          </w:p>
        </w:tc>
        <w:tc>
          <w:tcPr>
            <w:tcW w:w="1720" w:type="dxa"/>
            <w:shd w:val="clear" w:color="auto" w:fill="C6EFCE"/>
          </w:tcPr>
          <w:p w14:paraId="50B4AF6C" w14:textId="77777777" w:rsidR="003B5F50" w:rsidRDefault="000D2D85">
            <w:pPr>
              <w:pStyle w:val="P68B1DB1-Normal42"/>
              <w:spacing w:line="259" w:lineRule="auto"/>
              <w:rPr>
                <w:rFonts w:eastAsia="Calibri" w:cs="Times New Roman"/>
                <w:noProof/>
              </w:rPr>
            </w:pPr>
            <w:r>
              <w:rPr>
                <w:noProof/>
              </w:rPr>
              <w:t xml:space="preserve">Numéro </w:t>
            </w:r>
          </w:p>
        </w:tc>
        <w:tc>
          <w:tcPr>
            <w:tcW w:w="1016" w:type="dxa"/>
            <w:shd w:val="clear" w:color="auto" w:fill="C6EFCE"/>
          </w:tcPr>
          <w:p w14:paraId="50B4AF6D" w14:textId="77777777" w:rsidR="003B5F50" w:rsidRDefault="000D2D85">
            <w:pPr>
              <w:pStyle w:val="P68B1DB1-Normal42"/>
              <w:spacing w:line="259" w:lineRule="auto"/>
              <w:jc w:val="right"/>
              <w:rPr>
                <w:noProof/>
              </w:rPr>
            </w:pPr>
            <w:r>
              <w:rPr>
                <w:noProof/>
              </w:rPr>
              <w:t>0</w:t>
            </w:r>
          </w:p>
        </w:tc>
        <w:tc>
          <w:tcPr>
            <w:tcW w:w="916" w:type="dxa"/>
            <w:shd w:val="clear" w:color="auto" w:fill="C6EFCE"/>
          </w:tcPr>
          <w:p w14:paraId="50B4AF6E" w14:textId="77777777" w:rsidR="003B5F50" w:rsidRDefault="000D2D85">
            <w:pPr>
              <w:pStyle w:val="P68B1DB1-Normal42"/>
              <w:spacing w:line="259" w:lineRule="auto"/>
              <w:jc w:val="right"/>
              <w:rPr>
                <w:rFonts w:eastAsia="Calibri" w:cs="Times New Roman"/>
                <w:noProof/>
              </w:rPr>
            </w:pPr>
            <w:r>
              <w:rPr>
                <w:noProof/>
              </w:rPr>
              <w:t>10 000</w:t>
            </w:r>
          </w:p>
        </w:tc>
        <w:tc>
          <w:tcPr>
            <w:tcW w:w="1072" w:type="dxa"/>
            <w:shd w:val="clear" w:color="auto" w:fill="C6EFCE"/>
          </w:tcPr>
          <w:p w14:paraId="50B4AF6F" w14:textId="77777777" w:rsidR="003B5F50" w:rsidRDefault="000D2D85">
            <w:pPr>
              <w:pStyle w:val="P68B1DB1-Normal42"/>
              <w:spacing w:line="259" w:lineRule="auto"/>
              <w:jc w:val="center"/>
              <w:rPr>
                <w:rFonts w:eastAsia="Calibri" w:cs="Times New Roman"/>
                <w:noProof/>
              </w:rPr>
            </w:pPr>
            <w:r>
              <w:rPr>
                <w:noProof/>
              </w:rPr>
              <w:t>T4</w:t>
            </w:r>
          </w:p>
        </w:tc>
        <w:tc>
          <w:tcPr>
            <w:tcW w:w="761" w:type="dxa"/>
            <w:shd w:val="clear" w:color="auto" w:fill="C6EFCE"/>
          </w:tcPr>
          <w:p w14:paraId="50B4AF70" w14:textId="77777777" w:rsidR="003B5F50" w:rsidRDefault="000D2D85">
            <w:pPr>
              <w:pStyle w:val="P68B1DB1-Normal42"/>
              <w:spacing w:line="259" w:lineRule="auto"/>
              <w:jc w:val="center"/>
              <w:rPr>
                <w:rFonts w:eastAsia="Calibri" w:cs="Times New Roman"/>
                <w:noProof/>
              </w:rPr>
            </w:pPr>
            <w:r>
              <w:rPr>
                <w:noProof/>
              </w:rPr>
              <w:t>2025</w:t>
            </w:r>
          </w:p>
        </w:tc>
        <w:tc>
          <w:tcPr>
            <w:tcW w:w="2128" w:type="dxa"/>
            <w:shd w:val="clear" w:color="auto" w:fill="C6EFCE"/>
          </w:tcPr>
          <w:p w14:paraId="50B4AF71" w14:textId="77777777" w:rsidR="003B5F50" w:rsidRDefault="000D2D85">
            <w:pPr>
              <w:pStyle w:val="P68B1DB1-Normal27"/>
              <w:spacing w:line="259" w:lineRule="auto"/>
              <w:jc w:val="both"/>
              <w:rPr>
                <w:rFonts w:ascii="Times New Roman" w:eastAsia="MS Mincho" w:hAnsi="Times New Roman" w:cs="Arial"/>
                <w:strike/>
                <w:noProof/>
                <w:szCs w:val="22"/>
              </w:rPr>
            </w:pPr>
            <w:r>
              <w:rPr>
                <w:rFonts w:ascii="Times New Roman" w:eastAsia="MS Mincho" w:hAnsi="Times New Roman" w:cs="Arial"/>
                <w:noProof/>
                <w:szCs w:val="22"/>
              </w:rPr>
              <w:t>10</w:t>
            </w:r>
            <w:r>
              <w:rPr>
                <w:rFonts w:ascii="Times New Roman" w:hAnsi="Times New Roman"/>
                <w:noProof/>
              </w:rPr>
              <w:t> </w:t>
            </w:r>
            <w:r>
              <w:rPr>
                <w:rFonts w:ascii="Times New Roman" w:eastAsia="MS Mincho" w:hAnsi="Times New Roman" w:cs="Arial"/>
                <w:noProof/>
                <w:szCs w:val="22"/>
              </w:rPr>
              <w:t>000 personnes uniques travaillant dans le secteur de l'éducation terminent au moins un programme de formation.</w:t>
            </w:r>
          </w:p>
        </w:tc>
      </w:tr>
      <w:tr w:rsidR="003B5F50" w14:paraId="50B4AF80" w14:textId="77777777" w:rsidTr="00F133D4">
        <w:trPr>
          <w:trHeight w:val="75"/>
        </w:trPr>
        <w:tc>
          <w:tcPr>
            <w:tcW w:w="689" w:type="dxa"/>
            <w:shd w:val="clear" w:color="auto" w:fill="C6EFCE"/>
          </w:tcPr>
          <w:p w14:paraId="50B4AF73" w14:textId="77777777" w:rsidR="003B5F50" w:rsidRDefault="000D2D85">
            <w:pPr>
              <w:pStyle w:val="P68B1DB1-Normal42"/>
              <w:spacing w:line="259" w:lineRule="auto"/>
              <w:jc w:val="center"/>
              <w:rPr>
                <w:noProof/>
                <w:szCs w:val="20"/>
              </w:rPr>
            </w:pPr>
            <w:r>
              <w:rPr>
                <w:noProof/>
              </w:rPr>
              <w:t>7</w:t>
            </w:r>
          </w:p>
        </w:tc>
        <w:tc>
          <w:tcPr>
            <w:tcW w:w="1540" w:type="dxa"/>
            <w:shd w:val="clear" w:color="auto" w:fill="C6EFCE"/>
          </w:tcPr>
          <w:p w14:paraId="50B4AF74" w14:textId="77777777" w:rsidR="003B5F50" w:rsidRDefault="000D2D85">
            <w:pPr>
              <w:pStyle w:val="P68B1DB1-Normal42"/>
              <w:spacing w:line="259" w:lineRule="auto"/>
              <w:rPr>
                <w:noProof/>
              </w:rPr>
            </w:pPr>
            <w:r>
              <w:rPr>
                <w:noProof/>
              </w:rPr>
              <w:t>6 – Accessibilité, développement et qualité de l’éducation inclusive – Réforme 3: réformer le système de conseil et de prévention et garantir la collecte de données systémiques dans le domaine de la promotion de la santé mentale pour les enfants, les élèves et les étudiants</w:t>
            </w:r>
          </w:p>
        </w:tc>
        <w:tc>
          <w:tcPr>
            <w:tcW w:w="743" w:type="dxa"/>
            <w:shd w:val="clear" w:color="auto" w:fill="C6EFCE"/>
          </w:tcPr>
          <w:p w14:paraId="50B4AF75" w14:textId="77777777" w:rsidR="003B5F50" w:rsidRDefault="000D2D85">
            <w:pPr>
              <w:pStyle w:val="P68B1DB1-Normal42"/>
              <w:spacing w:line="259" w:lineRule="auto"/>
              <w:rPr>
                <w:rFonts w:eastAsia="Calibri" w:cs="Times New Roman"/>
                <w:noProof/>
              </w:rPr>
            </w:pPr>
            <w:r>
              <w:rPr>
                <w:noProof/>
              </w:rPr>
              <w:t>Étape</w:t>
            </w:r>
          </w:p>
        </w:tc>
        <w:tc>
          <w:tcPr>
            <w:tcW w:w="851" w:type="dxa"/>
            <w:shd w:val="clear" w:color="auto" w:fill="C6EFCE"/>
          </w:tcPr>
          <w:p w14:paraId="50B4AF76" w14:textId="77777777" w:rsidR="003B5F50" w:rsidRDefault="000D2D85">
            <w:pPr>
              <w:pStyle w:val="P68B1DB1-Normal42"/>
              <w:spacing w:line="259" w:lineRule="auto"/>
              <w:rPr>
                <w:rFonts w:eastAsia="Calibri" w:cs="Times New Roman"/>
                <w:noProof/>
              </w:rPr>
            </w:pPr>
            <w:r>
              <w:rPr>
                <w:noProof/>
              </w:rPr>
              <w:t>Entrée en vigueur de la législation qui crée le système global de conseil</w:t>
            </w:r>
          </w:p>
        </w:tc>
        <w:tc>
          <w:tcPr>
            <w:tcW w:w="2126" w:type="dxa"/>
            <w:shd w:val="clear" w:color="auto" w:fill="C6EFCE"/>
          </w:tcPr>
          <w:p w14:paraId="50B4AF77" w14:textId="77777777" w:rsidR="003B5F50" w:rsidRDefault="000D2D85">
            <w:pPr>
              <w:pStyle w:val="P68B1DB1-Normal42"/>
              <w:spacing w:line="259" w:lineRule="auto"/>
              <w:rPr>
                <w:rFonts w:eastAsia="Calibri" w:cs="Times New Roman"/>
                <w:noProof/>
              </w:rPr>
            </w:pPr>
            <w:r>
              <w:rPr>
                <w:noProof/>
              </w:rPr>
              <w:t>Entrée en vigueur de la modification de la loi no 245/2008 Rec. et des décrets distincts, modification probable et règlement gouvernemental no 630/2008 Rec.</w:t>
            </w:r>
          </w:p>
        </w:tc>
        <w:tc>
          <w:tcPr>
            <w:tcW w:w="1720" w:type="dxa"/>
            <w:shd w:val="clear" w:color="auto" w:fill="C6EFCE"/>
          </w:tcPr>
          <w:p w14:paraId="50B4AF78" w14:textId="77777777" w:rsidR="003B5F50" w:rsidRDefault="000D2D85">
            <w:pPr>
              <w:pStyle w:val="P68B1DB1-Normal42"/>
              <w:spacing w:line="259" w:lineRule="auto"/>
              <w:rPr>
                <w:noProof/>
              </w:rPr>
            </w:pPr>
            <w:r>
              <w:rPr>
                <w:noProof/>
              </w:rPr>
              <w:t xml:space="preserve"> </w:t>
            </w:r>
          </w:p>
        </w:tc>
        <w:tc>
          <w:tcPr>
            <w:tcW w:w="1016" w:type="dxa"/>
            <w:shd w:val="clear" w:color="auto" w:fill="C6EFCE"/>
          </w:tcPr>
          <w:p w14:paraId="50B4AF79" w14:textId="77777777" w:rsidR="003B5F50" w:rsidRDefault="000D2D85">
            <w:pPr>
              <w:pStyle w:val="P68B1DB1-Normal42"/>
              <w:spacing w:line="259" w:lineRule="auto"/>
              <w:rPr>
                <w:noProof/>
              </w:rPr>
            </w:pPr>
            <w:r>
              <w:rPr>
                <w:noProof/>
              </w:rPr>
              <w:t xml:space="preserve"> </w:t>
            </w:r>
          </w:p>
        </w:tc>
        <w:tc>
          <w:tcPr>
            <w:tcW w:w="916" w:type="dxa"/>
            <w:shd w:val="clear" w:color="auto" w:fill="C6EFCE"/>
          </w:tcPr>
          <w:p w14:paraId="50B4AF7A" w14:textId="77777777" w:rsidR="003B5F50" w:rsidRDefault="000D2D85">
            <w:pPr>
              <w:pStyle w:val="P68B1DB1-Normal42"/>
              <w:spacing w:line="259" w:lineRule="auto"/>
              <w:rPr>
                <w:noProof/>
              </w:rPr>
            </w:pPr>
            <w:r>
              <w:rPr>
                <w:noProof/>
              </w:rPr>
              <w:t xml:space="preserve"> </w:t>
            </w:r>
          </w:p>
        </w:tc>
        <w:tc>
          <w:tcPr>
            <w:tcW w:w="1072" w:type="dxa"/>
            <w:shd w:val="clear" w:color="auto" w:fill="C6EFCE"/>
          </w:tcPr>
          <w:p w14:paraId="50B4AF7B" w14:textId="77777777" w:rsidR="003B5F50" w:rsidRDefault="000D2D85">
            <w:pPr>
              <w:pStyle w:val="P68B1DB1-Normal42"/>
              <w:spacing w:line="259" w:lineRule="auto"/>
              <w:jc w:val="center"/>
              <w:rPr>
                <w:rFonts w:eastAsia="Calibri" w:cs="Times New Roman"/>
                <w:noProof/>
              </w:rPr>
            </w:pPr>
            <w:r>
              <w:rPr>
                <w:noProof/>
              </w:rPr>
              <w:t>T1</w:t>
            </w:r>
          </w:p>
        </w:tc>
        <w:tc>
          <w:tcPr>
            <w:tcW w:w="761" w:type="dxa"/>
            <w:shd w:val="clear" w:color="auto" w:fill="C6EFCE"/>
          </w:tcPr>
          <w:p w14:paraId="50B4AF7C" w14:textId="77777777" w:rsidR="003B5F50" w:rsidRDefault="000D2D85">
            <w:pPr>
              <w:pStyle w:val="P68B1DB1-Normal42"/>
              <w:spacing w:line="259" w:lineRule="auto"/>
              <w:jc w:val="center"/>
              <w:rPr>
                <w:rFonts w:eastAsia="Calibri" w:cs="Times New Roman"/>
                <w:noProof/>
              </w:rPr>
            </w:pPr>
            <w:r>
              <w:rPr>
                <w:noProof/>
              </w:rPr>
              <w:t>2023</w:t>
            </w:r>
          </w:p>
        </w:tc>
        <w:tc>
          <w:tcPr>
            <w:tcW w:w="2128" w:type="dxa"/>
            <w:shd w:val="clear" w:color="auto" w:fill="C6EFCE"/>
          </w:tcPr>
          <w:p w14:paraId="50B4AF7D" w14:textId="77777777" w:rsidR="003B5F50" w:rsidRDefault="000D2D85">
            <w:pPr>
              <w:pStyle w:val="P68B1DB1-Normal42"/>
              <w:spacing w:line="259" w:lineRule="auto"/>
              <w:jc w:val="both"/>
              <w:rPr>
                <w:rFonts w:eastAsia="Calibri" w:cs="Times New Roman"/>
                <w:noProof/>
              </w:rPr>
            </w:pPr>
            <w:r>
              <w:rPr>
                <w:noProof/>
              </w:rPr>
              <w:t>La modification de la loi no 245/2008 sur l’éducation et la formation (ainsi qu’un nouveau décret distinct) remplacera le concept actuel de système de conseil par un système interconnecté axé sur l’accessibilité, la complexité et le respect des normes de contenu et de performance.</w:t>
            </w:r>
          </w:p>
          <w:p w14:paraId="50B4AF7E" w14:textId="77777777" w:rsidR="003B5F50" w:rsidRDefault="000D2D85">
            <w:pPr>
              <w:pStyle w:val="P68B1DB1-Normal42"/>
              <w:spacing w:line="259" w:lineRule="auto"/>
              <w:jc w:val="both"/>
              <w:rPr>
                <w:rFonts w:eastAsia="Calibri" w:cs="Times New Roman"/>
                <w:noProof/>
              </w:rPr>
            </w:pPr>
            <w:r>
              <w:rPr>
                <w:noProof/>
              </w:rPr>
              <w:t>Un système global de conseil et de prévention se compose des centres de conseil et de prévention (CPP) nouvellement créés, qui fournissent des activités professionnelles sans se concentrer sur les groupes cibles en fonction du handicap de santé, comme c’est actuellement le cas, c’est-à-dire de sorte que la possibilité de visiter le centre de conseil et de prévention ne soit pas déterminée sur la base du handicap de santé de l’enfant. Les activités professionnelles sont assurées en étroite coopération entre les équipes de soutien dans les écoles et les écoles, y compris une équipe multidisciplinaire.</w:t>
            </w:r>
          </w:p>
          <w:p w14:paraId="50B4AF7F" w14:textId="77777777" w:rsidR="003B5F50" w:rsidRDefault="000D2D85">
            <w:pPr>
              <w:pStyle w:val="P68B1DB1-Normal42"/>
              <w:spacing w:line="259" w:lineRule="auto"/>
              <w:jc w:val="both"/>
              <w:rPr>
                <w:rFonts w:eastAsia="Calibri" w:cs="Times New Roman"/>
                <w:noProof/>
              </w:rPr>
            </w:pPr>
            <w:r>
              <w:rPr>
                <w:noProof/>
              </w:rPr>
              <w:t>Cela crée les conditions d'un soutien, d'une assistance et d'une intervention intensifs, opportuns et de qualité pour les enfants, les élèves, les étudiants, les représentants légaux, les représentants institutionnels et d'autres homologues. La modification du financement consiste à fixer la contribution sur la base des activités professionnelles exercées. Dans le contexte du changement de financement, le règlement gouvernemental no 630/2008 fixant les modalités de répartition des fonds du budget de l’État pour les écoles et les établissements d’enseignement pourrait également devoir être modifié.</w:t>
            </w:r>
          </w:p>
        </w:tc>
      </w:tr>
      <w:tr w:rsidR="003B5F50" w14:paraId="50B4AF8E" w14:textId="77777777" w:rsidTr="00F133D4">
        <w:trPr>
          <w:trHeight w:val="764"/>
        </w:trPr>
        <w:tc>
          <w:tcPr>
            <w:tcW w:w="689" w:type="dxa"/>
            <w:shd w:val="clear" w:color="auto" w:fill="C6EFCE"/>
          </w:tcPr>
          <w:p w14:paraId="50B4AF81" w14:textId="77777777" w:rsidR="003B5F50" w:rsidRDefault="000D2D85">
            <w:pPr>
              <w:pStyle w:val="P68B1DB1-Normal42"/>
              <w:spacing w:line="259" w:lineRule="auto"/>
              <w:jc w:val="center"/>
              <w:rPr>
                <w:noProof/>
                <w:szCs w:val="20"/>
              </w:rPr>
            </w:pPr>
            <w:r>
              <w:rPr>
                <w:noProof/>
              </w:rPr>
              <w:t>8</w:t>
            </w:r>
          </w:p>
        </w:tc>
        <w:tc>
          <w:tcPr>
            <w:tcW w:w="1540" w:type="dxa"/>
            <w:shd w:val="clear" w:color="auto" w:fill="C6EFCE"/>
          </w:tcPr>
          <w:p w14:paraId="50B4AF82" w14:textId="77777777" w:rsidR="003B5F50" w:rsidRDefault="000D2D85">
            <w:pPr>
              <w:pStyle w:val="P68B1DB1-Normal42"/>
              <w:spacing w:line="259" w:lineRule="auto"/>
              <w:rPr>
                <w:noProof/>
              </w:rPr>
            </w:pPr>
            <w:r>
              <w:rPr>
                <w:noProof/>
              </w:rPr>
              <w:t>6 – Accessibilité, développement et qualité de l’éducation inclusive – Réforme 4: mise en œuvre d’outils pour prévenir le décrochage scolaire et adapter les programmes d’études de type F</w:t>
            </w:r>
          </w:p>
        </w:tc>
        <w:tc>
          <w:tcPr>
            <w:tcW w:w="743" w:type="dxa"/>
            <w:shd w:val="clear" w:color="auto" w:fill="C6EFCE"/>
          </w:tcPr>
          <w:p w14:paraId="50B4AF83" w14:textId="77777777" w:rsidR="003B5F50" w:rsidRDefault="000D2D85">
            <w:pPr>
              <w:pStyle w:val="P68B1DB1-Normal42"/>
              <w:spacing w:line="259" w:lineRule="auto"/>
              <w:rPr>
                <w:rFonts w:eastAsia="Calibri" w:cs="Times New Roman"/>
                <w:noProof/>
              </w:rPr>
            </w:pPr>
            <w:r>
              <w:rPr>
                <w:noProof/>
              </w:rPr>
              <w:t>Étape</w:t>
            </w:r>
          </w:p>
        </w:tc>
        <w:tc>
          <w:tcPr>
            <w:tcW w:w="851" w:type="dxa"/>
            <w:shd w:val="clear" w:color="auto" w:fill="C6EFCE"/>
          </w:tcPr>
          <w:p w14:paraId="50B4AF84" w14:textId="77777777" w:rsidR="003B5F50" w:rsidRDefault="000D2D85">
            <w:pPr>
              <w:pStyle w:val="P68B1DB1-Normal42"/>
              <w:spacing w:line="259" w:lineRule="auto"/>
              <w:rPr>
                <w:rFonts w:eastAsia="Calibri" w:cs="Times New Roman"/>
                <w:noProof/>
              </w:rPr>
            </w:pPr>
            <w:r>
              <w:rPr>
                <w:noProof/>
              </w:rPr>
              <w:t>Entrée en vigueur des modifications législatives visant à: Extension de la possibilité d'acquérir un enseignement secondaire inférieur dans l'enseignement professionnel secondaire inférieur (EFP) optimisation des programmes NSOV en réponse aux besoins du marché du travail et l'offre de programmes NSOV par rapport aux besoins éducatifs du groupe cible d'élèves</w:t>
            </w:r>
          </w:p>
        </w:tc>
        <w:tc>
          <w:tcPr>
            <w:tcW w:w="2126" w:type="dxa"/>
            <w:shd w:val="clear" w:color="auto" w:fill="C6EFCE"/>
          </w:tcPr>
          <w:p w14:paraId="50B4AF85" w14:textId="21EB4DBF" w:rsidR="003B5F50" w:rsidRDefault="000D2D85">
            <w:pPr>
              <w:pStyle w:val="P68B1DB1-Normal42"/>
              <w:spacing w:line="259" w:lineRule="auto"/>
              <w:rPr>
                <w:rFonts w:eastAsia="Calibri" w:cs="Times New Roman"/>
                <w:noProof/>
              </w:rPr>
            </w:pPr>
            <w:r>
              <w:rPr>
                <w:noProof/>
              </w:rPr>
              <w:t>Entrée en vigueur de la modification de la loi no 245/2008, de la loi no 61/2015 et de la modification du décret no 292/2019.Z. z.</w:t>
            </w:r>
          </w:p>
        </w:tc>
        <w:tc>
          <w:tcPr>
            <w:tcW w:w="1720" w:type="dxa"/>
            <w:shd w:val="clear" w:color="auto" w:fill="C6EFCE"/>
          </w:tcPr>
          <w:p w14:paraId="50B4AF86" w14:textId="77777777" w:rsidR="003B5F50" w:rsidRDefault="000D2D85">
            <w:pPr>
              <w:pStyle w:val="P68B1DB1-Normal42"/>
              <w:spacing w:line="259" w:lineRule="auto"/>
              <w:rPr>
                <w:noProof/>
              </w:rPr>
            </w:pPr>
            <w:r>
              <w:rPr>
                <w:noProof/>
              </w:rPr>
              <w:t xml:space="preserve"> </w:t>
            </w:r>
          </w:p>
        </w:tc>
        <w:tc>
          <w:tcPr>
            <w:tcW w:w="1016" w:type="dxa"/>
            <w:shd w:val="clear" w:color="auto" w:fill="C6EFCE"/>
          </w:tcPr>
          <w:p w14:paraId="50B4AF87" w14:textId="77777777" w:rsidR="003B5F50" w:rsidRDefault="000D2D85">
            <w:pPr>
              <w:pStyle w:val="P68B1DB1-Normal42"/>
              <w:spacing w:line="259" w:lineRule="auto"/>
              <w:rPr>
                <w:noProof/>
              </w:rPr>
            </w:pPr>
            <w:r>
              <w:rPr>
                <w:noProof/>
              </w:rPr>
              <w:t xml:space="preserve"> </w:t>
            </w:r>
          </w:p>
        </w:tc>
        <w:tc>
          <w:tcPr>
            <w:tcW w:w="916" w:type="dxa"/>
            <w:shd w:val="clear" w:color="auto" w:fill="C6EFCE"/>
          </w:tcPr>
          <w:p w14:paraId="50B4AF88" w14:textId="77777777" w:rsidR="003B5F50" w:rsidRDefault="000D2D85">
            <w:pPr>
              <w:pStyle w:val="P68B1DB1-Normal42"/>
              <w:spacing w:line="259" w:lineRule="auto"/>
              <w:rPr>
                <w:noProof/>
              </w:rPr>
            </w:pPr>
            <w:r>
              <w:rPr>
                <w:noProof/>
              </w:rPr>
              <w:t xml:space="preserve"> </w:t>
            </w:r>
          </w:p>
        </w:tc>
        <w:tc>
          <w:tcPr>
            <w:tcW w:w="1072" w:type="dxa"/>
            <w:shd w:val="clear" w:color="auto" w:fill="C6EFCE"/>
          </w:tcPr>
          <w:p w14:paraId="50B4AF89" w14:textId="77777777" w:rsidR="003B5F50" w:rsidRDefault="000D2D85">
            <w:pPr>
              <w:pStyle w:val="P68B1DB1-Normal42"/>
              <w:spacing w:line="259" w:lineRule="auto"/>
              <w:jc w:val="center"/>
              <w:rPr>
                <w:rFonts w:eastAsia="Calibri" w:cs="Times New Roman"/>
                <w:noProof/>
              </w:rPr>
            </w:pPr>
            <w:r>
              <w:rPr>
                <w:noProof/>
              </w:rPr>
              <w:t>T1</w:t>
            </w:r>
          </w:p>
        </w:tc>
        <w:tc>
          <w:tcPr>
            <w:tcW w:w="761" w:type="dxa"/>
            <w:shd w:val="clear" w:color="auto" w:fill="C6EFCE"/>
          </w:tcPr>
          <w:p w14:paraId="50B4AF8A" w14:textId="77777777" w:rsidR="003B5F50" w:rsidRDefault="000D2D85">
            <w:pPr>
              <w:pStyle w:val="P68B1DB1-Normal42"/>
              <w:spacing w:line="259" w:lineRule="auto"/>
              <w:jc w:val="center"/>
              <w:rPr>
                <w:rFonts w:eastAsia="Calibri" w:cs="Times New Roman"/>
                <w:noProof/>
              </w:rPr>
            </w:pPr>
            <w:r>
              <w:rPr>
                <w:noProof/>
              </w:rPr>
              <w:t>2023</w:t>
            </w:r>
          </w:p>
        </w:tc>
        <w:tc>
          <w:tcPr>
            <w:tcW w:w="2128" w:type="dxa"/>
            <w:shd w:val="clear" w:color="auto" w:fill="C6EFCE"/>
          </w:tcPr>
          <w:p w14:paraId="50B4AF8B" w14:textId="682EAC5E" w:rsidR="003B5F50" w:rsidRDefault="000D2D85">
            <w:pPr>
              <w:pStyle w:val="P68B1DB1-Normal42"/>
              <w:spacing w:line="259" w:lineRule="auto"/>
              <w:rPr>
                <w:rFonts w:eastAsia="Calibri" w:cs="Times New Roman"/>
                <w:noProof/>
              </w:rPr>
            </w:pPr>
            <w:r>
              <w:rPr>
                <w:noProof/>
              </w:rPr>
              <w:t xml:space="preserve">La modification de la loi no 245/2008 sur l’éducation et la formation (loi scolaire) prévoit la possibilité d’achever l’enseignement secondaire inférieur de l’enseignement professionnel secondaire inférieur (NSOV) dans le cadre d’un programme combiné de deux et trois ans (en fonction de l’année au cours de laquelle l’élève a terminé l’école primaire) au moyen d’un examen de comitologie. L’objectif est de supprimer les «fins mortes» au sein du système éducatif et de permettre aux élèves de la NSOV d’achever l’enseignement secondaire inférieur dans le cadre d’un programme plus efficace. Le système couvre davantage les groupes vulnérables. L'offre éducative doit être adaptée aux besoins du marché du travail. </w:t>
            </w:r>
          </w:p>
          <w:p w14:paraId="50B4AF8C" w14:textId="77777777" w:rsidR="003B5F50" w:rsidRDefault="000D2D85">
            <w:pPr>
              <w:pStyle w:val="P68B1DB1-Normal42"/>
              <w:spacing w:line="259" w:lineRule="auto"/>
              <w:rPr>
                <w:rFonts w:eastAsia="Calibri" w:cs="Times New Roman"/>
                <w:noProof/>
              </w:rPr>
            </w:pPr>
            <w:r>
              <w:rPr>
                <w:noProof/>
              </w:rPr>
              <w:t xml:space="preserve">La modification de la loi no 61/2015 sur l’enseignement et la formation professionnels étend l’obligation de déterminer les plans de performance de l’enseignement secondaire à l’enseignement professionnel du premier cycle de l’enseignement secondaire. </w:t>
            </w:r>
          </w:p>
          <w:p w14:paraId="50B4AF8D" w14:textId="77777777" w:rsidR="003B5F50" w:rsidRDefault="000D2D85">
            <w:pPr>
              <w:pStyle w:val="P68B1DB1-Normal42"/>
              <w:spacing w:line="259" w:lineRule="auto"/>
              <w:rPr>
                <w:rFonts w:eastAsia="Calibri" w:cs="Times New Roman"/>
                <w:noProof/>
              </w:rPr>
            </w:pPr>
            <w:r>
              <w:rPr>
                <w:noProof/>
              </w:rPr>
              <w:t xml:space="preserve">Le décret no 292/2019 est modifié afin de mettre en place le système de planification des performances pour le programme d’études de type F en définissant des critères spécifiques. Celles-ci tiennent compte des spécificités du programme d’études de type F, telles que les critères au niveau de l’école (avantages, fréquentation, taux d’achèvement de l’école primaire) et au niveau syndical – résultats sur le marché du travail des «diplômés F». </w:t>
            </w:r>
          </w:p>
        </w:tc>
      </w:tr>
      <w:tr w:rsidR="003B5F50" w14:paraId="50B4AF9B" w14:textId="77777777" w:rsidTr="00F133D4">
        <w:trPr>
          <w:trHeight w:val="1530"/>
        </w:trPr>
        <w:tc>
          <w:tcPr>
            <w:tcW w:w="689" w:type="dxa"/>
            <w:shd w:val="clear" w:color="auto" w:fill="C6EFCE"/>
          </w:tcPr>
          <w:p w14:paraId="50B4AF8F" w14:textId="77777777" w:rsidR="003B5F50" w:rsidRDefault="000D2D85">
            <w:pPr>
              <w:pStyle w:val="P68B1DB1-Normal42"/>
              <w:spacing w:line="259" w:lineRule="auto"/>
              <w:jc w:val="center"/>
              <w:rPr>
                <w:noProof/>
                <w:szCs w:val="20"/>
              </w:rPr>
            </w:pPr>
            <w:r>
              <w:rPr>
                <w:noProof/>
              </w:rPr>
              <w:t>9</w:t>
            </w:r>
          </w:p>
        </w:tc>
        <w:tc>
          <w:tcPr>
            <w:tcW w:w="1540" w:type="dxa"/>
            <w:shd w:val="clear" w:color="auto" w:fill="C6EFCE"/>
          </w:tcPr>
          <w:p w14:paraId="50B4AF90" w14:textId="77777777" w:rsidR="003B5F50" w:rsidRDefault="000D2D85">
            <w:pPr>
              <w:pStyle w:val="P68B1DB1-Normal42"/>
              <w:spacing w:line="259" w:lineRule="auto"/>
              <w:rPr>
                <w:noProof/>
              </w:rPr>
            </w:pPr>
            <w:r>
              <w:rPr>
                <w:noProof/>
              </w:rPr>
              <w:t>6 – Accessibilité, développement et qualité de l’éducation inclusive – Réforme 4: Adapter les programmes d'études de type F</w:t>
            </w:r>
          </w:p>
        </w:tc>
        <w:tc>
          <w:tcPr>
            <w:tcW w:w="743" w:type="dxa"/>
            <w:shd w:val="clear" w:color="auto" w:fill="C6EFCE"/>
          </w:tcPr>
          <w:p w14:paraId="50B4AF91" w14:textId="77777777" w:rsidR="003B5F50" w:rsidRDefault="000D2D85">
            <w:pPr>
              <w:pStyle w:val="P68B1DB1-Normal42"/>
              <w:spacing w:line="259" w:lineRule="auto"/>
              <w:rPr>
                <w:rFonts w:eastAsia="Calibri" w:cs="Times New Roman"/>
                <w:noProof/>
              </w:rPr>
            </w:pPr>
            <w:r>
              <w:rPr>
                <w:noProof/>
              </w:rPr>
              <w:t>Étape</w:t>
            </w:r>
          </w:p>
        </w:tc>
        <w:tc>
          <w:tcPr>
            <w:tcW w:w="851" w:type="dxa"/>
            <w:shd w:val="clear" w:color="auto" w:fill="C6EFCE"/>
          </w:tcPr>
          <w:p w14:paraId="50B4AF92" w14:textId="77777777" w:rsidR="003B5F50" w:rsidRDefault="000D2D85">
            <w:pPr>
              <w:pStyle w:val="P68B1DB1-Normal42"/>
              <w:spacing w:line="259" w:lineRule="auto"/>
              <w:rPr>
                <w:rFonts w:eastAsia="Calibri" w:cs="Times New Roman"/>
                <w:noProof/>
              </w:rPr>
            </w:pPr>
            <w:r>
              <w:rPr>
                <w:noProof/>
              </w:rPr>
              <w:t>Adaptation des programmes F</w:t>
            </w:r>
          </w:p>
        </w:tc>
        <w:tc>
          <w:tcPr>
            <w:tcW w:w="2126" w:type="dxa"/>
            <w:shd w:val="clear" w:color="auto" w:fill="C6EFCE"/>
          </w:tcPr>
          <w:p w14:paraId="50B4AF93" w14:textId="77777777" w:rsidR="003B5F50" w:rsidRDefault="000D2D85">
            <w:pPr>
              <w:pStyle w:val="P68B1DB1-Normal42"/>
              <w:spacing w:line="259" w:lineRule="auto"/>
              <w:rPr>
                <w:noProof/>
              </w:rPr>
            </w:pPr>
            <w:r>
              <w:rPr>
                <w:noProof/>
              </w:rPr>
              <w:t>Entrée en vigueur de la modification du décret no 287/2022.</w:t>
            </w:r>
          </w:p>
        </w:tc>
        <w:tc>
          <w:tcPr>
            <w:tcW w:w="1720" w:type="dxa"/>
            <w:shd w:val="clear" w:color="auto" w:fill="C6EFCE"/>
          </w:tcPr>
          <w:p w14:paraId="50B4AF94" w14:textId="77777777" w:rsidR="003B5F50" w:rsidRDefault="003B5F50">
            <w:pPr>
              <w:spacing w:line="259" w:lineRule="auto"/>
              <w:rPr>
                <w:rFonts w:ascii="Times New Roman" w:eastAsia="Calibri" w:hAnsi="Times New Roman" w:cs="Times New Roman"/>
                <w:noProof/>
                <w:sz w:val="20"/>
                <w:szCs w:val="22"/>
              </w:rPr>
            </w:pPr>
          </w:p>
        </w:tc>
        <w:tc>
          <w:tcPr>
            <w:tcW w:w="1016" w:type="dxa"/>
            <w:shd w:val="clear" w:color="auto" w:fill="C6EFCE"/>
          </w:tcPr>
          <w:p w14:paraId="50B4AF95" w14:textId="77777777" w:rsidR="003B5F50" w:rsidRDefault="003B5F50">
            <w:pPr>
              <w:spacing w:line="259" w:lineRule="auto"/>
              <w:jc w:val="right"/>
              <w:rPr>
                <w:rFonts w:ascii="Times New Roman" w:eastAsia="MS Mincho" w:hAnsi="Times New Roman" w:cs="Arial"/>
                <w:noProof/>
                <w:sz w:val="20"/>
                <w:szCs w:val="22"/>
              </w:rPr>
            </w:pPr>
          </w:p>
        </w:tc>
        <w:tc>
          <w:tcPr>
            <w:tcW w:w="916" w:type="dxa"/>
            <w:shd w:val="clear" w:color="auto" w:fill="C6EFCE"/>
          </w:tcPr>
          <w:p w14:paraId="50B4AF96" w14:textId="77777777" w:rsidR="003B5F50" w:rsidRDefault="000D2D85">
            <w:pPr>
              <w:pStyle w:val="P68B1DB1-Normal42"/>
              <w:spacing w:line="259" w:lineRule="auto"/>
              <w:jc w:val="right"/>
              <w:rPr>
                <w:rFonts w:eastAsia="Calibri" w:cs="Times New Roman"/>
                <w:noProof/>
              </w:rPr>
            </w:pPr>
            <w:r>
              <w:rPr>
                <w:noProof/>
              </w:rPr>
              <w:t xml:space="preserve"> </w:t>
            </w:r>
          </w:p>
        </w:tc>
        <w:tc>
          <w:tcPr>
            <w:tcW w:w="1072" w:type="dxa"/>
            <w:shd w:val="clear" w:color="auto" w:fill="C6EFCE"/>
          </w:tcPr>
          <w:p w14:paraId="50B4AF97" w14:textId="77777777" w:rsidR="003B5F50" w:rsidRDefault="000D2D85">
            <w:pPr>
              <w:pStyle w:val="P68B1DB1-Normal42"/>
              <w:spacing w:line="259" w:lineRule="auto"/>
              <w:jc w:val="center"/>
              <w:rPr>
                <w:rFonts w:eastAsia="Calibri" w:cs="Times New Roman"/>
                <w:noProof/>
              </w:rPr>
            </w:pPr>
            <w:r>
              <w:rPr>
                <w:noProof/>
              </w:rPr>
              <w:t>T2</w:t>
            </w:r>
          </w:p>
        </w:tc>
        <w:tc>
          <w:tcPr>
            <w:tcW w:w="761" w:type="dxa"/>
            <w:shd w:val="clear" w:color="auto" w:fill="C6EFCE"/>
          </w:tcPr>
          <w:p w14:paraId="50B4AF98" w14:textId="77777777" w:rsidR="003B5F50" w:rsidRDefault="000D2D85">
            <w:pPr>
              <w:pStyle w:val="P68B1DB1-Normal42"/>
              <w:spacing w:line="259" w:lineRule="auto"/>
              <w:jc w:val="center"/>
              <w:rPr>
                <w:rFonts w:eastAsia="Calibri" w:cs="Times New Roman"/>
                <w:noProof/>
              </w:rPr>
            </w:pPr>
            <w:r>
              <w:rPr>
                <w:noProof/>
              </w:rPr>
              <w:t>2025</w:t>
            </w:r>
          </w:p>
        </w:tc>
        <w:tc>
          <w:tcPr>
            <w:tcW w:w="2128" w:type="dxa"/>
            <w:shd w:val="clear" w:color="auto" w:fill="C6EFCE"/>
          </w:tcPr>
          <w:p w14:paraId="50B4AF99" w14:textId="77777777" w:rsidR="003B5F50" w:rsidRDefault="000D2D85">
            <w:pPr>
              <w:pStyle w:val="P68B1DB1-Normal42"/>
              <w:spacing w:line="259" w:lineRule="auto"/>
              <w:rPr>
                <w:noProof/>
              </w:rPr>
            </w:pPr>
            <w:r>
              <w:rPr>
                <w:noProof/>
              </w:rPr>
              <w:t>La liste des programmes F est adaptée après avoir demandé la contribution des organisations professionnelles.</w:t>
            </w:r>
          </w:p>
          <w:p w14:paraId="50B4AF9A" w14:textId="77777777" w:rsidR="003B5F50" w:rsidRDefault="003B5F50">
            <w:pPr>
              <w:spacing w:line="259" w:lineRule="auto"/>
              <w:rPr>
                <w:rFonts w:ascii="Times New Roman" w:eastAsia="Calibri" w:hAnsi="Times New Roman" w:cs="Times New Roman"/>
                <w:noProof/>
                <w:sz w:val="20"/>
                <w:szCs w:val="22"/>
              </w:rPr>
            </w:pPr>
          </w:p>
        </w:tc>
      </w:tr>
      <w:tr w:rsidR="003B5F50" w14:paraId="50B4AFA8" w14:textId="77777777" w:rsidTr="00F133D4">
        <w:trPr>
          <w:trHeight w:val="75"/>
        </w:trPr>
        <w:tc>
          <w:tcPr>
            <w:tcW w:w="689" w:type="dxa"/>
            <w:shd w:val="clear" w:color="auto" w:fill="C6EFCE"/>
          </w:tcPr>
          <w:p w14:paraId="50B4AF9C" w14:textId="77777777" w:rsidR="003B5F50" w:rsidRDefault="000D2D85">
            <w:pPr>
              <w:pStyle w:val="P68B1DB1-Normal42"/>
              <w:spacing w:line="259" w:lineRule="auto"/>
              <w:jc w:val="center"/>
              <w:rPr>
                <w:noProof/>
                <w:szCs w:val="20"/>
              </w:rPr>
            </w:pPr>
            <w:r>
              <w:rPr>
                <w:noProof/>
              </w:rPr>
              <w:t>10</w:t>
            </w:r>
          </w:p>
        </w:tc>
        <w:tc>
          <w:tcPr>
            <w:tcW w:w="1540" w:type="dxa"/>
            <w:shd w:val="clear" w:color="auto" w:fill="C6EFCE"/>
          </w:tcPr>
          <w:p w14:paraId="50B4AF9D" w14:textId="77777777" w:rsidR="003B5F50" w:rsidRDefault="000D2D85">
            <w:pPr>
              <w:pStyle w:val="P68B1DB1-Normal42"/>
              <w:spacing w:line="259" w:lineRule="auto"/>
              <w:rPr>
                <w:noProof/>
              </w:rPr>
            </w:pPr>
            <w:r>
              <w:rPr>
                <w:noProof/>
              </w:rPr>
              <w:t>6 – Accessibilité, développement et qualité de l’éducation inclusive – Réforme 5: Soutenir la déségrégation scolaire</w:t>
            </w:r>
          </w:p>
        </w:tc>
        <w:tc>
          <w:tcPr>
            <w:tcW w:w="743" w:type="dxa"/>
            <w:shd w:val="clear" w:color="auto" w:fill="C6EFCE"/>
          </w:tcPr>
          <w:p w14:paraId="50B4AF9E" w14:textId="77777777" w:rsidR="003B5F50" w:rsidRDefault="000D2D85">
            <w:pPr>
              <w:pStyle w:val="P68B1DB1-Normal42"/>
              <w:spacing w:line="259" w:lineRule="auto"/>
              <w:rPr>
                <w:rFonts w:eastAsia="Calibri" w:cs="Times New Roman"/>
                <w:noProof/>
              </w:rPr>
            </w:pPr>
            <w:r>
              <w:rPr>
                <w:noProof/>
              </w:rPr>
              <w:t>Étape</w:t>
            </w:r>
          </w:p>
        </w:tc>
        <w:tc>
          <w:tcPr>
            <w:tcW w:w="851" w:type="dxa"/>
            <w:shd w:val="clear" w:color="auto" w:fill="C6EFCE"/>
          </w:tcPr>
          <w:p w14:paraId="50B4AF9F" w14:textId="7957B40D" w:rsidR="003B5F50" w:rsidRDefault="000D2D85">
            <w:pPr>
              <w:pStyle w:val="P68B1DB1-Normal42"/>
              <w:spacing w:line="259" w:lineRule="auto"/>
              <w:rPr>
                <w:rFonts w:eastAsia="Calibri" w:cs="Times New Roman"/>
                <w:noProof/>
              </w:rPr>
            </w:pPr>
            <w:r>
              <w:rPr>
                <w:noProof/>
              </w:rPr>
              <w:t>Adoption d'amendements législatifs qui introduisent la définition de la ségrégation dans les écoles dans la législation et l'élaboration de matériel méthodologique pour la mise en œuvre de la déségrégation</w:t>
            </w:r>
          </w:p>
        </w:tc>
        <w:tc>
          <w:tcPr>
            <w:tcW w:w="2126" w:type="dxa"/>
            <w:shd w:val="clear" w:color="auto" w:fill="C6EFCE"/>
          </w:tcPr>
          <w:p w14:paraId="50B4AFA0" w14:textId="77777777" w:rsidR="003B5F50" w:rsidRDefault="000D2D85">
            <w:pPr>
              <w:pStyle w:val="P68B1DB1-Normal42"/>
              <w:spacing w:line="259" w:lineRule="auto"/>
              <w:rPr>
                <w:rFonts w:eastAsia="Calibri" w:cs="Times New Roman"/>
                <w:noProof/>
              </w:rPr>
            </w:pPr>
            <w:r>
              <w:rPr>
                <w:noProof/>
              </w:rPr>
              <w:t>Adoption par le Parlement d’une modification de la loi no 245/2008 ou de la loi no 365/2004 et création et approbation par le ministère de l’éducation de documents méthodologiques</w:t>
            </w:r>
          </w:p>
        </w:tc>
        <w:tc>
          <w:tcPr>
            <w:tcW w:w="1720" w:type="dxa"/>
            <w:shd w:val="clear" w:color="auto" w:fill="C6EFCE"/>
          </w:tcPr>
          <w:p w14:paraId="50B4AFA1" w14:textId="77777777" w:rsidR="003B5F50" w:rsidRDefault="000D2D85">
            <w:pPr>
              <w:pStyle w:val="P68B1DB1-Normal42"/>
              <w:spacing w:line="259" w:lineRule="auto"/>
              <w:rPr>
                <w:noProof/>
              </w:rPr>
            </w:pPr>
            <w:r>
              <w:rPr>
                <w:noProof/>
              </w:rPr>
              <w:t xml:space="preserve"> </w:t>
            </w:r>
          </w:p>
        </w:tc>
        <w:tc>
          <w:tcPr>
            <w:tcW w:w="1016" w:type="dxa"/>
            <w:shd w:val="clear" w:color="auto" w:fill="C6EFCE"/>
          </w:tcPr>
          <w:p w14:paraId="50B4AFA2" w14:textId="77777777" w:rsidR="003B5F50" w:rsidRDefault="000D2D85">
            <w:pPr>
              <w:pStyle w:val="P68B1DB1-Normal42"/>
              <w:spacing w:line="259" w:lineRule="auto"/>
              <w:rPr>
                <w:noProof/>
              </w:rPr>
            </w:pPr>
            <w:r>
              <w:rPr>
                <w:noProof/>
              </w:rPr>
              <w:t xml:space="preserve"> </w:t>
            </w:r>
          </w:p>
        </w:tc>
        <w:tc>
          <w:tcPr>
            <w:tcW w:w="916" w:type="dxa"/>
            <w:shd w:val="clear" w:color="auto" w:fill="C6EFCE"/>
          </w:tcPr>
          <w:p w14:paraId="50B4AFA3" w14:textId="77777777" w:rsidR="003B5F50" w:rsidRDefault="000D2D85">
            <w:pPr>
              <w:pStyle w:val="P68B1DB1-Normal42"/>
              <w:spacing w:line="259" w:lineRule="auto"/>
              <w:rPr>
                <w:noProof/>
              </w:rPr>
            </w:pPr>
            <w:r>
              <w:rPr>
                <w:noProof/>
              </w:rPr>
              <w:t xml:space="preserve"> </w:t>
            </w:r>
          </w:p>
        </w:tc>
        <w:tc>
          <w:tcPr>
            <w:tcW w:w="1072" w:type="dxa"/>
            <w:shd w:val="clear" w:color="auto" w:fill="C6EFCE"/>
          </w:tcPr>
          <w:p w14:paraId="50B4AFA4" w14:textId="77777777" w:rsidR="003B5F50" w:rsidRDefault="000D2D85">
            <w:pPr>
              <w:pStyle w:val="P68B1DB1-Normal42"/>
              <w:spacing w:line="259" w:lineRule="auto"/>
              <w:jc w:val="center"/>
              <w:rPr>
                <w:rFonts w:eastAsia="Calibri" w:cs="Times New Roman"/>
                <w:noProof/>
              </w:rPr>
            </w:pPr>
            <w:r>
              <w:rPr>
                <w:noProof/>
              </w:rPr>
              <w:t>T3</w:t>
            </w:r>
          </w:p>
        </w:tc>
        <w:tc>
          <w:tcPr>
            <w:tcW w:w="761" w:type="dxa"/>
            <w:shd w:val="clear" w:color="auto" w:fill="C6EFCE"/>
          </w:tcPr>
          <w:p w14:paraId="50B4AFA5" w14:textId="77777777" w:rsidR="003B5F50" w:rsidRDefault="000D2D85">
            <w:pPr>
              <w:pStyle w:val="P68B1DB1-Normal42"/>
              <w:spacing w:line="259" w:lineRule="auto"/>
              <w:jc w:val="center"/>
              <w:rPr>
                <w:rFonts w:eastAsia="Calibri" w:cs="Times New Roman"/>
                <w:noProof/>
              </w:rPr>
            </w:pPr>
            <w:r>
              <w:rPr>
                <w:noProof/>
              </w:rPr>
              <w:t>2023</w:t>
            </w:r>
          </w:p>
        </w:tc>
        <w:tc>
          <w:tcPr>
            <w:tcW w:w="2128" w:type="dxa"/>
            <w:shd w:val="clear" w:color="auto" w:fill="C6EFCE"/>
          </w:tcPr>
          <w:p w14:paraId="50B4AFA6" w14:textId="77777777" w:rsidR="003B5F50" w:rsidRDefault="000D2D85">
            <w:pPr>
              <w:pStyle w:val="P68B1DB1-Normal42"/>
              <w:spacing w:line="259" w:lineRule="auto"/>
              <w:jc w:val="both"/>
              <w:rPr>
                <w:rFonts w:eastAsia="Calibri" w:cs="Times New Roman"/>
                <w:noProof/>
              </w:rPr>
            </w:pPr>
            <w:r>
              <w:rPr>
                <w:noProof/>
              </w:rPr>
              <w:t xml:space="preserve">Les modifications apportées à la législation concernent la loi sur la lutte contre la discrimination (no 365/2004 Coll.) ou la loi sur les écoles (no 245/2008 Coll.) et d’autres dispositions législatives relatives au financement et à la gestion des écoles. La définition de la ségrégation détermine clairement quels actes et omissions sont considérés comme de la ségrégation afin d'éviter des interprétations différentes. </w:t>
            </w:r>
          </w:p>
          <w:p w14:paraId="50B4AFA7" w14:textId="77777777" w:rsidR="003B5F50" w:rsidRDefault="000D2D85">
            <w:pPr>
              <w:pStyle w:val="P68B1DB1-Normal42"/>
              <w:spacing w:line="259" w:lineRule="auto"/>
              <w:jc w:val="both"/>
              <w:rPr>
                <w:rFonts w:eastAsia="Calibri" w:cs="Times New Roman"/>
                <w:noProof/>
              </w:rPr>
            </w:pPr>
            <w:r>
              <w:rPr>
                <w:noProof/>
              </w:rPr>
              <w:t>Les documents méthodologiques fourniront des orientations sur la prévention et l'élimination de la ségrégation éducative pour les différents acteurs de l'éducation (tels que les créateurs, les écoles et les installations scolaires, les directeurs et les enseignants) dans la pratique.</w:t>
            </w:r>
          </w:p>
        </w:tc>
      </w:tr>
      <w:tr w:rsidR="003B5F50" w14:paraId="50B4AFB6" w14:textId="77777777" w:rsidTr="00F133D4">
        <w:trPr>
          <w:trHeight w:val="724"/>
        </w:trPr>
        <w:tc>
          <w:tcPr>
            <w:tcW w:w="689" w:type="dxa"/>
            <w:shd w:val="clear" w:color="auto" w:fill="C6EFCE"/>
          </w:tcPr>
          <w:p w14:paraId="50B4AFA9" w14:textId="77777777" w:rsidR="003B5F50" w:rsidRDefault="000D2D85">
            <w:pPr>
              <w:pStyle w:val="P68B1DB1-Normal42"/>
              <w:spacing w:line="259" w:lineRule="auto"/>
              <w:jc w:val="center"/>
              <w:rPr>
                <w:noProof/>
                <w:szCs w:val="20"/>
              </w:rPr>
            </w:pPr>
            <w:r>
              <w:rPr>
                <w:noProof/>
              </w:rPr>
              <w:t>12</w:t>
            </w:r>
          </w:p>
        </w:tc>
        <w:tc>
          <w:tcPr>
            <w:tcW w:w="1540" w:type="dxa"/>
            <w:shd w:val="clear" w:color="auto" w:fill="C6EFCE"/>
          </w:tcPr>
          <w:p w14:paraId="50B4AFAA" w14:textId="77777777" w:rsidR="003B5F50" w:rsidRDefault="000D2D85">
            <w:pPr>
              <w:pStyle w:val="P68B1DB1-Normal42"/>
              <w:spacing w:line="259" w:lineRule="auto"/>
              <w:rPr>
                <w:noProof/>
              </w:rPr>
            </w:pPr>
            <w:r>
              <w:rPr>
                <w:noProof/>
              </w:rPr>
              <w:t>6 – Accessibilité, développement et qualité de l’éducation inclusive – Réforme 5: Promouvoir la déségrégation scolaire</w:t>
            </w:r>
          </w:p>
        </w:tc>
        <w:tc>
          <w:tcPr>
            <w:tcW w:w="743" w:type="dxa"/>
            <w:shd w:val="clear" w:color="auto" w:fill="C6EFCE"/>
          </w:tcPr>
          <w:p w14:paraId="50B4AFAB" w14:textId="77777777" w:rsidR="003B5F50" w:rsidRDefault="000D2D85">
            <w:pPr>
              <w:pStyle w:val="P68B1DB1-Normal43"/>
              <w:spacing w:line="259" w:lineRule="auto"/>
              <w:rPr>
                <w:rFonts w:eastAsia="Calibri" w:cs="Times New Roman"/>
                <w:noProof/>
              </w:rPr>
            </w:pPr>
            <w:r>
              <w:rPr>
                <w:noProof/>
              </w:rPr>
              <w:t>Étape</w:t>
            </w:r>
          </w:p>
        </w:tc>
        <w:tc>
          <w:tcPr>
            <w:tcW w:w="851" w:type="dxa"/>
            <w:shd w:val="clear" w:color="auto" w:fill="C6EFCE"/>
          </w:tcPr>
          <w:p w14:paraId="50B4AFAC" w14:textId="77777777" w:rsidR="003B5F50" w:rsidRDefault="000D2D85">
            <w:pPr>
              <w:pStyle w:val="P68B1DB1-Normal42"/>
              <w:spacing w:line="259" w:lineRule="auto"/>
              <w:rPr>
                <w:noProof/>
              </w:rPr>
            </w:pPr>
            <w:r>
              <w:rPr>
                <w:noProof/>
              </w:rPr>
              <w:t xml:space="preserve">Introduction de normes de déségrégation </w:t>
            </w:r>
          </w:p>
          <w:p w14:paraId="50B4AFAD" w14:textId="77777777" w:rsidR="003B5F50" w:rsidRDefault="003B5F50">
            <w:pPr>
              <w:spacing w:line="259" w:lineRule="auto"/>
              <w:jc w:val="both"/>
              <w:rPr>
                <w:rFonts w:ascii="Times New Roman" w:eastAsia="MS Mincho" w:hAnsi="Times New Roman" w:cs="Arial"/>
                <w:noProof/>
                <w:sz w:val="20"/>
                <w:szCs w:val="22"/>
              </w:rPr>
            </w:pPr>
          </w:p>
        </w:tc>
        <w:tc>
          <w:tcPr>
            <w:tcW w:w="2126" w:type="dxa"/>
            <w:shd w:val="clear" w:color="auto" w:fill="C6EFCE"/>
          </w:tcPr>
          <w:p w14:paraId="50B4AFAE" w14:textId="62FB53B2" w:rsidR="003B5F50" w:rsidRDefault="000D2D85">
            <w:pPr>
              <w:pStyle w:val="P68B1DB1-Normal42"/>
              <w:spacing w:line="259" w:lineRule="auto"/>
              <w:rPr>
                <w:noProof/>
              </w:rPr>
            </w:pPr>
            <w:r>
              <w:rPr>
                <w:noProof/>
              </w:rPr>
              <w:t>Création de normes de déségrégation et entrée en vigueur de la modification de la loi n° 245/2008</w:t>
            </w:r>
          </w:p>
        </w:tc>
        <w:tc>
          <w:tcPr>
            <w:tcW w:w="1720" w:type="dxa"/>
            <w:shd w:val="clear" w:color="auto" w:fill="C6EFCE"/>
          </w:tcPr>
          <w:p w14:paraId="50B4AFAF" w14:textId="77777777" w:rsidR="003B5F50" w:rsidRDefault="000D2D85">
            <w:pPr>
              <w:pStyle w:val="P68B1DB1-Normal42"/>
              <w:spacing w:line="259" w:lineRule="auto"/>
              <w:rPr>
                <w:rFonts w:eastAsia="Calibri" w:cs="Times New Roman"/>
                <w:noProof/>
              </w:rPr>
            </w:pPr>
            <w:r>
              <w:rPr>
                <w:noProof/>
              </w:rPr>
              <w:t xml:space="preserve"> </w:t>
            </w:r>
          </w:p>
        </w:tc>
        <w:tc>
          <w:tcPr>
            <w:tcW w:w="1016" w:type="dxa"/>
            <w:shd w:val="clear" w:color="auto" w:fill="C6EFCE"/>
          </w:tcPr>
          <w:p w14:paraId="50B4AFB0" w14:textId="77777777" w:rsidR="003B5F50" w:rsidRDefault="000D2D85">
            <w:pPr>
              <w:pStyle w:val="P68B1DB1-Normal42"/>
              <w:spacing w:line="259" w:lineRule="auto"/>
              <w:rPr>
                <w:rFonts w:eastAsia="Calibri" w:cs="Times New Roman"/>
                <w:noProof/>
              </w:rPr>
            </w:pPr>
            <w:r>
              <w:rPr>
                <w:noProof/>
              </w:rPr>
              <w:t xml:space="preserve"> </w:t>
            </w:r>
          </w:p>
        </w:tc>
        <w:tc>
          <w:tcPr>
            <w:tcW w:w="916" w:type="dxa"/>
            <w:shd w:val="clear" w:color="auto" w:fill="C6EFCE"/>
          </w:tcPr>
          <w:p w14:paraId="50B4AFB1" w14:textId="77777777" w:rsidR="003B5F50" w:rsidRDefault="003B5F50">
            <w:pPr>
              <w:spacing w:line="259" w:lineRule="auto"/>
              <w:rPr>
                <w:rFonts w:ascii="Times New Roman" w:eastAsia="Calibri" w:hAnsi="Times New Roman" w:cs="Times New Roman"/>
                <w:noProof/>
                <w:sz w:val="20"/>
                <w:szCs w:val="22"/>
              </w:rPr>
            </w:pPr>
          </w:p>
        </w:tc>
        <w:tc>
          <w:tcPr>
            <w:tcW w:w="1072" w:type="dxa"/>
            <w:shd w:val="clear" w:color="auto" w:fill="C6EFCE"/>
          </w:tcPr>
          <w:p w14:paraId="50B4AFB2" w14:textId="77777777" w:rsidR="003B5F50" w:rsidRDefault="000D2D85">
            <w:pPr>
              <w:pStyle w:val="P68B1DB1-Normal42"/>
              <w:spacing w:line="259" w:lineRule="auto"/>
              <w:jc w:val="center"/>
              <w:rPr>
                <w:rFonts w:eastAsia="Calibri" w:cs="Times New Roman"/>
                <w:noProof/>
              </w:rPr>
            </w:pPr>
            <w:r>
              <w:rPr>
                <w:noProof/>
              </w:rPr>
              <w:t>T4</w:t>
            </w:r>
          </w:p>
        </w:tc>
        <w:tc>
          <w:tcPr>
            <w:tcW w:w="761" w:type="dxa"/>
            <w:shd w:val="clear" w:color="auto" w:fill="C6EFCE"/>
          </w:tcPr>
          <w:p w14:paraId="50B4AFB3" w14:textId="77777777" w:rsidR="003B5F50" w:rsidRDefault="000D2D85">
            <w:pPr>
              <w:pStyle w:val="P68B1DB1-Normal42"/>
              <w:spacing w:line="259" w:lineRule="auto"/>
              <w:jc w:val="center"/>
              <w:rPr>
                <w:rFonts w:eastAsia="Calibri" w:cs="Times New Roman"/>
                <w:noProof/>
              </w:rPr>
            </w:pPr>
            <w:r>
              <w:rPr>
                <w:noProof/>
              </w:rPr>
              <w:t>2025</w:t>
            </w:r>
          </w:p>
        </w:tc>
        <w:tc>
          <w:tcPr>
            <w:tcW w:w="2128" w:type="dxa"/>
            <w:shd w:val="clear" w:color="auto" w:fill="C6EFCE"/>
          </w:tcPr>
          <w:p w14:paraId="50B4AFB4" w14:textId="77777777" w:rsidR="003B5F50" w:rsidRDefault="000D2D85">
            <w:pPr>
              <w:pStyle w:val="P68B1DB1-Normal42"/>
              <w:spacing w:line="259" w:lineRule="auto"/>
              <w:jc w:val="both"/>
              <w:rPr>
                <w:noProof/>
              </w:rPr>
            </w:pPr>
            <w:r>
              <w:rPr>
                <w:noProof/>
              </w:rPr>
              <w:t xml:space="preserve">Des normes de déségrégation et un manuel contenant des directives sur la mise à jour des règlements scolaires visant à prévenir et à éliminer la ségrégation doivent être établis. </w:t>
            </w:r>
          </w:p>
          <w:p w14:paraId="50B4AFB5" w14:textId="77777777" w:rsidR="003B5F50" w:rsidRDefault="000D2D85">
            <w:pPr>
              <w:pStyle w:val="P68B1DB1-Normal42"/>
              <w:spacing w:line="259" w:lineRule="auto"/>
              <w:jc w:val="both"/>
              <w:rPr>
                <w:noProof/>
              </w:rPr>
            </w:pPr>
            <w:r>
              <w:rPr>
                <w:noProof/>
              </w:rPr>
              <w:t>Toutes les écoles élémentaires et secondaires sont légalement tenues d'intégrer les normes de déségrégation dans leur règlement scolaire.</w:t>
            </w:r>
          </w:p>
        </w:tc>
      </w:tr>
      <w:tr w:rsidR="003B5F50" w14:paraId="50B4AFC2" w14:textId="77777777" w:rsidTr="00F133D4">
        <w:trPr>
          <w:trHeight w:val="120"/>
        </w:trPr>
        <w:tc>
          <w:tcPr>
            <w:tcW w:w="689" w:type="dxa"/>
            <w:shd w:val="clear" w:color="auto" w:fill="C6EFCE"/>
          </w:tcPr>
          <w:p w14:paraId="50B4AFB7" w14:textId="77777777" w:rsidR="003B5F50" w:rsidRDefault="000D2D85">
            <w:pPr>
              <w:pStyle w:val="P68B1DB1-Normal42"/>
              <w:spacing w:line="259" w:lineRule="auto"/>
              <w:jc w:val="center"/>
              <w:rPr>
                <w:noProof/>
                <w:szCs w:val="20"/>
              </w:rPr>
            </w:pPr>
            <w:r>
              <w:rPr>
                <w:noProof/>
              </w:rPr>
              <w:t>13</w:t>
            </w:r>
          </w:p>
        </w:tc>
        <w:tc>
          <w:tcPr>
            <w:tcW w:w="1540" w:type="dxa"/>
            <w:shd w:val="clear" w:color="auto" w:fill="C6EFCE"/>
          </w:tcPr>
          <w:p w14:paraId="50B4AFB8" w14:textId="77777777" w:rsidR="003B5F50" w:rsidRDefault="000D2D85">
            <w:pPr>
              <w:pStyle w:val="P68B1DB1-Normal42"/>
              <w:spacing w:line="259" w:lineRule="auto"/>
              <w:rPr>
                <w:noProof/>
              </w:rPr>
            </w:pPr>
            <w:r>
              <w:rPr>
                <w:noProof/>
              </w:rPr>
              <w:t>6 – Accessibilité, développement et qualité de l’éducation inclusive – Réforme 6: Mesures compensatoires visant à atténuer les effets de la pandémie sur l’éducation des élèves du primaire et du secondaire</w:t>
            </w:r>
          </w:p>
        </w:tc>
        <w:tc>
          <w:tcPr>
            <w:tcW w:w="743" w:type="dxa"/>
            <w:shd w:val="clear" w:color="auto" w:fill="C6EFCE"/>
          </w:tcPr>
          <w:p w14:paraId="50B4AFB9" w14:textId="77777777" w:rsidR="003B5F50" w:rsidRDefault="000D2D85">
            <w:pPr>
              <w:pStyle w:val="P68B1DB1-Normal42"/>
              <w:spacing w:line="259" w:lineRule="auto"/>
              <w:rPr>
                <w:rFonts w:eastAsia="Calibri" w:cs="Times New Roman"/>
                <w:noProof/>
              </w:rPr>
            </w:pPr>
            <w:r>
              <w:rPr>
                <w:noProof/>
              </w:rPr>
              <w:t>Objectif</w:t>
            </w:r>
          </w:p>
        </w:tc>
        <w:tc>
          <w:tcPr>
            <w:tcW w:w="851" w:type="dxa"/>
            <w:shd w:val="clear" w:color="auto" w:fill="C6EFCE"/>
          </w:tcPr>
          <w:p w14:paraId="50B4AFBA" w14:textId="77777777" w:rsidR="003B5F50" w:rsidRDefault="000D2D85">
            <w:pPr>
              <w:pStyle w:val="P68B1DB1-Normal42"/>
              <w:spacing w:line="259" w:lineRule="auto"/>
              <w:rPr>
                <w:rFonts w:eastAsia="Calibri" w:cs="Times New Roman"/>
                <w:noProof/>
              </w:rPr>
            </w:pPr>
            <w:r>
              <w:rPr>
                <w:noProof/>
              </w:rPr>
              <w:t>Nombre d ' écoles participant à des programmes d ' enseignement</w:t>
            </w:r>
          </w:p>
        </w:tc>
        <w:tc>
          <w:tcPr>
            <w:tcW w:w="2126" w:type="dxa"/>
            <w:shd w:val="clear" w:color="auto" w:fill="C6EFCE"/>
          </w:tcPr>
          <w:p w14:paraId="50B4AFBB" w14:textId="77777777" w:rsidR="003B5F50" w:rsidRDefault="000D2D85">
            <w:pPr>
              <w:pStyle w:val="P68B1DB1-Normal42"/>
              <w:spacing w:line="259" w:lineRule="auto"/>
              <w:jc w:val="both"/>
              <w:rPr>
                <w:noProof/>
              </w:rPr>
            </w:pPr>
            <w:r>
              <w:rPr>
                <w:noProof/>
              </w:rPr>
              <w:t xml:space="preserve"> </w:t>
            </w:r>
          </w:p>
        </w:tc>
        <w:tc>
          <w:tcPr>
            <w:tcW w:w="1720" w:type="dxa"/>
            <w:shd w:val="clear" w:color="auto" w:fill="C6EFCE"/>
          </w:tcPr>
          <w:p w14:paraId="50B4AFBC" w14:textId="77777777" w:rsidR="003B5F50" w:rsidRDefault="000D2D85">
            <w:pPr>
              <w:pStyle w:val="P68B1DB1-Normal42"/>
              <w:spacing w:line="259" w:lineRule="auto"/>
              <w:rPr>
                <w:rFonts w:eastAsia="Calibri" w:cs="Times New Roman"/>
                <w:noProof/>
              </w:rPr>
            </w:pPr>
            <w:r>
              <w:rPr>
                <w:noProof/>
              </w:rPr>
              <w:t>Numéro</w:t>
            </w:r>
          </w:p>
        </w:tc>
        <w:tc>
          <w:tcPr>
            <w:tcW w:w="1016" w:type="dxa"/>
            <w:shd w:val="clear" w:color="auto" w:fill="C6EFCE"/>
          </w:tcPr>
          <w:p w14:paraId="50B4AFBD" w14:textId="77777777" w:rsidR="003B5F50" w:rsidRDefault="000D2D85">
            <w:pPr>
              <w:pStyle w:val="P68B1DB1-Normal42"/>
              <w:spacing w:line="259" w:lineRule="auto"/>
              <w:jc w:val="right"/>
              <w:rPr>
                <w:noProof/>
              </w:rPr>
            </w:pPr>
            <w:r>
              <w:rPr>
                <w:noProof/>
              </w:rPr>
              <w:t>0</w:t>
            </w:r>
          </w:p>
        </w:tc>
        <w:tc>
          <w:tcPr>
            <w:tcW w:w="916" w:type="dxa"/>
            <w:shd w:val="clear" w:color="auto" w:fill="C6EFCE"/>
          </w:tcPr>
          <w:p w14:paraId="50B4AFBE" w14:textId="77777777" w:rsidR="003B5F50" w:rsidRDefault="000D2D85">
            <w:pPr>
              <w:pStyle w:val="P68B1DB1-Normal42"/>
              <w:spacing w:line="259" w:lineRule="auto"/>
              <w:jc w:val="center"/>
              <w:rPr>
                <w:noProof/>
              </w:rPr>
            </w:pPr>
            <w:r>
              <w:rPr>
                <w:noProof/>
              </w:rPr>
              <w:t>450</w:t>
            </w:r>
          </w:p>
        </w:tc>
        <w:tc>
          <w:tcPr>
            <w:tcW w:w="1072" w:type="dxa"/>
            <w:shd w:val="clear" w:color="auto" w:fill="C6EFCE"/>
          </w:tcPr>
          <w:p w14:paraId="50B4AFBF" w14:textId="77777777" w:rsidR="003B5F50" w:rsidRDefault="000D2D85">
            <w:pPr>
              <w:pStyle w:val="P68B1DB1-Normal42"/>
              <w:spacing w:line="259" w:lineRule="auto"/>
              <w:jc w:val="center"/>
              <w:rPr>
                <w:rFonts w:eastAsia="Calibri" w:cs="Times New Roman"/>
                <w:noProof/>
              </w:rPr>
            </w:pPr>
            <w:r>
              <w:rPr>
                <w:noProof/>
              </w:rPr>
              <w:t>T4</w:t>
            </w:r>
          </w:p>
        </w:tc>
        <w:tc>
          <w:tcPr>
            <w:tcW w:w="761" w:type="dxa"/>
            <w:shd w:val="clear" w:color="auto" w:fill="C6EFCE"/>
          </w:tcPr>
          <w:p w14:paraId="50B4AFC0" w14:textId="77777777" w:rsidR="003B5F50" w:rsidRDefault="000D2D85">
            <w:pPr>
              <w:pStyle w:val="P68B1DB1-Normal42"/>
              <w:spacing w:line="259" w:lineRule="auto"/>
              <w:jc w:val="center"/>
              <w:rPr>
                <w:rFonts w:eastAsia="Calibri" w:cs="Times New Roman"/>
                <w:noProof/>
              </w:rPr>
            </w:pPr>
            <w:r>
              <w:rPr>
                <w:noProof/>
              </w:rPr>
              <w:t>2022</w:t>
            </w:r>
          </w:p>
        </w:tc>
        <w:tc>
          <w:tcPr>
            <w:tcW w:w="2128" w:type="dxa"/>
            <w:shd w:val="clear" w:color="auto" w:fill="C6EFCE"/>
          </w:tcPr>
          <w:p w14:paraId="50B4AFC1" w14:textId="77777777" w:rsidR="003B5F50" w:rsidRDefault="000D2D85">
            <w:pPr>
              <w:pStyle w:val="P68B1DB1-Normal42"/>
              <w:spacing w:line="259" w:lineRule="auto"/>
              <w:jc w:val="both"/>
              <w:rPr>
                <w:noProof/>
              </w:rPr>
            </w:pPr>
            <w:r>
              <w:rPr>
                <w:noProof/>
              </w:rPr>
              <w:t>450 écoles organisent des programmes d'enseignement. En atteignant ce nombre d'écoles, 12 000 élèves seront soutenus par des programmes d'enseignement. En priorité, les programmes d’enseignement ciblent les élèves qui n’ont pas été en mesure de participer pleinement à l’éducation pendant la période de scolarisation interrompue dans les écoles au cours des années scolaires 2019/2020 et 2020/2021. Les cours doivent être donnés individuellement ou en groupe et s'ajouter aux heures normales d'école. Il se concentre en particulier sur les matières relevant des «principaux domaines éducatifs».</w:t>
            </w:r>
          </w:p>
        </w:tc>
      </w:tr>
      <w:tr w:rsidR="003B5F50" w14:paraId="50B4AFCF" w14:textId="77777777" w:rsidTr="00F133D4">
        <w:trPr>
          <w:trHeight w:val="1110"/>
        </w:trPr>
        <w:tc>
          <w:tcPr>
            <w:tcW w:w="689" w:type="dxa"/>
            <w:shd w:val="clear" w:color="auto" w:fill="C6EFCE"/>
          </w:tcPr>
          <w:p w14:paraId="50B4AFC3" w14:textId="77777777" w:rsidR="003B5F50" w:rsidRDefault="000D2D85">
            <w:pPr>
              <w:pStyle w:val="P68B1DB1-Normal42"/>
              <w:spacing w:line="259" w:lineRule="auto"/>
              <w:jc w:val="center"/>
              <w:rPr>
                <w:noProof/>
                <w:szCs w:val="20"/>
              </w:rPr>
            </w:pPr>
            <w:r>
              <w:rPr>
                <w:noProof/>
              </w:rPr>
              <w:t>14</w:t>
            </w:r>
          </w:p>
        </w:tc>
        <w:tc>
          <w:tcPr>
            <w:tcW w:w="1540" w:type="dxa"/>
            <w:shd w:val="clear" w:color="auto" w:fill="C6EFCE"/>
          </w:tcPr>
          <w:p w14:paraId="50B4AFC4" w14:textId="07BE76BF" w:rsidR="003B5F50" w:rsidRDefault="000D2D85">
            <w:pPr>
              <w:pStyle w:val="P68B1DB1-Normal41"/>
              <w:spacing w:line="259" w:lineRule="auto"/>
              <w:rPr>
                <w:noProof/>
              </w:rPr>
            </w:pPr>
            <w:r>
              <w:rPr>
                <w:noProof/>
                <w:color w:val="006100"/>
              </w:rPr>
              <w:t>6 – Accessibilité, développement et qualité de l’éducation inclusive – Investissement 1:</w:t>
            </w:r>
            <w:r>
              <w:rPr>
                <w:noProof/>
              </w:rPr>
              <w:t xml:space="preserve"> </w:t>
            </w:r>
            <w:r>
              <w:rPr>
                <w:noProof/>
                <w:color w:val="006100"/>
              </w:rPr>
              <w:t>Suppression des barrières des bâtiments scolaires</w:t>
            </w:r>
          </w:p>
        </w:tc>
        <w:tc>
          <w:tcPr>
            <w:tcW w:w="743" w:type="dxa"/>
            <w:shd w:val="clear" w:color="auto" w:fill="C6EFCE"/>
          </w:tcPr>
          <w:p w14:paraId="50B4AFC5" w14:textId="77777777" w:rsidR="003B5F50" w:rsidRDefault="000D2D85">
            <w:pPr>
              <w:pStyle w:val="P68B1DB1-Normal42"/>
              <w:spacing w:line="259" w:lineRule="auto"/>
              <w:rPr>
                <w:rFonts w:eastAsia="Calibri" w:cs="Times New Roman"/>
                <w:noProof/>
              </w:rPr>
            </w:pPr>
            <w:r>
              <w:rPr>
                <w:noProof/>
              </w:rPr>
              <w:t>Étape</w:t>
            </w:r>
          </w:p>
        </w:tc>
        <w:tc>
          <w:tcPr>
            <w:tcW w:w="851" w:type="dxa"/>
            <w:shd w:val="clear" w:color="auto" w:fill="C6EFCE"/>
          </w:tcPr>
          <w:p w14:paraId="50B4AFC6" w14:textId="77777777" w:rsidR="003B5F50" w:rsidRDefault="000D2D85">
            <w:pPr>
              <w:pStyle w:val="P68B1DB1-Normal42"/>
              <w:spacing w:line="259" w:lineRule="auto"/>
              <w:rPr>
                <w:rFonts w:eastAsia="Calibri" w:cs="Times New Roman"/>
                <w:noProof/>
              </w:rPr>
            </w:pPr>
            <w:r>
              <w:rPr>
                <w:noProof/>
              </w:rPr>
              <w:t>Introduction de la définition d'une norme d'élimination des obstacles, création d'un manuel d'élimination des obstacles et cartographie des besoins scolaires à tous les niveaux d'enseignement</w:t>
            </w:r>
          </w:p>
        </w:tc>
        <w:tc>
          <w:tcPr>
            <w:tcW w:w="2126" w:type="dxa"/>
            <w:shd w:val="clear" w:color="auto" w:fill="C6EFCE"/>
          </w:tcPr>
          <w:p w14:paraId="50B4AFC7" w14:textId="77777777" w:rsidR="003B5F50" w:rsidRDefault="000D2D85">
            <w:pPr>
              <w:pStyle w:val="P68B1DB1-Normal42"/>
              <w:spacing w:line="259" w:lineRule="auto"/>
              <w:rPr>
                <w:rFonts w:eastAsia="Calibri" w:cs="Times New Roman"/>
                <w:noProof/>
              </w:rPr>
            </w:pPr>
            <w:r>
              <w:rPr>
                <w:noProof/>
              </w:rPr>
              <w:t>Approbation par le ministère de l’éducation des normes de suppression des obstacles, du manuel de suppression des obstacles et publication des résultats de la cartographie des besoins sur le site web du ministère de l’éducation</w:t>
            </w:r>
          </w:p>
        </w:tc>
        <w:tc>
          <w:tcPr>
            <w:tcW w:w="1720" w:type="dxa"/>
            <w:shd w:val="clear" w:color="auto" w:fill="C6EFCE"/>
          </w:tcPr>
          <w:p w14:paraId="50B4AFC8" w14:textId="77777777" w:rsidR="003B5F50" w:rsidRDefault="000D2D85">
            <w:pPr>
              <w:pStyle w:val="P68B1DB1-Normal42"/>
              <w:spacing w:line="259" w:lineRule="auto"/>
              <w:rPr>
                <w:noProof/>
              </w:rPr>
            </w:pPr>
            <w:r>
              <w:rPr>
                <w:noProof/>
              </w:rPr>
              <w:t xml:space="preserve"> </w:t>
            </w:r>
          </w:p>
        </w:tc>
        <w:tc>
          <w:tcPr>
            <w:tcW w:w="1016" w:type="dxa"/>
            <w:shd w:val="clear" w:color="auto" w:fill="C6EFCE"/>
          </w:tcPr>
          <w:p w14:paraId="50B4AFC9" w14:textId="77777777" w:rsidR="003B5F50" w:rsidRDefault="000D2D85">
            <w:pPr>
              <w:pStyle w:val="P68B1DB1-Normal42"/>
              <w:spacing w:line="259" w:lineRule="auto"/>
              <w:rPr>
                <w:noProof/>
              </w:rPr>
            </w:pPr>
            <w:r>
              <w:rPr>
                <w:noProof/>
              </w:rPr>
              <w:t xml:space="preserve"> </w:t>
            </w:r>
          </w:p>
        </w:tc>
        <w:tc>
          <w:tcPr>
            <w:tcW w:w="916" w:type="dxa"/>
            <w:shd w:val="clear" w:color="auto" w:fill="C6EFCE"/>
          </w:tcPr>
          <w:p w14:paraId="50B4AFCA" w14:textId="77777777" w:rsidR="003B5F50" w:rsidRDefault="000D2D85">
            <w:pPr>
              <w:pStyle w:val="P68B1DB1-Normal42"/>
              <w:spacing w:line="259" w:lineRule="auto"/>
              <w:rPr>
                <w:noProof/>
              </w:rPr>
            </w:pPr>
            <w:r>
              <w:rPr>
                <w:noProof/>
              </w:rPr>
              <w:t xml:space="preserve"> </w:t>
            </w:r>
          </w:p>
        </w:tc>
        <w:tc>
          <w:tcPr>
            <w:tcW w:w="1072" w:type="dxa"/>
            <w:shd w:val="clear" w:color="auto" w:fill="C6EFCE"/>
          </w:tcPr>
          <w:p w14:paraId="50B4AFCB" w14:textId="77777777" w:rsidR="003B5F50" w:rsidRDefault="000D2D85">
            <w:pPr>
              <w:pStyle w:val="P68B1DB1-Normal42"/>
              <w:spacing w:line="259" w:lineRule="auto"/>
              <w:jc w:val="center"/>
              <w:rPr>
                <w:rFonts w:eastAsia="Calibri" w:cs="Times New Roman"/>
                <w:noProof/>
              </w:rPr>
            </w:pPr>
            <w:r>
              <w:rPr>
                <w:noProof/>
              </w:rPr>
              <w:t>T1</w:t>
            </w:r>
          </w:p>
        </w:tc>
        <w:tc>
          <w:tcPr>
            <w:tcW w:w="761" w:type="dxa"/>
            <w:shd w:val="clear" w:color="auto" w:fill="C6EFCE"/>
          </w:tcPr>
          <w:p w14:paraId="50B4AFCC" w14:textId="77777777" w:rsidR="003B5F50" w:rsidRDefault="000D2D85">
            <w:pPr>
              <w:pStyle w:val="P68B1DB1-Normal42"/>
              <w:spacing w:line="259" w:lineRule="auto"/>
              <w:jc w:val="center"/>
              <w:rPr>
                <w:rFonts w:eastAsia="Calibri" w:cs="Times New Roman"/>
                <w:noProof/>
              </w:rPr>
            </w:pPr>
            <w:r>
              <w:rPr>
                <w:noProof/>
              </w:rPr>
              <w:t>2022</w:t>
            </w:r>
          </w:p>
        </w:tc>
        <w:tc>
          <w:tcPr>
            <w:tcW w:w="2128" w:type="dxa"/>
            <w:shd w:val="clear" w:color="auto" w:fill="C6EFCE"/>
          </w:tcPr>
          <w:p w14:paraId="50B4AFCD" w14:textId="77777777" w:rsidR="003B5F50" w:rsidRDefault="000D2D85">
            <w:pPr>
              <w:pStyle w:val="P68B1DB1-Normal42"/>
              <w:spacing w:line="259" w:lineRule="auto"/>
              <w:jc w:val="both"/>
              <w:rPr>
                <w:rFonts w:eastAsia="Calibri" w:cs="Times New Roman"/>
                <w:noProof/>
              </w:rPr>
            </w:pPr>
            <w:r>
              <w:rPr>
                <w:noProof/>
              </w:rPr>
              <w:t xml:space="preserve">Le manuel définit des normes d'élimination des obstacles afin de répondre aux besoins réels des enfants, des élèves et des étudiants défavorisés sur le plan de la santé et de respecter les principes de conception universelle. Elle est fondée sur une approche globale qui garantit la pleine participation à la vie scolaire (c’est-à-dire la définition de normes qui créent un espace inclusif dans l’ensemble de l’école et ne se concentrent pas uniquement sur l’élimination des principaux obstacles, par exemple à l’entrée à l’école). Outre les normes spatiales (par exemple, les spécifications techniques pour les travaux de construction), le manuel définit également des normes pour l’élimination des obstacles dans les bâtiments scolaires (telles que la coopération de l’école avec les experts et la communauté). </w:t>
            </w:r>
          </w:p>
          <w:p w14:paraId="50B4AFCE" w14:textId="77777777" w:rsidR="003B5F50" w:rsidRDefault="000D2D85">
            <w:pPr>
              <w:pStyle w:val="P68B1DB1-Normal42"/>
              <w:spacing w:line="259" w:lineRule="auto"/>
              <w:jc w:val="both"/>
              <w:rPr>
                <w:rFonts w:eastAsia="Calibri" w:cs="Times New Roman"/>
                <w:noProof/>
              </w:rPr>
            </w:pPr>
            <w:r>
              <w:rPr>
                <w:noProof/>
              </w:rPr>
              <w:t xml:space="preserve">Le ministère de l’éducation, en collaboration avec l’Institut de recherche sur l’éducation inclusive de Brno, prépare une analyse de l’état d’avancement de l’élimination des obstacles dans les écoles par rapport aux normes établies et, sur la base de cette analyse, donne la priorité aux écoles individuelles pour l’élimination des obstacles. </w:t>
            </w:r>
          </w:p>
        </w:tc>
      </w:tr>
      <w:tr w:rsidR="003B5F50" w14:paraId="50B4AFDB" w14:textId="77777777" w:rsidTr="00F133D4">
        <w:trPr>
          <w:trHeight w:val="900"/>
        </w:trPr>
        <w:tc>
          <w:tcPr>
            <w:tcW w:w="689" w:type="dxa"/>
            <w:shd w:val="clear" w:color="auto" w:fill="C6EFCE"/>
          </w:tcPr>
          <w:p w14:paraId="50B4AFD0" w14:textId="77777777" w:rsidR="003B5F50" w:rsidRDefault="000D2D85">
            <w:pPr>
              <w:pStyle w:val="P68B1DB1-Normal42"/>
              <w:spacing w:line="259" w:lineRule="auto"/>
              <w:jc w:val="center"/>
              <w:rPr>
                <w:noProof/>
                <w:szCs w:val="20"/>
              </w:rPr>
            </w:pPr>
            <w:r>
              <w:rPr>
                <w:noProof/>
              </w:rPr>
              <w:t>15</w:t>
            </w:r>
          </w:p>
        </w:tc>
        <w:tc>
          <w:tcPr>
            <w:tcW w:w="1540" w:type="dxa"/>
            <w:shd w:val="clear" w:color="auto" w:fill="C6EFCE"/>
          </w:tcPr>
          <w:p w14:paraId="50B4AFD1" w14:textId="77777777" w:rsidR="003B5F50" w:rsidRDefault="000D2D85">
            <w:pPr>
              <w:pStyle w:val="P68B1DB1-Normal42"/>
              <w:spacing w:line="259" w:lineRule="auto"/>
              <w:rPr>
                <w:noProof/>
                <w:szCs w:val="20"/>
              </w:rPr>
            </w:pPr>
            <w:r>
              <w:rPr>
                <w:noProof/>
              </w:rPr>
              <w:t xml:space="preserve">6 – Accessibilité, développement et qualité de l’éducation inclusive – Investissement 1: supprimer les obstacles dans les bâtiments scolaires </w:t>
            </w:r>
          </w:p>
        </w:tc>
        <w:tc>
          <w:tcPr>
            <w:tcW w:w="743" w:type="dxa"/>
            <w:shd w:val="clear" w:color="auto" w:fill="C6EFCE"/>
          </w:tcPr>
          <w:p w14:paraId="50B4AFD2" w14:textId="77777777" w:rsidR="003B5F50" w:rsidRDefault="000D2D85">
            <w:pPr>
              <w:pStyle w:val="P68B1DB1-Normal42"/>
              <w:spacing w:line="259" w:lineRule="auto"/>
              <w:rPr>
                <w:noProof/>
                <w:szCs w:val="20"/>
              </w:rPr>
            </w:pPr>
            <w:r>
              <w:rPr>
                <w:noProof/>
              </w:rPr>
              <w:t>Objectif</w:t>
            </w:r>
          </w:p>
        </w:tc>
        <w:tc>
          <w:tcPr>
            <w:tcW w:w="851" w:type="dxa"/>
            <w:shd w:val="clear" w:color="auto" w:fill="C6EFCE"/>
          </w:tcPr>
          <w:p w14:paraId="50B4AFD3" w14:textId="6C8D1711" w:rsidR="003B5F50" w:rsidRDefault="000D2D85">
            <w:pPr>
              <w:pStyle w:val="P68B1DB1-Normal42"/>
              <w:spacing w:line="259" w:lineRule="auto"/>
              <w:rPr>
                <w:noProof/>
                <w:szCs w:val="20"/>
              </w:rPr>
            </w:pPr>
            <w:r>
              <w:rPr>
                <w:noProof/>
              </w:rPr>
              <w:t>Élimination des barrières architecturales dans les écoles secondaires</w:t>
            </w:r>
          </w:p>
        </w:tc>
        <w:tc>
          <w:tcPr>
            <w:tcW w:w="2126" w:type="dxa"/>
            <w:shd w:val="clear" w:color="auto" w:fill="C6EFCE"/>
          </w:tcPr>
          <w:p w14:paraId="50B4AFD4" w14:textId="77777777" w:rsidR="003B5F50" w:rsidRDefault="003B5F50">
            <w:pPr>
              <w:spacing w:line="259" w:lineRule="auto"/>
              <w:rPr>
                <w:rFonts w:ascii="Times New Roman" w:eastAsia="MS Mincho" w:hAnsi="Times New Roman" w:cs="Arial"/>
                <w:noProof/>
                <w:sz w:val="20"/>
                <w:szCs w:val="20"/>
              </w:rPr>
            </w:pPr>
          </w:p>
        </w:tc>
        <w:tc>
          <w:tcPr>
            <w:tcW w:w="1720" w:type="dxa"/>
            <w:shd w:val="clear" w:color="auto" w:fill="C6EFCE"/>
          </w:tcPr>
          <w:p w14:paraId="50B4AFD5" w14:textId="77777777" w:rsidR="003B5F50" w:rsidRDefault="000D2D85">
            <w:pPr>
              <w:pStyle w:val="P68B1DB1-Normal42"/>
              <w:spacing w:line="259" w:lineRule="auto"/>
              <w:rPr>
                <w:noProof/>
                <w:szCs w:val="20"/>
              </w:rPr>
            </w:pPr>
            <w:r>
              <w:rPr>
                <w:noProof/>
              </w:rPr>
              <w:t>Numéro</w:t>
            </w:r>
          </w:p>
        </w:tc>
        <w:tc>
          <w:tcPr>
            <w:tcW w:w="1016" w:type="dxa"/>
            <w:shd w:val="clear" w:color="auto" w:fill="C6EFCE"/>
          </w:tcPr>
          <w:p w14:paraId="50B4AFD6" w14:textId="77777777" w:rsidR="003B5F50" w:rsidRDefault="000D2D85">
            <w:pPr>
              <w:pStyle w:val="P68B1DB1-Normal42"/>
              <w:spacing w:line="259" w:lineRule="auto"/>
              <w:jc w:val="right"/>
              <w:rPr>
                <w:noProof/>
                <w:szCs w:val="20"/>
              </w:rPr>
            </w:pPr>
            <w:r>
              <w:rPr>
                <w:noProof/>
              </w:rPr>
              <w:t>0</w:t>
            </w:r>
          </w:p>
        </w:tc>
        <w:tc>
          <w:tcPr>
            <w:tcW w:w="916" w:type="dxa"/>
            <w:shd w:val="clear" w:color="auto" w:fill="C6EFCE"/>
          </w:tcPr>
          <w:p w14:paraId="50B4AFD7" w14:textId="77777777" w:rsidR="003B5F50" w:rsidRDefault="000D2D85">
            <w:pPr>
              <w:pStyle w:val="P68B1DB1-Normal43"/>
              <w:spacing w:line="259" w:lineRule="auto"/>
              <w:jc w:val="right"/>
              <w:rPr>
                <w:rFonts w:eastAsia="Times New Roman" w:cs="Times New Roman"/>
                <w:noProof/>
              </w:rPr>
            </w:pPr>
            <w:r>
              <w:rPr>
                <w:noProof/>
              </w:rPr>
              <w:t>135</w:t>
            </w:r>
          </w:p>
        </w:tc>
        <w:tc>
          <w:tcPr>
            <w:tcW w:w="1072" w:type="dxa"/>
            <w:shd w:val="clear" w:color="auto" w:fill="C6EFCE"/>
          </w:tcPr>
          <w:p w14:paraId="50B4AFD8" w14:textId="77777777" w:rsidR="003B5F50" w:rsidRDefault="000D2D85">
            <w:pPr>
              <w:pStyle w:val="P68B1DB1-Normal43"/>
              <w:spacing w:line="259" w:lineRule="auto"/>
              <w:jc w:val="center"/>
              <w:rPr>
                <w:noProof/>
              </w:rPr>
            </w:pPr>
            <w:r>
              <w:rPr>
                <w:noProof/>
              </w:rPr>
              <w:t>T2</w:t>
            </w:r>
          </w:p>
        </w:tc>
        <w:tc>
          <w:tcPr>
            <w:tcW w:w="761" w:type="dxa"/>
            <w:shd w:val="clear" w:color="auto" w:fill="C6EFCE"/>
          </w:tcPr>
          <w:p w14:paraId="50B4AFD9" w14:textId="77777777" w:rsidR="003B5F50" w:rsidRDefault="000D2D85">
            <w:pPr>
              <w:pStyle w:val="P68B1DB1-Normal42"/>
              <w:spacing w:line="259" w:lineRule="auto"/>
              <w:jc w:val="center"/>
              <w:rPr>
                <w:noProof/>
                <w:szCs w:val="20"/>
              </w:rPr>
            </w:pPr>
            <w:r>
              <w:rPr>
                <w:noProof/>
              </w:rPr>
              <w:t>2025</w:t>
            </w:r>
          </w:p>
        </w:tc>
        <w:tc>
          <w:tcPr>
            <w:tcW w:w="2128" w:type="dxa"/>
            <w:shd w:val="clear" w:color="auto" w:fill="C6EFCE"/>
          </w:tcPr>
          <w:p w14:paraId="50B4AFDA" w14:textId="77777777" w:rsidR="003B5F50" w:rsidRDefault="000D2D85">
            <w:pPr>
              <w:pStyle w:val="P68B1DB1-Normal43"/>
              <w:spacing w:line="259" w:lineRule="auto"/>
              <w:rPr>
                <w:noProof/>
                <w:szCs w:val="22"/>
              </w:rPr>
            </w:pPr>
            <w:r>
              <w:rPr>
                <w:noProof/>
              </w:rPr>
              <w:t xml:space="preserve">Les obstacles architecturaux doivent être réduits dans 135 écoles secondaires. </w:t>
            </w:r>
          </w:p>
        </w:tc>
      </w:tr>
      <w:tr w:rsidR="003B5F50" w14:paraId="50B4AFEC" w14:textId="77777777" w:rsidTr="00F133D4">
        <w:trPr>
          <w:trHeight w:val="900"/>
        </w:trPr>
        <w:tc>
          <w:tcPr>
            <w:tcW w:w="689" w:type="dxa"/>
            <w:shd w:val="clear" w:color="auto" w:fill="C6EFCE"/>
          </w:tcPr>
          <w:p w14:paraId="50B4AFDC" w14:textId="77777777" w:rsidR="003B5F50" w:rsidRDefault="000D2D85">
            <w:pPr>
              <w:pStyle w:val="P68B1DB1-Normal42"/>
              <w:spacing w:line="259" w:lineRule="auto"/>
              <w:jc w:val="center"/>
              <w:rPr>
                <w:noProof/>
              </w:rPr>
            </w:pPr>
            <w:r>
              <w:rPr>
                <w:noProof/>
              </w:rPr>
              <w:t>16</w:t>
            </w:r>
          </w:p>
        </w:tc>
        <w:tc>
          <w:tcPr>
            <w:tcW w:w="1540" w:type="dxa"/>
            <w:shd w:val="clear" w:color="auto" w:fill="C6EFCE"/>
          </w:tcPr>
          <w:p w14:paraId="50B4AFDD" w14:textId="77777777" w:rsidR="003B5F50" w:rsidRDefault="000D2D85">
            <w:pPr>
              <w:pStyle w:val="P68B1DB1-Normal42"/>
              <w:spacing w:line="259" w:lineRule="auto"/>
              <w:rPr>
                <w:noProof/>
                <w:szCs w:val="20"/>
              </w:rPr>
            </w:pPr>
            <w:r>
              <w:rPr>
                <w:noProof/>
              </w:rPr>
              <w:t>6 – Accessibilité, développement et qualité de l’éducation inclusive – Réforme 1:1.Assurer les conditions de mise en œuvre de l’enseignement préprimaire obligatoire pour les enfants âgés de cinq ans et introduire un droit légal à une place à la maternelle ou dans d’autres établissements d’enseignement préprimaire à partir de l’âge de trois ans</w:t>
            </w:r>
          </w:p>
          <w:p w14:paraId="50B4AFDE" w14:textId="77777777" w:rsidR="003B5F50" w:rsidRDefault="003B5F50">
            <w:pPr>
              <w:spacing w:line="259" w:lineRule="auto"/>
              <w:rPr>
                <w:rFonts w:ascii="Times New Roman" w:eastAsia="MS Mincho" w:hAnsi="Times New Roman" w:cs="Arial"/>
                <w:noProof/>
                <w:color w:val="006100"/>
                <w:sz w:val="20"/>
                <w:szCs w:val="22"/>
              </w:rPr>
            </w:pPr>
          </w:p>
        </w:tc>
        <w:tc>
          <w:tcPr>
            <w:tcW w:w="743" w:type="dxa"/>
            <w:shd w:val="clear" w:color="auto" w:fill="C6EFCE"/>
          </w:tcPr>
          <w:p w14:paraId="50B4AFDF" w14:textId="77777777" w:rsidR="003B5F50" w:rsidRDefault="000D2D85">
            <w:pPr>
              <w:pStyle w:val="P68B1DB1-Normal42"/>
              <w:spacing w:line="259" w:lineRule="auto"/>
              <w:rPr>
                <w:noProof/>
                <w:szCs w:val="20"/>
              </w:rPr>
            </w:pPr>
            <w:r>
              <w:rPr>
                <w:noProof/>
              </w:rPr>
              <w:t>Étape</w:t>
            </w:r>
          </w:p>
          <w:p w14:paraId="50B4AFE0" w14:textId="77777777" w:rsidR="003B5F50" w:rsidRDefault="003B5F50">
            <w:pPr>
              <w:spacing w:line="259" w:lineRule="auto"/>
              <w:rPr>
                <w:rFonts w:ascii="Times New Roman" w:eastAsia="MS Mincho" w:hAnsi="Times New Roman" w:cs="Arial"/>
                <w:noProof/>
                <w:color w:val="006100"/>
                <w:sz w:val="20"/>
                <w:szCs w:val="22"/>
              </w:rPr>
            </w:pPr>
          </w:p>
        </w:tc>
        <w:tc>
          <w:tcPr>
            <w:tcW w:w="851" w:type="dxa"/>
            <w:shd w:val="clear" w:color="auto" w:fill="C6EFCE"/>
          </w:tcPr>
          <w:p w14:paraId="50B4AFE1" w14:textId="77777777" w:rsidR="003B5F50" w:rsidRDefault="000D2D85">
            <w:pPr>
              <w:pStyle w:val="P68B1DB1-Normal42"/>
              <w:spacing w:line="259" w:lineRule="auto"/>
              <w:rPr>
                <w:noProof/>
              </w:rPr>
            </w:pPr>
            <w:r>
              <w:rPr>
                <w:noProof/>
              </w:rPr>
              <w:t>Entrée en vigueur d'un nouveau système de financement normatif pour l'enseignement préprimaire fondé sur les coûts annuels réels standardisés de personnel et de fonctionnement des jardins d'enfants, ainsi que sur la réalisation du taux de scolarisation des enfants âgés de quatre ans.</w:t>
            </w:r>
          </w:p>
        </w:tc>
        <w:tc>
          <w:tcPr>
            <w:tcW w:w="2126" w:type="dxa"/>
            <w:shd w:val="clear" w:color="auto" w:fill="C6EFCE"/>
          </w:tcPr>
          <w:p w14:paraId="50B4AFE2" w14:textId="77777777" w:rsidR="003B5F50" w:rsidRDefault="000D2D85">
            <w:pPr>
              <w:pStyle w:val="P68B1DB1-Normal42"/>
              <w:spacing w:line="259" w:lineRule="auto"/>
              <w:rPr>
                <w:noProof/>
                <w:szCs w:val="20"/>
              </w:rPr>
            </w:pPr>
            <w:r>
              <w:rPr>
                <w:noProof/>
              </w:rPr>
              <w:t>Adoption par le Parlement de la loi no 597/2003, de la loi no 596/2003, de la loi no 564/2004 Rec., modification du règlement gouvernemental no 668/2004 Rec., du règlement gouvernemental no 630/2008 Rec.</w:t>
            </w:r>
          </w:p>
          <w:p w14:paraId="50B4AFE3" w14:textId="77777777" w:rsidR="003B5F50" w:rsidRDefault="003B5F50">
            <w:pPr>
              <w:spacing w:line="259" w:lineRule="auto"/>
              <w:rPr>
                <w:rFonts w:ascii="Times New Roman" w:eastAsia="MS Mincho" w:hAnsi="Times New Roman" w:cs="Arial"/>
                <w:noProof/>
                <w:color w:val="006100"/>
                <w:sz w:val="20"/>
                <w:szCs w:val="22"/>
              </w:rPr>
            </w:pPr>
          </w:p>
        </w:tc>
        <w:tc>
          <w:tcPr>
            <w:tcW w:w="1720" w:type="dxa"/>
            <w:shd w:val="clear" w:color="auto" w:fill="C6EFCE"/>
          </w:tcPr>
          <w:p w14:paraId="50B4AFE4" w14:textId="77777777" w:rsidR="003B5F50" w:rsidRDefault="003B5F50">
            <w:pPr>
              <w:spacing w:line="259" w:lineRule="auto"/>
              <w:rPr>
                <w:rFonts w:ascii="Times New Roman" w:eastAsia="MS Mincho" w:hAnsi="Times New Roman" w:cs="Arial"/>
                <w:noProof/>
                <w:color w:val="006100"/>
                <w:sz w:val="20"/>
                <w:szCs w:val="22"/>
              </w:rPr>
            </w:pPr>
          </w:p>
        </w:tc>
        <w:tc>
          <w:tcPr>
            <w:tcW w:w="1016" w:type="dxa"/>
            <w:shd w:val="clear" w:color="auto" w:fill="C6EFCE"/>
          </w:tcPr>
          <w:p w14:paraId="50B4AFE5" w14:textId="77777777" w:rsidR="003B5F50" w:rsidRDefault="003B5F50">
            <w:pPr>
              <w:spacing w:line="259" w:lineRule="auto"/>
              <w:jc w:val="right"/>
              <w:rPr>
                <w:rFonts w:ascii="Times New Roman" w:eastAsia="MS Mincho" w:hAnsi="Times New Roman" w:cs="Arial"/>
                <w:noProof/>
                <w:color w:val="006100"/>
                <w:sz w:val="20"/>
                <w:szCs w:val="22"/>
              </w:rPr>
            </w:pPr>
          </w:p>
        </w:tc>
        <w:tc>
          <w:tcPr>
            <w:tcW w:w="916" w:type="dxa"/>
            <w:shd w:val="clear" w:color="auto" w:fill="C6EFCE"/>
          </w:tcPr>
          <w:p w14:paraId="50B4AFE6" w14:textId="77777777" w:rsidR="003B5F50" w:rsidRDefault="003B5F50">
            <w:pPr>
              <w:spacing w:line="259" w:lineRule="auto"/>
              <w:jc w:val="right"/>
              <w:rPr>
                <w:rFonts w:ascii="Times New Roman" w:eastAsia="MS Mincho" w:hAnsi="Times New Roman" w:cs="Arial"/>
                <w:noProof/>
                <w:color w:val="006100"/>
                <w:sz w:val="20"/>
                <w:szCs w:val="22"/>
              </w:rPr>
            </w:pPr>
          </w:p>
        </w:tc>
        <w:tc>
          <w:tcPr>
            <w:tcW w:w="1072" w:type="dxa"/>
            <w:shd w:val="clear" w:color="auto" w:fill="C6EFCE"/>
          </w:tcPr>
          <w:p w14:paraId="50B4AFE7" w14:textId="77777777" w:rsidR="003B5F50" w:rsidRDefault="000D2D85">
            <w:pPr>
              <w:pStyle w:val="P68B1DB1-Normal42"/>
              <w:spacing w:line="259" w:lineRule="auto"/>
              <w:jc w:val="center"/>
              <w:rPr>
                <w:noProof/>
              </w:rPr>
            </w:pPr>
            <w:r>
              <w:rPr>
                <w:noProof/>
              </w:rPr>
              <w:t>T1</w:t>
            </w:r>
          </w:p>
        </w:tc>
        <w:tc>
          <w:tcPr>
            <w:tcW w:w="761" w:type="dxa"/>
            <w:shd w:val="clear" w:color="auto" w:fill="C6EFCE"/>
          </w:tcPr>
          <w:p w14:paraId="50B4AFE8" w14:textId="77777777" w:rsidR="003B5F50" w:rsidRDefault="000D2D85">
            <w:pPr>
              <w:pStyle w:val="P68B1DB1-Normal42"/>
              <w:spacing w:line="259" w:lineRule="auto"/>
              <w:jc w:val="center"/>
              <w:rPr>
                <w:noProof/>
              </w:rPr>
            </w:pPr>
            <w:r>
              <w:rPr>
                <w:noProof/>
              </w:rPr>
              <w:t>2025</w:t>
            </w:r>
          </w:p>
        </w:tc>
        <w:tc>
          <w:tcPr>
            <w:tcW w:w="2128" w:type="dxa"/>
            <w:shd w:val="clear" w:color="auto" w:fill="C6EFCE"/>
          </w:tcPr>
          <w:p w14:paraId="50B4AFE9" w14:textId="77777777" w:rsidR="003B5F50" w:rsidRDefault="000D2D85">
            <w:pPr>
              <w:pStyle w:val="P68B1DB1-Normal42"/>
              <w:spacing w:line="259" w:lineRule="auto"/>
              <w:rPr>
                <w:noProof/>
                <w:szCs w:val="20"/>
              </w:rPr>
            </w:pPr>
            <w:r>
              <w:rPr>
                <w:noProof/>
              </w:rPr>
              <w:t>Les dispositions pertinentes de la loi no 597/2003 Rec. sur le financement des écoles primaires, des écoles secondaires et des établissements scolaires, de la loi no 596/2003 Rec. sur l’administration publique dans le domaine de l’éducation et l’autonomie scolaire, de la loi no 564/2004 Rec. sur la budgétisation des recettes de l’impôt sur le revenu des collectivités locales et régionales, de la révision de la formule du règlement gouvernemental no 668/2004 ainsi que de la modification du règlement gouvernemental no 630/2008 sont modifiées.</w:t>
            </w:r>
          </w:p>
          <w:p w14:paraId="50B4AFEA" w14:textId="77777777" w:rsidR="003B5F50" w:rsidRDefault="000D2D85">
            <w:pPr>
              <w:pStyle w:val="P68B1DB1-Normal42"/>
              <w:spacing w:line="259" w:lineRule="auto"/>
              <w:rPr>
                <w:noProof/>
                <w:szCs w:val="20"/>
              </w:rPr>
            </w:pPr>
            <w:r>
              <w:rPr>
                <w:noProof/>
              </w:rPr>
              <w:t>Un système différencié et transparent de financement de l’enseignement préprimaire est mis en place afin de garantir la stabilité, la résilience et le cantonnement des fonds alloués à l’éducation. La législation est adoptée au plus tard le 30 juin 2024 et entre en vigueur le 1.1.2025.</w:t>
            </w:r>
          </w:p>
          <w:p w14:paraId="50B4AFEB" w14:textId="77777777" w:rsidR="003B5F50" w:rsidRDefault="000D2D85">
            <w:pPr>
              <w:pStyle w:val="P68B1DB1-Normal42"/>
              <w:spacing w:line="259" w:lineRule="auto"/>
              <w:rPr>
                <w:noProof/>
              </w:rPr>
            </w:pPr>
            <w:r>
              <w:rPr>
                <w:noProof/>
              </w:rPr>
              <w:t>Au plus tard le 30 septembre 2024, le taux de scolarisation des enfants âgés de 4 ans dans l’enseignement préprimaire est d’au moins 82 %. Il s'agit notamment de l'enseignement préprimaire: (i) dans les jardins d’enfants/jardins d’enfants spéciaux faisant partie du réseau d’écoles slovaques, (ii) dans l’enseignement individuel, par exemple à la demande d’un représentant légal à domicile, ou (iii) dans la création d’un prestataire d’enseignement préprimaire enregistré.</w:t>
            </w:r>
          </w:p>
        </w:tc>
      </w:tr>
    </w:tbl>
    <w:p w14:paraId="50B4AFED" w14:textId="77777777" w:rsidR="003B5F50" w:rsidRDefault="003B5F50">
      <w:pPr>
        <w:rPr>
          <w:noProof/>
        </w:rPr>
      </w:pPr>
    </w:p>
    <w:p w14:paraId="50B4AFEE" w14:textId="77777777" w:rsidR="003B5F50" w:rsidRDefault="003B5F50">
      <w:pPr>
        <w:rPr>
          <w:rFonts w:ascii="Times New Roman" w:hAnsi="Times New Roman" w:cs="Times New Roman"/>
          <w:b/>
          <w:noProof/>
        </w:rPr>
        <w:sectPr w:rsidR="003B5F50" w:rsidSect="003E3DD3">
          <w:headerReference w:type="even" r:id="rId83"/>
          <w:headerReference w:type="default" r:id="rId84"/>
          <w:footerReference w:type="even" r:id="rId85"/>
          <w:footerReference w:type="default" r:id="rId86"/>
          <w:headerReference w:type="first" r:id="rId87"/>
          <w:footerReference w:type="first" r:id="rId88"/>
          <w:pgSz w:w="15840" w:h="12240" w:orient="landscape"/>
          <w:pgMar w:top="1134" w:right="1134" w:bottom="1134" w:left="1134" w:header="567" w:footer="567" w:gutter="0"/>
          <w:cols w:space="720"/>
          <w:docGrid w:linePitch="360"/>
        </w:sectPr>
      </w:pPr>
    </w:p>
    <w:p w14:paraId="50B4AFEF" w14:textId="77777777" w:rsidR="003B5F50" w:rsidRDefault="000D2D85">
      <w:pPr>
        <w:pStyle w:val="P68B1DB1-Heading218"/>
        <w:rPr>
          <w:noProof/>
        </w:rPr>
      </w:pPr>
      <w:r>
        <w:rPr>
          <w:noProof/>
        </w:rPr>
        <w:t>Élément 7: L'éducation pour le XXIe siècle</w:t>
      </w:r>
    </w:p>
    <w:p w14:paraId="50B4AFF0" w14:textId="77777777" w:rsidR="003B5F50" w:rsidRDefault="000D2D85">
      <w:pPr>
        <w:spacing w:before="120" w:after="120" w:line="240" w:lineRule="auto"/>
        <w:jc w:val="both"/>
        <w:rPr>
          <w:rFonts w:ascii="Times New Roman" w:hAnsi="Times New Roman"/>
          <w:noProof/>
        </w:rPr>
      </w:pPr>
      <w:r>
        <w:rPr>
          <w:rFonts w:ascii="Times New Roman" w:hAnsi="Times New Roman"/>
          <w:noProof/>
        </w:rPr>
        <w:t>Ce volet du plan slovaque pour la reprise et la résilience introduit une réforme des programmes scolaires des écoles primaires (CITE 1, CITE 2) en créant de nouveaux contenus d’apprentissage organisés en cycles pluriannuels. L’objectif est de développer la pensée critique et les compétences non techniques des élèves en matière de résolution de problèmes, de gestion de l’information, de travail en équipe, de narration et de questions, de prise d’initiative et de responsabilité, de création et de mise en œuvre de projets personnels. Cela nécessite la mise à disposition des manuels nécessaires pour renouveler le stock actuel et un changement dans les compétences des enseignants pour appliquer ces changements dans la pratique quotidienne. Dans le même temps, le volet renforcera la qualité des compétences du personnel enseignant et professionnel et les motivera pour le développement professionnel tout au long de la vie. L’accent est également mis sur l’éducation inclusive et l’acquisition de compétences numériques.</w:t>
      </w:r>
      <w:r>
        <w:rPr>
          <w:noProof/>
        </w:rPr>
        <w:t xml:space="preserve"> </w:t>
      </w:r>
    </w:p>
    <w:p w14:paraId="50B4AFF1" w14:textId="77777777" w:rsidR="003B5F50" w:rsidRDefault="000D2D85">
      <w:pPr>
        <w:pStyle w:val="NormalWeb"/>
        <w:rPr>
          <w:noProof/>
        </w:rPr>
      </w:pPr>
      <w:r>
        <w:rPr>
          <w:noProof/>
        </w:rPr>
        <w:t>Ce volet comprend deux réformes et deux investissements.</w:t>
      </w:r>
    </w:p>
    <w:p w14:paraId="50B4AFF2" w14:textId="497126D5" w:rsidR="003B5F50" w:rsidRDefault="000D2D85">
      <w:pPr>
        <w:pStyle w:val="NormalWeb"/>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AFF3" w14:textId="77777777" w:rsidR="003B5F50" w:rsidRDefault="000D2D85">
      <w:pPr>
        <w:pStyle w:val="NormalWeb"/>
        <w:rPr>
          <w:noProof/>
        </w:rPr>
      </w:pPr>
      <w:r>
        <w:rPr>
          <w:noProof/>
        </w:rPr>
        <w:t xml:space="preserve">Le volet contribue à donner suite à la recommandation par pays adressée à la Slovaquie sur la nécessité de </w:t>
      </w:r>
      <w:r>
        <w:rPr>
          <w:i/>
          <w:noProof/>
        </w:rPr>
        <w:t>renforcer les compétences numériques et de garantir l’égalité d’accès à une éducation de qualité.</w:t>
      </w:r>
      <w:r>
        <w:rPr>
          <w:noProof/>
        </w:rPr>
        <w:t xml:space="preserve"> (Recommandation spécifique par pays no 2/2020). </w:t>
      </w:r>
      <w:r>
        <w:rPr>
          <w:i/>
          <w:noProof/>
        </w:rPr>
        <w:t xml:space="preserve">Améliorer la qualité et l’inclusivité de l’éducation à tous les niveaux et favoriser les compétences </w:t>
      </w:r>
      <w:r>
        <w:rPr>
          <w:noProof/>
        </w:rPr>
        <w:t>(recommandation par pays no 2/2019).</w:t>
      </w:r>
    </w:p>
    <w:p w14:paraId="50B4AFF5" w14:textId="77777777" w:rsidR="003B5F50" w:rsidRDefault="000D2D85">
      <w:pPr>
        <w:pStyle w:val="P68B1DB1-Normal44"/>
        <w:spacing w:before="120" w:after="120" w:line="240" w:lineRule="auto"/>
        <w:jc w:val="both"/>
        <w:rPr>
          <w:i/>
          <w:noProof/>
          <w:color w:val="4F81BD"/>
        </w:rPr>
      </w:pPr>
      <w:r>
        <w:rPr>
          <w:noProof/>
        </w:rPr>
        <w:t xml:space="preserve">A.1. </w:t>
      </w:r>
      <w:r>
        <w:rPr>
          <w:noProof/>
        </w:rPr>
        <w:tab/>
        <w:t>Description des réformes et des investissements pour le soutien financier non remboursable</w:t>
      </w:r>
    </w:p>
    <w:p w14:paraId="50B4AFF6" w14:textId="2F1C3EC1" w:rsidR="003B5F50" w:rsidRDefault="000D2D85">
      <w:pPr>
        <w:pStyle w:val="NormalWeb"/>
        <w:rPr>
          <w:noProof/>
        </w:rPr>
      </w:pPr>
      <w:r>
        <w:rPr>
          <w:b/>
          <w:noProof/>
        </w:rPr>
        <w:t xml:space="preserve">Réforme 1: Réforme du contenu et de la forme de l'éducation . </w:t>
      </w:r>
      <w:r>
        <w:rPr>
          <w:noProof/>
        </w:rPr>
        <w:t>L'objectif de la réforme</w:t>
      </w:r>
      <w:r>
        <w:rPr>
          <w:b/>
          <w:noProof/>
        </w:rPr>
        <w:t xml:space="preserve"> </w:t>
      </w:r>
      <w:r>
        <w:rPr>
          <w:noProof/>
        </w:rPr>
        <w:t xml:space="preserve">est de créer de nouveaux programmes d'apprentissage pour l'enseignement primaire et secondaire inférieur, organisés en cycles éducatifs. Cette mesure consiste à approuver le nouveau programme national d'enseignement primaire, qui permet une plus grande flexibilité dans l'élaboration des programmes scolaires, dans la mise en place de 40 centres régionaux d'appui aux écoles et dans la fourniture de nouveaux matériels pédagogiques. Cette mesure prévoit également la création d’un environnement de test en ligne visant à numériser le test final (maturita) dans tous les établissements d’enseignement secondaire supérieur.  </w:t>
      </w:r>
    </w:p>
    <w:p w14:paraId="50B4AFF7" w14:textId="77777777" w:rsidR="003B5F50" w:rsidRDefault="000D2D85">
      <w:pPr>
        <w:pStyle w:val="NormalWeb"/>
        <w:rPr>
          <w:noProof/>
        </w:rPr>
      </w:pPr>
      <w:r>
        <w:rPr>
          <w:b/>
          <w:noProof/>
        </w:rPr>
        <w:t xml:space="preserve">Réforme 2: Préparer et développer les enseignants à de nouveaux contenus et formes d'enseignement (changement dans la formation de l'enseignement supérieur) et renforcer le développement professionnel des enseignants. </w:t>
      </w:r>
      <w:r>
        <w:rPr>
          <w:noProof/>
        </w:rPr>
        <w:t xml:space="preserve">L'objectif de cette réforme est de renforcer la qualité des compétences du personnel enseignant et professionnel et de les motiver pour le développement professionnel tout au long de la vie. Une allocation financière est introduite pour améliorer les compétences de l’enseignant. L’accent est mis sur les nouveaux programmes, l’éducation inclusive et l’acquisition de compétences numériques. D’ici à la fin de 2023, au moins 55 % du personnel pédagogique et professionnel sera formé. Les modifications législatives respectives réglementent les compétences et l’éventail des prestataires d’enseignement. </w:t>
      </w:r>
    </w:p>
    <w:p w14:paraId="50B4AFF8" w14:textId="311987F5" w:rsidR="003B5F50" w:rsidRDefault="000D2D85">
      <w:pPr>
        <w:pStyle w:val="NormalWeb"/>
        <w:rPr>
          <w:noProof/>
        </w:rPr>
      </w:pPr>
      <w:r>
        <w:rPr>
          <w:noProof/>
        </w:rPr>
        <w:t xml:space="preserve">Un programme de subventions est prévu pour les universités afin de soutenir l'émergence de nouveaux programmes d'enseignement. Il s’agit notamment de financer des changements dans les programmes qui soutiennent l’introduction d’une éducation inclusive, l’éducation des élèves de langues maternelles différentes du slovaque et le développement des compétences numériques parmi les étudiants enseignants.    </w:t>
      </w:r>
    </w:p>
    <w:p w14:paraId="50B4AFF9" w14:textId="77777777" w:rsidR="003B5F50" w:rsidRDefault="000D2D85">
      <w:pPr>
        <w:pStyle w:val="NormalWeb"/>
        <w:rPr>
          <w:noProof/>
        </w:rPr>
      </w:pPr>
      <w:r>
        <w:rPr>
          <w:noProof/>
        </w:rPr>
        <w:t>La mise en œuvre de la réforme est achevée au plus tard le 31 décembre 2025.</w:t>
      </w:r>
    </w:p>
    <w:p w14:paraId="50B4AFFA" w14:textId="01F2AE5B" w:rsidR="003B5F50" w:rsidRDefault="000D2D85">
      <w:pPr>
        <w:pStyle w:val="NormalWeb"/>
        <w:rPr>
          <w:rFonts w:eastAsia="Calibri" w:cs="Times New Roman"/>
          <w:noProof/>
        </w:rPr>
      </w:pPr>
      <w:r>
        <w:rPr>
          <w:b/>
          <w:noProof/>
        </w:rPr>
        <w:t>Investissement 1: Infrastructure numérique dans les écoles.</w:t>
      </w:r>
      <w:r>
        <w:rPr>
          <w:noProof/>
        </w:rPr>
        <w:t xml:space="preserve"> L’objectif de cet investissement est d’augmenter le pourcentage d’écoles à entrée numérique et de créer ainsi un environnement qui favorise le développement des compétences numériques et améliore l’inclusion numérique des élèves défavorisés. L'investissement consiste en la livraison d'équipements numériques à 60 % des écoles.</w:t>
      </w:r>
    </w:p>
    <w:p w14:paraId="50B4AFFB" w14:textId="77777777" w:rsidR="003B5F50" w:rsidRDefault="000D2D85">
      <w:pPr>
        <w:pStyle w:val="NormalWeb"/>
        <w:rPr>
          <w:noProof/>
        </w:rPr>
      </w:pPr>
      <w:r>
        <w:rPr>
          <w:b/>
          <w:noProof/>
        </w:rPr>
        <w:t xml:space="preserve">Investissement 2: Achèvement de l'infrastructure scolaire. </w:t>
      </w:r>
      <w:r>
        <w:rPr>
          <w:noProof/>
        </w:rPr>
        <w:t>Cet investissement vise à mieux intégrer les élèves issus de milieux défavorisés. Cette mesure consiste à supprimer 35 écoles à deux équipes en Slovaquie.</w:t>
      </w:r>
    </w:p>
    <w:p w14:paraId="50B4AFFC" w14:textId="77777777" w:rsidR="003B5F50" w:rsidRDefault="003B5F50">
      <w:pPr>
        <w:spacing w:before="120" w:after="120" w:line="240" w:lineRule="auto"/>
        <w:jc w:val="both"/>
        <w:rPr>
          <w:rFonts w:ascii="Times New Roman" w:hAnsi="Times New Roman"/>
          <w:b/>
          <w:noProof/>
          <w:u w:val="single"/>
        </w:rPr>
        <w:sectPr w:rsidR="003B5F50" w:rsidSect="003E3DD3">
          <w:headerReference w:type="even" r:id="rId89"/>
          <w:headerReference w:type="default" r:id="rId90"/>
          <w:footerReference w:type="even" r:id="rId91"/>
          <w:footerReference w:type="default" r:id="rId92"/>
          <w:headerReference w:type="first" r:id="rId93"/>
          <w:footerReference w:type="first" r:id="rId94"/>
          <w:pgSz w:w="12240" w:h="15840"/>
          <w:pgMar w:top="1134" w:right="1134" w:bottom="1134" w:left="1134" w:header="567" w:footer="567" w:gutter="0"/>
          <w:cols w:space="720"/>
          <w:docGrid w:linePitch="360"/>
        </w:sectPr>
      </w:pPr>
    </w:p>
    <w:p w14:paraId="50B4AFFD" w14:textId="77777777" w:rsidR="003B5F50" w:rsidRDefault="000D2D85">
      <w:pPr>
        <w:spacing w:before="120" w:after="120" w:line="240" w:lineRule="auto"/>
        <w:jc w:val="both"/>
        <w:rPr>
          <w:rFonts w:ascii="Times New Roman" w:hAnsi="Times New Roman"/>
          <w:b/>
          <w:bCs/>
          <w:noProof/>
          <w:u w:val="single"/>
        </w:rPr>
      </w:pPr>
      <w:r>
        <w:rPr>
          <w:rFonts w:ascii="Times New Roman" w:hAnsi="Times New Roman"/>
          <w:b/>
          <w:noProof/>
          <w:u w:val="single"/>
        </w:rPr>
        <w:t xml:space="preserve">A.2.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50B4AFFE" w14:textId="77777777" w:rsidR="003B5F50" w:rsidRDefault="003B5F50">
      <w:pPr>
        <w:spacing w:before="120" w:after="120" w:line="240" w:lineRule="auto"/>
        <w:jc w:val="both"/>
        <w:rPr>
          <w:rFonts w:ascii="Times New Roman" w:hAnsi="Times New Roman"/>
          <w:b/>
          <w:bCs/>
          <w:noProof/>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516"/>
        <w:gridCol w:w="1172"/>
        <w:gridCol w:w="1572"/>
        <w:gridCol w:w="1452"/>
        <w:gridCol w:w="872"/>
        <w:gridCol w:w="1016"/>
        <w:gridCol w:w="916"/>
        <w:gridCol w:w="1072"/>
        <w:gridCol w:w="761"/>
        <w:gridCol w:w="2524"/>
      </w:tblGrid>
      <w:tr w:rsidR="003B5F50" w14:paraId="50B4B00D" w14:textId="77777777">
        <w:trPr>
          <w:trHeight w:val="690"/>
          <w:tblHeader/>
        </w:trPr>
        <w:tc>
          <w:tcPr>
            <w:tcW w:w="310" w:type="pct"/>
            <w:vMerge w:val="restart"/>
            <w:shd w:val="clear" w:color="auto" w:fill="BDD7EE"/>
            <w:vAlign w:val="center"/>
          </w:tcPr>
          <w:p w14:paraId="50B4AFFF" w14:textId="77777777" w:rsidR="003B5F50" w:rsidRDefault="000D2D85">
            <w:pPr>
              <w:pStyle w:val="P68B1DB1-Normal45"/>
              <w:spacing w:after="0" w:line="240" w:lineRule="auto"/>
              <w:jc w:val="center"/>
              <w:rPr>
                <w:noProof/>
              </w:rPr>
            </w:pPr>
            <w:r>
              <w:rPr>
                <w:noProof/>
              </w:rPr>
              <w:t>Seq. Num.</w:t>
            </w:r>
          </w:p>
          <w:p w14:paraId="50B4B000" w14:textId="77777777" w:rsidR="003B5F50" w:rsidRDefault="000D2D85">
            <w:pPr>
              <w:pStyle w:val="P68B1DB1-Normal45"/>
              <w:spacing w:before="120" w:after="120" w:line="240" w:lineRule="auto"/>
              <w:jc w:val="center"/>
              <w:rPr>
                <w:noProof/>
              </w:rPr>
            </w:pPr>
            <w:r>
              <w:rPr>
                <w:noProof/>
              </w:rPr>
              <w:t> </w:t>
            </w:r>
          </w:p>
        </w:tc>
        <w:tc>
          <w:tcPr>
            <w:tcW w:w="451" w:type="pct"/>
            <w:vMerge w:val="restart"/>
            <w:shd w:val="clear" w:color="auto" w:fill="BDD7EE"/>
            <w:vAlign w:val="center"/>
          </w:tcPr>
          <w:p w14:paraId="50B4B001" w14:textId="77777777" w:rsidR="003B5F50" w:rsidRDefault="000D2D85">
            <w:pPr>
              <w:pStyle w:val="P68B1DB1-Normal45"/>
              <w:spacing w:before="120" w:after="120" w:line="240" w:lineRule="auto"/>
              <w:jc w:val="center"/>
              <w:rPr>
                <w:rFonts w:eastAsia="Calibri" w:cs="Times New Roman"/>
                <w:noProof/>
              </w:rPr>
            </w:pPr>
            <w:r>
              <w:rPr>
                <w:noProof/>
              </w:rPr>
              <w:t>Mesure connexe (réforme ou investissement)</w:t>
            </w:r>
          </w:p>
          <w:p w14:paraId="50B4B002" w14:textId="77777777" w:rsidR="003B5F50" w:rsidRDefault="000D2D85">
            <w:pPr>
              <w:pStyle w:val="P68B1DB1-Normal45"/>
              <w:spacing w:before="120" w:after="120" w:line="240" w:lineRule="auto"/>
              <w:jc w:val="center"/>
              <w:rPr>
                <w:noProof/>
              </w:rPr>
            </w:pPr>
            <w:r>
              <w:rPr>
                <w:noProof/>
              </w:rPr>
              <w:t> </w:t>
            </w:r>
          </w:p>
        </w:tc>
        <w:tc>
          <w:tcPr>
            <w:tcW w:w="390" w:type="pct"/>
            <w:vMerge w:val="restart"/>
            <w:shd w:val="clear" w:color="auto" w:fill="BDD7EE"/>
            <w:vAlign w:val="center"/>
          </w:tcPr>
          <w:p w14:paraId="50B4B003" w14:textId="77777777" w:rsidR="003B5F50" w:rsidRDefault="000D2D85">
            <w:pPr>
              <w:pStyle w:val="P68B1DB1-Normal45"/>
              <w:spacing w:before="120" w:after="120" w:line="240" w:lineRule="auto"/>
              <w:jc w:val="center"/>
              <w:rPr>
                <w:rFonts w:eastAsia="Calibri" w:cs="Times New Roman"/>
                <w:noProof/>
              </w:rPr>
            </w:pPr>
            <w:r>
              <w:rPr>
                <w:noProof/>
              </w:rPr>
              <w:t>Étape/cible</w:t>
            </w:r>
          </w:p>
          <w:p w14:paraId="50B4B004" w14:textId="77777777" w:rsidR="003B5F50" w:rsidRDefault="000D2D85">
            <w:pPr>
              <w:pStyle w:val="P68B1DB1-Normal45"/>
              <w:spacing w:before="120" w:after="120" w:line="240" w:lineRule="auto"/>
              <w:jc w:val="center"/>
              <w:rPr>
                <w:noProof/>
              </w:rPr>
            </w:pPr>
            <w:r>
              <w:rPr>
                <w:noProof/>
              </w:rPr>
              <w:t> </w:t>
            </w:r>
          </w:p>
        </w:tc>
        <w:tc>
          <w:tcPr>
            <w:tcW w:w="710" w:type="pct"/>
            <w:vMerge w:val="restart"/>
            <w:shd w:val="clear" w:color="auto" w:fill="BDD7EE"/>
            <w:vAlign w:val="center"/>
          </w:tcPr>
          <w:p w14:paraId="50B4B005" w14:textId="77777777" w:rsidR="003B5F50" w:rsidRDefault="000D2D85">
            <w:pPr>
              <w:pStyle w:val="P68B1DB1-Normal45"/>
              <w:spacing w:before="120" w:after="120" w:line="240" w:lineRule="auto"/>
              <w:jc w:val="center"/>
              <w:rPr>
                <w:rFonts w:eastAsia="Calibri" w:cs="Times New Roman"/>
                <w:noProof/>
              </w:rPr>
            </w:pPr>
            <w:r>
              <w:rPr>
                <w:noProof/>
              </w:rPr>
              <w:t>Nom</w:t>
            </w:r>
          </w:p>
          <w:p w14:paraId="50B4B006" w14:textId="77777777" w:rsidR="003B5F50" w:rsidRDefault="000D2D85">
            <w:pPr>
              <w:pStyle w:val="P68B1DB1-Normal45"/>
              <w:spacing w:before="120" w:after="120" w:line="240" w:lineRule="auto"/>
              <w:jc w:val="center"/>
              <w:rPr>
                <w:noProof/>
              </w:rPr>
            </w:pPr>
            <w:r>
              <w:rPr>
                <w:noProof/>
              </w:rPr>
              <w:t> </w:t>
            </w:r>
          </w:p>
        </w:tc>
        <w:tc>
          <w:tcPr>
            <w:tcW w:w="531" w:type="pct"/>
            <w:vMerge w:val="restart"/>
            <w:shd w:val="clear" w:color="auto" w:fill="BDD7EE"/>
            <w:vAlign w:val="center"/>
          </w:tcPr>
          <w:p w14:paraId="50B4B007" w14:textId="77777777" w:rsidR="003B5F50" w:rsidRDefault="000D2D85">
            <w:pPr>
              <w:pStyle w:val="P68B1DB1-Normal45"/>
              <w:spacing w:before="120" w:after="120" w:line="240" w:lineRule="auto"/>
              <w:jc w:val="center"/>
              <w:rPr>
                <w:rFonts w:eastAsia="Calibri" w:cs="Times New Roman"/>
                <w:noProof/>
              </w:rPr>
            </w:pPr>
            <w:r>
              <w:rPr>
                <w:noProof/>
              </w:rPr>
              <w:t>Indicateurs qualitatifs (pour les jalons)</w:t>
            </w:r>
          </w:p>
          <w:p w14:paraId="50B4B008" w14:textId="77777777" w:rsidR="003B5F50" w:rsidRDefault="000D2D85">
            <w:pPr>
              <w:pStyle w:val="P68B1DB1-Normal45"/>
              <w:spacing w:before="120" w:after="120" w:line="240" w:lineRule="auto"/>
              <w:jc w:val="center"/>
              <w:rPr>
                <w:noProof/>
              </w:rPr>
            </w:pPr>
            <w:r>
              <w:rPr>
                <w:noProof/>
              </w:rPr>
              <w:t> </w:t>
            </w:r>
          </w:p>
        </w:tc>
        <w:tc>
          <w:tcPr>
            <w:tcW w:w="952" w:type="pct"/>
            <w:gridSpan w:val="3"/>
            <w:shd w:val="clear" w:color="auto" w:fill="BDD7EE"/>
            <w:vAlign w:val="center"/>
          </w:tcPr>
          <w:p w14:paraId="50B4B009" w14:textId="74059901" w:rsidR="003B5F50" w:rsidRDefault="000D2D85">
            <w:pPr>
              <w:pStyle w:val="P68B1DB1-Normal45"/>
              <w:spacing w:before="120" w:after="120" w:line="240" w:lineRule="auto"/>
              <w:jc w:val="center"/>
              <w:rPr>
                <w:rFonts w:eastAsia="Calibri" w:cs="Times New Roman"/>
                <w:noProof/>
              </w:rPr>
            </w:pPr>
            <w:r>
              <w:rPr>
                <w:noProof/>
              </w:rPr>
              <w:t>Indicateurs quantitatifs (pour les objectifs)</w:t>
            </w:r>
          </w:p>
        </w:tc>
        <w:tc>
          <w:tcPr>
            <w:tcW w:w="584" w:type="pct"/>
            <w:gridSpan w:val="2"/>
            <w:shd w:val="clear" w:color="auto" w:fill="BDD7EE"/>
            <w:vAlign w:val="center"/>
          </w:tcPr>
          <w:p w14:paraId="50B4B00A" w14:textId="77777777" w:rsidR="003B5F50" w:rsidRDefault="000D2D85">
            <w:pPr>
              <w:pStyle w:val="P68B1DB1-Normal45"/>
              <w:spacing w:before="120" w:after="120" w:line="240" w:lineRule="auto"/>
              <w:jc w:val="center"/>
              <w:rPr>
                <w:rFonts w:eastAsia="Calibri" w:cs="Times New Roman"/>
                <w:noProof/>
              </w:rPr>
            </w:pPr>
            <w:r>
              <w:rPr>
                <w:noProof/>
              </w:rPr>
              <w:t xml:space="preserve">Calendrier indicatif d'achèvement </w:t>
            </w:r>
          </w:p>
        </w:tc>
        <w:tc>
          <w:tcPr>
            <w:tcW w:w="1069" w:type="pct"/>
            <w:vMerge w:val="restart"/>
            <w:shd w:val="clear" w:color="auto" w:fill="BDD7EE"/>
            <w:vAlign w:val="center"/>
          </w:tcPr>
          <w:p w14:paraId="50B4B00B" w14:textId="77777777" w:rsidR="003B5F50" w:rsidRDefault="000D2D85">
            <w:pPr>
              <w:pStyle w:val="P68B1DB1-Normal45"/>
              <w:spacing w:before="120" w:after="120" w:line="240" w:lineRule="auto"/>
              <w:jc w:val="center"/>
              <w:rPr>
                <w:rFonts w:eastAsia="Calibri" w:cs="Times New Roman"/>
                <w:noProof/>
              </w:rPr>
            </w:pPr>
            <w:r>
              <w:rPr>
                <w:noProof/>
              </w:rPr>
              <w:t>Description et définition claire de chaque jalon et cible</w:t>
            </w:r>
          </w:p>
          <w:p w14:paraId="50B4B00C" w14:textId="77777777" w:rsidR="003B5F50" w:rsidRDefault="000D2D85">
            <w:pPr>
              <w:pStyle w:val="P68B1DB1-Normal46"/>
              <w:spacing w:before="120" w:after="120" w:line="240" w:lineRule="auto"/>
              <w:rPr>
                <w:noProof/>
              </w:rPr>
            </w:pPr>
            <w:r>
              <w:rPr>
                <w:noProof/>
              </w:rPr>
              <w:t> </w:t>
            </w:r>
          </w:p>
        </w:tc>
      </w:tr>
      <w:tr w:rsidR="003B5F50" w14:paraId="50B4B019" w14:textId="77777777">
        <w:trPr>
          <w:trHeight w:val="666"/>
          <w:tblHeader/>
        </w:trPr>
        <w:tc>
          <w:tcPr>
            <w:tcW w:w="310" w:type="pct"/>
            <w:vMerge/>
            <w:vAlign w:val="center"/>
          </w:tcPr>
          <w:p w14:paraId="50B4B00E" w14:textId="77777777" w:rsidR="003B5F50" w:rsidRDefault="003B5F50">
            <w:pPr>
              <w:rPr>
                <w:noProof/>
              </w:rPr>
            </w:pPr>
          </w:p>
        </w:tc>
        <w:tc>
          <w:tcPr>
            <w:tcW w:w="451" w:type="pct"/>
            <w:vMerge/>
            <w:vAlign w:val="center"/>
          </w:tcPr>
          <w:p w14:paraId="50B4B00F" w14:textId="77777777" w:rsidR="003B5F50" w:rsidRDefault="003B5F50">
            <w:pPr>
              <w:rPr>
                <w:noProof/>
              </w:rPr>
            </w:pPr>
          </w:p>
        </w:tc>
        <w:tc>
          <w:tcPr>
            <w:tcW w:w="390" w:type="pct"/>
            <w:vMerge/>
            <w:vAlign w:val="center"/>
          </w:tcPr>
          <w:p w14:paraId="50B4B010" w14:textId="77777777" w:rsidR="003B5F50" w:rsidRDefault="003B5F50">
            <w:pPr>
              <w:rPr>
                <w:noProof/>
              </w:rPr>
            </w:pPr>
          </w:p>
        </w:tc>
        <w:tc>
          <w:tcPr>
            <w:tcW w:w="710" w:type="pct"/>
            <w:vMerge/>
            <w:vAlign w:val="center"/>
          </w:tcPr>
          <w:p w14:paraId="50B4B011" w14:textId="77777777" w:rsidR="003B5F50" w:rsidRDefault="003B5F50">
            <w:pPr>
              <w:rPr>
                <w:noProof/>
              </w:rPr>
            </w:pPr>
          </w:p>
        </w:tc>
        <w:tc>
          <w:tcPr>
            <w:tcW w:w="531" w:type="pct"/>
            <w:vMerge/>
            <w:vAlign w:val="center"/>
          </w:tcPr>
          <w:p w14:paraId="50B4B012" w14:textId="77777777" w:rsidR="003B5F50" w:rsidRDefault="003B5F50">
            <w:pPr>
              <w:rPr>
                <w:noProof/>
              </w:rPr>
            </w:pPr>
          </w:p>
        </w:tc>
        <w:tc>
          <w:tcPr>
            <w:tcW w:w="368" w:type="pct"/>
            <w:shd w:val="clear" w:color="auto" w:fill="BDD7EE"/>
            <w:vAlign w:val="center"/>
          </w:tcPr>
          <w:p w14:paraId="50B4B013" w14:textId="77777777" w:rsidR="003B5F50" w:rsidRDefault="000D2D85">
            <w:pPr>
              <w:pStyle w:val="P68B1DB1-Normal45"/>
              <w:spacing w:before="120" w:after="120" w:line="240" w:lineRule="auto"/>
              <w:jc w:val="center"/>
              <w:rPr>
                <w:rFonts w:eastAsia="Calibri" w:cs="Times New Roman"/>
                <w:noProof/>
              </w:rPr>
            </w:pPr>
            <w:r>
              <w:rPr>
                <w:noProof/>
              </w:rPr>
              <w:t>unité de mesure</w:t>
            </w:r>
          </w:p>
        </w:tc>
        <w:tc>
          <w:tcPr>
            <w:tcW w:w="341" w:type="pct"/>
            <w:shd w:val="clear" w:color="auto" w:fill="BDD7EE"/>
            <w:vAlign w:val="center"/>
          </w:tcPr>
          <w:p w14:paraId="50B4B014" w14:textId="77777777" w:rsidR="003B5F50" w:rsidRDefault="000D2D85">
            <w:pPr>
              <w:pStyle w:val="P68B1DB1-Normal45"/>
              <w:spacing w:before="120" w:after="120" w:line="240" w:lineRule="auto"/>
              <w:jc w:val="center"/>
              <w:rPr>
                <w:rFonts w:eastAsia="Calibri" w:cs="Times New Roman"/>
                <w:noProof/>
              </w:rPr>
            </w:pPr>
            <w:r>
              <w:rPr>
                <w:noProof/>
              </w:rPr>
              <w:t>Données de référence</w:t>
            </w:r>
          </w:p>
        </w:tc>
        <w:tc>
          <w:tcPr>
            <w:tcW w:w="243" w:type="pct"/>
            <w:shd w:val="clear" w:color="auto" w:fill="BDD7EE"/>
            <w:vAlign w:val="center"/>
          </w:tcPr>
          <w:p w14:paraId="50B4B015" w14:textId="77777777" w:rsidR="003B5F50" w:rsidRDefault="000D2D85">
            <w:pPr>
              <w:pStyle w:val="P68B1DB1-Normal45"/>
              <w:spacing w:before="120" w:after="120" w:line="240" w:lineRule="auto"/>
              <w:jc w:val="center"/>
              <w:rPr>
                <w:rFonts w:eastAsia="Calibri" w:cs="Times New Roman"/>
                <w:noProof/>
              </w:rPr>
            </w:pPr>
            <w:r>
              <w:rPr>
                <w:noProof/>
              </w:rPr>
              <w:t>Objectif</w:t>
            </w:r>
          </w:p>
        </w:tc>
        <w:tc>
          <w:tcPr>
            <w:tcW w:w="341" w:type="pct"/>
            <w:shd w:val="clear" w:color="auto" w:fill="BDD7EE"/>
            <w:vAlign w:val="center"/>
          </w:tcPr>
          <w:p w14:paraId="50B4B016" w14:textId="77777777" w:rsidR="003B5F50" w:rsidRDefault="000D2D85">
            <w:pPr>
              <w:pStyle w:val="P68B1DB1-Normal45"/>
              <w:spacing w:before="120" w:after="120" w:line="240" w:lineRule="auto"/>
              <w:jc w:val="center"/>
              <w:rPr>
                <w:rFonts w:eastAsia="Calibri" w:cs="Times New Roman"/>
                <w:noProof/>
              </w:rPr>
            </w:pPr>
            <w:r>
              <w:rPr>
                <w:noProof/>
              </w:rPr>
              <w:t>Trimestre</w:t>
            </w:r>
          </w:p>
        </w:tc>
        <w:tc>
          <w:tcPr>
            <w:tcW w:w="243" w:type="pct"/>
            <w:shd w:val="clear" w:color="auto" w:fill="BDD7EE"/>
            <w:vAlign w:val="center"/>
          </w:tcPr>
          <w:p w14:paraId="50B4B017" w14:textId="77777777" w:rsidR="003B5F50" w:rsidRDefault="000D2D85">
            <w:pPr>
              <w:pStyle w:val="P68B1DB1-Normal45"/>
              <w:spacing w:before="120" w:after="120" w:line="240" w:lineRule="auto"/>
              <w:jc w:val="center"/>
              <w:rPr>
                <w:rFonts w:eastAsia="Calibri" w:cs="Times New Roman"/>
                <w:noProof/>
              </w:rPr>
            </w:pPr>
            <w:r>
              <w:rPr>
                <w:noProof/>
              </w:rPr>
              <w:t>Année</w:t>
            </w:r>
          </w:p>
        </w:tc>
        <w:tc>
          <w:tcPr>
            <w:tcW w:w="1069" w:type="pct"/>
            <w:vMerge/>
            <w:vAlign w:val="center"/>
          </w:tcPr>
          <w:p w14:paraId="50B4B018" w14:textId="77777777" w:rsidR="003B5F50" w:rsidRDefault="003B5F50">
            <w:pPr>
              <w:rPr>
                <w:noProof/>
              </w:rPr>
            </w:pPr>
          </w:p>
        </w:tc>
      </w:tr>
      <w:tr w:rsidR="003B5F50" w14:paraId="50B4B026" w14:textId="77777777">
        <w:trPr>
          <w:trHeight w:val="1920"/>
        </w:trPr>
        <w:tc>
          <w:tcPr>
            <w:tcW w:w="310" w:type="pct"/>
            <w:shd w:val="clear" w:color="auto" w:fill="C6EFCE"/>
          </w:tcPr>
          <w:p w14:paraId="50B4B01A" w14:textId="77777777" w:rsidR="003B5F50" w:rsidRDefault="000D2D85">
            <w:pPr>
              <w:pStyle w:val="P68B1DB1-Normal14"/>
              <w:spacing w:before="120" w:after="120" w:line="240" w:lineRule="auto"/>
              <w:rPr>
                <w:rFonts w:eastAsia="Times New Roman" w:cs="Times New Roman"/>
                <w:noProof/>
                <w:szCs w:val="20"/>
              </w:rPr>
            </w:pPr>
            <w:r>
              <w:rPr>
                <w:noProof/>
              </w:rPr>
              <w:t>1</w:t>
            </w:r>
          </w:p>
        </w:tc>
        <w:tc>
          <w:tcPr>
            <w:tcW w:w="451" w:type="pct"/>
            <w:shd w:val="clear" w:color="auto" w:fill="C6EFCE"/>
          </w:tcPr>
          <w:p w14:paraId="50B4B01B" w14:textId="77777777" w:rsidR="003B5F50" w:rsidRDefault="000D2D85">
            <w:pPr>
              <w:pStyle w:val="P68B1DB1-Normal15"/>
              <w:spacing w:before="120" w:after="120" w:line="240" w:lineRule="auto"/>
              <w:rPr>
                <w:rFonts w:eastAsia="Times New Roman" w:cs="Times New Roman"/>
                <w:noProof/>
              </w:rPr>
            </w:pPr>
            <w:r>
              <w:rPr>
                <w:noProof/>
              </w:rPr>
              <w:t xml:space="preserve">7 – L’éducation pour le XXIe siècle – Réforme 1: Réforme du contenu et de la forme de l'éducation </w:t>
            </w:r>
          </w:p>
        </w:tc>
        <w:tc>
          <w:tcPr>
            <w:tcW w:w="390" w:type="pct"/>
            <w:shd w:val="clear" w:color="auto" w:fill="C6EFCE"/>
          </w:tcPr>
          <w:p w14:paraId="50B4B01C" w14:textId="77777777" w:rsidR="003B5F50" w:rsidRDefault="000D2D85">
            <w:pPr>
              <w:pStyle w:val="P68B1DB1-Normal14"/>
              <w:spacing w:before="120" w:after="120" w:line="240" w:lineRule="auto"/>
              <w:rPr>
                <w:rFonts w:eastAsia="Times New Roman" w:cs="Times New Roman"/>
                <w:noProof/>
                <w:szCs w:val="20"/>
              </w:rPr>
            </w:pPr>
            <w:r>
              <w:rPr>
                <w:noProof/>
              </w:rPr>
              <w:t>Étape</w:t>
            </w:r>
          </w:p>
        </w:tc>
        <w:tc>
          <w:tcPr>
            <w:tcW w:w="710" w:type="pct"/>
            <w:shd w:val="clear" w:color="auto" w:fill="C6EFCE"/>
          </w:tcPr>
          <w:p w14:paraId="50B4B01D" w14:textId="77777777" w:rsidR="003B5F50" w:rsidRDefault="000D2D85">
            <w:pPr>
              <w:pStyle w:val="P68B1DB1-Normal14"/>
              <w:spacing w:before="120" w:after="120" w:line="240" w:lineRule="auto"/>
              <w:rPr>
                <w:rFonts w:eastAsia="Times New Roman" w:cs="Times New Roman"/>
                <w:noProof/>
                <w:szCs w:val="20"/>
              </w:rPr>
            </w:pPr>
            <w:r>
              <w:rPr>
                <w:noProof/>
              </w:rPr>
              <w:t>Nouveau programme pour toutes les écoles primaires organisées dans les cycles d'enseignement pluriannuels</w:t>
            </w:r>
          </w:p>
        </w:tc>
        <w:tc>
          <w:tcPr>
            <w:tcW w:w="531" w:type="pct"/>
            <w:shd w:val="clear" w:color="auto" w:fill="C6EFCE"/>
          </w:tcPr>
          <w:p w14:paraId="50B4B01E" w14:textId="77777777" w:rsidR="003B5F50" w:rsidRDefault="000D2D85">
            <w:pPr>
              <w:pStyle w:val="P68B1DB1-Normal16"/>
              <w:spacing w:before="120" w:after="120" w:line="240" w:lineRule="auto"/>
              <w:rPr>
                <w:rFonts w:eastAsia="Times New Roman" w:cs="Times New Roman"/>
                <w:noProof/>
                <w:color w:val="006100"/>
                <w:szCs w:val="20"/>
              </w:rPr>
            </w:pPr>
            <w:r>
              <w:rPr>
                <w:noProof/>
                <w:color w:val="006100"/>
              </w:rPr>
              <w:t>Approbation du nouveau programme national d'enseignement</w:t>
            </w:r>
            <w:r>
              <w:rPr>
                <w:strike/>
                <w:noProof/>
                <w:color w:val="6D5700"/>
              </w:rPr>
              <w:t xml:space="preserve"> </w:t>
            </w:r>
            <w:r>
              <w:rPr>
                <w:noProof/>
                <w:color w:val="006100"/>
              </w:rPr>
              <w:t xml:space="preserve">primaire par le Ministre de l'éducation. </w:t>
            </w:r>
          </w:p>
        </w:tc>
        <w:tc>
          <w:tcPr>
            <w:tcW w:w="368" w:type="pct"/>
            <w:shd w:val="clear" w:color="auto" w:fill="C6EFCE"/>
          </w:tcPr>
          <w:p w14:paraId="50B4B01F" w14:textId="77777777" w:rsidR="003B5F50" w:rsidRDefault="000D2D85">
            <w:pPr>
              <w:pStyle w:val="P68B1DB1-Normal14"/>
              <w:spacing w:before="120" w:after="120" w:line="240" w:lineRule="auto"/>
              <w:rPr>
                <w:rFonts w:eastAsia="Times New Roman" w:cs="Times New Roman"/>
                <w:noProof/>
                <w:szCs w:val="20"/>
              </w:rPr>
            </w:pPr>
            <w:r>
              <w:rPr>
                <w:noProof/>
              </w:rPr>
              <w:t> </w:t>
            </w:r>
          </w:p>
        </w:tc>
        <w:tc>
          <w:tcPr>
            <w:tcW w:w="341" w:type="pct"/>
            <w:shd w:val="clear" w:color="auto" w:fill="C6EFCE"/>
          </w:tcPr>
          <w:p w14:paraId="50B4B020" w14:textId="77777777" w:rsidR="003B5F50" w:rsidRDefault="000D2D85">
            <w:pPr>
              <w:pStyle w:val="P68B1DB1-Normal14"/>
              <w:spacing w:before="120" w:after="120" w:line="240" w:lineRule="auto"/>
              <w:rPr>
                <w:rFonts w:eastAsia="Times New Roman" w:cs="Times New Roman"/>
                <w:noProof/>
                <w:szCs w:val="20"/>
              </w:rPr>
            </w:pPr>
            <w:r>
              <w:rPr>
                <w:noProof/>
              </w:rPr>
              <w:t> </w:t>
            </w:r>
          </w:p>
        </w:tc>
        <w:tc>
          <w:tcPr>
            <w:tcW w:w="243" w:type="pct"/>
            <w:shd w:val="clear" w:color="auto" w:fill="C6EFCE"/>
          </w:tcPr>
          <w:p w14:paraId="50B4B021" w14:textId="77777777" w:rsidR="003B5F50" w:rsidRDefault="000D2D85">
            <w:pPr>
              <w:pStyle w:val="P68B1DB1-Normal14"/>
              <w:spacing w:before="120" w:after="120" w:line="240" w:lineRule="auto"/>
              <w:rPr>
                <w:rFonts w:eastAsia="Times New Roman" w:cs="Times New Roman"/>
                <w:noProof/>
                <w:szCs w:val="20"/>
              </w:rPr>
            </w:pPr>
            <w:r>
              <w:rPr>
                <w:noProof/>
              </w:rPr>
              <w:t> </w:t>
            </w:r>
          </w:p>
        </w:tc>
        <w:tc>
          <w:tcPr>
            <w:tcW w:w="341" w:type="pct"/>
            <w:shd w:val="clear" w:color="auto" w:fill="C6EFCE"/>
          </w:tcPr>
          <w:p w14:paraId="50B4B022" w14:textId="77777777" w:rsidR="003B5F50" w:rsidRDefault="000D2D85">
            <w:pPr>
              <w:pStyle w:val="P68B1DB1-Normal14"/>
              <w:spacing w:before="120" w:after="120" w:line="240" w:lineRule="auto"/>
              <w:rPr>
                <w:rFonts w:eastAsia="Times New Roman" w:cs="Times New Roman"/>
                <w:noProof/>
                <w:szCs w:val="20"/>
              </w:rPr>
            </w:pPr>
            <w:r>
              <w:rPr>
                <w:noProof/>
              </w:rPr>
              <w:t>T1</w:t>
            </w:r>
          </w:p>
        </w:tc>
        <w:tc>
          <w:tcPr>
            <w:tcW w:w="243" w:type="pct"/>
            <w:shd w:val="clear" w:color="auto" w:fill="C6EFCE"/>
          </w:tcPr>
          <w:p w14:paraId="50B4B023" w14:textId="77777777" w:rsidR="003B5F50" w:rsidRDefault="000D2D85">
            <w:pPr>
              <w:pStyle w:val="P68B1DB1-Normal14"/>
              <w:spacing w:before="120" w:after="120" w:line="240" w:lineRule="auto"/>
              <w:rPr>
                <w:rFonts w:eastAsia="Times New Roman" w:cs="Times New Roman"/>
                <w:noProof/>
                <w:szCs w:val="20"/>
              </w:rPr>
            </w:pPr>
            <w:r>
              <w:rPr>
                <w:noProof/>
              </w:rPr>
              <w:t>2023</w:t>
            </w:r>
          </w:p>
        </w:tc>
        <w:tc>
          <w:tcPr>
            <w:tcW w:w="1069" w:type="pct"/>
            <w:shd w:val="clear" w:color="auto" w:fill="C6EFCE"/>
          </w:tcPr>
          <w:p w14:paraId="50B4B024" w14:textId="77777777" w:rsidR="003B5F50" w:rsidRDefault="000D2D85">
            <w:pPr>
              <w:pStyle w:val="P68B1DB1-Normal14"/>
              <w:spacing w:before="120" w:after="120" w:line="240" w:lineRule="auto"/>
              <w:rPr>
                <w:rFonts w:eastAsia="Times New Roman" w:cs="Times New Roman"/>
                <w:noProof/>
                <w:szCs w:val="20"/>
              </w:rPr>
            </w:pPr>
            <w:r>
              <w:rPr>
                <w:noProof/>
              </w:rPr>
              <w:t>Un programme intégré pour les écoles primaires (CITE 1 et CITE 2) doit être mis en œuvre dans le cadre de cycles. Les cycles doivent définir des objectifs d'apprentissage de base pour les domaines plutôt que des contenus détaillés, créant ainsi une flexibilité pour élaborer des programmes d'études au niveau scolaire. La phase de mise en œuvre débute en septembre 2023 avec l’obligation de transférer toutes les écoles primaires vers un nouveau programme d’études au plus tard le 09/2026.</w:t>
            </w:r>
          </w:p>
          <w:p w14:paraId="50B4B025"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r>
      <w:tr w:rsidR="003B5F50" w14:paraId="50B4B032" w14:textId="77777777">
        <w:trPr>
          <w:trHeight w:val="1800"/>
        </w:trPr>
        <w:tc>
          <w:tcPr>
            <w:tcW w:w="310" w:type="pct"/>
            <w:shd w:val="clear" w:color="auto" w:fill="C6EFCE"/>
          </w:tcPr>
          <w:p w14:paraId="50B4B027" w14:textId="77777777" w:rsidR="003B5F50" w:rsidRDefault="000D2D85">
            <w:pPr>
              <w:pStyle w:val="P68B1DB1-Normal14"/>
              <w:spacing w:before="120" w:after="120" w:line="240" w:lineRule="auto"/>
              <w:rPr>
                <w:rFonts w:eastAsia="Times New Roman" w:cs="Times New Roman"/>
                <w:noProof/>
                <w:szCs w:val="20"/>
              </w:rPr>
            </w:pPr>
            <w:r>
              <w:rPr>
                <w:noProof/>
              </w:rPr>
              <w:t>2</w:t>
            </w:r>
          </w:p>
        </w:tc>
        <w:tc>
          <w:tcPr>
            <w:tcW w:w="451" w:type="pct"/>
            <w:shd w:val="clear" w:color="auto" w:fill="C6EFCE"/>
          </w:tcPr>
          <w:p w14:paraId="50B4B028" w14:textId="77777777" w:rsidR="003B5F50" w:rsidRDefault="000D2D85">
            <w:pPr>
              <w:pStyle w:val="P68B1DB1-Normal15"/>
              <w:spacing w:before="120" w:after="120" w:line="240" w:lineRule="auto"/>
              <w:rPr>
                <w:rFonts w:eastAsia="Times New Roman" w:cs="Times New Roman"/>
                <w:noProof/>
              </w:rPr>
            </w:pPr>
            <w:r>
              <w:rPr>
                <w:noProof/>
              </w:rPr>
              <w:t xml:space="preserve">7 – L’éducation pour le XXIe siècle – Réforme 1: Réforme du contenu et de la forme de l'éducation </w:t>
            </w:r>
          </w:p>
        </w:tc>
        <w:tc>
          <w:tcPr>
            <w:tcW w:w="390" w:type="pct"/>
            <w:shd w:val="clear" w:color="auto" w:fill="C6EFCE"/>
          </w:tcPr>
          <w:p w14:paraId="50B4B029" w14:textId="77777777" w:rsidR="003B5F50" w:rsidRDefault="000D2D85">
            <w:pPr>
              <w:pStyle w:val="P68B1DB1-Normal14"/>
              <w:spacing w:before="120" w:after="120" w:line="240" w:lineRule="auto"/>
              <w:rPr>
                <w:rFonts w:eastAsia="Times New Roman" w:cs="Times New Roman"/>
                <w:noProof/>
                <w:szCs w:val="20"/>
              </w:rPr>
            </w:pPr>
            <w:r>
              <w:rPr>
                <w:noProof/>
              </w:rPr>
              <w:t>Objectif</w:t>
            </w:r>
          </w:p>
        </w:tc>
        <w:tc>
          <w:tcPr>
            <w:tcW w:w="710" w:type="pct"/>
            <w:shd w:val="clear" w:color="auto" w:fill="C6EFCE"/>
          </w:tcPr>
          <w:p w14:paraId="50B4B02A" w14:textId="77777777" w:rsidR="003B5F50" w:rsidRDefault="000D2D85">
            <w:pPr>
              <w:pStyle w:val="P68B1DB1-Normal14"/>
              <w:spacing w:before="120" w:after="120" w:line="240" w:lineRule="auto"/>
              <w:rPr>
                <w:rFonts w:eastAsia="Times New Roman" w:cs="Times New Roman"/>
                <w:noProof/>
                <w:szCs w:val="20"/>
              </w:rPr>
            </w:pPr>
            <w:r>
              <w:rPr>
                <w:noProof/>
              </w:rPr>
              <w:t>Création d'un réseau de centres régionaux de soutien</w:t>
            </w:r>
          </w:p>
        </w:tc>
        <w:tc>
          <w:tcPr>
            <w:tcW w:w="531" w:type="pct"/>
            <w:shd w:val="clear" w:color="auto" w:fill="C6EFCE"/>
          </w:tcPr>
          <w:p w14:paraId="50B4B02B"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2C" w14:textId="77777777" w:rsidR="003B5F50" w:rsidRDefault="000D2D85">
            <w:pPr>
              <w:pStyle w:val="P68B1DB1-Normal14"/>
              <w:spacing w:before="120" w:after="120" w:line="240" w:lineRule="auto"/>
              <w:rPr>
                <w:rFonts w:eastAsia="Times New Roman" w:cs="Times New Roman"/>
                <w:noProof/>
                <w:szCs w:val="20"/>
              </w:rPr>
            </w:pPr>
            <w:r>
              <w:rPr>
                <w:noProof/>
              </w:rPr>
              <w:t>Numéro</w:t>
            </w:r>
          </w:p>
        </w:tc>
        <w:tc>
          <w:tcPr>
            <w:tcW w:w="341" w:type="pct"/>
            <w:shd w:val="clear" w:color="auto" w:fill="C6EFCE"/>
          </w:tcPr>
          <w:p w14:paraId="50B4B02D" w14:textId="77777777" w:rsidR="003B5F50" w:rsidRDefault="000D2D85">
            <w:pPr>
              <w:pStyle w:val="P68B1DB1-Normal14"/>
              <w:spacing w:before="120" w:after="120" w:line="240" w:lineRule="auto"/>
              <w:rPr>
                <w:rFonts w:eastAsia="Times New Roman" w:cs="Times New Roman"/>
                <w:noProof/>
                <w:szCs w:val="20"/>
              </w:rPr>
            </w:pPr>
            <w:r>
              <w:rPr>
                <w:noProof/>
              </w:rPr>
              <w:t>0</w:t>
            </w:r>
          </w:p>
        </w:tc>
        <w:tc>
          <w:tcPr>
            <w:tcW w:w="243" w:type="pct"/>
            <w:shd w:val="clear" w:color="auto" w:fill="C6EFCE"/>
          </w:tcPr>
          <w:p w14:paraId="50B4B02E" w14:textId="77777777" w:rsidR="003B5F50" w:rsidRDefault="000D2D85">
            <w:pPr>
              <w:pStyle w:val="P68B1DB1-Normal14"/>
              <w:spacing w:before="120" w:after="120" w:line="240" w:lineRule="auto"/>
              <w:rPr>
                <w:rFonts w:eastAsia="Times New Roman" w:cs="Times New Roman"/>
                <w:noProof/>
                <w:szCs w:val="20"/>
              </w:rPr>
            </w:pPr>
            <w:r>
              <w:rPr>
                <w:noProof/>
              </w:rPr>
              <w:t>40</w:t>
            </w:r>
          </w:p>
        </w:tc>
        <w:tc>
          <w:tcPr>
            <w:tcW w:w="341" w:type="pct"/>
            <w:shd w:val="clear" w:color="auto" w:fill="C6EFCE"/>
          </w:tcPr>
          <w:p w14:paraId="50B4B02F" w14:textId="77777777" w:rsidR="003B5F50" w:rsidRDefault="000D2D85">
            <w:pPr>
              <w:pStyle w:val="P68B1DB1-Normal14"/>
              <w:spacing w:before="120" w:after="120" w:line="240" w:lineRule="auto"/>
              <w:rPr>
                <w:rFonts w:eastAsia="Times New Roman" w:cs="Times New Roman"/>
                <w:noProof/>
                <w:szCs w:val="20"/>
              </w:rPr>
            </w:pPr>
            <w:r>
              <w:rPr>
                <w:noProof/>
              </w:rPr>
              <w:t>T3</w:t>
            </w:r>
          </w:p>
        </w:tc>
        <w:tc>
          <w:tcPr>
            <w:tcW w:w="243" w:type="pct"/>
            <w:shd w:val="clear" w:color="auto" w:fill="C6EFCE"/>
          </w:tcPr>
          <w:p w14:paraId="50B4B030" w14:textId="77777777" w:rsidR="003B5F50" w:rsidRDefault="000D2D85">
            <w:pPr>
              <w:pStyle w:val="P68B1DB1-Normal14"/>
              <w:spacing w:before="120" w:after="120" w:line="240" w:lineRule="auto"/>
              <w:rPr>
                <w:rFonts w:eastAsia="Times New Roman" w:cs="Times New Roman"/>
                <w:noProof/>
                <w:szCs w:val="20"/>
              </w:rPr>
            </w:pPr>
            <w:r>
              <w:rPr>
                <w:noProof/>
              </w:rPr>
              <w:t>2024</w:t>
            </w:r>
          </w:p>
        </w:tc>
        <w:tc>
          <w:tcPr>
            <w:tcW w:w="1069" w:type="pct"/>
            <w:shd w:val="clear" w:color="auto" w:fill="C6EFCE"/>
          </w:tcPr>
          <w:p w14:paraId="50B4B031" w14:textId="77777777" w:rsidR="003B5F50" w:rsidRDefault="000D2D85">
            <w:pPr>
              <w:pStyle w:val="P68B1DB1-Normal15"/>
              <w:spacing w:before="120" w:after="120" w:line="240" w:lineRule="auto"/>
              <w:rPr>
                <w:rFonts w:eastAsia="Times New Roman" w:cs="Times New Roman"/>
                <w:noProof/>
              </w:rPr>
            </w:pPr>
            <w:r>
              <w:rPr>
                <w:noProof/>
              </w:rPr>
              <w:t>40 centres de gestion des programmes et de soutien aux écoles sont créés au niveau régional. Les centres se composent d’une équipe d’enseignants et d’autres spécialistes fournissant des activités de tutorat ou des activités de soutien similaires.</w:t>
            </w:r>
          </w:p>
        </w:tc>
      </w:tr>
      <w:tr w:rsidR="003B5F50" w14:paraId="50B4B040" w14:textId="77777777">
        <w:trPr>
          <w:trHeight w:val="1335"/>
        </w:trPr>
        <w:tc>
          <w:tcPr>
            <w:tcW w:w="310" w:type="pct"/>
            <w:shd w:val="clear" w:color="auto" w:fill="C6EFCE"/>
          </w:tcPr>
          <w:p w14:paraId="50B4B033" w14:textId="77777777" w:rsidR="003B5F50" w:rsidRDefault="000D2D85">
            <w:pPr>
              <w:pStyle w:val="P68B1DB1-Normal14"/>
              <w:spacing w:before="120" w:after="120" w:line="240" w:lineRule="auto"/>
              <w:rPr>
                <w:rFonts w:eastAsia="Times New Roman" w:cs="Times New Roman"/>
                <w:noProof/>
                <w:szCs w:val="20"/>
              </w:rPr>
            </w:pPr>
            <w:r>
              <w:rPr>
                <w:noProof/>
              </w:rPr>
              <w:t>3</w:t>
            </w:r>
          </w:p>
        </w:tc>
        <w:tc>
          <w:tcPr>
            <w:tcW w:w="451" w:type="pct"/>
            <w:shd w:val="clear" w:color="auto" w:fill="C6EFCE"/>
          </w:tcPr>
          <w:p w14:paraId="50B4B034" w14:textId="77777777" w:rsidR="003B5F50" w:rsidRDefault="000D2D85">
            <w:pPr>
              <w:pStyle w:val="P68B1DB1-Normal15"/>
              <w:spacing w:before="120" w:after="120" w:line="240" w:lineRule="auto"/>
              <w:rPr>
                <w:rFonts w:eastAsia="Times New Roman" w:cs="Times New Roman"/>
                <w:noProof/>
              </w:rPr>
            </w:pPr>
            <w:r>
              <w:rPr>
                <w:noProof/>
              </w:rPr>
              <w:t xml:space="preserve">7 – L’éducation pour le XXIe siècle – Réforme 1: Réforme du contenu et de la forme de l'éducation </w:t>
            </w:r>
          </w:p>
        </w:tc>
        <w:tc>
          <w:tcPr>
            <w:tcW w:w="390" w:type="pct"/>
            <w:shd w:val="clear" w:color="auto" w:fill="C6EFCE"/>
          </w:tcPr>
          <w:p w14:paraId="50B4B035" w14:textId="77777777" w:rsidR="003B5F50" w:rsidRDefault="000D2D85">
            <w:pPr>
              <w:pStyle w:val="P68B1DB1-Normal14"/>
              <w:spacing w:before="120" w:after="120" w:line="240" w:lineRule="auto"/>
              <w:rPr>
                <w:rFonts w:eastAsia="Times New Roman" w:cs="Times New Roman"/>
                <w:noProof/>
                <w:szCs w:val="20"/>
              </w:rPr>
            </w:pPr>
            <w:r>
              <w:rPr>
                <w:noProof/>
              </w:rPr>
              <w:t>Étape</w:t>
            </w:r>
          </w:p>
        </w:tc>
        <w:tc>
          <w:tcPr>
            <w:tcW w:w="710" w:type="pct"/>
            <w:shd w:val="clear" w:color="auto" w:fill="C6EFCE"/>
          </w:tcPr>
          <w:p w14:paraId="50B4B036" w14:textId="77777777" w:rsidR="003B5F50" w:rsidRDefault="000D2D85">
            <w:pPr>
              <w:pStyle w:val="P68B1DB1-Normal15"/>
              <w:spacing w:before="120" w:after="120" w:line="240" w:lineRule="auto"/>
              <w:rPr>
                <w:noProof/>
              </w:rPr>
            </w:pPr>
            <w:r>
              <w:rPr>
                <w:noProof/>
              </w:rPr>
              <w:t>Mise en œuvre de la réforme des programmes scolaires et de nouveaux matériels pédagogiques pour les écoles</w:t>
            </w:r>
          </w:p>
        </w:tc>
        <w:tc>
          <w:tcPr>
            <w:tcW w:w="531" w:type="pct"/>
            <w:shd w:val="clear" w:color="auto" w:fill="C6EFCE"/>
          </w:tcPr>
          <w:p w14:paraId="50B4B037"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38"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341" w:type="pct"/>
            <w:shd w:val="clear" w:color="auto" w:fill="C6EFCE"/>
          </w:tcPr>
          <w:p w14:paraId="50B4B039"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243" w:type="pct"/>
            <w:shd w:val="clear" w:color="auto" w:fill="C6EFCE"/>
          </w:tcPr>
          <w:p w14:paraId="50B4B03A"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341" w:type="pct"/>
            <w:shd w:val="clear" w:color="auto" w:fill="C6EFCE"/>
          </w:tcPr>
          <w:p w14:paraId="50B4B03B" w14:textId="77777777" w:rsidR="003B5F50" w:rsidRDefault="000D2D85">
            <w:pPr>
              <w:pStyle w:val="P68B1DB1-Normal14"/>
              <w:spacing w:before="120" w:after="120" w:line="240" w:lineRule="auto"/>
              <w:rPr>
                <w:rFonts w:eastAsia="Times New Roman" w:cs="Times New Roman"/>
                <w:noProof/>
                <w:szCs w:val="20"/>
              </w:rPr>
            </w:pPr>
            <w:r>
              <w:rPr>
                <w:noProof/>
              </w:rPr>
              <w:t>T4</w:t>
            </w:r>
          </w:p>
        </w:tc>
        <w:tc>
          <w:tcPr>
            <w:tcW w:w="243" w:type="pct"/>
            <w:shd w:val="clear" w:color="auto" w:fill="C6EFCE"/>
          </w:tcPr>
          <w:p w14:paraId="50B4B03C" w14:textId="77777777" w:rsidR="003B5F50" w:rsidRDefault="000D2D85">
            <w:pPr>
              <w:pStyle w:val="P68B1DB1-Normal14"/>
              <w:spacing w:before="120" w:after="120" w:line="240" w:lineRule="auto"/>
              <w:rPr>
                <w:rFonts w:eastAsia="Times New Roman" w:cs="Times New Roman"/>
                <w:noProof/>
                <w:szCs w:val="20"/>
              </w:rPr>
            </w:pPr>
            <w:r>
              <w:rPr>
                <w:noProof/>
              </w:rPr>
              <w:t>2025</w:t>
            </w:r>
          </w:p>
        </w:tc>
        <w:tc>
          <w:tcPr>
            <w:tcW w:w="1069" w:type="pct"/>
            <w:shd w:val="clear" w:color="auto" w:fill="C6EFCE"/>
          </w:tcPr>
          <w:p w14:paraId="50B4B03D" w14:textId="77777777" w:rsidR="003B5F50" w:rsidRDefault="000D2D85">
            <w:pPr>
              <w:pStyle w:val="P68B1DB1-Normal15"/>
              <w:spacing w:before="120" w:after="120" w:line="240" w:lineRule="auto"/>
              <w:rPr>
                <w:noProof/>
              </w:rPr>
            </w:pPr>
            <w:r>
              <w:rPr>
                <w:noProof/>
              </w:rPr>
              <w:t>Au moins 30 % des écoles primaires mettent en œuvre le nouveau programme.</w:t>
            </w:r>
          </w:p>
          <w:p w14:paraId="50B4B03E" w14:textId="1FEFDB21" w:rsidR="003B5F50" w:rsidRDefault="000D2D85">
            <w:pPr>
              <w:pStyle w:val="P68B1DB1-Normal15"/>
              <w:spacing w:before="120" w:after="120" w:line="240" w:lineRule="auto"/>
              <w:rPr>
                <w:noProof/>
              </w:rPr>
            </w:pPr>
            <w:r>
              <w:rPr>
                <w:noProof/>
              </w:rPr>
              <w:t xml:space="preserve">Le ministère de l'éducation met en place une procédure centrale de passation de marchés publics pour les nouveaux matériels d'apprentissage, ,, ou prévoit une allocation pour leur achat. </w:t>
            </w:r>
          </w:p>
          <w:p w14:paraId="50B4B03F" w14:textId="77777777" w:rsidR="003B5F50" w:rsidRDefault="003B5F50">
            <w:pPr>
              <w:spacing w:before="120" w:after="120" w:line="240" w:lineRule="auto"/>
              <w:rPr>
                <w:rFonts w:ascii="Times New Roman" w:hAnsi="Times New Roman"/>
                <w:noProof/>
                <w:color w:val="006100"/>
                <w:sz w:val="20"/>
                <w:szCs w:val="20"/>
              </w:rPr>
            </w:pPr>
          </w:p>
        </w:tc>
      </w:tr>
      <w:tr w:rsidR="003B5F50" w14:paraId="50B4B04C" w14:textId="77777777">
        <w:trPr>
          <w:trHeight w:val="900"/>
        </w:trPr>
        <w:tc>
          <w:tcPr>
            <w:tcW w:w="310" w:type="pct"/>
            <w:shd w:val="clear" w:color="auto" w:fill="C6EFCE"/>
          </w:tcPr>
          <w:p w14:paraId="50B4B041" w14:textId="77777777" w:rsidR="003B5F50" w:rsidRDefault="000D2D85">
            <w:pPr>
              <w:pStyle w:val="P68B1DB1-Normal14"/>
              <w:spacing w:before="120" w:after="120" w:line="240" w:lineRule="auto"/>
              <w:rPr>
                <w:rFonts w:eastAsia="Times New Roman" w:cs="Times New Roman"/>
                <w:noProof/>
                <w:szCs w:val="20"/>
              </w:rPr>
            </w:pPr>
            <w:r>
              <w:rPr>
                <w:noProof/>
              </w:rPr>
              <w:t>4</w:t>
            </w:r>
          </w:p>
        </w:tc>
        <w:tc>
          <w:tcPr>
            <w:tcW w:w="451" w:type="pct"/>
            <w:shd w:val="clear" w:color="auto" w:fill="C6EFCE"/>
          </w:tcPr>
          <w:p w14:paraId="50B4B042" w14:textId="77777777" w:rsidR="003B5F50" w:rsidRDefault="000D2D85">
            <w:pPr>
              <w:pStyle w:val="P68B1DB1-Normal14"/>
              <w:spacing w:before="120" w:after="120" w:line="240" w:lineRule="auto"/>
              <w:rPr>
                <w:rFonts w:eastAsia="Times New Roman" w:cs="Times New Roman"/>
                <w:noProof/>
                <w:szCs w:val="20"/>
              </w:rPr>
            </w:pPr>
            <w:r>
              <w:rPr>
                <w:noProof/>
              </w:rPr>
              <w:t>7 – L’éducation pour le XXIe siècle – Réforme 1: Réforme du contenu et de la forme de l’éducation – Réforme des programmes et des manuels scolaires</w:t>
            </w:r>
          </w:p>
        </w:tc>
        <w:tc>
          <w:tcPr>
            <w:tcW w:w="390" w:type="pct"/>
            <w:shd w:val="clear" w:color="auto" w:fill="C6EFCE"/>
          </w:tcPr>
          <w:p w14:paraId="50B4B043" w14:textId="77777777" w:rsidR="003B5F50" w:rsidRDefault="000D2D85">
            <w:pPr>
              <w:pStyle w:val="P68B1DB1-Normal14"/>
              <w:spacing w:before="120" w:after="120" w:line="240" w:lineRule="auto"/>
              <w:rPr>
                <w:rFonts w:eastAsia="Times New Roman" w:cs="Times New Roman"/>
                <w:noProof/>
                <w:szCs w:val="20"/>
              </w:rPr>
            </w:pPr>
            <w:r>
              <w:rPr>
                <w:noProof/>
              </w:rPr>
              <w:t>Étape</w:t>
            </w:r>
          </w:p>
        </w:tc>
        <w:tc>
          <w:tcPr>
            <w:tcW w:w="710" w:type="pct"/>
            <w:shd w:val="clear" w:color="auto" w:fill="C6EFCE"/>
          </w:tcPr>
          <w:p w14:paraId="50B4B044" w14:textId="77777777" w:rsidR="003B5F50" w:rsidRDefault="000D2D85">
            <w:pPr>
              <w:pStyle w:val="P68B1DB1-Normal14"/>
              <w:spacing w:before="120" w:after="120" w:line="240" w:lineRule="auto"/>
              <w:rPr>
                <w:rFonts w:eastAsia="Times New Roman" w:cs="Times New Roman"/>
                <w:noProof/>
                <w:szCs w:val="20"/>
              </w:rPr>
            </w:pPr>
            <w:r>
              <w:rPr>
                <w:noProof/>
              </w:rPr>
              <w:t>Introduction d'un examen final en ligne (maturita) pour toutes les écoles secondaires supérieures</w:t>
            </w:r>
          </w:p>
        </w:tc>
        <w:tc>
          <w:tcPr>
            <w:tcW w:w="531" w:type="pct"/>
            <w:shd w:val="clear" w:color="auto" w:fill="C6EFCE"/>
          </w:tcPr>
          <w:p w14:paraId="50B4B045"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46"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341" w:type="pct"/>
            <w:shd w:val="clear" w:color="auto" w:fill="C6EFCE"/>
          </w:tcPr>
          <w:p w14:paraId="50B4B047"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243" w:type="pct"/>
            <w:shd w:val="clear" w:color="auto" w:fill="C6EFCE"/>
          </w:tcPr>
          <w:p w14:paraId="50B4B048"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341" w:type="pct"/>
            <w:shd w:val="clear" w:color="auto" w:fill="C6EFCE"/>
          </w:tcPr>
          <w:p w14:paraId="50B4B049" w14:textId="77777777" w:rsidR="003B5F50" w:rsidRDefault="000D2D85">
            <w:pPr>
              <w:pStyle w:val="P68B1DB1-Normal14"/>
              <w:spacing w:before="120" w:after="120" w:line="240" w:lineRule="auto"/>
              <w:rPr>
                <w:rFonts w:eastAsia="Times New Roman" w:cs="Times New Roman"/>
                <w:noProof/>
                <w:szCs w:val="20"/>
              </w:rPr>
            </w:pPr>
            <w:r>
              <w:rPr>
                <w:noProof/>
              </w:rPr>
              <w:t>T4</w:t>
            </w:r>
          </w:p>
        </w:tc>
        <w:tc>
          <w:tcPr>
            <w:tcW w:w="243" w:type="pct"/>
            <w:shd w:val="clear" w:color="auto" w:fill="C6EFCE"/>
          </w:tcPr>
          <w:p w14:paraId="50B4B04A" w14:textId="77777777" w:rsidR="003B5F50" w:rsidRDefault="000D2D85">
            <w:pPr>
              <w:pStyle w:val="P68B1DB1-Normal14"/>
              <w:spacing w:before="120" w:after="120" w:line="240" w:lineRule="auto"/>
              <w:rPr>
                <w:rFonts w:eastAsia="Times New Roman" w:cs="Times New Roman"/>
                <w:noProof/>
                <w:szCs w:val="20"/>
              </w:rPr>
            </w:pPr>
            <w:r>
              <w:rPr>
                <w:noProof/>
              </w:rPr>
              <w:t>2025</w:t>
            </w:r>
          </w:p>
        </w:tc>
        <w:tc>
          <w:tcPr>
            <w:tcW w:w="1069" w:type="pct"/>
            <w:shd w:val="clear" w:color="auto" w:fill="C6EFCE"/>
          </w:tcPr>
          <w:p w14:paraId="50B4B04B" w14:textId="77777777" w:rsidR="003B5F50" w:rsidRDefault="000D2D85">
            <w:pPr>
              <w:pStyle w:val="P68B1DB1-Normal14"/>
              <w:spacing w:before="120" w:after="120" w:line="240" w:lineRule="auto"/>
              <w:rPr>
                <w:rFonts w:eastAsia="Times New Roman" w:cs="Times New Roman"/>
                <w:noProof/>
                <w:szCs w:val="20"/>
              </w:rPr>
            </w:pPr>
            <w:r>
              <w:rPr>
                <w:noProof/>
              </w:rPr>
              <w:t xml:space="preserve">L'examen final pour les diplômés de toutes les écoles secondaires supérieures, où maturita a lieu, doit être livré en ligne. </w:t>
            </w:r>
          </w:p>
        </w:tc>
      </w:tr>
      <w:tr w:rsidR="003B5F50" w14:paraId="50B4B05D" w14:textId="77777777">
        <w:trPr>
          <w:trHeight w:val="2250"/>
        </w:trPr>
        <w:tc>
          <w:tcPr>
            <w:tcW w:w="310" w:type="pct"/>
            <w:shd w:val="clear" w:color="auto" w:fill="C6EFCE"/>
          </w:tcPr>
          <w:p w14:paraId="50B4B04D" w14:textId="77777777" w:rsidR="003B5F50" w:rsidRDefault="000D2D85">
            <w:pPr>
              <w:pStyle w:val="P68B1DB1-Normal14"/>
              <w:spacing w:before="120" w:after="120" w:line="240" w:lineRule="auto"/>
              <w:rPr>
                <w:rFonts w:eastAsia="Times New Roman" w:cs="Times New Roman"/>
                <w:noProof/>
                <w:szCs w:val="20"/>
              </w:rPr>
            </w:pPr>
            <w:r>
              <w:rPr>
                <w:noProof/>
              </w:rPr>
              <w:t>5</w:t>
            </w:r>
          </w:p>
        </w:tc>
        <w:tc>
          <w:tcPr>
            <w:tcW w:w="451" w:type="pct"/>
            <w:shd w:val="clear" w:color="auto" w:fill="C6EFCE"/>
          </w:tcPr>
          <w:p w14:paraId="50B4B04E" w14:textId="77777777" w:rsidR="003B5F50" w:rsidRDefault="000D2D85">
            <w:pPr>
              <w:pStyle w:val="P68B1DB1-Normal14"/>
              <w:spacing w:before="120" w:after="120" w:line="240" w:lineRule="auto"/>
              <w:rPr>
                <w:rFonts w:eastAsia="Times New Roman" w:cs="Times New Roman"/>
                <w:noProof/>
                <w:szCs w:val="20"/>
              </w:rPr>
            </w:pPr>
            <w:r>
              <w:rPr>
                <w:noProof/>
              </w:rPr>
              <w:t>7 – L’éducation pour le XXIe siècle – Réforme 2: Préparer et développer les enseignants à de nouveaux contenus et à de nouvelles formes d'enseignement</w:t>
            </w:r>
          </w:p>
        </w:tc>
        <w:tc>
          <w:tcPr>
            <w:tcW w:w="390" w:type="pct"/>
            <w:shd w:val="clear" w:color="auto" w:fill="C6EFCE"/>
          </w:tcPr>
          <w:p w14:paraId="50B4B04F" w14:textId="77777777" w:rsidR="003B5F50" w:rsidRDefault="000D2D85">
            <w:pPr>
              <w:pStyle w:val="P68B1DB1-Normal14"/>
              <w:spacing w:before="120" w:after="120" w:line="240" w:lineRule="auto"/>
              <w:rPr>
                <w:rFonts w:eastAsia="Times New Roman" w:cs="Times New Roman"/>
                <w:noProof/>
                <w:szCs w:val="20"/>
              </w:rPr>
            </w:pPr>
            <w:r>
              <w:rPr>
                <w:noProof/>
              </w:rPr>
              <w:t>Étape</w:t>
            </w:r>
          </w:p>
        </w:tc>
        <w:tc>
          <w:tcPr>
            <w:tcW w:w="710" w:type="pct"/>
            <w:shd w:val="clear" w:color="auto" w:fill="C6EFCE"/>
          </w:tcPr>
          <w:p w14:paraId="50B4B050" w14:textId="77777777" w:rsidR="003B5F50" w:rsidRDefault="000D2D85">
            <w:pPr>
              <w:pStyle w:val="P68B1DB1-Normal14"/>
              <w:spacing w:before="120" w:after="120" w:line="240" w:lineRule="auto"/>
              <w:rPr>
                <w:rFonts w:eastAsia="Times New Roman" w:cs="Times New Roman"/>
                <w:noProof/>
                <w:szCs w:val="20"/>
              </w:rPr>
            </w:pPr>
            <w:r>
              <w:rPr>
                <w:noProof/>
              </w:rPr>
              <w:t>Entrée en vigueur des modifications législatives visant à renforcer la qualité des compétences du personnel enseignant et professionnel et à les motiver pour le développement professionnel tout au long de la vie</w:t>
            </w:r>
          </w:p>
        </w:tc>
        <w:tc>
          <w:tcPr>
            <w:tcW w:w="531" w:type="pct"/>
            <w:shd w:val="clear" w:color="auto" w:fill="C6EFCE"/>
          </w:tcPr>
          <w:p w14:paraId="50B4B051" w14:textId="40DF5E57" w:rsidR="003B5F50" w:rsidRDefault="000D2D85">
            <w:pPr>
              <w:pStyle w:val="P68B1DB1-Normal14"/>
              <w:spacing w:before="120" w:after="120" w:line="240" w:lineRule="auto"/>
              <w:rPr>
                <w:rFonts w:eastAsia="Times New Roman" w:cs="Times New Roman"/>
                <w:noProof/>
                <w:szCs w:val="20"/>
              </w:rPr>
            </w:pPr>
            <w:r>
              <w:rPr>
                <w:noProof/>
              </w:rPr>
              <w:t xml:space="preserve">Entrée en vigueur des modifications de la loi no 138/2019 sur le personnel pédagogique et professionnel, de la loi no 597/2003 Coll., de la loi no 131/2002 sur l’enseignement supérieur et des décrets no 244/2019 et no 1/2020 du ministère de l’éducation, des sciences, de la recherche et des sports de la République slovaque sur le système des syndicats d’études de la République slovaque.  </w:t>
            </w:r>
          </w:p>
        </w:tc>
        <w:tc>
          <w:tcPr>
            <w:tcW w:w="368" w:type="pct"/>
            <w:shd w:val="clear" w:color="auto" w:fill="C6EFCE"/>
          </w:tcPr>
          <w:p w14:paraId="50B4B052" w14:textId="77777777" w:rsidR="003B5F50" w:rsidRDefault="000D2D85">
            <w:pPr>
              <w:pStyle w:val="P68B1DB1-Normal14"/>
              <w:spacing w:before="120" w:after="120" w:line="240" w:lineRule="auto"/>
              <w:rPr>
                <w:rFonts w:eastAsia="Times New Roman" w:cs="Times New Roman"/>
                <w:noProof/>
                <w:szCs w:val="20"/>
              </w:rPr>
            </w:pPr>
            <w:r>
              <w:rPr>
                <w:noProof/>
              </w:rPr>
              <w:t> </w:t>
            </w:r>
          </w:p>
        </w:tc>
        <w:tc>
          <w:tcPr>
            <w:tcW w:w="341" w:type="pct"/>
            <w:shd w:val="clear" w:color="auto" w:fill="C6EFCE"/>
          </w:tcPr>
          <w:p w14:paraId="50B4B053" w14:textId="77777777" w:rsidR="003B5F50" w:rsidRDefault="000D2D85">
            <w:pPr>
              <w:pStyle w:val="P68B1DB1-Normal14"/>
              <w:spacing w:before="120" w:after="120" w:line="240" w:lineRule="auto"/>
              <w:rPr>
                <w:rFonts w:eastAsia="Times New Roman" w:cs="Times New Roman"/>
                <w:noProof/>
                <w:szCs w:val="20"/>
              </w:rPr>
            </w:pPr>
            <w:r>
              <w:rPr>
                <w:noProof/>
              </w:rPr>
              <w:t> </w:t>
            </w:r>
          </w:p>
        </w:tc>
        <w:tc>
          <w:tcPr>
            <w:tcW w:w="243" w:type="pct"/>
            <w:shd w:val="clear" w:color="auto" w:fill="C6EFCE"/>
          </w:tcPr>
          <w:p w14:paraId="50B4B054" w14:textId="77777777" w:rsidR="003B5F50" w:rsidRDefault="000D2D85">
            <w:pPr>
              <w:pStyle w:val="P68B1DB1-Normal14"/>
              <w:spacing w:before="120" w:after="120" w:line="240" w:lineRule="auto"/>
              <w:rPr>
                <w:rFonts w:eastAsia="Times New Roman" w:cs="Times New Roman"/>
                <w:noProof/>
                <w:szCs w:val="20"/>
              </w:rPr>
            </w:pPr>
            <w:r>
              <w:rPr>
                <w:noProof/>
              </w:rPr>
              <w:t> </w:t>
            </w:r>
          </w:p>
        </w:tc>
        <w:tc>
          <w:tcPr>
            <w:tcW w:w="341" w:type="pct"/>
            <w:shd w:val="clear" w:color="auto" w:fill="C6EFCE"/>
          </w:tcPr>
          <w:p w14:paraId="50B4B055" w14:textId="77777777" w:rsidR="003B5F50" w:rsidRDefault="000D2D85">
            <w:pPr>
              <w:pStyle w:val="P68B1DB1-Normal14"/>
              <w:spacing w:before="120" w:after="120" w:line="240" w:lineRule="auto"/>
              <w:rPr>
                <w:rFonts w:eastAsia="Times New Roman" w:cs="Times New Roman"/>
                <w:noProof/>
                <w:szCs w:val="20"/>
              </w:rPr>
            </w:pPr>
            <w:r>
              <w:rPr>
                <w:noProof/>
              </w:rPr>
              <w:t>T1</w:t>
            </w:r>
          </w:p>
        </w:tc>
        <w:tc>
          <w:tcPr>
            <w:tcW w:w="243" w:type="pct"/>
            <w:shd w:val="clear" w:color="auto" w:fill="C6EFCE"/>
          </w:tcPr>
          <w:p w14:paraId="50B4B056" w14:textId="77777777" w:rsidR="003B5F50" w:rsidRDefault="000D2D85">
            <w:pPr>
              <w:pStyle w:val="P68B1DB1-Normal14"/>
              <w:spacing w:before="120" w:after="120" w:line="240" w:lineRule="auto"/>
              <w:rPr>
                <w:rFonts w:eastAsia="Times New Roman" w:cs="Times New Roman"/>
                <w:noProof/>
                <w:szCs w:val="20"/>
              </w:rPr>
            </w:pPr>
            <w:r>
              <w:rPr>
                <w:noProof/>
              </w:rPr>
              <w:t>2023</w:t>
            </w:r>
          </w:p>
        </w:tc>
        <w:tc>
          <w:tcPr>
            <w:tcW w:w="1069" w:type="pct"/>
            <w:shd w:val="clear" w:color="auto" w:fill="C6EFCE"/>
          </w:tcPr>
          <w:p w14:paraId="50B4B057" w14:textId="77777777" w:rsidR="003B5F50" w:rsidRDefault="000D2D85">
            <w:pPr>
              <w:pStyle w:val="P68B1DB1-Normal14"/>
              <w:spacing w:before="120" w:after="120" w:line="240" w:lineRule="auto"/>
              <w:rPr>
                <w:rFonts w:eastAsia="Times New Roman" w:cs="Times New Roman"/>
                <w:noProof/>
                <w:szCs w:val="20"/>
              </w:rPr>
            </w:pPr>
            <w:r>
              <w:rPr>
                <w:noProof/>
              </w:rPr>
              <w:t xml:space="preserve">Les modifications législatives apportent: </w:t>
            </w:r>
          </w:p>
          <w:p w14:paraId="50B4B058" w14:textId="77777777" w:rsidR="003B5F50" w:rsidRDefault="000D2D85">
            <w:pPr>
              <w:pStyle w:val="P68B1DB1-ListParagraph30"/>
              <w:numPr>
                <w:ilvl w:val="0"/>
                <w:numId w:val="33"/>
              </w:numPr>
              <w:spacing w:before="120"/>
              <w:rPr>
                <w:rFonts w:eastAsia="Times New Roman" w:cs="Times New Roman"/>
                <w:noProof/>
                <w:szCs w:val="20"/>
              </w:rPr>
            </w:pPr>
            <w:r>
              <w:rPr>
                <w:noProof/>
              </w:rPr>
              <w:t xml:space="preserve">Introduction des nouveaux programmes d'études préparant les futurs enseignants, </w:t>
            </w:r>
          </w:p>
          <w:p w14:paraId="50B4B059" w14:textId="77777777" w:rsidR="003B5F50" w:rsidRDefault="000D2D85">
            <w:pPr>
              <w:pStyle w:val="P68B1DB1-ListParagraph30"/>
              <w:numPr>
                <w:ilvl w:val="0"/>
                <w:numId w:val="33"/>
              </w:numPr>
              <w:spacing w:before="120"/>
              <w:rPr>
                <w:rFonts w:eastAsia="Times New Roman" w:cs="Times New Roman"/>
                <w:noProof/>
                <w:szCs w:val="20"/>
              </w:rPr>
            </w:pPr>
            <w:r>
              <w:rPr>
                <w:noProof/>
              </w:rPr>
              <w:t>Une allocation pour motiver le personnel enseignant et professionnel à poursuivre le développement professionnel tout au long de la vie;</w:t>
            </w:r>
          </w:p>
          <w:p w14:paraId="50B4B05A" w14:textId="77777777" w:rsidR="003B5F50" w:rsidRDefault="000D2D85">
            <w:pPr>
              <w:pStyle w:val="P68B1DB1-ListParagraph30"/>
              <w:numPr>
                <w:ilvl w:val="0"/>
                <w:numId w:val="33"/>
              </w:numPr>
              <w:spacing w:before="120"/>
              <w:rPr>
                <w:rFonts w:eastAsia="Times New Roman" w:cs="Times New Roman"/>
                <w:noProof/>
                <w:szCs w:val="20"/>
              </w:rPr>
            </w:pPr>
            <w:r>
              <w:rPr>
                <w:noProof/>
              </w:rPr>
              <w:t>Réglementation des compétences et de l'éventail des prestataires d'enseignement de l'attestation, de l'enseignement fonctionnel et de l'enseignement des qualifications dans le secteur de l'éducation.</w:t>
            </w:r>
          </w:p>
          <w:p w14:paraId="50B4B05B" w14:textId="77777777" w:rsidR="003B5F50" w:rsidRDefault="000D2D85">
            <w:pPr>
              <w:pStyle w:val="P68B1DB1-ListParagraph30"/>
              <w:numPr>
                <w:ilvl w:val="0"/>
                <w:numId w:val="33"/>
              </w:numPr>
              <w:spacing w:before="120"/>
              <w:rPr>
                <w:rFonts w:eastAsia="Times New Roman" w:cs="Times New Roman"/>
                <w:noProof/>
                <w:szCs w:val="20"/>
              </w:rPr>
            </w:pPr>
            <w:r>
              <w:rPr>
                <w:noProof/>
              </w:rPr>
              <w:t xml:space="preserve">Nouveau modèle d'accréditation des programmes de formation professionnelle. </w:t>
            </w:r>
          </w:p>
          <w:p w14:paraId="50B4B05C"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r>
      <w:tr w:rsidR="003B5F50" w14:paraId="50B4B069" w14:textId="77777777">
        <w:trPr>
          <w:trHeight w:val="2310"/>
        </w:trPr>
        <w:tc>
          <w:tcPr>
            <w:tcW w:w="310" w:type="pct"/>
            <w:shd w:val="clear" w:color="auto" w:fill="C6EFCE"/>
          </w:tcPr>
          <w:p w14:paraId="50B4B05E" w14:textId="77777777" w:rsidR="003B5F50" w:rsidRDefault="000D2D85">
            <w:pPr>
              <w:pStyle w:val="P68B1DB1-Normal14"/>
              <w:spacing w:before="120" w:after="120" w:line="240" w:lineRule="auto"/>
              <w:rPr>
                <w:rFonts w:eastAsia="Times New Roman" w:cs="Times New Roman"/>
                <w:noProof/>
                <w:szCs w:val="20"/>
              </w:rPr>
            </w:pPr>
            <w:r>
              <w:rPr>
                <w:noProof/>
              </w:rPr>
              <w:t>6</w:t>
            </w:r>
          </w:p>
        </w:tc>
        <w:tc>
          <w:tcPr>
            <w:tcW w:w="451" w:type="pct"/>
            <w:shd w:val="clear" w:color="auto" w:fill="C6EFCE"/>
          </w:tcPr>
          <w:p w14:paraId="50B4B05F" w14:textId="77777777" w:rsidR="003B5F50" w:rsidRDefault="000D2D85">
            <w:pPr>
              <w:pStyle w:val="P68B1DB1-Normal14"/>
              <w:spacing w:before="120" w:after="120" w:line="240" w:lineRule="auto"/>
              <w:rPr>
                <w:rFonts w:eastAsia="Times New Roman" w:cs="Times New Roman"/>
                <w:noProof/>
                <w:szCs w:val="20"/>
              </w:rPr>
            </w:pPr>
            <w:r>
              <w:rPr>
                <w:noProof/>
              </w:rPr>
              <w:t>7 – L’éducation pour le XXIe siècle – Réforme 2: Préparer et développer les enseignants à de nouveaux contenus et à de nouvelles formes d'enseignement</w:t>
            </w:r>
          </w:p>
        </w:tc>
        <w:tc>
          <w:tcPr>
            <w:tcW w:w="390" w:type="pct"/>
            <w:shd w:val="clear" w:color="auto" w:fill="C6EFCE"/>
          </w:tcPr>
          <w:p w14:paraId="50B4B060" w14:textId="77777777" w:rsidR="003B5F50" w:rsidRDefault="000D2D85">
            <w:pPr>
              <w:pStyle w:val="P68B1DB1-Normal14"/>
              <w:spacing w:before="120" w:after="120" w:line="240" w:lineRule="auto"/>
              <w:rPr>
                <w:rFonts w:eastAsia="Times New Roman" w:cs="Times New Roman"/>
                <w:noProof/>
                <w:szCs w:val="20"/>
              </w:rPr>
            </w:pPr>
            <w:r>
              <w:rPr>
                <w:noProof/>
              </w:rPr>
              <w:t xml:space="preserve">Objectif </w:t>
            </w:r>
          </w:p>
        </w:tc>
        <w:tc>
          <w:tcPr>
            <w:tcW w:w="710" w:type="pct"/>
            <w:shd w:val="clear" w:color="auto" w:fill="C6EFCE"/>
          </w:tcPr>
          <w:p w14:paraId="50B4B061" w14:textId="77777777" w:rsidR="003B5F50" w:rsidRDefault="000D2D85">
            <w:pPr>
              <w:pStyle w:val="P68B1DB1-Normal14"/>
              <w:spacing w:before="120" w:after="120" w:line="240" w:lineRule="auto"/>
              <w:rPr>
                <w:rFonts w:eastAsia="Calibri" w:cs="Times New Roman"/>
                <w:noProof/>
              </w:rPr>
            </w:pPr>
            <w:r>
              <w:rPr>
                <w:noProof/>
              </w:rPr>
              <w:t>Pourcentage de personnel pédagogique et professionnel formé, en particulier en préparation au nouveau programme d’études, à l’éducation inclusive et aux compétences numériques</w:t>
            </w:r>
          </w:p>
        </w:tc>
        <w:tc>
          <w:tcPr>
            <w:tcW w:w="531" w:type="pct"/>
            <w:shd w:val="clear" w:color="auto" w:fill="C6EFCE"/>
          </w:tcPr>
          <w:p w14:paraId="50B4B062"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63" w14:textId="77777777" w:rsidR="003B5F50" w:rsidRDefault="000D2D85">
            <w:pPr>
              <w:pStyle w:val="P68B1DB1-Normal14"/>
              <w:spacing w:before="120" w:after="120" w:line="240" w:lineRule="auto"/>
              <w:rPr>
                <w:rFonts w:eastAsia="Times New Roman" w:cs="Times New Roman"/>
                <w:noProof/>
                <w:szCs w:val="20"/>
              </w:rPr>
            </w:pPr>
            <w:r>
              <w:rPr>
                <w:noProof/>
              </w:rPr>
              <w:t> %</w:t>
            </w:r>
          </w:p>
        </w:tc>
        <w:tc>
          <w:tcPr>
            <w:tcW w:w="341" w:type="pct"/>
            <w:shd w:val="clear" w:color="auto" w:fill="C6EFCE"/>
          </w:tcPr>
          <w:p w14:paraId="50B4B064" w14:textId="77777777" w:rsidR="003B5F50" w:rsidRDefault="000D2D85">
            <w:pPr>
              <w:pStyle w:val="P68B1DB1-Normal14"/>
              <w:spacing w:before="120" w:after="120" w:line="240" w:lineRule="auto"/>
              <w:rPr>
                <w:rFonts w:eastAsia="Times New Roman" w:cs="Times New Roman"/>
                <w:noProof/>
                <w:szCs w:val="20"/>
              </w:rPr>
            </w:pPr>
            <w:r>
              <w:rPr>
                <w:noProof/>
              </w:rPr>
              <w:t>0</w:t>
            </w:r>
          </w:p>
        </w:tc>
        <w:tc>
          <w:tcPr>
            <w:tcW w:w="243" w:type="pct"/>
            <w:shd w:val="clear" w:color="auto" w:fill="C6EFCE"/>
          </w:tcPr>
          <w:p w14:paraId="50B4B065" w14:textId="77777777" w:rsidR="003B5F50" w:rsidRDefault="000D2D85">
            <w:pPr>
              <w:pStyle w:val="P68B1DB1-Normal14"/>
              <w:spacing w:before="120" w:after="120" w:line="240" w:lineRule="auto"/>
              <w:rPr>
                <w:rFonts w:eastAsia="Times New Roman" w:cs="Times New Roman"/>
                <w:noProof/>
                <w:szCs w:val="20"/>
              </w:rPr>
            </w:pPr>
            <w:r>
              <w:rPr>
                <w:noProof/>
              </w:rPr>
              <w:t>55</w:t>
            </w:r>
          </w:p>
        </w:tc>
        <w:tc>
          <w:tcPr>
            <w:tcW w:w="341" w:type="pct"/>
            <w:shd w:val="clear" w:color="auto" w:fill="C6EFCE"/>
          </w:tcPr>
          <w:p w14:paraId="50B4B066" w14:textId="77777777" w:rsidR="003B5F50" w:rsidRDefault="000D2D85">
            <w:pPr>
              <w:pStyle w:val="P68B1DB1-Normal14"/>
              <w:spacing w:before="120" w:after="120" w:line="240" w:lineRule="auto"/>
              <w:rPr>
                <w:rFonts w:eastAsia="Times New Roman" w:cs="Times New Roman"/>
                <w:noProof/>
                <w:szCs w:val="20"/>
              </w:rPr>
            </w:pPr>
            <w:r>
              <w:rPr>
                <w:noProof/>
              </w:rPr>
              <w:t>T4</w:t>
            </w:r>
          </w:p>
        </w:tc>
        <w:tc>
          <w:tcPr>
            <w:tcW w:w="243" w:type="pct"/>
            <w:shd w:val="clear" w:color="auto" w:fill="C6EFCE"/>
          </w:tcPr>
          <w:p w14:paraId="50B4B067" w14:textId="77777777" w:rsidR="003B5F50" w:rsidRDefault="000D2D85">
            <w:pPr>
              <w:pStyle w:val="P68B1DB1-Normal14"/>
              <w:spacing w:before="120" w:after="120" w:line="240" w:lineRule="auto"/>
              <w:rPr>
                <w:rFonts w:eastAsia="Times New Roman" w:cs="Times New Roman"/>
                <w:noProof/>
                <w:szCs w:val="20"/>
              </w:rPr>
            </w:pPr>
            <w:r>
              <w:rPr>
                <w:noProof/>
              </w:rPr>
              <w:t>2023</w:t>
            </w:r>
          </w:p>
        </w:tc>
        <w:tc>
          <w:tcPr>
            <w:tcW w:w="1069" w:type="pct"/>
            <w:shd w:val="clear" w:color="auto" w:fill="C6EFCE"/>
          </w:tcPr>
          <w:p w14:paraId="50B4B068" w14:textId="77777777" w:rsidR="003B5F50" w:rsidRDefault="000D2D85">
            <w:pPr>
              <w:pStyle w:val="P68B1DB1-Normal14"/>
              <w:spacing w:before="120" w:after="120" w:line="240" w:lineRule="auto"/>
              <w:rPr>
                <w:rFonts w:eastAsia="Times New Roman" w:cs="Times New Roman"/>
                <w:noProof/>
                <w:szCs w:val="20"/>
              </w:rPr>
            </w:pPr>
            <w:r>
              <w:rPr>
                <w:noProof/>
              </w:rPr>
              <w:t xml:space="preserve">Au plus tard le 31 décembre 2023, au moins 55 % du personnel pédagogique et professionnel des écoles sont formés. </w:t>
            </w:r>
          </w:p>
        </w:tc>
      </w:tr>
      <w:tr w:rsidR="003B5F50" w14:paraId="50B4B075" w14:textId="77777777">
        <w:trPr>
          <w:trHeight w:val="540"/>
        </w:trPr>
        <w:tc>
          <w:tcPr>
            <w:tcW w:w="310" w:type="pct"/>
            <w:shd w:val="clear" w:color="auto" w:fill="C6EFCE"/>
          </w:tcPr>
          <w:p w14:paraId="50B4B06A" w14:textId="77777777" w:rsidR="003B5F50" w:rsidRDefault="000D2D85">
            <w:pPr>
              <w:pStyle w:val="P68B1DB1-Normal14"/>
              <w:spacing w:before="120" w:after="120" w:line="240" w:lineRule="auto"/>
              <w:rPr>
                <w:rFonts w:eastAsia="Times New Roman" w:cs="Times New Roman"/>
                <w:noProof/>
                <w:szCs w:val="20"/>
              </w:rPr>
            </w:pPr>
            <w:r>
              <w:rPr>
                <w:noProof/>
              </w:rPr>
              <w:t>7</w:t>
            </w:r>
          </w:p>
        </w:tc>
        <w:tc>
          <w:tcPr>
            <w:tcW w:w="451" w:type="pct"/>
            <w:shd w:val="clear" w:color="auto" w:fill="C6EFCE"/>
          </w:tcPr>
          <w:p w14:paraId="50B4B06B" w14:textId="77777777" w:rsidR="003B5F50" w:rsidRDefault="000D2D85">
            <w:pPr>
              <w:pStyle w:val="P68B1DB1-Normal14"/>
              <w:spacing w:before="120" w:after="120" w:line="240" w:lineRule="auto"/>
              <w:rPr>
                <w:rFonts w:eastAsia="Times New Roman" w:cs="Times New Roman"/>
                <w:noProof/>
                <w:szCs w:val="20"/>
              </w:rPr>
            </w:pPr>
            <w:r>
              <w:rPr>
                <w:noProof/>
              </w:rPr>
              <w:t>7 – L’éducation pour le XXIe siècle – Investissement 1: Infrastructure numérique dans les écoles</w:t>
            </w:r>
          </w:p>
        </w:tc>
        <w:tc>
          <w:tcPr>
            <w:tcW w:w="390" w:type="pct"/>
            <w:shd w:val="clear" w:color="auto" w:fill="C6EFCE"/>
          </w:tcPr>
          <w:p w14:paraId="50B4B06C" w14:textId="77777777" w:rsidR="003B5F50" w:rsidRDefault="000D2D85">
            <w:pPr>
              <w:pStyle w:val="P68B1DB1-Normal14"/>
              <w:spacing w:before="120" w:after="120" w:line="240" w:lineRule="auto"/>
              <w:rPr>
                <w:rFonts w:eastAsia="Times New Roman" w:cs="Times New Roman"/>
                <w:noProof/>
                <w:szCs w:val="20"/>
              </w:rPr>
            </w:pPr>
            <w:r>
              <w:rPr>
                <w:noProof/>
              </w:rPr>
              <w:t>Objectif</w:t>
            </w:r>
          </w:p>
        </w:tc>
        <w:tc>
          <w:tcPr>
            <w:tcW w:w="710" w:type="pct"/>
            <w:shd w:val="clear" w:color="auto" w:fill="C6EFCE"/>
          </w:tcPr>
          <w:p w14:paraId="50B4B06D" w14:textId="201547B8" w:rsidR="003B5F50" w:rsidRDefault="000D2D85">
            <w:pPr>
              <w:pStyle w:val="P68B1DB1-Normal15"/>
              <w:spacing w:before="120" w:after="120" w:line="240" w:lineRule="auto"/>
              <w:rPr>
                <w:rFonts w:eastAsia="Times New Roman" w:cs="Times New Roman"/>
                <w:noProof/>
              </w:rPr>
            </w:pPr>
            <w:r>
              <w:rPr>
                <w:noProof/>
              </w:rPr>
              <w:t>Livraison d'équipements numériques aux écoles</w:t>
            </w:r>
          </w:p>
        </w:tc>
        <w:tc>
          <w:tcPr>
            <w:tcW w:w="531" w:type="pct"/>
            <w:shd w:val="clear" w:color="auto" w:fill="C6EFCE"/>
          </w:tcPr>
          <w:p w14:paraId="50B4B06E"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6F" w14:textId="77777777" w:rsidR="003B5F50" w:rsidRDefault="000D2D85">
            <w:pPr>
              <w:pStyle w:val="P68B1DB1-Normal14"/>
              <w:spacing w:before="120" w:after="120" w:line="240" w:lineRule="auto"/>
              <w:rPr>
                <w:rFonts w:eastAsia="Times New Roman" w:cs="Times New Roman"/>
                <w:noProof/>
                <w:szCs w:val="20"/>
              </w:rPr>
            </w:pPr>
            <w:r>
              <w:rPr>
                <w:noProof/>
              </w:rPr>
              <w:t xml:space="preserve">% </w:t>
            </w:r>
          </w:p>
        </w:tc>
        <w:tc>
          <w:tcPr>
            <w:tcW w:w="341" w:type="pct"/>
            <w:shd w:val="clear" w:color="auto" w:fill="C6EFCE"/>
          </w:tcPr>
          <w:p w14:paraId="50B4B070" w14:textId="77777777" w:rsidR="003B5F50" w:rsidRDefault="000D2D85">
            <w:pPr>
              <w:pStyle w:val="P68B1DB1-Normal14"/>
              <w:spacing w:before="120" w:after="120" w:line="240" w:lineRule="auto"/>
              <w:rPr>
                <w:rFonts w:eastAsia="Times New Roman" w:cs="Times New Roman"/>
                <w:noProof/>
                <w:szCs w:val="20"/>
              </w:rPr>
            </w:pPr>
            <w:r>
              <w:rPr>
                <w:noProof/>
              </w:rPr>
              <w:t>0</w:t>
            </w:r>
          </w:p>
        </w:tc>
        <w:tc>
          <w:tcPr>
            <w:tcW w:w="243" w:type="pct"/>
            <w:shd w:val="clear" w:color="auto" w:fill="C6EFCE"/>
          </w:tcPr>
          <w:p w14:paraId="50B4B071" w14:textId="77777777" w:rsidR="003B5F50" w:rsidRDefault="000D2D85">
            <w:pPr>
              <w:pStyle w:val="P68B1DB1-Normal14"/>
              <w:spacing w:before="120" w:after="120" w:line="240" w:lineRule="auto"/>
              <w:rPr>
                <w:rFonts w:eastAsia="Times New Roman" w:cs="Times New Roman"/>
                <w:noProof/>
                <w:szCs w:val="20"/>
              </w:rPr>
            </w:pPr>
            <w:r>
              <w:rPr>
                <w:noProof/>
              </w:rPr>
              <w:t>60</w:t>
            </w:r>
          </w:p>
        </w:tc>
        <w:tc>
          <w:tcPr>
            <w:tcW w:w="341" w:type="pct"/>
            <w:shd w:val="clear" w:color="auto" w:fill="C6EFCE"/>
          </w:tcPr>
          <w:p w14:paraId="50B4B072" w14:textId="77777777" w:rsidR="003B5F50" w:rsidRDefault="000D2D85">
            <w:pPr>
              <w:pStyle w:val="P68B1DB1-Normal14"/>
              <w:spacing w:before="120" w:after="120" w:line="240" w:lineRule="auto"/>
              <w:rPr>
                <w:rFonts w:eastAsia="Times New Roman" w:cs="Times New Roman"/>
                <w:noProof/>
                <w:szCs w:val="20"/>
              </w:rPr>
            </w:pPr>
            <w:r>
              <w:rPr>
                <w:noProof/>
              </w:rPr>
              <w:t>T4</w:t>
            </w:r>
          </w:p>
        </w:tc>
        <w:tc>
          <w:tcPr>
            <w:tcW w:w="243" w:type="pct"/>
            <w:shd w:val="clear" w:color="auto" w:fill="C6EFCE"/>
          </w:tcPr>
          <w:p w14:paraId="50B4B073" w14:textId="77777777" w:rsidR="003B5F50" w:rsidRDefault="000D2D85">
            <w:pPr>
              <w:pStyle w:val="P68B1DB1-Normal14"/>
              <w:spacing w:before="120" w:after="120" w:line="240" w:lineRule="auto"/>
              <w:rPr>
                <w:rFonts w:eastAsia="Times New Roman" w:cs="Times New Roman"/>
                <w:noProof/>
                <w:szCs w:val="20"/>
              </w:rPr>
            </w:pPr>
            <w:r>
              <w:rPr>
                <w:noProof/>
              </w:rPr>
              <w:t>2025</w:t>
            </w:r>
          </w:p>
        </w:tc>
        <w:tc>
          <w:tcPr>
            <w:tcW w:w="1069" w:type="pct"/>
            <w:shd w:val="clear" w:color="auto" w:fill="C6EFCE"/>
          </w:tcPr>
          <w:p w14:paraId="50B4B074" w14:textId="45FE0093" w:rsidR="003B5F50" w:rsidRDefault="000D2D85">
            <w:pPr>
              <w:spacing w:before="120" w:after="120" w:line="240" w:lineRule="auto"/>
              <w:rPr>
                <w:noProof/>
              </w:rPr>
            </w:pPr>
            <w:r>
              <w:rPr>
                <w:rFonts w:ascii="Times New Roman" w:hAnsi="Times New Roman"/>
                <w:noProof/>
                <w:color w:val="006100"/>
                <w:sz w:val="20"/>
                <w:szCs w:val="20"/>
              </w:rPr>
              <w:t>60 % des écoles reçoivent des équipements numériques. Ces équipements comprennent, par exemple, des logiciels, du matériel et des équipements compensatoires pour les élèves défavorisés, ainsi que, par exemple, des équipements pour une salle de classe informatique.</w:t>
            </w:r>
            <w:r>
              <w:rPr>
                <w:noProof/>
              </w:rPr>
              <w:t xml:space="preserve"> </w:t>
            </w:r>
          </w:p>
        </w:tc>
      </w:tr>
      <w:tr w:rsidR="003B5F50" w14:paraId="50B4B082" w14:textId="77777777">
        <w:trPr>
          <w:trHeight w:val="60"/>
        </w:trPr>
        <w:tc>
          <w:tcPr>
            <w:tcW w:w="310" w:type="pct"/>
            <w:shd w:val="clear" w:color="auto" w:fill="C6EFCE"/>
          </w:tcPr>
          <w:p w14:paraId="50B4B076" w14:textId="77777777" w:rsidR="003B5F50" w:rsidRDefault="000D2D85">
            <w:pPr>
              <w:pStyle w:val="P68B1DB1-Normal14"/>
              <w:spacing w:before="120" w:after="120" w:line="240" w:lineRule="auto"/>
              <w:rPr>
                <w:rFonts w:eastAsia="Times New Roman" w:cs="Times New Roman"/>
                <w:noProof/>
                <w:szCs w:val="20"/>
              </w:rPr>
            </w:pPr>
            <w:r>
              <w:rPr>
                <w:noProof/>
              </w:rPr>
              <w:t>8</w:t>
            </w:r>
          </w:p>
        </w:tc>
        <w:tc>
          <w:tcPr>
            <w:tcW w:w="451" w:type="pct"/>
            <w:shd w:val="clear" w:color="auto" w:fill="C6EFCE"/>
          </w:tcPr>
          <w:p w14:paraId="50B4B077" w14:textId="77777777" w:rsidR="003B5F50" w:rsidRDefault="000D2D85">
            <w:pPr>
              <w:pStyle w:val="P68B1DB1-Normal14"/>
              <w:spacing w:before="120" w:after="120" w:line="240" w:lineRule="auto"/>
              <w:rPr>
                <w:rFonts w:eastAsia="Times New Roman" w:cs="Times New Roman"/>
                <w:noProof/>
                <w:szCs w:val="20"/>
              </w:rPr>
            </w:pPr>
            <w:r>
              <w:rPr>
                <w:noProof/>
              </w:rPr>
              <w:t>7 – L’éducation pour le XXIe siècle – Investissement 2: Achèvement des infrastructures scolaires</w:t>
            </w:r>
          </w:p>
        </w:tc>
        <w:tc>
          <w:tcPr>
            <w:tcW w:w="390" w:type="pct"/>
            <w:shd w:val="clear" w:color="auto" w:fill="C6EFCE"/>
          </w:tcPr>
          <w:p w14:paraId="50B4B078" w14:textId="77777777" w:rsidR="003B5F50" w:rsidRDefault="000D2D85">
            <w:pPr>
              <w:pStyle w:val="P68B1DB1-Normal14"/>
              <w:spacing w:before="120" w:after="120" w:line="240" w:lineRule="auto"/>
              <w:rPr>
                <w:rFonts w:eastAsia="Times New Roman" w:cs="Times New Roman"/>
                <w:noProof/>
                <w:szCs w:val="20"/>
              </w:rPr>
            </w:pPr>
            <w:r>
              <w:rPr>
                <w:noProof/>
              </w:rPr>
              <w:t>Objectif</w:t>
            </w:r>
          </w:p>
        </w:tc>
        <w:tc>
          <w:tcPr>
            <w:tcW w:w="710" w:type="pct"/>
            <w:shd w:val="clear" w:color="auto" w:fill="C6EFCE"/>
          </w:tcPr>
          <w:p w14:paraId="50B4B079" w14:textId="77777777" w:rsidR="003B5F50" w:rsidRDefault="000D2D85">
            <w:pPr>
              <w:pStyle w:val="P68B1DB1-Normal14"/>
              <w:spacing w:before="120" w:after="120" w:line="240" w:lineRule="auto"/>
              <w:rPr>
                <w:rFonts w:eastAsia="Times New Roman" w:cs="Times New Roman"/>
                <w:noProof/>
                <w:szCs w:val="20"/>
              </w:rPr>
            </w:pPr>
            <w:r>
              <w:rPr>
                <w:noProof/>
              </w:rPr>
              <w:t xml:space="preserve">Élimination des écoles à double équipe </w:t>
            </w:r>
          </w:p>
        </w:tc>
        <w:tc>
          <w:tcPr>
            <w:tcW w:w="531" w:type="pct"/>
            <w:shd w:val="clear" w:color="auto" w:fill="C6EFCE"/>
          </w:tcPr>
          <w:p w14:paraId="50B4B07A" w14:textId="77777777" w:rsidR="003B5F50" w:rsidRDefault="003B5F50">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7B" w14:textId="77777777" w:rsidR="003B5F50" w:rsidRDefault="000D2D85">
            <w:pPr>
              <w:pStyle w:val="P68B1DB1-Normal14"/>
              <w:spacing w:before="120" w:after="120" w:line="240" w:lineRule="auto"/>
              <w:rPr>
                <w:rFonts w:eastAsia="Times New Roman" w:cs="Times New Roman"/>
                <w:noProof/>
                <w:szCs w:val="20"/>
              </w:rPr>
            </w:pPr>
            <w:r>
              <w:rPr>
                <w:noProof/>
              </w:rPr>
              <w:t>Numéro</w:t>
            </w:r>
          </w:p>
        </w:tc>
        <w:tc>
          <w:tcPr>
            <w:tcW w:w="341" w:type="pct"/>
            <w:shd w:val="clear" w:color="auto" w:fill="C6EFCE"/>
          </w:tcPr>
          <w:p w14:paraId="50B4B07C" w14:textId="77777777" w:rsidR="003B5F50" w:rsidRDefault="000D2D85">
            <w:pPr>
              <w:pStyle w:val="P68B1DB1-Normal14"/>
              <w:spacing w:before="120" w:after="120" w:line="240" w:lineRule="auto"/>
              <w:rPr>
                <w:noProof/>
              </w:rPr>
            </w:pPr>
            <w:r>
              <w:rPr>
                <w:noProof/>
              </w:rPr>
              <w:t>0</w:t>
            </w:r>
          </w:p>
        </w:tc>
        <w:tc>
          <w:tcPr>
            <w:tcW w:w="243" w:type="pct"/>
            <w:shd w:val="clear" w:color="auto" w:fill="C6EFCE"/>
          </w:tcPr>
          <w:p w14:paraId="50B4B07D" w14:textId="77777777" w:rsidR="003B5F50" w:rsidRDefault="000D2D85">
            <w:pPr>
              <w:pStyle w:val="P68B1DB1-Normal14"/>
              <w:spacing w:before="120" w:after="120" w:line="240" w:lineRule="auto"/>
              <w:rPr>
                <w:noProof/>
              </w:rPr>
            </w:pPr>
            <w:r>
              <w:rPr>
                <w:noProof/>
              </w:rPr>
              <w:t>35</w:t>
            </w:r>
          </w:p>
        </w:tc>
        <w:tc>
          <w:tcPr>
            <w:tcW w:w="341" w:type="pct"/>
            <w:shd w:val="clear" w:color="auto" w:fill="C6EFCE"/>
          </w:tcPr>
          <w:p w14:paraId="50B4B07E" w14:textId="77777777" w:rsidR="003B5F50" w:rsidRDefault="000D2D85">
            <w:pPr>
              <w:pStyle w:val="P68B1DB1-Normal14"/>
              <w:spacing w:before="120" w:after="120" w:line="240" w:lineRule="auto"/>
              <w:rPr>
                <w:rFonts w:eastAsia="Times New Roman" w:cs="Times New Roman"/>
                <w:noProof/>
                <w:szCs w:val="20"/>
              </w:rPr>
            </w:pPr>
            <w:r>
              <w:rPr>
                <w:noProof/>
              </w:rPr>
              <w:t>T2</w:t>
            </w:r>
          </w:p>
        </w:tc>
        <w:tc>
          <w:tcPr>
            <w:tcW w:w="243" w:type="pct"/>
            <w:shd w:val="clear" w:color="auto" w:fill="C6EFCE"/>
          </w:tcPr>
          <w:p w14:paraId="50B4B07F" w14:textId="77777777" w:rsidR="003B5F50" w:rsidRDefault="000D2D85">
            <w:pPr>
              <w:pStyle w:val="P68B1DB1-Normal14"/>
              <w:spacing w:before="120" w:after="120" w:line="240" w:lineRule="auto"/>
              <w:rPr>
                <w:rFonts w:eastAsia="Times New Roman" w:cs="Times New Roman"/>
                <w:noProof/>
                <w:szCs w:val="20"/>
              </w:rPr>
            </w:pPr>
            <w:r>
              <w:rPr>
                <w:noProof/>
              </w:rPr>
              <w:t>2026</w:t>
            </w:r>
          </w:p>
        </w:tc>
        <w:tc>
          <w:tcPr>
            <w:tcW w:w="1069" w:type="pct"/>
            <w:shd w:val="clear" w:color="auto" w:fill="C6EFCE"/>
          </w:tcPr>
          <w:p w14:paraId="50B4B080" w14:textId="210B5CE0" w:rsidR="003B5F50" w:rsidRDefault="000D2D85">
            <w:pPr>
              <w:pStyle w:val="P68B1DB1-Normal15"/>
              <w:spacing w:before="120" w:after="120" w:line="240" w:lineRule="auto"/>
              <w:rPr>
                <w:rFonts w:eastAsia="Times New Roman" w:cs="Times New Roman"/>
                <w:noProof/>
              </w:rPr>
            </w:pPr>
            <w:r>
              <w:rPr>
                <w:noProof/>
              </w:rPr>
              <w:t xml:space="preserve">De nouveaux locaux seront construits ou des locaux existants seront reconstruits afin d'éliminer les doubles quarts de travail dans 35 écoles. </w:t>
            </w:r>
          </w:p>
          <w:p w14:paraId="50B4B081" w14:textId="51DFA10F" w:rsidR="003B5F50" w:rsidRDefault="003B5F50">
            <w:pPr>
              <w:spacing w:before="120" w:after="120" w:line="240" w:lineRule="auto"/>
              <w:rPr>
                <w:rFonts w:ascii="Times New Roman" w:eastAsia="Times New Roman" w:hAnsi="Times New Roman" w:cs="Times New Roman"/>
                <w:noProof/>
                <w:color w:val="006100"/>
                <w:sz w:val="20"/>
                <w:szCs w:val="20"/>
              </w:rPr>
            </w:pPr>
          </w:p>
        </w:tc>
      </w:tr>
    </w:tbl>
    <w:p w14:paraId="50B4B083" w14:textId="77777777" w:rsidR="003B5F50" w:rsidRDefault="003B5F50">
      <w:pPr>
        <w:rPr>
          <w:noProof/>
        </w:rPr>
      </w:pPr>
    </w:p>
    <w:p w14:paraId="50B4B084" w14:textId="77777777" w:rsidR="003B5F50" w:rsidRDefault="003B5F50">
      <w:pPr>
        <w:rPr>
          <w:noProof/>
        </w:rPr>
      </w:pPr>
    </w:p>
    <w:p w14:paraId="50B4B085" w14:textId="77777777" w:rsidR="003B5F50" w:rsidRDefault="003B5F50">
      <w:pPr>
        <w:pStyle w:val="Heading2"/>
        <w:rPr>
          <w:rFonts w:ascii="Times New Roman" w:hAnsi="Times New Roman" w:cs="Times New Roman"/>
          <w:b/>
          <w:noProof/>
          <w:sz w:val="24"/>
          <w:szCs w:val="24"/>
        </w:rPr>
        <w:sectPr w:rsidR="003B5F50" w:rsidSect="003E3DD3">
          <w:headerReference w:type="even" r:id="rId95"/>
          <w:headerReference w:type="default" r:id="rId96"/>
          <w:footerReference w:type="even" r:id="rId97"/>
          <w:footerReference w:type="default" r:id="rId98"/>
          <w:headerReference w:type="first" r:id="rId99"/>
          <w:footerReference w:type="first" r:id="rId100"/>
          <w:pgSz w:w="15840" w:h="12240" w:orient="landscape"/>
          <w:pgMar w:top="1134" w:right="1134" w:bottom="1134" w:left="1134" w:header="567" w:footer="567" w:gutter="0"/>
          <w:cols w:space="720"/>
          <w:docGrid w:linePitch="360"/>
        </w:sectPr>
      </w:pPr>
    </w:p>
    <w:p w14:paraId="50B4B086" w14:textId="77777777" w:rsidR="003B5F50" w:rsidRDefault="000D2D85">
      <w:pPr>
        <w:pStyle w:val="P68B1DB1-Heading218"/>
        <w:rPr>
          <w:noProof/>
        </w:rPr>
      </w:pPr>
      <w:r>
        <w:rPr>
          <w:noProof/>
        </w:rPr>
        <w:t>Élément 8: Améliorer les performances des universités slovaques</w:t>
      </w:r>
    </w:p>
    <w:p w14:paraId="50B4B087" w14:textId="77777777" w:rsidR="003B5F50" w:rsidRDefault="000D2D85">
      <w:pPr>
        <w:pStyle w:val="NormalWeb"/>
        <w:rPr>
          <w:noProof/>
        </w:rPr>
      </w:pPr>
      <w:r>
        <w:rPr>
          <w:noProof/>
        </w:rPr>
        <w:t xml:space="preserve">L’objectif principal de ce volet du plan slovaque pour la reprise et la résilience est d’améliorer la qualité des performances des établissements d’enseignement supérieur (EES) slovaques. La nouvelle forme de financement des programmes de licence professionnelle est introduite afin de mieux adapter les programmes d'études aux besoins du marché du travail. Afin d'améliorer la qualité de la science, une évaluation systémique des performances est établie à l'appui du nouveau système d'accréditation. Le volet renforcera la réforme de la gestion des universités en conférant davantage de pouvoirs au recteur et au conseil d’administration, ainsi qu’en mettant en place un système qui encourage les fusions de l’EES afin de réduire les coûts administratifs et de créer l’effet des retombées positives sur la diffusion des connaissances entre les entités. </w:t>
      </w:r>
    </w:p>
    <w:p w14:paraId="50B4B088" w14:textId="77777777" w:rsidR="003B5F50" w:rsidRDefault="000D2D85">
      <w:pPr>
        <w:pStyle w:val="NormalWeb"/>
        <w:rPr>
          <w:noProof/>
        </w:rPr>
      </w:pPr>
      <w:r>
        <w:rPr>
          <w:noProof/>
        </w:rPr>
        <w:t>Ce volet comprend cinq réformes et un investissement.</w:t>
      </w:r>
    </w:p>
    <w:p w14:paraId="50B4B089" w14:textId="5494AE37" w:rsidR="003B5F50" w:rsidRDefault="000D2D85">
      <w:pPr>
        <w:pStyle w:val="NormalWeb"/>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B08A" w14:textId="77777777" w:rsidR="003B5F50" w:rsidRDefault="000D2D85">
      <w:pPr>
        <w:pStyle w:val="NormalWeb"/>
        <w:tabs>
          <w:tab w:val="left" w:pos="993"/>
        </w:tabs>
        <w:rPr>
          <w:noProof/>
        </w:rPr>
      </w:pPr>
      <w:r>
        <w:rPr>
          <w:noProof/>
        </w:rPr>
        <w:t xml:space="preserve">Le volet contribuera à donner suite aux recommandations par pays adressées à la Slovaquie au cours des deux dernières années, sur la nécessité d’améliorer </w:t>
      </w:r>
      <w:r>
        <w:rPr>
          <w:i/>
          <w:noProof/>
        </w:rPr>
        <w:t xml:space="preserve">la qualité et l’inclusivité de l’éducation à tous les niveaux et de favoriser les compétences. </w:t>
      </w:r>
      <w:r>
        <w:rPr>
          <w:noProof/>
        </w:rPr>
        <w:t xml:space="preserve">(recommandation par pays no 2/2019) ainsi que pour </w:t>
      </w:r>
      <w:r>
        <w:rPr>
          <w:i/>
          <w:noProof/>
        </w:rPr>
        <w:t>garantir l’égalité d’accès à une éducation de qualité.</w:t>
      </w:r>
      <w:r>
        <w:rPr>
          <w:noProof/>
        </w:rPr>
        <w:t xml:space="preserve"> (Recommandation spécifique par pays no 2/2020).</w:t>
      </w:r>
    </w:p>
    <w:p w14:paraId="50B4B08B" w14:textId="77777777" w:rsidR="003B5F50" w:rsidRDefault="000D2D85">
      <w:pPr>
        <w:pStyle w:val="NormalWeb"/>
        <w:tabs>
          <w:tab w:val="left" w:pos="993"/>
        </w:tabs>
        <w:rPr>
          <w:noProof/>
        </w:rPr>
      </w:pPr>
      <w:r>
        <w:rPr>
          <w:noProof/>
        </w:rPr>
        <w:t>Il existe un lien étroit avec d’autres composantes, en particulier celles liées à la recherche et à l’innovation (composantes 9 et 17), à la reconversion professionnelle et à la satisfaction des besoins du marché du travail (composante 10).</w:t>
      </w:r>
    </w:p>
    <w:p w14:paraId="50B4B08C" w14:textId="77777777" w:rsidR="003B5F50" w:rsidRDefault="000D2D85">
      <w:pPr>
        <w:pStyle w:val="P68B1DB1-Normal44"/>
        <w:spacing w:before="120" w:after="120" w:line="240" w:lineRule="auto"/>
        <w:jc w:val="both"/>
        <w:rPr>
          <w:i/>
          <w:noProof/>
          <w:color w:val="4F81BD"/>
        </w:rPr>
      </w:pPr>
      <w:r>
        <w:rPr>
          <w:noProof/>
        </w:rPr>
        <w:t xml:space="preserve">A.1. </w:t>
      </w:r>
      <w:r>
        <w:rPr>
          <w:noProof/>
        </w:rPr>
        <w:tab/>
        <w:t>Description des réformes et des investissements pour le soutien financier non remboursable</w:t>
      </w:r>
    </w:p>
    <w:p w14:paraId="50B4B08D" w14:textId="77777777" w:rsidR="003B5F50" w:rsidRDefault="000D2D85">
      <w:pPr>
        <w:pStyle w:val="NormalWeb"/>
        <w:rPr>
          <w:iCs/>
          <w:noProof/>
        </w:rPr>
      </w:pPr>
      <w:r>
        <w:rPr>
          <w:b/>
          <w:noProof/>
        </w:rPr>
        <w:t>Réforme 1: Changement dans le financement des universités par l'introduction de contrats de performance.</w:t>
      </w:r>
      <w:r>
        <w:rPr>
          <w:noProof/>
        </w:rPr>
        <w:t xml:space="preserve"> Un nouvel instrument – les contrats de performance – est introduit dans le système juridique afin de soutenir le profilage et la diversification des universités en fonction de leurs atouts spécifiques et de leur potentiel de développement. Les contrats de performance doivent être signés par le ministère de l’éducation, des sciences, de la recherche et des sports de la République slovaque (MŠVVaŠ SR) avec des universités publiques. Sur la base de l’accord conclu avec les universités, des objectifs sont fixés, qui font l’objet d’un suivi au moyen de l’approche U-Multirank (méthodologie unifiée pour effectuer l’évaluation des performances) et sont fondés sur un objectif à long terme dans le domaine des universités et des besoins des pays. </w:t>
      </w:r>
    </w:p>
    <w:p w14:paraId="50B4B08E" w14:textId="77777777" w:rsidR="003B5F50" w:rsidRDefault="000D2D85">
      <w:pPr>
        <w:pStyle w:val="NormalWeb"/>
        <w:rPr>
          <w:iCs/>
          <w:noProof/>
        </w:rPr>
      </w:pPr>
      <w:r>
        <w:rPr>
          <w:noProof/>
        </w:rPr>
        <w:t>La mise en œuvre de la réforme devrait débuter au plus tard le 31 décembre 2022 et s’achever au plus tard le 31 décembre 2023.</w:t>
      </w:r>
    </w:p>
    <w:p w14:paraId="50B4B08F" w14:textId="77777777" w:rsidR="003B5F50" w:rsidRDefault="000D2D85">
      <w:pPr>
        <w:pStyle w:val="NormalWeb"/>
        <w:rPr>
          <w:noProof/>
        </w:rPr>
      </w:pPr>
      <w:r>
        <w:rPr>
          <w:b/>
          <w:noProof/>
        </w:rPr>
        <w:t>Réforme 2: Introduction d'un système d'évaluation périodique des performances scientifiques.</w:t>
      </w:r>
      <w:r>
        <w:rPr>
          <w:noProof/>
        </w:rPr>
        <w:t xml:space="preserve"> L'objectif de la réforme est d'introduire un système d'évaluation périodique des performances scientifiques des universités. Le Ministère élabore, en coopération avec les parties prenantes, une méthodologie d'évaluation des performances scientifiques et l'introduit dans le système juridique. L'évaluation des performances est organisée par le ministère, soit directement, soit par l'intermédiaire d'une institution autonome, de sorte que l'évaluation soit fondée sur les principes d'indépendance et de transparence. Le comité d'évaluation est composé d'excellents chercheurs nationaux et étrangers. L’évaluation sera fondée sur des systèmes d’évaluation de haute qualité provenant de l’étranger, le British Research Excellence Framework (REF) étant la principale source d’inspiration et utilisant des paramètres paramétriques spécifiques adaptés à la situation des institutions slovaques pour évaluer la qualité des résultats obtenus sur le terrain.</w:t>
      </w:r>
    </w:p>
    <w:p w14:paraId="50B4B090" w14:textId="77777777" w:rsidR="003B5F50" w:rsidRDefault="000D2D85">
      <w:pPr>
        <w:pStyle w:val="NormalWeb"/>
        <w:rPr>
          <w:noProof/>
        </w:rPr>
      </w:pPr>
      <w:r>
        <w:rPr>
          <w:noProof/>
        </w:rPr>
        <w:t xml:space="preserve">La mise en œuvre de la réforme est achevée au plus tard le 31 décembre 2022. </w:t>
      </w:r>
    </w:p>
    <w:p w14:paraId="50B4B091" w14:textId="77777777" w:rsidR="003B5F50" w:rsidRDefault="000D2D85">
      <w:pPr>
        <w:spacing w:before="120" w:after="120" w:line="240" w:lineRule="auto"/>
        <w:jc w:val="both"/>
        <w:rPr>
          <w:rFonts w:ascii="Times New Roman" w:hAnsi="Times New Roman"/>
          <w:noProof/>
        </w:rPr>
      </w:pPr>
      <w:r>
        <w:rPr>
          <w:rFonts w:ascii="Times New Roman" w:hAnsi="Times New Roman"/>
          <w:b/>
          <w:noProof/>
        </w:rPr>
        <w:t>Réforme 3: Une nouvelle approche de l'accréditation de l'enseignement supérieur.</w:t>
      </w:r>
      <w:r>
        <w:rPr>
          <w:rFonts w:ascii="Times New Roman" w:hAnsi="Times New Roman"/>
          <w:noProof/>
        </w:rPr>
        <w:t xml:space="preserve"> L’objectif de la réforme est de définir les nouvelles normes et les nouveaux critères d’accréditation des programmes d’études qui renforcent les conditions de garantie et de mise en œuvre des programmes d’études, améliorent leur qualité et introduisent des processus de contrôle de la qualité à long terme. Un nouveau système exige que les universités associent les étudiants, les parties prenantes externes (en particulier les employeurs) à la conception, au suivi et à l’adaptation des programmes d’études, et qu’elles suivent de près les progrès et les besoins des étudiants, l’adoption des diplômes et la satisfaction globale des étudiants.</w:t>
      </w:r>
      <w:r>
        <w:rPr>
          <w:noProof/>
        </w:rPr>
        <w:t xml:space="preserve"> </w:t>
      </w:r>
      <w:r>
        <w:rPr>
          <w:rFonts w:ascii="Times New Roman" w:hAnsi="Times New Roman"/>
          <w:noProof/>
        </w:rPr>
        <w:t xml:space="preserve">L'Agence slovaque d'accréditation pour l'enseignement supérieur (SAAVŠ) exerce un contrôle externe sur la mise en œuvre de ces règles. La SAAVŠ fait également appel aux évaluateurs et praticiens étrangers pour l'évaluation des programmes universitaires. On s'attend à ce qu'au moins 90 % des universités demandent à vérifier la conformité des systèmes internes de qualité et des programmes d'études avec les normes d'accréditation. </w:t>
      </w:r>
    </w:p>
    <w:p w14:paraId="50B4B092" w14:textId="77777777" w:rsidR="003B5F50" w:rsidRDefault="000D2D85">
      <w:pPr>
        <w:pStyle w:val="NormalWeb"/>
        <w:rPr>
          <w:noProof/>
        </w:rPr>
      </w:pPr>
      <w:r>
        <w:rPr>
          <w:noProof/>
        </w:rPr>
        <w:t xml:space="preserve">La mise en œuvre de la réforme est achevée au plus tard le 31 décembre 2022. </w:t>
      </w:r>
    </w:p>
    <w:p w14:paraId="50B4B093" w14:textId="77777777" w:rsidR="003B5F50" w:rsidRDefault="000D2D85">
      <w:pPr>
        <w:pStyle w:val="NormalWeb"/>
        <w:rPr>
          <w:noProof/>
        </w:rPr>
      </w:pPr>
      <w:r>
        <w:rPr>
          <w:b/>
          <w:noProof/>
        </w:rPr>
        <w:t>Réforme 4: Réforme de la gouvernance des universités.</w:t>
      </w:r>
      <w:r>
        <w:rPr>
          <w:noProof/>
        </w:rPr>
        <w:t xml:space="preserve"> La réforme par la modification de la loi sur l'enseignement supérieur augmentera le pouvoir du recteur et du conseil d'administration afin qu'il reflète mieux la responsabilité et permette une plus grande flexibilité au sein de l'établissement d'enseignement supérieur. La réforme supprimera également les restrictions à la nomination des conférenciers et des professeurs (exigence actuelle d'une habilitation supplémentaire ou d'une procédure inaugurale et diplômes de conférencier et de professeur), favorisant ainsi l'ouverture de l'environnement académique aux candidats professionnels et étrangers. Le recrutement de cadres universitaires (recteur, doyen de faculté) sera professionnalisé et prendra la forme de concours généraux ou d'auditions publiques. En outre, les experts peuvent participer à des concours généraux de permanence. La loi sur l'enseignement supérieur supprime la condition selon laquelle le personnel occupant des postes de professeur et de conférencier doit être titulaire d'un diplôme scientifique/pédagogique.  </w:t>
      </w:r>
    </w:p>
    <w:p w14:paraId="50B4B094" w14:textId="77777777" w:rsidR="003B5F50" w:rsidRDefault="000D2D85">
      <w:pPr>
        <w:pStyle w:val="NormalWeb"/>
        <w:rPr>
          <w:noProof/>
        </w:rPr>
      </w:pPr>
      <w:r>
        <w:rPr>
          <w:noProof/>
        </w:rPr>
        <w:t>La mise en œuvre de la réforme est achevée au plus tard le 31 décembre 2021.</w:t>
      </w:r>
    </w:p>
    <w:p w14:paraId="50B4B095" w14:textId="77777777" w:rsidR="003B5F50" w:rsidRDefault="003B5F50">
      <w:pPr>
        <w:spacing w:before="120" w:after="120" w:line="240" w:lineRule="auto"/>
        <w:jc w:val="both"/>
        <w:rPr>
          <w:rFonts w:ascii="Times New Roman" w:hAnsi="Times New Roman"/>
          <w:noProof/>
        </w:rPr>
      </w:pPr>
    </w:p>
    <w:p w14:paraId="50B4B096" w14:textId="77777777" w:rsidR="003B5F50" w:rsidRDefault="000D2D85">
      <w:pPr>
        <w:pStyle w:val="NormalWeb"/>
        <w:rPr>
          <w:noProof/>
        </w:rPr>
      </w:pPr>
      <w:r>
        <w:rPr>
          <w:b/>
          <w:noProof/>
        </w:rPr>
        <w:t>Réforme n° 5: Concentration d'excellentes capacités d'enseignement et de recherche.</w:t>
      </w:r>
      <w:r>
        <w:rPr>
          <w:noProof/>
        </w:rPr>
        <w:t xml:space="preserve"> L'objectif de cette réforme est d'accroître la coopération entre les universités. Cette mesure consiste à établir des feuilles de route et des consortiums.</w:t>
      </w:r>
    </w:p>
    <w:p w14:paraId="50B4B097" w14:textId="77777777" w:rsidR="003B5F50" w:rsidRDefault="000D2D85">
      <w:pPr>
        <w:pStyle w:val="NormalWeb"/>
        <w:rPr>
          <w:noProof/>
        </w:rPr>
      </w:pPr>
      <w:r>
        <w:rPr>
          <w:b/>
          <w:noProof/>
        </w:rPr>
        <w:t xml:space="preserve">Investissement 1: Soutien à l'investissement pour le développement stratégique des universités. </w:t>
      </w:r>
      <w:r>
        <w:rPr>
          <w:noProof/>
        </w:rPr>
        <w:t>L'objectif de cet investissement est d'investir dans l'infrastructure des universités. Cette mesure consiste à reconstruire et à rénover l'infrastructure des universités.</w:t>
      </w:r>
    </w:p>
    <w:p w14:paraId="50B4B098" w14:textId="77777777" w:rsidR="003B5F50" w:rsidRDefault="003B5F50">
      <w:pPr>
        <w:spacing w:before="120" w:after="120" w:line="240" w:lineRule="auto"/>
        <w:jc w:val="both"/>
        <w:rPr>
          <w:rFonts w:ascii="Times New Roman" w:hAnsi="Times New Roman"/>
          <w:b/>
          <w:noProof/>
          <w:u w:val="single"/>
        </w:rPr>
        <w:sectPr w:rsidR="003B5F50" w:rsidSect="003E3DD3">
          <w:headerReference w:type="even" r:id="rId101"/>
          <w:headerReference w:type="default" r:id="rId102"/>
          <w:footerReference w:type="even" r:id="rId103"/>
          <w:footerReference w:type="default" r:id="rId104"/>
          <w:headerReference w:type="first" r:id="rId105"/>
          <w:footerReference w:type="first" r:id="rId106"/>
          <w:pgSz w:w="12240" w:h="15840"/>
          <w:pgMar w:top="1134" w:right="1134" w:bottom="1134" w:left="1134" w:header="567" w:footer="567" w:gutter="0"/>
          <w:cols w:space="720"/>
          <w:docGrid w:linePitch="360"/>
        </w:sectPr>
      </w:pPr>
    </w:p>
    <w:p w14:paraId="50B4B099" w14:textId="77777777" w:rsidR="003B5F50" w:rsidRDefault="000D2D85">
      <w:pPr>
        <w:pStyle w:val="P68B1DB1-Normal44"/>
        <w:spacing w:before="120" w:after="120" w:line="240" w:lineRule="auto"/>
        <w:jc w:val="both"/>
        <w:rPr>
          <w:noProof/>
        </w:rPr>
      </w:pPr>
      <w:r>
        <w:rPr>
          <w:noProof/>
        </w:rPr>
        <w:t xml:space="preserve">A.2. </w:t>
      </w:r>
      <w:r>
        <w:rPr>
          <w:noProof/>
        </w:rPr>
        <w:tab/>
        <w:t>Étapes, cibles, indicateurs et calendrier pour le suivi et la mise en œuvre du soutien financier non remboursable</w:t>
      </w:r>
    </w:p>
    <w:p w14:paraId="50B4B09A" w14:textId="77777777" w:rsidR="003B5F50" w:rsidRDefault="003B5F50">
      <w:pPr>
        <w:spacing w:before="120" w:after="120" w:line="240" w:lineRule="auto"/>
        <w:jc w:val="both"/>
        <w:rPr>
          <w:rFonts w:ascii="Times New Roman" w:hAnsi="Times New Roman"/>
          <w:b/>
          <w:noProof/>
          <w:u w:val="single"/>
        </w:rPr>
      </w:pPr>
    </w:p>
    <w:tbl>
      <w:tblPr>
        <w:tblW w:w="552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3"/>
        <w:gridCol w:w="1651"/>
        <w:gridCol w:w="848"/>
        <w:gridCol w:w="849"/>
        <w:gridCol w:w="1997"/>
        <w:gridCol w:w="1188"/>
        <w:gridCol w:w="1038"/>
        <w:gridCol w:w="1038"/>
        <w:gridCol w:w="1119"/>
        <w:gridCol w:w="852"/>
        <w:gridCol w:w="3371"/>
      </w:tblGrid>
      <w:tr w:rsidR="003B5F50" w14:paraId="50B4B0A8" w14:textId="77777777" w:rsidTr="00F133D4">
        <w:trPr>
          <w:trHeight w:val="900"/>
          <w:tblHeader/>
        </w:trPr>
        <w:tc>
          <w:tcPr>
            <w:tcW w:w="348" w:type="pct"/>
            <w:vMerge w:val="restart"/>
            <w:shd w:val="clear" w:color="auto" w:fill="BDD7EE"/>
            <w:vAlign w:val="center"/>
          </w:tcPr>
          <w:p w14:paraId="50B4B09B" w14:textId="77777777" w:rsidR="003B5F50" w:rsidRDefault="000D2D85">
            <w:pPr>
              <w:pStyle w:val="P68B1DB1-Normal13"/>
              <w:jc w:val="center"/>
              <w:rPr>
                <w:noProof/>
                <w:szCs w:val="20"/>
              </w:rPr>
            </w:pPr>
            <w:r>
              <w:rPr>
                <w:noProof/>
              </w:rPr>
              <w:t>Seq. Num.</w:t>
            </w:r>
          </w:p>
          <w:p w14:paraId="50B4B09C" w14:textId="77777777" w:rsidR="003B5F50" w:rsidRDefault="000D2D85">
            <w:pPr>
              <w:pStyle w:val="P68B1DB1-Normal13"/>
              <w:jc w:val="center"/>
              <w:rPr>
                <w:noProof/>
                <w:szCs w:val="20"/>
              </w:rPr>
            </w:pPr>
            <w:r>
              <w:rPr>
                <w:noProof/>
              </w:rPr>
              <w:t xml:space="preserve"> </w:t>
            </w:r>
          </w:p>
        </w:tc>
        <w:tc>
          <w:tcPr>
            <w:tcW w:w="551" w:type="pct"/>
            <w:vMerge w:val="restart"/>
            <w:shd w:val="clear" w:color="auto" w:fill="BDD7EE"/>
            <w:vAlign w:val="center"/>
          </w:tcPr>
          <w:p w14:paraId="50B4B09D" w14:textId="77777777" w:rsidR="003B5F50" w:rsidRDefault="000D2D85">
            <w:pPr>
              <w:pStyle w:val="P68B1DB1-Normal13"/>
              <w:jc w:val="center"/>
              <w:rPr>
                <w:noProof/>
                <w:szCs w:val="20"/>
              </w:rPr>
            </w:pPr>
            <w:r>
              <w:rPr>
                <w:noProof/>
              </w:rPr>
              <w:t xml:space="preserve">Mesure connexe (réforme ou investissement) </w:t>
            </w:r>
          </w:p>
        </w:tc>
        <w:tc>
          <w:tcPr>
            <w:tcW w:w="283" w:type="pct"/>
            <w:vMerge w:val="restart"/>
            <w:shd w:val="clear" w:color="auto" w:fill="BDD7EE"/>
            <w:vAlign w:val="center"/>
          </w:tcPr>
          <w:p w14:paraId="50B4B09E" w14:textId="77777777" w:rsidR="003B5F50" w:rsidRDefault="000D2D85">
            <w:pPr>
              <w:pStyle w:val="P68B1DB1-Normal13"/>
              <w:jc w:val="center"/>
              <w:rPr>
                <w:noProof/>
                <w:szCs w:val="20"/>
              </w:rPr>
            </w:pPr>
            <w:r>
              <w:rPr>
                <w:noProof/>
              </w:rPr>
              <w:t>Étape/cible</w:t>
            </w:r>
          </w:p>
          <w:p w14:paraId="50B4B09F" w14:textId="77777777" w:rsidR="003B5F50" w:rsidRDefault="003B5F50">
            <w:pPr>
              <w:jc w:val="center"/>
              <w:rPr>
                <w:rFonts w:ascii="Times New Roman" w:hAnsi="Times New Roman"/>
                <w:noProof/>
                <w:sz w:val="20"/>
                <w:szCs w:val="20"/>
              </w:rPr>
            </w:pPr>
          </w:p>
        </w:tc>
        <w:tc>
          <w:tcPr>
            <w:tcW w:w="283" w:type="pct"/>
            <w:vMerge w:val="restart"/>
            <w:shd w:val="clear" w:color="auto" w:fill="BDD7EE"/>
            <w:vAlign w:val="center"/>
          </w:tcPr>
          <w:p w14:paraId="50B4B0A0" w14:textId="77777777" w:rsidR="003B5F50" w:rsidRDefault="000D2D85">
            <w:pPr>
              <w:pStyle w:val="P68B1DB1-Normal13"/>
              <w:jc w:val="center"/>
              <w:rPr>
                <w:noProof/>
                <w:szCs w:val="20"/>
              </w:rPr>
            </w:pPr>
            <w:r>
              <w:rPr>
                <w:noProof/>
              </w:rPr>
              <w:t>Nom</w:t>
            </w:r>
          </w:p>
          <w:p w14:paraId="50B4B0A1" w14:textId="77777777" w:rsidR="003B5F50" w:rsidRDefault="003B5F50">
            <w:pPr>
              <w:jc w:val="center"/>
              <w:rPr>
                <w:rFonts w:ascii="Times New Roman" w:hAnsi="Times New Roman"/>
                <w:noProof/>
                <w:sz w:val="20"/>
                <w:szCs w:val="20"/>
              </w:rPr>
            </w:pPr>
          </w:p>
        </w:tc>
        <w:tc>
          <w:tcPr>
            <w:tcW w:w="666" w:type="pct"/>
            <w:vMerge w:val="restart"/>
            <w:shd w:val="clear" w:color="auto" w:fill="BDD7EE"/>
            <w:vAlign w:val="center"/>
          </w:tcPr>
          <w:p w14:paraId="50B4B0A2" w14:textId="77777777" w:rsidR="003B5F50" w:rsidRDefault="000D2D85">
            <w:pPr>
              <w:pStyle w:val="P68B1DB1-Normal13"/>
              <w:jc w:val="center"/>
              <w:rPr>
                <w:noProof/>
                <w:szCs w:val="20"/>
              </w:rPr>
            </w:pPr>
            <w:r>
              <w:rPr>
                <w:noProof/>
              </w:rPr>
              <w:t>Indicateurs qualitatifs (pour les jalons)</w:t>
            </w:r>
          </w:p>
          <w:p w14:paraId="50B4B0A3" w14:textId="77777777" w:rsidR="003B5F50" w:rsidRDefault="003B5F50">
            <w:pPr>
              <w:jc w:val="center"/>
              <w:rPr>
                <w:rFonts w:ascii="Times New Roman" w:hAnsi="Times New Roman"/>
                <w:noProof/>
                <w:sz w:val="20"/>
                <w:szCs w:val="20"/>
              </w:rPr>
            </w:pPr>
          </w:p>
        </w:tc>
        <w:tc>
          <w:tcPr>
            <w:tcW w:w="1088" w:type="pct"/>
            <w:gridSpan w:val="3"/>
            <w:shd w:val="clear" w:color="auto" w:fill="BDD7EE"/>
            <w:vAlign w:val="center"/>
          </w:tcPr>
          <w:p w14:paraId="50B4B0A4" w14:textId="77777777" w:rsidR="003B5F50" w:rsidRDefault="000D2D85">
            <w:pPr>
              <w:pStyle w:val="P68B1DB1-Normal13"/>
              <w:jc w:val="center"/>
              <w:rPr>
                <w:noProof/>
                <w:szCs w:val="20"/>
              </w:rPr>
            </w:pPr>
            <w:r>
              <w:rPr>
                <w:noProof/>
              </w:rPr>
              <w:t>Indicateurs quantitatifs (pour les objectifs)</w:t>
            </w:r>
          </w:p>
        </w:tc>
        <w:tc>
          <w:tcPr>
            <w:tcW w:w="657" w:type="pct"/>
            <w:gridSpan w:val="2"/>
            <w:shd w:val="clear" w:color="auto" w:fill="BDD7EE"/>
            <w:vAlign w:val="center"/>
          </w:tcPr>
          <w:p w14:paraId="50B4B0A5" w14:textId="77777777" w:rsidR="003B5F50" w:rsidRDefault="000D2D85">
            <w:pPr>
              <w:pStyle w:val="P68B1DB1-Normal13"/>
              <w:jc w:val="center"/>
              <w:rPr>
                <w:noProof/>
                <w:szCs w:val="20"/>
              </w:rPr>
            </w:pPr>
            <w:r>
              <w:rPr>
                <w:noProof/>
              </w:rPr>
              <w:t xml:space="preserve">Calendrier indicatif d'achèvement </w:t>
            </w:r>
          </w:p>
        </w:tc>
        <w:tc>
          <w:tcPr>
            <w:tcW w:w="1124" w:type="pct"/>
            <w:vMerge w:val="restart"/>
            <w:shd w:val="clear" w:color="auto" w:fill="BDD7EE"/>
            <w:vAlign w:val="center"/>
          </w:tcPr>
          <w:p w14:paraId="50B4B0A6" w14:textId="77777777" w:rsidR="003B5F50" w:rsidRDefault="000D2D85">
            <w:pPr>
              <w:pStyle w:val="P68B1DB1-Normal13"/>
              <w:jc w:val="center"/>
              <w:rPr>
                <w:noProof/>
                <w:szCs w:val="20"/>
              </w:rPr>
            </w:pPr>
            <w:r>
              <w:rPr>
                <w:noProof/>
              </w:rPr>
              <w:t>Description et définition claire de chaque jalon et cible</w:t>
            </w:r>
          </w:p>
          <w:p w14:paraId="50B4B0A7" w14:textId="77777777" w:rsidR="003B5F50" w:rsidRDefault="000D2D85">
            <w:pPr>
              <w:pStyle w:val="P68B1DB1-Normal16"/>
              <w:rPr>
                <w:noProof/>
                <w:szCs w:val="20"/>
              </w:rPr>
            </w:pPr>
            <w:r>
              <w:rPr>
                <w:noProof/>
              </w:rPr>
              <w:t xml:space="preserve"> </w:t>
            </w:r>
          </w:p>
        </w:tc>
      </w:tr>
      <w:tr w:rsidR="003B5F50" w14:paraId="50B4B0B4" w14:textId="77777777" w:rsidTr="00F133D4">
        <w:trPr>
          <w:trHeight w:val="540"/>
          <w:tblHeader/>
        </w:trPr>
        <w:tc>
          <w:tcPr>
            <w:tcW w:w="348" w:type="pct"/>
            <w:vMerge/>
            <w:vAlign w:val="center"/>
          </w:tcPr>
          <w:p w14:paraId="50B4B0A9" w14:textId="77777777" w:rsidR="003B5F50" w:rsidRDefault="003B5F50">
            <w:pPr>
              <w:jc w:val="center"/>
              <w:rPr>
                <w:rFonts w:ascii="Times New Roman" w:hAnsi="Times New Roman"/>
                <w:noProof/>
                <w:sz w:val="20"/>
                <w:szCs w:val="20"/>
              </w:rPr>
            </w:pPr>
          </w:p>
        </w:tc>
        <w:tc>
          <w:tcPr>
            <w:tcW w:w="551" w:type="pct"/>
            <w:vMerge/>
            <w:vAlign w:val="center"/>
          </w:tcPr>
          <w:p w14:paraId="50B4B0AA" w14:textId="77777777" w:rsidR="003B5F50" w:rsidRDefault="003B5F50">
            <w:pPr>
              <w:jc w:val="center"/>
              <w:rPr>
                <w:rFonts w:ascii="Times New Roman" w:hAnsi="Times New Roman"/>
                <w:noProof/>
                <w:sz w:val="20"/>
                <w:szCs w:val="20"/>
              </w:rPr>
            </w:pPr>
          </w:p>
        </w:tc>
        <w:tc>
          <w:tcPr>
            <w:tcW w:w="283" w:type="pct"/>
            <w:vMerge/>
            <w:vAlign w:val="center"/>
          </w:tcPr>
          <w:p w14:paraId="50B4B0AB" w14:textId="77777777" w:rsidR="003B5F50" w:rsidRDefault="003B5F50">
            <w:pPr>
              <w:jc w:val="center"/>
              <w:rPr>
                <w:rFonts w:ascii="Times New Roman" w:hAnsi="Times New Roman"/>
                <w:noProof/>
                <w:sz w:val="20"/>
                <w:szCs w:val="20"/>
              </w:rPr>
            </w:pPr>
          </w:p>
        </w:tc>
        <w:tc>
          <w:tcPr>
            <w:tcW w:w="283" w:type="pct"/>
            <w:vMerge/>
            <w:vAlign w:val="center"/>
          </w:tcPr>
          <w:p w14:paraId="50B4B0AC" w14:textId="77777777" w:rsidR="003B5F50" w:rsidRDefault="003B5F50">
            <w:pPr>
              <w:jc w:val="center"/>
              <w:rPr>
                <w:rFonts w:ascii="Times New Roman" w:hAnsi="Times New Roman"/>
                <w:noProof/>
                <w:sz w:val="20"/>
                <w:szCs w:val="20"/>
              </w:rPr>
            </w:pPr>
          </w:p>
        </w:tc>
        <w:tc>
          <w:tcPr>
            <w:tcW w:w="666" w:type="pct"/>
            <w:vMerge/>
            <w:vAlign w:val="center"/>
          </w:tcPr>
          <w:p w14:paraId="50B4B0AD" w14:textId="77777777" w:rsidR="003B5F50" w:rsidRDefault="003B5F50">
            <w:pPr>
              <w:jc w:val="center"/>
              <w:rPr>
                <w:rFonts w:ascii="Times New Roman" w:hAnsi="Times New Roman"/>
                <w:noProof/>
                <w:sz w:val="20"/>
                <w:szCs w:val="20"/>
              </w:rPr>
            </w:pPr>
          </w:p>
        </w:tc>
        <w:tc>
          <w:tcPr>
            <w:tcW w:w="396" w:type="pct"/>
            <w:shd w:val="clear" w:color="auto" w:fill="BDD7EE"/>
            <w:vAlign w:val="center"/>
          </w:tcPr>
          <w:p w14:paraId="50B4B0AE" w14:textId="77777777" w:rsidR="003B5F50" w:rsidRDefault="000D2D85">
            <w:pPr>
              <w:pStyle w:val="P68B1DB1-Normal13"/>
              <w:jc w:val="center"/>
              <w:rPr>
                <w:noProof/>
                <w:szCs w:val="20"/>
              </w:rPr>
            </w:pPr>
            <w:r>
              <w:rPr>
                <w:noProof/>
              </w:rPr>
              <w:t>Unité de mesure</w:t>
            </w:r>
          </w:p>
        </w:tc>
        <w:tc>
          <w:tcPr>
            <w:tcW w:w="346" w:type="pct"/>
            <w:shd w:val="clear" w:color="auto" w:fill="BDD7EE"/>
            <w:vAlign w:val="center"/>
          </w:tcPr>
          <w:p w14:paraId="50B4B0AF" w14:textId="77777777" w:rsidR="003B5F50" w:rsidRDefault="000D2D85">
            <w:pPr>
              <w:pStyle w:val="P68B1DB1-Normal13"/>
              <w:jc w:val="center"/>
              <w:rPr>
                <w:noProof/>
                <w:szCs w:val="20"/>
              </w:rPr>
            </w:pPr>
            <w:r>
              <w:rPr>
                <w:noProof/>
              </w:rPr>
              <w:t>Données de référence</w:t>
            </w:r>
          </w:p>
        </w:tc>
        <w:tc>
          <w:tcPr>
            <w:tcW w:w="346" w:type="pct"/>
            <w:shd w:val="clear" w:color="auto" w:fill="BDD7EE"/>
            <w:vAlign w:val="center"/>
          </w:tcPr>
          <w:p w14:paraId="50B4B0B0" w14:textId="77777777" w:rsidR="003B5F50" w:rsidRDefault="000D2D85">
            <w:pPr>
              <w:pStyle w:val="P68B1DB1-Normal13"/>
              <w:jc w:val="center"/>
              <w:rPr>
                <w:noProof/>
                <w:szCs w:val="20"/>
              </w:rPr>
            </w:pPr>
            <w:r>
              <w:rPr>
                <w:noProof/>
              </w:rPr>
              <w:t xml:space="preserve">Objectif </w:t>
            </w:r>
          </w:p>
        </w:tc>
        <w:tc>
          <w:tcPr>
            <w:tcW w:w="373" w:type="pct"/>
            <w:shd w:val="clear" w:color="auto" w:fill="BDD7EE"/>
            <w:vAlign w:val="center"/>
          </w:tcPr>
          <w:p w14:paraId="50B4B0B1" w14:textId="77777777" w:rsidR="003B5F50" w:rsidRDefault="000D2D85">
            <w:pPr>
              <w:pStyle w:val="P68B1DB1-Normal13"/>
              <w:jc w:val="center"/>
              <w:rPr>
                <w:noProof/>
                <w:szCs w:val="20"/>
              </w:rPr>
            </w:pPr>
            <w:r>
              <w:rPr>
                <w:noProof/>
              </w:rPr>
              <w:t>Trimestre</w:t>
            </w:r>
          </w:p>
        </w:tc>
        <w:tc>
          <w:tcPr>
            <w:tcW w:w="283" w:type="pct"/>
            <w:shd w:val="clear" w:color="auto" w:fill="BDD7EE"/>
            <w:vAlign w:val="center"/>
          </w:tcPr>
          <w:p w14:paraId="50B4B0B2" w14:textId="77777777" w:rsidR="003B5F50" w:rsidRDefault="000D2D85">
            <w:pPr>
              <w:pStyle w:val="P68B1DB1-Normal13"/>
              <w:jc w:val="center"/>
              <w:rPr>
                <w:noProof/>
                <w:szCs w:val="20"/>
              </w:rPr>
            </w:pPr>
            <w:r>
              <w:rPr>
                <w:noProof/>
              </w:rPr>
              <w:t>Année</w:t>
            </w:r>
          </w:p>
        </w:tc>
        <w:tc>
          <w:tcPr>
            <w:tcW w:w="1124" w:type="pct"/>
            <w:vMerge/>
            <w:vAlign w:val="center"/>
          </w:tcPr>
          <w:p w14:paraId="50B4B0B3" w14:textId="77777777" w:rsidR="003B5F50" w:rsidRDefault="003B5F50">
            <w:pPr>
              <w:rPr>
                <w:rFonts w:ascii="Times New Roman" w:hAnsi="Times New Roman"/>
                <w:noProof/>
                <w:sz w:val="20"/>
                <w:szCs w:val="20"/>
              </w:rPr>
            </w:pPr>
          </w:p>
        </w:tc>
      </w:tr>
      <w:tr w:rsidR="003B5F50" w14:paraId="50B4B0C0" w14:textId="77777777" w:rsidTr="00F133D4">
        <w:trPr>
          <w:trHeight w:val="825"/>
        </w:trPr>
        <w:tc>
          <w:tcPr>
            <w:tcW w:w="348" w:type="pct"/>
            <w:shd w:val="clear" w:color="auto" w:fill="C6EFCE"/>
          </w:tcPr>
          <w:p w14:paraId="50B4B0B5" w14:textId="77777777" w:rsidR="003B5F50" w:rsidRDefault="000D2D85">
            <w:pPr>
              <w:pStyle w:val="P68B1DB1-Normal14"/>
              <w:jc w:val="center"/>
              <w:rPr>
                <w:noProof/>
                <w:szCs w:val="20"/>
              </w:rPr>
            </w:pPr>
            <w:r>
              <w:rPr>
                <w:noProof/>
              </w:rPr>
              <w:t>1</w:t>
            </w:r>
          </w:p>
        </w:tc>
        <w:tc>
          <w:tcPr>
            <w:tcW w:w="551" w:type="pct"/>
            <w:shd w:val="clear" w:color="auto" w:fill="C6EFCE"/>
          </w:tcPr>
          <w:p w14:paraId="50B4B0B6" w14:textId="77777777" w:rsidR="003B5F50" w:rsidRDefault="000D2D85">
            <w:pPr>
              <w:pStyle w:val="P68B1DB1-Normal14"/>
              <w:rPr>
                <w:noProof/>
                <w:szCs w:val="20"/>
              </w:rPr>
            </w:pPr>
            <w:r>
              <w:rPr>
                <w:noProof/>
              </w:rPr>
              <w:t>8 – Augmentation des performances des établissements d’enseignement supérieur slovaques – Réforme 1: Modification du financement des universités, y compris l’introduction de contrats de performance</w:t>
            </w:r>
          </w:p>
        </w:tc>
        <w:tc>
          <w:tcPr>
            <w:tcW w:w="283" w:type="pct"/>
            <w:shd w:val="clear" w:color="auto" w:fill="C6EFCE"/>
          </w:tcPr>
          <w:p w14:paraId="50B4B0B7" w14:textId="77777777" w:rsidR="003B5F50" w:rsidRDefault="000D2D85">
            <w:pPr>
              <w:pStyle w:val="P68B1DB1-Normal14"/>
              <w:rPr>
                <w:noProof/>
                <w:szCs w:val="20"/>
              </w:rPr>
            </w:pPr>
            <w:r>
              <w:rPr>
                <w:noProof/>
              </w:rPr>
              <w:t>Étape</w:t>
            </w:r>
          </w:p>
        </w:tc>
        <w:tc>
          <w:tcPr>
            <w:tcW w:w="283" w:type="pct"/>
            <w:shd w:val="clear" w:color="auto" w:fill="C6EFCE"/>
          </w:tcPr>
          <w:p w14:paraId="50B4B0B8" w14:textId="77777777" w:rsidR="003B5F50" w:rsidRDefault="000D2D85">
            <w:pPr>
              <w:pStyle w:val="P68B1DB1-Normal14"/>
              <w:rPr>
                <w:noProof/>
                <w:szCs w:val="20"/>
              </w:rPr>
            </w:pPr>
            <w:r>
              <w:rPr>
                <w:noProof/>
              </w:rPr>
              <w:t>Introduction de contrats de performance</w:t>
            </w:r>
          </w:p>
        </w:tc>
        <w:tc>
          <w:tcPr>
            <w:tcW w:w="666" w:type="pct"/>
            <w:shd w:val="clear" w:color="auto" w:fill="C6EFCE"/>
          </w:tcPr>
          <w:p w14:paraId="50B4B0B9" w14:textId="77777777" w:rsidR="003B5F50" w:rsidRDefault="000D2D85">
            <w:pPr>
              <w:pStyle w:val="P68B1DB1-Normal14"/>
              <w:rPr>
                <w:noProof/>
                <w:szCs w:val="20"/>
              </w:rPr>
            </w:pPr>
            <w:r>
              <w:rPr>
                <w:noProof/>
              </w:rPr>
              <w:t>Conclusion de l’accord global entre le ministère de l’éducation, des sciences, de la recherche et des sports de la République slovaque (MŠVVaŠ SR) et les universités</w:t>
            </w:r>
          </w:p>
        </w:tc>
        <w:tc>
          <w:tcPr>
            <w:tcW w:w="396" w:type="pct"/>
            <w:shd w:val="clear" w:color="auto" w:fill="C6EFCE"/>
          </w:tcPr>
          <w:p w14:paraId="50B4B0BA" w14:textId="77777777" w:rsidR="003B5F50" w:rsidRDefault="000D2D85">
            <w:pPr>
              <w:pStyle w:val="P68B1DB1-Normal14"/>
              <w:rPr>
                <w:noProof/>
                <w:szCs w:val="20"/>
              </w:rPr>
            </w:pPr>
            <w:r>
              <w:rPr>
                <w:noProof/>
              </w:rPr>
              <w:t xml:space="preserve"> </w:t>
            </w:r>
          </w:p>
        </w:tc>
        <w:tc>
          <w:tcPr>
            <w:tcW w:w="346" w:type="pct"/>
            <w:shd w:val="clear" w:color="auto" w:fill="C6EFCE"/>
          </w:tcPr>
          <w:p w14:paraId="50B4B0BB" w14:textId="77777777" w:rsidR="003B5F50" w:rsidRDefault="000D2D85">
            <w:pPr>
              <w:pStyle w:val="P68B1DB1-Normal14"/>
              <w:rPr>
                <w:noProof/>
                <w:szCs w:val="20"/>
              </w:rPr>
            </w:pPr>
            <w:r>
              <w:rPr>
                <w:noProof/>
              </w:rPr>
              <w:t xml:space="preserve"> </w:t>
            </w:r>
          </w:p>
        </w:tc>
        <w:tc>
          <w:tcPr>
            <w:tcW w:w="346" w:type="pct"/>
            <w:shd w:val="clear" w:color="auto" w:fill="C6EFCE"/>
          </w:tcPr>
          <w:p w14:paraId="50B4B0BC" w14:textId="77777777" w:rsidR="003B5F50" w:rsidRDefault="000D2D85">
            <w:pPr>
              <w:pStyle w:val="P68B1DB1-Normal14"/>
              <w:rPr>
                <w:noProof/>
                <w:szCs w:val="20"/>
              </w:rPr>
            </w:pPr>
            <w:r>
              <w:rPr>
                <w:noProof/>
              </w:rPr>
              <w:t xml:space="preserve"> </w:t>
            </w:r>
          </w:p>
        </w:tc>
        <w:tc>
          <w:tcPr>
            <w:tcW w:w="373" w:type="pct"/>
            <w:shd w:val="clear" w:color="auto" w:fill="C6EFCE"/>
          </w:tcPr>
          <w:p w14:paraId="50B4B0BD" w14:textId="77777777" w:rsidR="003B5F50" w:rsidRDefault="000D2D85">
            <w:pPr>
              <w:pStyle w:val="P68B1DB1-Normal14"/>
              <w:jc w:val="center"/>
              <w:rPr>
                <w:noProof/>
                <w:szCs w:val="20"/>
              </w:rPr>
            </w:pPr>
            <w:r>
              <w:rPr>
                <w:noProof/>
              </w:rPr>
              <w:t>T4</w:t>
            </w:r>
          </w:p>
        </w:tc>
        <w:tc>
          <w:tcPr>
            <w:tcW w:w="283" w:type="pct"/>
            <w:shd w:val="clear" w:color="auto" w:fill="C6EFCE"/>
          </w:tcPr>
          <w:p w14:paraId="50B4B0BE" w14:textId="77777777" w:rsidR="003B5F50" w:rsidRDefault="000D2D85">
            <w:pPr>
              <w:pStyle w:val="P68B1DB1-Normal14"/>
              <w:jc w:val="center"/>
              <w:rPr>
                <w:noProof/>
                <w:szCs w:val="20"/>
              </w:rPr>
            </w:pPr>
            <w:r>
              <w:rPr>
                <w:noProof/>
              </w:rPr>
              <w:t>2022</w:t>
            </w:r>
          </w:p>
        </w:tc>
        <w:tc>
          <w:tcPr>
            <w:tcW w:w="1124" w:type="pct"/>
            <w:shd w:val="clear" w:color="auto" w:fill="C6EFCE"/>
          </w:tcPr>
          <w:p w14:paraId="50B4B0BF" w14:textId="77777777" w:rsidR="003B5F50" w:rsidRDefault="000D2D85">
            <w:pPr>
              <w:pStyle w:val="P68B1DB1-Normal14"/>
              <w:rPr>
                <w:noProof/>
                <w:szCs w:val="20"/>
              </w:rPr>
            </w:pPr>
            <w:r>
              <w:rPr>
                <w:noProof/>
              </w:rPr>
              <w:t>Les contrats de performance soutiennent le profilage et la diversification des universités en fonction de leurs atouts, de leur potentiel de développement, de la réduction du nombre de programmes d’études et de la concentration des ressources. L’objectif est, entre autres, d’augmenter la part des programmes de baccalauréat à orientation professionnelle dans l’enseignement supérieur public de 4 % à 10 % au quatrième trimestre 2025.</w:t>
            </w:r>
          </w:p>
        </w:tc>
      </w:tr>
      <w:tr w:rsidR="003B5F50" w14:paraId="50B4B0CC" w14:textId="77777777" w:rsidTr="00F133D4">
        <w:trPr>
          <w:trHeight w:val="1230"/>
        </w:trPr>
        <w:tc>
          <w:tcPr>
            <w:tcW w:w="348" w:type="pct"/>
            <w:shd w:val="clear" w:color="auto" w:fill="C6EFCE"/>
          </w:tcPr>
          <w:p w14:paraId="50B4B0C1" w14:textId="77777777" w:rsidR="003B5F50" w:rsidRDefault="000D2D85">
            <w:pPr>
              <w:pStyle w:val="P68B1DB1-Normal14"/>
              <w:jc w:val="center"/>
              <w:rPr>
                <w:noProof/>
                <w:szCs w:val="20"/>
              </w:rPr>
            </w:pPr>
            <w:r>
              <w:rPr>
                <w:noProof/>
              </w:rPr>
              <w:t>2</w:t>
            </w:r>
          </w:p>
        </w:tc>
        <w:tc>
          <w:tcPr>
            <w:tcW w:w="551" w:type="pct"/>
            <w:shd w:val="clear" w:color="auto" w:fill="C6EFCE"/>
          </w:tcPr>
          <w:p w14:paraId="50B4B0C2" w14:textId="77777777" w:rsidR="003B5F50" w:rsidRDefault="000D2D85">
            <w:pPr>
              <w:pStyle w:val="P68B1DB1-Normal14"/>
              <w:rPr>
                <w:noProof/>
                <w:szCs w:val="20"/>
              </w:rPr>
            </w:pPr>
            <w:r>
              <w:rPr>
                <w:noProof/>
              </w:rPr>
              <w:t>8 – Augmentation des performances des établissements d’enseignement supérieur slovaques – Réforme 1: Modification du financement des universités, y compris l’introduction de contrats de performance</w:t>
            </w:r>
          </w:p>
        </w:tc>
        <w:tc>
          <w:tcPr>
            <w:tcW w:w="283" w:type="pct"/>
            <w:shd w:val="clear" w:color="auto" w:fill="C6EFCE"/>
          </w:tcPr>
          <w:p w14:paraId="50B4B0C3" w14:textId="77777777" w:rsidR="003B5F50" w:rsidRDefault="000D2D85">
            <w:pPr>
              <w:pStyle w:val="P68B1DB1-Normal14"/>
              <w:rPr>
                <w:noProof/>
                <w:szCs w:val="20"/>
              </w:rPr>
            </w:pPr>
            <w:r>
              <w:rPr>
                <w:noProof/>
              </w:rPr>
              <w:t>Objectif</w:t>
            </w:r>
          </w:p>
        </w:tc>
        <w:tc>
          <w:tcPr>
            <w:tcW w:w="283" w:type="pct"/>
            <w:shd w:val="clear" w:color="auto" w:fill="C6EFCE"/>
          </w:tcPr>
          <w:p w14:paraId="50B4B0C4" w14:textId="77777777" w:rsidR="003B5F50" w:rsidRDefault="000D2D85">
            <w:pPr>
              <w:pStyle w:val="P68B1DB1-Normal14"/>
              <w:rPr>
                <w:noProof/>
                <w:szCs w:val="20"/>
              </w:rPr>
            </w:pPr>
            <w:r>
              <w:rPr>
                <w:noProof/>
              </w:rPr>
              <w:t xml:space="preserve">Contrats de performance signés avec des universités publiques (en pourcentage) </w:t>
            </w:r>
          </w:p>
        </w:tc>
        <w:tc>
          <w:tcPr>
            <w:tcW w:w="666" w:type="pct"/>
            <w:shd w:val="clear" w:color="auto" w:fill="C6EFCE"/>
          </w:tcPr>
          <w:p w14:paraId="50B4B0C5" w14:textId="77777777" w:rsidR="003B5F50" w:rsidRDefault="000D2D85">
            <w:pPr>
              <w:pStyle w:val="P68B1DB1-Normal14"/>
              <w:rPr>
                <w:noProof/>
                <w:szCs w:val="20"/>
              </w:rPr>
            </w:pPr>
            <w:r>
              <w:rPr>
                <w:noProof/>
              </w:rPr>
              <w:t>Sans objet</w:t>
            </w:r>
          </w:p>
        </w:tc>
        <w:tc>
          <w:tcPr>
            <w:tcW w:w="396" w:type="pct"/>
            <w:shd w:val="clear" w:color="auto" w:fill="C6EFCE"/>
          </w:tcPr>
          <w:p w14:paraId="50B4B0C6" w14:textId="77777777" w:rsidR="003B5F50" w:rsidRDefault="000D2D85">
            <w:pPr>
              <w:pStyle w:val="P68B1DB1-Normal14"/>
              <w:rPr>
                <w:noProof/>
                <w:szCs w:val="20"/>
              </w:rPr>
            </w:pPr>
            <w:r>
              <w:rPr>
                <w:noProof/>
              </w:rPr>
              <w:t xml:space="preserve">% </w:t>
            </w:r>
          </w:p>
        </w:tc>
        <w:tc>
          <w:tcPr>
            <w:tcW w:w="346" w:type="pct"/>
            <w:shd w:val="clear" w:color="auto" w:fill="C6EFCE"/>
          </w:tcPr>
          <w:p w14:paraId="50B4B0C7" w14:textId="77777777" w:rsidR="003B5F50" w:rsidRDefault="000D2D85">
            <w:pPr>
              <w:pStyle w:val="P68B1DB1-Normal14"/>
              <w:jc w:val="right"/>
              <w:rPr>
                <w:noProof/>
                <w:szCs w:val="20"/>
              </w:rPr>
            </w:pPr>
            <w:r>
              <w:rPr>
                <w:noProof/>
              </w:rPr>
              <w:t>0</w:t>
            </w:r>
          </w:p>
        </w:tc>
        <w:tc>
          <w:tcPr>
            <w:tcW w:w="346" w:type="pct"/>
            <w:shd w:val="clear" w:color="auto" w:fill="C6EFCE"/>
          </w:tcPr>
          <w:p w14:paraId="50B4B0C8" w14:textId="77777777" w:rsidR="003B5F50" w:rsidRDefault="000D2D85">
            <w:pPr>
              <w:pStyle w:val="P68B1DB1-Normal14"/>
              <w:jc w:val="right"/>
              <w:rPr>
                <w:noProof/>
                <w:szCs w:val="20"/>
              </w:rPr>
            </w:pPr>
            <w:r>
              <w:rPr>
                <w:noProof/>
              </w:rPr>
              <w:t>90</w:t>
            </w:r>
          </w:p>
        </w:tc>
        <w:tc>
          <w:tcPr>
            <w:tcW w:w="373" w:type="pct"/>
            <w:shd w:val="clear" w:color="auto" w:fill="C6EFCE"/>
          </w:tcPr>
          <w:p w14:paraId="50B4B0C9" w14:textId="77777777" w:rsidR="003B5F50" w:rsidRDefault="000D2D85">
            <w:pPr>
              <w:pStyle w:val="P68B1DB1-Normal14"/>
              <w:jc w:val="center"/>
              <w:rPr>
                <w:noProof/>
                <w:szCs w:val="20"/>
              </w:rPr>
            </w:pPr>
            <w:r>
              <w:rPr>
                <w:noProof/>
              </w:rPr>
              <w:t>T4</w:t>
            </w:r>
          </w:p>
        </w:tc>
        <w:tc>
          <w:tcPr>
            <w:tcW w:w="283" w:type="pct"/>
            <w:shd w:val="clear" w:color="auto" w:fill="C6EFCE"/>
          </w:tcPr>
          <w:p w14:paraId="50B4B0CA" w14:textId="77777777" w:rsidR="003B5F50" w:rsidRDefault="000D2D85">
            <w:pPr>
              <w:pStyle w:val="P68B1DB1-Normal14"/>
              <w:jc w:val="center"/>
              <w:rPr>
                <w:noProof/>
                <w:szCs w:val="20"/>
              </w:rPr>
            </w:pPr>
            <w:r>
              <w:rPr>
                <w:noProof/>
              </w:rPr>
              <w:t>2023</w:t>
            </w:r>
          </w:p>
        </w:tc>
        <w:tc>
          <w:tcPr>
            <w:tcW w:w="1124" w:type="pct"/>
            <w:shd w:val="clear" w:color="auto" w:fill="C6EFCE"/>
          </w:tcPr>
          <w:p w14:paraId="50B4B0CB" w14:textId="77777777" w:rsidR="003B5F50" w:rsidRDefault="000D2D85">
            <w:pPr>
              <w:pStyle w:val="P68B1DB1-Normal14"/>
              <w:rPr>
                <w:noProof/>
                <w:szCs w:val="20"/>
              </w:rPr>
            </w:pPr>
            <w:r>
              <w:rPr>
                <w:noProof/>
              </w:rPr>
              <w:t xml:space="preserve">Au moins 90 % des contrats de performance ont été signés. </w:t>
            </w:r>
          </w:p>
        </w:tc>
      </w:tr>
      <w:tr w:rsidR="003B5F50" w14:paraId="50B4B0D9" w14:textId="77777777" w:rsidTr="00F133D4">
        <w:trPr>
          <w:trHeight w:val="1455"/>
        </w:trPr>
        <w:tc>
          <w:tcPr>
            <w:tcW w:w="348" w:type="pct"/>
            <w:shd w:val="clear" w:color="auto" w:fill="C6EFCE"/>
          </w:tcPr>
          <w:p w14:paraId="50B4B0CD" w14:textId="77777777" w:rsidR="003B5F50" w:rsidRDefault="000D2D85">
            <w:pPr>
              <w:pStyle w:val="P68B1DB1-Normal14"/>
              <w:jc w:val="center"/>
              <w:rPr>
                <w:noProof/>
                <w:szCs w:val="20"/>
              </w:rPr>
            </w:pPr>
            <w:r>
              <w:rPr>
                <w:noProof/>
              </w:rPr>
              <w:t>3</w:t>
            </w:r>
          </w:p>
        </w:tc>
        <w:tc>
          <w:tcPr>
            <w:tcW w:w="551" w:type="pct"/>
            <w:shd w:val="clear" w:color="auto" w:fill="C6EFCE"/>
          </w:tcPr>
          <w:p w14:paraId="50B4B0CE" w14:textId="77777777" w:rsidR="003B5F50" w:rsidRDefault="000D2D85">
            <w:pPr>
              <w:pStyle w:val="P68B1DB1-Normal14"/>
              <w:rPr>
                <w:noProof/>
                <w:szCs w:val="20"/>
              </w:rPr>
            </w:pPr>
            <w:r>
              <w:rPr>
                <w:noProof/>
              </w:rPr>
              <w:t>8 – Augmentation des performances des établissements d’enseignement supérieur slovaques – Réforme 2: Introduction d’un système d’évaluation périodique des performances scientifiques</w:t>
            </w:r>
          </w:p>
        </w:tc>
        <w:tc>
          <w:tcPr>
            <w:tcW w:w="283" w:type="pct"/>
            <w:shd w:val="clear" w:color="auto" w:fill="C6EFCE"/>
          </w:tcPr>
          <w:p w14:paraId="50B4B0CF" w14:textId="77777777" w:rsidR="003B5F50" w:rsidRDefault="000D2D85">
            <w:pPr>
              <w:pStyle w:val="P68B1DB1-Normal14"/>
              <w:rPr>
                <w:noProof/>
                <w:szCs w:val="20"/>
              </w:rPr>
            </w:pPr>
            <w:r>
              <w:rPr>
                <w:noProof/>
              </w:rPr>
              <w:t>Étape</w:t>
            </w:r>
          </w:p>
        </w:tc>
        <w:tc>
          <w:tcPr>
            <w:tcW w:w="283" w:type="pct"/>
            <w:shd w:val="clear" w:color="auto" w:fill="C6EFCE"/>
          </w:tcPr>
          <w:p w14:paraId="50B4B0D0" w14:textId="77777777" w:rsidR="003B5F50" w:rsidRDefault="000D2D85">
            <w:pPr>
              <w:pStyle w:val="P68B1DB1-Normal14"/>
              <w:rPr>
                <w:noProof/>
                <w:szCs w:val="20"/>
              </w:rPr>
            </w:pPr>
            <w:r>
              <w:rPr>
                <w:noProof/>
              </w:rPr>
              <w:t>Définition du système d’évaluation périodique des performances scientifiques introduit par la loi no 172/2005</w:t>
            </w:r>
          </w:p>
        </w:tc>
        <w:tc>
          <w:tcPr>
            <w:tcW w:w="666" w:type="pct"/>
            <w:shd w:val="clear" w:color="auto" w:fill="C6EFCE"/>
          </w:tcPr>
          <w:p w14:paraId="50B4B0D1" w14:textId="77777777" w:rsidR="003B5F50" w:rsidRDefault="000D2D85">
            <w:pPr>
              <w:pStyle w:val="P68B1DB1-Normal16"/>
              <w:rPr>
                <w:noProof/>
                <w:szCs w:val="20"/>
              </w:rPr>
            </w:pPr>
            <w:r>
              <w:rPr>
                <w:noProof/>
                <w:color w:val="006100"/>
              </w:rPr>
              <w:t>Entrée en vigueur de la loi no 172/2005</w:t>
            </w:r>
            <w:r>
              <w:rPr>
                <w:noProof/>
              </w:rPr>
              <w:t xml:space="preserve"> </w:t>
            </w:r>
            <w:r>
              <w:rPr>
                <w:noProof/>
                <w:color w:val="006100"/>
              </w:rPr>
              <w:t>relative à l’évaluation des performances scientifiques et à la méthodologie pour l’évaluation périodique des performances scientifiques</w:t>
            </w:r>
          </w:p>
        </w:tc>
        <w:tc>
          <w:tcPr>
            <w:tcW w:w="396" w:type="pct"/>
            <w:shd w:val="clear" w:color="auto" w:fill="C6EFCE"/>
          </w:tcPr>
          <w:p w14:paraId="50B4B0D2" w14:textId="77777777" w:rsidR="003B5F50" w:rsidRDefault="000D2D85">
            <w:pPr>
              <w:pStyle w:val="P68B1DB1-Normal14"/>
              <w:rPr>
                <w:noProof/>
                <w:szCs w:val="20"/>
              </w:rPr>
            </w:pPr>
            <w:r>
              <w:rPr>
                <w:noProof/>
              </w:rPr>
              <w:t xml:space="preserve"> </w:t>
            </w:r>
          </w:p>
        </w:tc>
        <w:tc>
          <w:tcPr>
            <w:tcW w:w="346" w:type="pct"/>
            <w:shd w:val="clear" w:color="auto" w:fill="C6EFCE"/>
          </w:tcPr>
          <w:p w14:paraId="50B4B0D3" w14:textId="77777777" w:rsidR="003B5F50" w:rsidRDefault="000D2D85">
            <w:pPr>
              <w:pStyle w:val="P68B1DB1-Normal14"/>
              <w:rPr>
                <w:noProof/>
                <w:szCs w:val="20"/>
              </w:rPr>
            </w:pPr>
            <w:r>
              <w:rPr>
                <w:noProof/>
              </w:rPr>
              <w:t xml:space="preserve"> </w:t>
            </w:r>
          </w:p>
        </w:tc>
        <w:tc>
          <w:tcPr>
            <w:tcW w:w="346" w:type="pct"/>
            <w:shd w:val="clear" w:color="auto" w:fill="C6EFCE"/>
          </w:tcPr>
          <w:p w14:paraId="50B4B0D4" w14:textId="77777777" w:rsidR="003B5F50" w:rsidRDefault="000D2D85">
            <w:pPr>
              <w:pStyle w:val="P68B1DB1-Normal14"/>
              <w:rPr>
                <w:noProof/>
                <w:szCs w:val="20"/>
              </w:rPr>
            </w:pPr>
            <w:r>
              <w:rPr>
                <w:noProof/>
              </w:rPr>
              <w:t xml:space="preserve"> </w:t>
            </w:r>
          </w:p>
        </w:tc>
        <w:tc>
          <w:tcPr>
            <w:tcW w:w="373" w:type="pct"/>
            <w:shd w:val="clear" w:color="auto" w:fill="C6EFCE"/>
          </w:tcPr>
          <w:p w14:paraId="50B4B0D5" w14:textId="77777777" w:rsidR="003B5F50" w:rsidRDefault="000D2D85">
            <w:pPr>
              <w:pStyle w:val="P68B1DB1-Normal14"/>
              <w:jc w:val="center"/>
              <w:rPr>
                <w:noProof/>
                <w:szCs w:val="20"/>
              </w:rPr>
            </w:pPr>
            <w:r>
              <w:rPr>
                <w:noProof/>
              </w:rPr>
              <w:t>T1</w:t>
            </w:r>
          </w:p>
        </w:tc>
        <w:tc>
          <w:tcPr>
            <w:tcW w:w="283" w:type="pct"/>
            <w:shd w:val="clear" w:color="auto" w:fill="C6EFCE"/>
          </w:tcPr>
          <w:p w14:paraId="50B4B0D6" w14:textId="77777777" w:rsidR="003B5F50" w:rsidRDefault="000D2D85">
            <w:pPr>
              <w:pStyle w:val="P68B1DB1-Normal14"/>
              <w:jc w:val="center"/>
              <w:rPr>
                <w:noProof/>
                <w:szCs w:val="20"/>
              </w:rPr>
            </w:pPr>
            <w:r>
              <w:rPr>
                <w:noProof/>
              </w:rPr>
              <w:t>2022</w:t>
            </w:r>
          </w:p>
        </w:tc>
        <w:tc>
          <w:tcPr>
            <w:tcW w:w="1124" w:type="pct"/>
            <w:shd w:val="clear" w:color="auto" w:fill="C6EFCE"/>
          </w:tcPr>
          <w:p w14:paraId="50B4B0D7" w14:textId="77777777" w:rsidR="003B5F50" w:rsidRDefault="000D2D85">
            <w:pPr>
              <w:pStyle w:val="P68B1DB1-Normal14"/>
              <w:rPr>
                <w:noProof/>
                <w:szCs w:val="20"/>
              </w:rPr>
            </w:pPr>
            <w:r>
              <w:rPr>
                <w:noProof/>
              </w:rPr>
              <w:t xml:space="preserve">Un système d'évaluation périodique des performances scientifiques des universités, avec la participation d'évaluateurs internationaux, est mis en place pour assurer la diversification des universités en ce qui concerne la qualité de leurs performances scientifiques dans des domaines individuels et l'identification d'excellentes équipes de recherche dans des universités individuelles. </w:t>
            </w:r>
          </w:p>
          <w:p w14:paraId="50B4B0D8" w14:textId="77777777" w:rsidR="003B5F50" w:rsidRDefault="000D2D85">
            <w:pPr>
              <w:pStyle w:val="P68B1DB1-Normal14"/>
              <w:rPr>
                <w:noProof/>
                <w:szCs w:val="20"/>
              </w:rPr>
            </w:pPr>
            <w:r>
              <w:rPr>
                <w:noProof/>
              </w:rPr>
              <w:t>L'évaluation sera donc unique pour les universités, mais aussi pour d'autres institutions de recherche (SAV, autres institutions de recherche non commerciales et privées).</w:t>
            </w:r>
          </w:p>
        </w:tc>
      </w:tr>
      <w:tr w:rsidR="003B5F50" w14:paraId="50B4B0E5" w14:textId="77777777" w:rsidTr="00F133D4">
        <w:trPr>
          <w:trHeight w:val="510"/>
        </w:trPr>
        <w:tc>
          <w:tcPr>
            <w:tcW w:w="348" w:type="pct"/>
            <w:shd w:val="clear" w:color="auto" w:fill="C6EFCE"/>
          </w:tcPr>
          <w:p w14:paraId="50B4B0DA" w14:textId="77777777" w:rsidR="003B5F50" w:rsidRDefault="000D2D85">
            <w:pPr>
              <w:pStyle w:val="P68B1DB1-Normal14"/>
              <w:jc w:val="center"/>
              <w:rPr>
                <w:noProof/>
                <w:szCs w:val="20"/>
              </w:rPr>
            </w:pPr>
            <w:r>
              <w:rPr>
                <w:noProof/>
              </w:rPr>
              <w:t>4</w:t>
            </w:r>
          </w:p>
        </w:tc>
        <w:tc>
          <w:tcPr>
            <w:tcW w:w="551" w:type="pct"/>
            <w:shd w:val="clear" w:color="auto" w:fill="C6EFCE"/>
          </w:tcPr>
          <w:p w14:paraId="50B4B0DB" w14:textId="77777777" w:rsidR="003B5F50" w:rsidRDefault="000D2D85">
            <w:pPr>
              <w:pStyle w:val="P68B1DB1-Normal14"/>
              <w:rPr>
                <w:noProof/>
                <w:szCs w:val="20"/>
              </w:rPr>
            </w:pPr>
            <w:r>
              <w:rPr>
                <w:noProof/>
              </w:rPr>
              <w:t>8 – Augmentation des performances des établissements d’enseignement supérieur slovaques – Réforme 2: Introduction d’un système d’évaluation périodique des performances scientifiques</w:t>
            </w:r>
          </w:p>
        </w:tc>
        <w:tc>
          <w:tcPr>
            <w:tcW w:w="283" w:type="pct"/>
            <w:shd w:val="clear" w:color="auto" w:fill="C6EFCE"/>
          </w:tcPr>
          <w:p w14:paraId="50B4B0DC" w14:textId="77777777" w:rsidR="003B5F50" w:rsidRDefault="000D2D85">
            <w:pPr>
              <w:pStyle w:val="P68B1DB1-Normal14"/>
              <w:rPr>
                <w:rFonts w:eastAsia="Calibri" w:cs="Times New Roman"/>
                <w:noProof/>
              </w:rPr>
            </w:pPr>
            <w:r>
              <w:rPr>
                <w:noProof/>
              </w:rPr>
              <w:t>Objectif</w:t>
            </w:r>
          </w:p>
        </w:tc>
        <w:tc>
          <w:tcPr>
            <w:tcW w:w="283" w:type="pct"/>
            <w:shd w:val="clear" w:color="auto" w:fill="C6EFCE"/>
          </w:tcPr>
          <w:p w14:paraId="50B4B0DD" w14:textId="157D3FEB" w:rsidR="003B5F50" w:rsidRDefault="000D2D85">
            <w:pPr>
              <w:pStyle w:val="P68B1DB1-Normal14"/>
              <w:rPr>
                <w:rFonts w:eastAsia="Calibri" w:cs="Times New Roman"/>
                <w:noProof/>
              </w:rPr>
            </w:pPr>
            <w:r>
              <w:rPr>
                <w:noProof/>
              </w:rPr>
              <w:t xml:space="preserve">Nombre d'évaluations réalisées </w:t>
            </w:r>
          </w:p>
        </w:tc>
        <w:tc>
          <w:tcPr>
            <w:tcW w:w="666" w:type="pct"/>
            <w:shd w:val="clear" w:color="auto" w:fill="C6EFCE"/>
          </w:tcPr>
          <w:p w14:paraId="50B4B0DE" w14:textId="77777777" w:rsidR="003B5F50" w:rsidRDefault="003B5F50">
            <w:pPr>
              <w:rPr>
                <w:rFonts w:ascii="Times New Roman" w:hAnsi="Times New Roman"/>
                <w:noProof/>
                <w:color w:val="006100"/>
                <w:sz w:val="20"/>
              </w:rPr>
            </w:pPr>
          </w:p>
        </w:tc>
        <w:tc>
          <w:tcPr>
            <w:tcW w:w="396" w:type="pct"/>
            <w:shd w:val="clear" w:color="auto" w:fill="C6EFCE"/>
          </w:tcPr>
          <w:p w14:paraId="50B4B0DF" w14:textId="77777777" w:rsidR="003B5F50" w:rsidRDefault="000D2D85">
            <w:pPr>
              <w:pStyle w:val="P68B1DB1-Normal14"/>
              <w:rPr>
                <w:rFonts w:eastAsia="Calibri" w:cs="Times New Roman"/>
                <w:noProof/>
              </w:rPr>
            </w:pPr>
            <w:r>
              <w:rPr>
                <w:noProof/>
              </w:rPr>
              <w:t>Numéro</w:t>
            </w:r>
          </w:p>
        </w:tc>
        <w:tc>
          <w:tcPr>
            <w:tcW w:w="346" w:type="pct"/>
            <w:shd w:val="clear" w:color="auto" w:fill="C6EFCE"/>
          </w:tcPr>
          <w:p w14:paraId="50B4B0E0" w14:textId="02962353" w:rsidR="003B5F50" w:rsidRDefault="000D2D85">
            <w:pPr>
              <w:pStyle w:val="P68B1DB1-Normal14"/>
              <w:rPr>
                <w:rFonts w:eastAsia="Calibri" w:cs="Times New Roman"/>
                <w:noProof/>
              </w:rPr>
            </w:pPr>
            <w:r>
              <w:rPr>
                <w:noProof/>
              </w:rPr>
              <w:t>0</w:t>
            </w:r>
          </w:p>
        </w:tc>
        <w:tc>
          <w:tcPr>
            <w:tcW w:w="346" w:type="pct"/>
            <w:shd w:val="clear" w:color="auto" w:fill="C6EFCE"/>
          </w:tcPr>
          <w:p w14:paraId="50B4B0E1" w14:textId="77777777" w:rsidR="003B5F50" w:rsidRDefault="000D2D85">
            <w:pPr>
              <w:pStyle w:val="P68B1DB1-Normal14"/>
              <w:rPr>
                <w:rFonts w:eastAsia="Calibri" w:cs="Times New Roman"/>
                <w:noProof/>
              </w:rPr>
            </w:pPr>
            <w:r>
              <w:rPr>
                <w:noProof/>
              </w:rPr>
              <w:t>20</w:t>
            </w:r>
          </w:p>
        </w:tc>
        <w:tc>
          <w:tcPr>
            <w:tcW w:w="373" w:type="pct"/>
            <w:shd w:val="clear" w:color="auto" w:fill="C6EFCE"/>
          </w:tcPr>
          <w:p w14:paraId="50B4B0E2" w14:textId="77777777" w:rsidR="003B5F50" w:rsidRDefault="000D2D85">
            <w:pPr>
              <w:pStyle w:val="P68B1DB1-Normal14"/>
              <w:jc w:val="center"/>
              <w:rPr>
                <w:rFonts w:eastAsia="Calibri" w:cs="Times New Roman"/>
                <w:noProof/>
              </w:rPr>
            </w:pPr>
            <w:r>
              <w:rPr>
                <w:noProof/>
              </w:rPr>
              <w:t>T4</w:t>
            </w:r>
          </w:p>
        </w:tc>
        <w:tc>
          <w:tcPr>
            <w:tcW w:w="283" w:type="pct"/>
            <w:shd w:val="clear" w:color="auto" w:fill="C6EFCE"/>
          </w:tcPr>
          <w:p w14:paraId="50B4B0E3" w14:textId="77777777" w:rsidR="003B5F50" w:rsidRDefault="000D2D85">
            <w:pPr>
              <w:pStyle w:val="P68B1DB1-Normal14"/>
              <w:jc w:val="center"/>
              <w:rPr>
                <w:rFonts w:eastAsia="Calibri" w:cs="Times New Roman"/>
                <w:noProof/>
              </w:rPr>
            </w:pPr>
            <w:r>
              <w:rPr>
                <w:noProof/>
              </w:rPr>
              <w:t>2022</w:t>
            </w:r>
          </w:p>
        </w:tc>
        <w:tc>
          <w:tcPr>
            <w:tcW w:w="1124" w:type="pct"/>
            <w:shd w:val="clear" w:color="auto" w:fill="C6EFCE"/>
          </w:tcPr>
          <w:p w14:paraId="50B4B0E4" w14:textId="77777777" w:rsidR="003B5F50" w:rsidRDefault="000D2D85">
            <w:pPr>
              <w:pStyle w:val="P68B1DB1-Normal14"/>
              <w:rPr>
                <w:noProof/>
                <w:szCs w:val="20"/>
              </w:rPr>
            </w:pPr>
            <w:r>
              <w:rPr>
                <w:noProof/>
              </w:rPr>
              <w:t xml:space="preserve">L'objectif se réfère à toutes les universités publiques. </w:t>
            </w:r>
          </w:p>
        </w:tc>
      </w:tr>
      <w:tr w:rsidR="003B5F50" w14:paraId="50B4B0F3" w14:textId="77777777" w:rsidTr="00F133D4">
        <w:trPr>
          <w:trHeight w:val="975"/>
        </w:trPr>
        <w:tc>
          <w:tcPr>
            <w:tcW w:w="348" w:type="pct"/>
            <w:shd w:val="clear" w:color="auto" w:fill="C6EFCE"/>
          </w:tcPr>
          <w:p w14:paraId="50B4B0E6" w14:textId="77777777" w:rsidR="003B5F50" w:rsidRDefault="000D2D85">
            <w:pPr>
              <w:pStyle w:val="P68B1DB1-Normal14"/>
              <w:jc w:val="center"/>
              <w:rPr>
                <w:noProof/>
                <w:szCs w:val="20"/>
              </w:rPr>
            </w:pPr>
            <w:r>
              <w:rPr>
                <w:noProof/>
              </w:rPr>
              <w:t>5</w:t>
            </w:r>
          </w:p>
        </w:tc>
        <w:tc>
          <w:tcPr>
            <w:tcW w:w="551" w:type="pct"/>
            <w:shd w:val="clear" w:color="auto" w:fill="C6EFCE"/>
          </w:tcPr>
          <w:p w14:paraId="50B4B0E7" w14:textId="77777777" w:rsidR="003B5F50" w:rsidRDefault="000D2D85">
            <w:pPr>
              <w:pStyle w:val="P68B1DB1-Normal14"/>
              <w:rPr>
                <w:noProof/>
                <w:szCs w:val="20"/>
              </w:rPr>
            </w:pPr>
            <w:r>
              <w:rPr>
                <w:noProof/>
              </w:rPr>
              <w:t>8 – Augmentation des performances des établissements d’enseignement supérieur slovaques – Réforme 3: Une nouvelle approche de l’accréditation de l’enseignement supérieur</w:t>
            </w:r>
          </w:p>
        </w:tc>
        <w:tc>
          <w:tcPr>
            <w:tcW w:w="283" w:type="pct"/>
            <w:shd w:val="clear" w:color="auto" w:fill="C6EFCE"/>
          </w:tcPr>
          <w:p w14:paraId="50B4B0E8" w14:textId="77777777" w:rsidR="003B5F50" w:rsidRDefault="000D2D85">
            <w:pPr>
              <w:pStyle w:val="P68B1DB1-Normal14"/>
              <w:rPr>
                <w:noProof/>
                <w:szCs w:val="20"/>
              </w:rPr>
            </w:pPr>
            <w:r>
              <w:rPr>
                <w:noProof/>
              </w:rPr>
              <w:t>Objectif</w:t>
            </w:r>
          </w:p>
        </w:tc>
        <w:tc>
          <w:tcPr>
            <w:tcW w:w="283" w:type="pct"/>
            <w:shd w:val="clear" w:color="auto" w:fill="C6EFCE"/>
          </w:tcPr>
          <w:p w14:paraId="50B4B0E9" w14:textId="77777777" w:rsidR="003B5F50" w:rsidRDefault="000D2D85">
            <w:pPr>
              <w:pStyle w:val="P68B1DB1-Normal14"/>
              <w:rPr>
                <w:noProof/>
                <w:szCs w:val="20"/>
              </w:rPr>
            </w:pPr>
            <w:r>
              <w:rPr>
                <w:noProof/>
              </w:rPr>
              <w:t>Pourcentage d'universités demandant à vérifier la conformité des systèmes internes de qualité et des programmes d'études avec les normes</w:t>
            </w:r>
          </w:p>
        </w:tc>
        <w:tc>
          <w:tcPr>
            <w:tcW w:w="666" w:type="pct"/>
            <w:shd w:val="clear" w:color="auto" w:fill="C6EFCE"/>
          </w:tcPr>
          <w:p w14:paraId="50B4B0EA" w14:textId="77777777" w:rsidR="003B5F50" w:rsidRDefault="003B5F50">
            <w:pPr>
              <w:rPr>
                <w:rFonts w:ascii="Times New Roman" w:hAnsi="Times New Roman"/>
                <w:noProof/>
                <w:sz w:val="20"/>
                <w:szCs w:val="20"/>
              </w:rPr>
            </w:pPr>
          </w:p>
        </w:tc>
        <w:tc>
          <w:tcPr>
            <w:tcW w:w="396" w:type="pct"/>
            <w:shd w:val="clear" w:color="auto" w:fill="C6EFCE"/>
          </w:tcPr>
          <w:p w14:paraId="50B4B0EB" w14:textId="77777777" w:rsidR="003B5F50" w:rsidRDefault="000D2D85">
            <w:pPr>
              <w:pStyle w:val="P68B1DB1-Normal14"/>
              <w:rPr>
                <w:noProof/>
                <w:szCs w:val="20"/>
              </w:rPr>
            </w:pPr>
            <w:r>
              <w:rPr>
                <w:noProof/>
              </w:rPr>
              <w:t xml:space="preserve">% </w:t>
            </w:r>
          </w:p>
        </w:tc>
        <w:tc>
          <w:tcPr>
            <w:tcW w:w="346" w:type="pct"/>
            <w:shd w:val="clear" w:color="auto" w:fill="C6EFCE"/>
          </w:tcPr>
          <w:p w14:paraId="50B4B0EC" w14:textId="77777777" w:rsidR="003B5F50" w:rsidRDefault="000D2D85">
            <w:pPr>
              <w:pStyle w:val="P68B1DB1-Normal14"/>
              <w:jc w:val="right"/>
              <w:rPr>
                <w:noProof/>
                <w:szCs w:val="20"/>
              </w:rPr>
            </w:pPr>
            <w:r>
              <w:rPr>
                <w:noProof/>
              </w:rPr>
              <w:t>0</w:t>
            </w:r>
          </w:p>
        </w:tc>
        <w:tc>
          <w:tcPr>
            <w:tcW w:w="346" w:type="pct"/>
            <w:shd w:val="clear" w:color="auto" w:fill="C6EFCE"/>
          </w:tcPr>
          <w:p w14:paraId="50B4B0ED" w14:textId="77777777" w:rsidR="003B5F50" w:rsidRDefault="000D2D85">
            <w:pPr>
              <w:pStyle w:val="P68B1DB1-Normal14"/>
              <w:jc w:val="right"/>
              <w:rPr>
                <w:noProof/>
                <w:szCs w:val="20"/>
              </w:rPr>
            </w:pPr>
            <w:r>
              <w:rPr>
                <w:noProof/>
              </w:rPr>
              <w:t>90</w:t>
            </w:r>
          </w:p>
        </w:tc>
        <w:tc>
          <w:tcPr>
            <w:tcW w:w="373" w:type="pct"/>
            <w:shd w:val="clear" w:color="auto" w:fill="C6EFCE"/>
          </w:tcPr>
          <w:p w14:paraId="50B4B0EE" w14:textId="77777777" w:rsidR="003B5F50" w:rsidRDefault="000D2D85">
            <w:pPr>
              <w:pStyle w:val="P68B1DB1-Normal14"/>
              <w:jc w:val="center"/>
              <w:rPr>
                <w:noProof/>
                <w:szCs w:val="20"/>
              </w:rPr>
            </w:pPr>
            <w:r>
              <w:rPr>
                <w:noProof/>
              </w:rPr>
              <w:t>T4</w:t>
            </w:r>
          </w:p>
        </w:tc>
        <w:tc>
          <w:tcPr>
            <w:tcW w:w="283" w:type="pct"/>
            <w:shd w:val="clear" w:color="auto" w:fill="C6EFCE"/>
          </w:tcPr>
          <w:p w14:paraId="50B4B0EF" w14:textId="77777777" w:rsidR="003B5F50" w:rsidRDefault="000D2D85">
            <w:pPr>
              <w:pStyle w:val="P68B1DB1-Normal14"/>
              <w:jc w:val="center"/>
              <w:rPr>
                <w:noProof/>
                <w:szCs w:val="20"/>
              </w:rPr>
            </w:pPr>
            <w:r>
              <w:rPr>
                <w:noProof/>
              </w:rPr>
              <w:t>2022</w:t>
            </w:r>
          </w:p>
        </w:tc>
        <w:tc>
          <w:tcPr>
            <w:tcW w:w="1124" w:type="pct"/>
            <w:shd w:val="clear" w:color="auto" w:fill="C6EFCE"/>
          </w:tcPr>
          <w:p w14:paraId="50B4B0F0" w14:textId="77777777" w:rsidR="003B5F50" w:rsidRDefault="000D2D85">
            <w:pPr>
              <w:pStyle w:val="P68B1DB1-Normal14"/>
              <w:rPr>
                <w:noProof/>
                <w:szCs w:val="20"/>
              </w:rPr>
            </w:pPr>
            <w:r>
              <w:rPr>
                <w:noProof/>
              </w:rPr>
              <w:t xml:space="preserve">Au moins 90 % des universités ont demandé une vérification de la conformité de leurs systèmes internes de qualité et de leurs programmes d’études avec les nouvelles normes d’accréditation. </w:t>
            </w:r>
          </w:p>
          <w:p w14:paraId="50B4B0F1" w14:textId="77777777" w:rsidR="003B5F50" w:rsidRDefault="000D2D85">
            <w:pPr>
              <w:pStyle w:val="P68B1DB1-Normal14"/>
              <w:rPr>
                <w:noProof/>
                <w:szCs w:val="20"/>
              </w:rPr>
            </w:pPr>
            <w:r>
              <w:rPr>
                <w:noProof/>
              </w:rPr>
              <w:t xml:space="preserve">Les nouvelles normes d'accréditation renforcent les normes et les conditions relatives à la garantie et à la mise en œuvre des programmes d'études. Cinq universitaires avec des résultats scientifiques de haute qualité sont nécessaires pour l'accréditation, ainsi que la mise en œuvre d'un système d'éducation de qualité centré sur l'étudiant. </w:t>
            </w:r>
          </w:p>
          <w:p w14:paraId="50B4B0F2" w14:textId="77777777" w:rsidR="003B5F50" w:rsidRDefault="000D2D85">
            <w:pPr>
              <w:pStyle w:val="P68B1DB1-Normal14"/>
              <w:rPr>
                <w:noProof/>
                <w:szCs w:val="20"/>
              </w:rPr>
            </w:pPr>
            <w:r>
              <w:rPr>
                <w:noProof/>
              </w:rPr>
              <w:t>Les évaluateurs étrangers sont également systématiquement associés à l'évaluation du respect des normes d'accréditation en matière de qualité de l'enseignement. Des règles plus strictes entraîneront une réduction du nombre de programmes d'études, une diversification et un profilage accrus et une plus grande orientation des étudiants, étant donné que les universités se concentreront sur les programmes dans lesquels elles peuvent dispenser un enseignement de la plus haute qualité.</w:t>
            </w:r>
          </w:p>
        </w:tc>
      </w:tr>
      <w:tr w:rsidR="003B5F50" w14:paraId="50B4B100" w14:textId="77777777" w:rsidTr="00F133D4">
        <w:trPr>
          <w:trHeight w:val="1740"/>
        </w:trPr>
        <w:tc>
          <w:tcPr>
            <w:tcW w:w="348" w:type="pct"/>
            <w:shd w:val="clear" w:color="auto" w:fill="C6EFCE"/>
          </w:tcPr>
          <w:p w14:paraId="50B4B0F4" w14:textId="77777777" w:rsidR="003B5F50" w:rsidRDefault="000D2D85">
            <w:pPr>
              <w:pStyle w:val="P68B1DB1-Normal14"/>
              <w:jc w:val="center"/>
              <w:rPr>
                <w:noProof/>
                <w:szCs w:val="20"/>
              </w:rPr>
            </w:pPr>
            <w:r>
              <w:rPr>
                <w:noProof/>
              </w:rPr>
              <w:t>6</w:t>
            </w:r>
          </w:p>
        </w:tc>
        <w:tc>
          <w:tcPr>
            <w:tcW w:w="551" w:type="pct"/>
            <w:shd w:val="clear" w:color="auto" w:fill="C6EFCE"/>
          </w:tcPr>
          <w:p w14:paraId="50B4B0F5" w14:textId="77777777" w:rsidR="003B5F50" w:rsidRDefault="000D2D85">
            <w:pPr>
              <w:pStyle w:val="P68B1DB1-Normal14"/>
              <w:rPr>
                <w:noProof/>
                <w:szCs w:val="20"/>
              </w:rPr>
            </w:pPr>
            <w:r>
              <w:rPr>
                <w:noProof/>
              </w:rPr>
              <w:t>8 – Augmentation des performances des établissements d’enseignement supérieur slovaques – Réforme 4: Réforme de la gestion des universités</w:t>
            </w:r>
          </w:p>
        </w:tc>
        <w:tc>
          <w:tcPr>
            <w:tcW w:w="283" w:type="pct"/>
            <w:shd w:val="clear" w:color="auto" w:fill="C6EFCE"/>
          </w:tcPr>
          <w:p w14:paraId="50B4B0F6" w14:textId="77777777" w:rsidR="003B5F50" w:rsidRDefault="000D2D85">
            <w:pPr>
              <w:pStyle w:val="P68B1DB1-Normal14"/>
              <w:rPr>
                <w:noProof/>
                <w:szCs w:val="20"/>
              </w:rPr>
            </w:pPr>
            <w:r>
              <w:rPr>
                <w:noProof/>
              </w:rPr>
              <w:t>Étape</w:t>
            </w:r>
          </w:p>
        </w:tc>
        <w:tc>
          <w:tcPr>
            <w:tcW w:w="283" w:type="pct"/>
            <w:shd w:val="clear" w:color="auto" w:fill="C6EFCE"/>
          </w:tcPr>
          <w:p w14:paraId="50B4B0F7" w14:textId="77777777" w:rsidR="003B5F50" w:rsidRDefault="000D2D85">
            <w:pPr>
              <w:pStyle w:val="P68B1DB1-Normal14"/>
              <w:rPr>
                <w:noProof/>
                <w:szCs w:val="20"/>
              </w:rPr>
            </w:pPr>
            <w:r>
              <w:rPr>
                <w:noProof/>
              </w:rPr>
              <w:t>La réforme du système de gestion des établissements d'enseignement supérieur</w:t>
            </w:r>
          </w:p>
        </w:tc>
        <w:tc>
          <w:tcPr>
            <w:tcW w:w="666" w:type="pct"/>
            <w:shd w:val="clear" w:color="auto" w:fill="C6EFCE"/>
          </w:tcPr>
          <w:p w14:paraId="50B4B0F8" w14:textId="77777777" w:rsidR="003B5F50" w:rsidRDefault="000D2D85">
            <w:pPr>
              <w:pStyle w:val="P68B1DB1-Normal14"/>
              <w:rPr>
                <w:noProof/>
                <w:szCs w:val="20"/>
              </w:rPr>
            </w:pPr>
            <w:r>
              <w:rPr>
                <w:noProof/>
              </w:rPr>
              <w:t xml:space="preserve">Entrée en vigueur de la modification de la loi n° 131/2002 sur l'enseignement supérieur, </w:t>
            </w:r>
          </w:p>
        </w:tc>
        <w:tc>
          <w:tcPr>
            <w:tcW w:w="396" w:type="pct"/>
            <w:shd w:val="clear" w:color="auto" w:fill="C6EFCE"/>
          </w:tcPr>
          <w:p w14:paraId="50B4B0F9" w14:textId="77777777" w:rsidR="003B5F50" w:rsidRDefault="000D2D85">
            <w:pPr>
              <w:pStyle w:val="P68B1DB1-Normal14"/>
              <w:rPr>
                <w:noProof/>
                <w:szCs w:val="20"/>
              </w:rPr>
            </w:pPr>
            <w:r>
              <w:rPr>
                <w:noProof/>
              </w:rPr>
              <w:t xml:space="preserve"> </w:t>
            </w:r>
          </w:p>
        </w:tc>
        <w:tc>
          <w:tcPr>
            <w:tcW w:w="346" w:type="pct"/>
            <w:shd w:val="clear" w:color="auto" w:fill="C6EFCE"/>
          </w:tcPr>
          <w:p w14:paraId="50B4B0FA" w14:textId="77777777" w:rsidR="003B5F50" w:rsidRDefault="000D2D85">
            <w:pPr>
              <w:pStyle w:val="P68B1DB1-Normal14"/>
              <w:rPr>
                <w:noProof/>
                <w:szCs w:val="20"/>
              </w:rPr>
            </w:pPr>
            <w:r>
              <w:rPr>
                <w:noProof/>
              </w:rPr>
              <w:t xml:space="preserve"> </w:t>
            </w:r>
          </w:p>
        </w:tc>
        <w:tc>
          <w:tcPr>
            <w:tcW w:w="346" w:type="pct"/>
            <w:shd w:val="clear" w:color="auto" w:fill="C6EFCE"/>
          </w:tcPr>
          <w:p w14:paraId="50B4B0FB" w14:textId="77777777" w:rsidR="003B5F50" w:rsidRDefault="000D2D85">
            <w:pPr>
              <w:pStyle w:val="P68B1DB1-Normal14"/>
              <w:rPr>
                <w:noProof/>
                <w:szCs w:val="20"/>
              </w:rPr>
            </w:pPr>
            <w:r>
              <w:rPr>
                <w:noProof/>
              </w:rPr>
              <w:t xml:space="preserve"> </w:t>
            </w:r>
          </w:p>
        </w:tc>
        <w:tc>
          <w:tcPr>
            <w:tcW w:w="373" w:type="pct"/>
            <w:shd w:val="clear" w:color="auto" w:fill="C6EFCE"/>
          </w:tcPr>
          <w:p w14:paraId="50B4B0FC" w14:textId="77777777" w:rsidR="003B5F50" w:rsidRDefault="000D2D85">
            <w:pPr>
              <w:pStyle w:val="P68B1DB1-Normal14"/>
              <w:jc w:val="center"/>
              <w:rPr>
                <w:noProof/>
                <w:szCs w:val="20"/>
              </w:rPr>
            </w:pPr>
            <w:r>
              <w:rPr>
                <w:noProof/>
              </w:rPr>
              <w:t>T4</w:t>
            </w:r>
          </w:p>
        </w:tc>
        <w:tc>
          <w:tcPr>
            <w:tcW w:w="283" w:type="pct"/>
            <w:shd w:val="clear" w:color="auto" w:fill="C6EFCE"/>
          </w:tcPr>
          <w:p w14:paraId="50B4B0FD" w14:textId="77777777" w:rsidR="003B5F50" w:rsidRDefault="000D2D85">
            <w:pPr>
              <w:pStyle w:val="P68B1DB1-Normal14"/>
              <w:jc w:val="center"/>
              <w:rPr>
                <w:noProof/>
                <w:szCs w:val="20"/>
              </w:rPr>
            </w:pPr>
            <w:r>
              <w:rPr>
                <w:noProof/>
              </w:rPr>
              <w:t>2021</w:t>
            </w:r>
          </w:p>
        </w:tc>
        <w:tc>
          <w:tcPr>
            <w:tcW w:w="1124" w:type="pct"/>
            <w:shd w:val="clear" w:color="auto" w:fill="C6EFCE"/>
          </w:tcPr>
          <w:p w14:paraId="50B4B0FE" w14:textId="77777777" w:rsidR="003B5F50" w:rsidRDefault="000D2D85">
            <w:pPr>
              <w:pStyle w:val="P68B1DB1-Normal14"/>
              <w:rPr>
                <w:noProof/>
                <w:szCs w:val="20"/>
              </w:rPr>
            </w:pPr>
            <w:r>
              <w:rPr>
                <w:noProof/>
              </w:rPr>
              <w:t xml:space="preserve">La modification de la loi n° 131/2002 sur l'enseignement supérieur vise à réformer le système de gestion des universités. La modification de la loi sur l’enseignement supérieur renforce les compétences du recteur et du conseil d’administration, dont la composition est réformée, la méthode d’élection du recteur est modifiée, le mécanisme des postes fonctionnels est ouvert et les exigences relatives à l’organisation interne du monde universitaire sont simplifiées, garantissant l’autonomie scolaire et la liberté scientifique. </w:t>
            </w:r>
          </w:p>
          <w:p w14:paraId="50B4B0FF" w14:textId="77777777" w:rsidR="003B5F50" w:rsidRDefault="000D2D85">
            <w:pPr>
              <w:pStyle w:val="P68B1DB1-Normal14"/>
              <w:rPr>
                <w:noProof/>
                <w:szCs w:val="20"/>
              </w:rPr>
            </w:pPr>
            <w:r>
              <w:rPr>
                <w:noProof/>
              </w:rPr>
              <w:t>Le renforcement des compétences du Conseil d'administration portera sur les questions de gouvernance stratégique de l'Université, tandis que la participation des représentants de l'État sera limitée de telle sorte que le gouvernement central ne sera pas en mesure de prendre le contrôle du Conseil d'administration. La liberté académique ne doit en aucun cas être affectée.</w:t>
            </w:r>
          </w:p>
        </w:tc>
      </w:tr>
      <w:tr w:rsidR="003B5F50" w14:paraId="50B4B10C" w14:textId="77777777" w:rsidTr="00F133D4">
        <w:trPr>
          <w:trHeight w:val="750"/>
        </w:trPr>
        <w:tc>
          <w:tcPr>
            <w:tcW w:w="348" w:type="pct"/>
            <w:shd w:val="clear" w:color="auto" w:fill="C6EFCE"/>
          </w:tcPr>
          <w:p w14:paraId="50B4B101" w14:textId="77777777" w:rsidR="003B5F50" w:rsidRDefault="000D2D85">
            <w:pPr>
              <w:pStyle w:val="P68B1DB1-Normal14"/>
              <w:jc w:val="center"/>
              <w:rPr>
                <w:noProof/>
                <w:szCs w:val="20"/>
              </w:rPr>
            </w:pPr>
            <w:r>
              <w:rPr>
                <w:noProof/>
              </w:rPr>
              <w:t>7</w:t>
            </w:r>
          </w:p>
        </w:tc>
        <w:tc>
          <w:tcPr>
            <w:tcW w:w="551" w:type="pct"/>
            <w:shd w:val="clear" w:color="auto" w:fill="C6EFCE"/>
          </w:tcPr>
          <w:p w14:paraId="50B4B102" w14:textId="77777777" w:rsidR="003B5F50" w:rsidRDefault="000D2D85">
            <w:pPr>
              <w:pStyle w:val="P68B1DB1-Normal14"/>
              <w:rPr>
                <w:noProof/>
                <w:szCs w:val="20"/>
              </w:rPr>
            </w:pPr>
            <w:r>
              <w:rPr>
                <w:noProof/>
              </w:rPr>
              <w:t>8 – Augmentation des performances des établissements d’enseignement supérieur slovaques – Réforme 5: concentration d’excellentes capacités d’enseignement et de recherche</w:t>
            </w:r>
          </w:p>
        </w:tc>
        <w:tc>
          <w:tcPr>
            <w:tcW w:w="283" w:type="pct"/>
            <w:shd w:val="clear" w:color="auto" w:fill="C6EFCE"/>
          </w:tcPr>
          <w:p w14:paraId="50B4B103" w14:textId="77777777" w:rsidR="003B5F50" w:rsidRDefault="000D2D85">
            <w:pPr>
              <w:pStyle w:val="P68B1DB1-Normal14"/>
              <w:rPr>
                <w:noProof/>
                <w:szCs w:val="20"/>
              </w:rPr>
            </w:pPr>
            <w:r>
              <w:rPr>
                <w:noProof/>
              </w:rPr>
              <w:t>Étape</w:t>
            </w:r>
          </w:p>
        </w:tc>
        <w:tc>
          <w:tcPr>
            <w:tcW w:w="283" w:type="pct"/>
            <w:shd w:val="clear" w:color="auto" w:fill="C6EFCE"/>
          </w:tcPr>
          <w:p w14:paraId="50B4B104" w14:textId="77777777" w:rsidR="003B5F50" w:rsidRDefault="000D2D85">
            <w:pPr>
              <w:pStyle w:val="P68B1DB1-Normal14"/>
              <w:rPr>
                <w:noProof/>
                <w:szCs w:val="20"/>
              </w:rPr>
            </w:pPr>
            <w:r>
              <w:rPr>
                <w:noProof/>
              </w:rPr>
              <w:t>Commencer à rassembler les universités en unités plus grandes</w:t>
            </w:r>
          </w:p>
        </w:tc>
        <w:tc>
          <w:tcPr>
            <w:tcW w:w="666" w:type="pct"/>
            <w:shd w:val="clear" w:color="auto" w:fill="C6EFCE"/>
          </w:tcPr>
          <w:p w14:paraId="50B4B105" w14:textId="77777777" w:rsidR="003B5F50" w:rsidRDefault="000D2D85">
            <w:pPr>
              <w:pStyle w:val="P68B1DB1-Normal14"/>
              <w:rPr>
                <w:noProof/>
                <w:szCs w:val="20"/>
              </w:rPr>
            </w:pPr>
            <w:r>
              <w:rPr>
                <w:noProof/>
              </w:rPr>
              <w:t>Une feuille de route approuvée par le ministère de l’éducation, de la science, de la recherche et des sports de la République slovaque (MŠVVaŠ SR) regroupant au moins deux unités universitaires.</w:t>
            </w:r>
          </w:p>
        </w:tc>
        <w:tc>
          <w:tcPr>
            <w:tcW w:w="396" w:type="pct"/>
            <w:shd w:val="clear" w:color="auto" w:fill="C6EFCE"/>
          </w:tcPr>
          <w:p w14:paraId="50B4B106" w14:textId="77777777" w:rsidR="003B5F50" w:rsidRDefault="000D2D85">
            <w:pPr>
              <w:pStyle w:val="P68B1DB1-Normal14"/>
              <w:rPr>
                <w:noProof/>
                <w:szCs w:val="20"/>
              </w:rPr>
            </w:pPr>
            <w:r>
              <w:rPr>
                <w:noProof/>
              </w:rPr>
              <w:t xml:space="preserve"> </w:t>
            </w:r>
          </w:p>
        </w:tc>
        <w:tc>
          <w:tcPr>
            <w:tcW w:w="346" w:type="pct"/>
            <w:shd w:val="clear" w:color="auto" w:fill="C6EFCE"/>
          </w:tcPr>
          <w:p w14:paraId="50B4B107" w14:textId="77777777" w:rsidR="003B5F50" w:rsidRDefault="000D2D85">
            <w:pPr>
              <w:pStyle w:val="P68B1DB1-Normal14"/>
              <w:rPr>
                <w:noProof/>
                <w:szCs w:val="20"/>
              </w:rPr>
            </w:pPr>
            <w:r>
              <w:rPr>
                <w:noProof/>
              </w:rPr>
              <w:t xml:space="preserve"> </w:t>
            </w:r>
          </w:p>
        </w:tc>
        <w:tc>
          <w:tcPr>
            <w:tcW w:w="346" w:type="pct"/>
            <w:shd w:val="clear" w:color="auto" w:fill="C6EFCE"/>
          </w:tcPr>
          <w:p w14:paraId="50B4B108" w14:textId="77777777" w:rsidR="003B5F50" w:rsidRDefault="003B5F50">
            <w:pPr>
              <w:rPr>
                <w:rFonts w:ascii="Times New Roman" w:hAnsi="Times New Roman"/>
                <w:noProof/>
                <w:sz w:val="20"/>
                <w:szCs w:val="20"/>
              </w:rPr>
            </w:pPr>
          </w:p>
        </w:tc>
        <w:tc>
          <w:tcPr>
            <w:tcW w:w="373" w:type="pct"/>
            <w:shd w:val="clear" w:color="auto" w:fill="C6EFCE"/>
          </w:tcPr>
          <w:p w14:paraId="50B4B109" w14:textId="77777777" w:rsidR="003B5F50" w:rsidRDefault="000D2D85">
            <w:pPr>
              <w:pStyle w:val="P68B1DB1-Normal14"/>
              <w:jc w:val="center"/>
              <w:rPr>
                <w:noProof/>
                <w:szCs w:val="20"/>
              </w:rPr>
            </w:pPr>
            <w:r>
              <w:rPr>
                <w:noProof/>
              </w:rPr>
              <w:t>T4</w:t>
            </w:r>
          </w:p>
        </w:tc>
        <w:tc>
          <w:tcPr>
            <w:tcW w:w="283" w:type="pct"/>
            <w:shd w:val="clear" w:color="auto" w:fill="C6EFCE"/>
          </w:tcPr>
          <w:p w14:paraId="50B4B10A" w14:textId="77777777" w:rsidR="003B5F50" w:rsidRDefault="000D2D85">
            <w:pPr>
              <w:pStyle w:val="P68B1DB1-Normal14"/>
              <w:jc w:val="center"/>
              <w:rPr>
                <w:noProof/>
                <w:szCs w:val="20"/>
              </w:rPr>
            </w:pPr>
            <w:r>
              <w:rPr>
                <w:noProof/>
              </w:rPr>
              <w:t>2021</w:t>
            </w:r>
          </w:p>
        </w:tc>
        <w:tc>
          <w:tcPr>
            <w:tcW w:w="1124" w:type="pct"/>
            <w:shd w:val="clear" w:color="auto" w:fill="C6EFCE"/>
          </w:tcPr>
          <w:p w14:paraId="50B4B10B" w14:textId="77777777" w:rsidR="003B5F50" w:rsidRDefault="000D2D85">
            <w:pPr>
              <w:pStyle w:val="P68B1DB1-Normal16"/>
              <w:rPr>
                <w:noProof/>
                <w:szCs w:val="20"/>
              </w:rPr>
            </w:pPr>
            <w:r>
              <w:rPr>
                <w:noProof/>
                <w:color w:val="006100"/>
              </w:rPr>
              <w:t>Une feuille de route de regroupement approuvée pour au moins 2 unités universitaires. La feuille de route définit le calendrier et les différentes étapes menant à l'établissement de liens entre les établissements d'enseignement supérieur.</w:t>
            </w:r>
            <w:r>
              <w:rPr>
                <w:noProof/>
              </w:rPr>
              <w:t xml:space="preserve"> </w:t>
            </w:r>
            <w:r>
              <w:rPr>
                <w:noProof/>
                <w:color w:val="006100"/>
              </w:rPr>
              <w:t>Le processus de mixage lui-même est soutenu par des investissements provenant de la facilité du Fonds pour la relance, ainsi que par des contrats de performance en raison de coûts de transaction directs (tels que l’unification des systèmes informatiques), également pour construire de nouvelles capacités d’infrastructure (telles que la suppression des doubles emplois et l’unification des sites concernés ne doivent pas simplement pouvoir déplacer les lieux de travail et de nouvelles capacités doivent être construites).</w:t>
            </w:r>
          </w:p>
        </w:tc>
      </w:tr>
      <w:tr w:rsidR="003B5F50" w14:paraId="50B4B121" w14:textId="77777777" w:rsidTr="00F133D4">
        <w:trPr>
          <w:trHeight w:val="1185"/>
        </w:trPr>
        <w:tc>
          <w:tcPr>
            <w:tcW w:w="348" w:type="pct"/>
            <w:shd w:val="clear" w:color="auto" w:fill="C6EFCE"/>
          </w:tcPr>
          <w:p w14:paraId="50B4B10D" w14:textId="77777777" w:rsidR="003B5F50" w:rsidRDefault="000D2D85">
            <w:pPr>
              <w:pStyle w:val="P68B1DB1-Normal14"/>
              <w:jc w:val="center"/>
              <w:rPr>
                <w:noProof/>
                <w:szCs w:val="20"/>
              </w:rPr>
            </w:pPr>
            <w:r>
              <w:rPr>
                <w:noProof/>
              </w:rPr>
              <w:t>8</w:t>
            </w:r>
          </w:p>
        </w:tc>
        <w:tc>
          <w:tcPr>
            <w:tcW w:w="551" w:type="pct"/>
            <w:shd w:val="clear" w:color="auto" w:fill="C6EFCE"/>
          </w:tcPr>
          <w:p w14:paraId="50B4B10E" w14:textId="77777777" w:rsidR="003B5F50" w:rsidRDefault="000D2D85">
            <w:pPr>
              <w:pStyle w:val="P68B1DB1-Normal14"/>
              <w:rPr>
                <w:noProof/>
                <w:szCs w:val="20"/>
              </w:rPr>
            </w:pPr>
            <w:r>
              <w:rPr>
                <w:noProof/>
              </w:rPr>
              <w:t>8 – Augmentation des performances des établissements d’enseignement supérieur slovaques – Réforme 5: concentration d’excellentes capacités d’enseignement et de recherche</w:t>
            </w:r>
          </w:p>
        </w:tc>
        <w:tc>
          <w:tcPr>
            <w:tcW w:w="283" w:type="pct"/>
            <w:shd w:val="clear" w:color="auto" w:fill="C6EFCE"/>
          </w:tcPr>
          <w:p w14:paraId="50B4B10F" w14:textId="77777777" w:rsidR="003B5F50" w:rsidRDefault="000D2D85">
            <w:pPr>
              <w:pStyle w:val="P68B1DB1-Normal14"/>
              <w:rPr>
                <w:noProof/>
                <w:szCs w:val="20"/>
              </w:rPr>
            </w:pPr>
            <w:r>
              <w:rPr>
                <w:noProof/>
              </w:rPr>
              <w:t>Étape</w:t>
            </w:r>
          </w:p>
        </w:tc>
        <w:tc>
          <w:tcPr>
            <w:tcW w:w="283" w:type="pct"/>
            <w:shd w:val="clear" w:color="auto" w:fill="C6EFCE"/>
          </w:tcPr>
          <w:p w14:paraId="50B4B110" w14:textId="77777777" w:rsidR="003B5F50" w:rsidRDefault="000D2D85">
            <w:pPr>
              <w:pStyle w:val="P68B1DB1-Normal14"/>
              <w:rPr>
                <w:noProof/>
                <w:szCs w:val="20"/>
              </w:rPr>
            </w:pPr>
            <w:r>
              <w:rPr>
                <w:noProof/>
              </w:rPr>
              <w:t>Rassembler les universités par le biais de consortiums</w:t>
            </w:r>
          </w:p>
        </w:tc>
        <w:tc>
          <w:tcPr>
            <w:tcW w:w="666" w:type="pct"/>
            <w:shd w:val="clear" w:color="auto" w:fill="C6EFCE"/>
          </w:tcPr>
          <w:p w14:paraId="50B4B111" w14:textId="77777777" w:rsidR="003B5F50" w:rsidRDefault="000D2D85">
            <w:pPr>
              <w:pStyle w:val="P68B1DB1-Normal14"/>
              <w:rPr>
                <w:noProof/>
              </w:rPr>
            </w:pPr>
            <w:r>
              <w:rPr>
                <w:noProof/>
              </w:rPr>
              <w:t>Mise en place d'au moins 2 consortiums, d'une feuille de route et d'un contrat signé entre le ministère et l'université pour la mise en place du consortium lié à cette dernière feuille de route.</w:t>
            </w:r>
          </w:p>
          <w:p w14:paraId="50B4B112" w14:textId="77777777" w:rsidR="003B5F50" w:rsidRDefault="003B5F50">
            <w:pPr>
              <w:rPr>
                <w:rFonts w:ascii="Times New Roman" w:hAnsi="Times New Roman"/>
                <w:noProof/>
                <w:sz w:val="20"/>
                <w:szCs w:val="20"/>
              </w:rPr>
            </w:pPr>
          </w:p>
        </w:tc>
        <w:tc>
          <w:tcPr>
            <w:tcW w:w="396" w:type="pct"/>
            <w:shd w:val="clear" w:color="auto" w:fill="C6EFCE"/>
          </w:tcPr>
          <w:p w14:paraId="50B4B113" w14:textId="77777777" w:rsidR="003B5F50" w:rsidRDefault="003B5F50">
            <w:pPr>
              <w:rPr>
                <w:rFonts w:ascii="Times New Roman" w:hAnsi="Times New Roman"/>
                <w:noProof/>
                <w:sz w:val="20"/>
                <w:szCs w:val="20"/>
              </w:rPr>
            </w:pPr>
          </w:p>
        </w:tc>
        <w:tc>
          <w:tcPr>
            <w:tcW w:w="346" w:type="pct"/>
            <w:shd w:val="clear" w:color="auto" w:fill="C6EFCE"/>
          </w:tcPr>
          <w:p w14:paraId="50B4B114" w14:textId="77777777" w:rsidR="003B5F50" w:rsidRDefault="000D2D85">
            <w:pPr>
              <w:pStyle w:val="P68B1DB1-Normal14"/>
              <w:rPr>
                <w:noProof/>
                <w:szCs w:val="20"/>
              </w:rPr>
            </w:pPr>
            <w:r>
              <w:rPr>
                <w:noProof/>
              </w:rPr>
              <w:t xml:space="preserve"> </w:t>
            </w:r>
          </w:p>
        </w:tc>
        <w:tc>
          <w:tcPr>
            <w:tcW w:w="346" w:type="pct"/>
            <w:shd w:val="clear" w:color="auto" w:fill="C6EFCE"/>
          </w:tcPr>
          <w:p w14:paraId="50B4B115" w14:textId="77777777" w:rsidR="003B5F50" w:rsidRDefault="000D2D85">
            <w:pPr>
              <w:pStyle w:val="P68B1DB1-Normal14"/>
              <w:rPr>
                <w:noProof/>
                <w:szCs w:val="20"/>
              </w:rPr>
            </w:pPr>
            <w:r>
              <w:rPr>
                <w:noProof/>
              </w:rPr>
              <w:t xml:space="preserve"> </w:t>
            </w:r>
          </w:p>
        </w:tc>
        <w:tc>
          <w:tcPr>
            <w:tcW w:w="373" w:type="pct"/>
            <w:shd w:val="clear" w:color="auto" w:fill="C6EFCE"/>
          </w:tcPr>
          <w:p w14:paraId="50B4B116" w14:textId="77777777" w:rsidR="003B5F50" w:rsidRDefault="000D2D85">
            <w:pPr>
              <w:pStyle w:val="P68B1DB1-Normal14"/>
              <w:jc w:val="center"/>
              <w:rPr>
                <w:noProof/>
                <w:szCs w:val="20"/>
              </w:rPr>
            </w:pPr>
            <w:r>
              <w:rPr>
                <w:noProof/>
              </w:rPr>
              <w:t>T2</w:t>
            </w:r>
          </w:p>
        </w:tc>
        <w:tc>
          <w:tcPr>
            <w:tcW w:w="283" w:type="pct"/>
            <w:shd w:val="clear" w:color="auto" w:fill="C6EFCE"/>
          </w:tcPr>
          <w:p w14:paraId="50B4B117" w14:textId="77777777" w:rsidR="003B5F50" w:rsidRDefault="000D2D85">
            <w:pPr>
              <w:pStyle w:val="P68B1DB1-Normal14"/>
              <w:jc w:val="center"/>
              <w:rPr>
                <w:noProof/>
                <w:szCs w:val="20"/>
              </w:rPr>
            </w:pPr>
            <w:r>
              <w:rPr>
                <w:noProof/>
              </w:rPr>
              <w:t>2026</w:t>
            </w:r>
          </w:p>
        </w:tc>
        <w:tc>
          <w:tcPr>
            <w:tcW w:w="1124" w:type="pct"/>
            <w:shd w:val="clear" w:color="auto" w:fill="C6EFCE"/>
          </w:tcPr>
          <w:p w14:paraId="50B4B118" w14:textId="0B329CA9" w:rsidR="003B5F50" w:rsidRDefault="000D2D85">
            <w:pPr>
              <w:pStyle w:val="P68B1DB1-Normal14"/>
              <w:rPr>
                <w:noProof/>
                <w:szCs w:val="20"/>
              </w:rPr>
            </w:pPr>
            <w:r>
              <w:rPr>
                <w:noProof/>
              </w:rPr>
              <w:t>Au moins deux consortiums établis conformément aux statuts de chaque consortium.</w:t>
            </w:r>
          </w:p>
          <w:p w14:paraId="50B4B119" w14:textId="2A1857AF" w:rsidR="003B5F50" w:rsidRDefault="000D2D85">
            <w:pPr>
              <w:pStyle w:val="P68B1DB1-Normal15"/>
              <w:rPr>
                <w:rFonts w:eastAsia="Calibri" w:cs="Times New Roman"/>
                <w:noProof/>
              </w:rPr>
            </w:pPr>
            <w:r>
              <w:rPr>
                <w:noProof/>
              </w:rPr>
              <w:t>Chaque statut indique que le consortium a l'intention de s'engager dans:</w:t>
            </w:r>
          </w:p>
          <w:p w14:paraId="50B4B11A" w14:textId="2DBA5044" w:rsidR="003B5F50" w:rsidRDefault="000D2D85">
            <w:pPr>
              <w:pStyle w:val="P68B1DB1-Normal15"/>
              <w:numPr>
                <w:ilvl w:val="0"/>
                <w:numId w:val="34"/>
              </w:numPr>
              <w:spacing w:after="120" w:line="259" w:lineRule="auto"/>
              <w:ind w:left="714" w:hanging="357"/>
              <w:rPr>
                <w:noProof/>
              </w:rPr>
            </w:pPr>
            <w:r>
              <w:rPr>
                <w:noProof/>
              </w:rPr>
              <w:t xml:space="preserve">Harmonisation des systèmes internes de qualité. </w:t>
            </w:r>
          </w:p>
          <w:p w14:paraId="105B1845" w14:textId="06C97890" w:rsidR="003B5F50" w:rsidRDefault="000D2D85">
            <w:pPr>
              <w:pStyle w:val="P68B1DB1-Normal15"/>
              <w:numPr>
                <w:ilvl w:val="0"/>
                <w:numId w:val="34"/>
              </w:numPr>
              <w:spacing w:after="120" w:line="259" w:lineRule="auto"/>
              <w:ind w:left="714" w:hanging="357"/>
              <w:rPr>
                <w:noProof/>
              </w:rPr>
            </w:pPr>
            <w:r>
              <w:rPr>
                <w:noProof/>
              </w:rPr>
              <w:t>Offrir des programmes d'études communs.</w:t>
            </w:r>
          </w:p>
          <w:p w14:paraId="50B4B11C" w14:textId="097F1CD0" w:rsidR="003B5F50" w:rsidRDefault="000D2D85">
            <w:pPr>
              <w:pStyle w:val="P68B1DB1-Normal15"/>
              <w:numPr>
                <w:ilvl w:val="0"/>
                <w:numId w:val="34"/>
              </w:numPr>
              <w:spacing w:after="120" w:line="259" w:lineRule="auto"/>
              <w:ind w:left="714" w:hanging="357"/>
              <w:rPr>
                <w:noProof/>
              </w:rPr>
            </w:pPr>
            <w:r>
              <w:rPr>
                <w:noProof/>
              </w:rPr>
              <w:t>Permettre aux étudiants de suivre des cours dans chaque université du consortium.</w:t>
            </w:r>
          </w:p>
          <w:p w14:paraId="50B4B11D" w14:textId="53E1D464" w:rsidR="003B5F50" w:rsidRDefault="000D2D85">
            <w:pPr>
              <w:pStyle w:val="P68B1DB1-Normal15"/>
              <w:numPr>
                <w:ilvl w:val="0"/>
                <w:numId w:val="34"/>
              </w:numPr>
              <w:spacing w:after="120" w:line="259" w:lineRule="auto"/>
              <w:ind w:left="714" w:hanging="357"/>
              <w:rPr>
                <w:noProof/>
              </w:rPr>
            </w:pPr>
            <w:r>
              <w:rPr>
                <w:noProof/>
              </w:rPr>
              <w:t xml:space="preserve">Intégration des activités ou des capacités de recherche. Par exemple, coordonner et mener des projets de recherche conjoints.  </w:t>
            </w:r>
          </w:p>
          <w:p w14:paraId="50B4B11E" w14:textId="0EA68126" w:rsidR="003B5F50" w:rsidRDefault="000D2D85">
            <w:pPr>
              <w:pStyle w:val="P68B1DB1-Normal15"/>
              <w:numPr>
                <w:ilvl w:val="0"/>
                <w:numId w:val="34"/>
              </w:numPr>
              <w:spacing w:after="120" w:line="259" w:lineRule="auto"/>
              <w:ind w:left="714" w:hanging="357"/>
              <w:rPr>
                <w:noProof/>
              </w:rPr>
            </w:pPr>
            <w:r>
              <w:rPr>
                <w:noProof/>
              </w:rPr>
              <w:t>Partage des infrastructures de recherche et d'éducation. Par exemple, des locaux, des salles de classe et des laboratoires spécifiques.</w:t>
            </w:r>
          </w:p>
          <w:p w14:paraId="00A1AE35" w14:textId="521A0BA5" w:rsidR="003B5F50" w:rsidRDefault="000D2D85">
            <w:pPr>
              <w:pStyle w:val="P68B1DB1-Normal15"/>
              <w:numPr>
                <w:ilvl w:val="0"/>
                <w:numId w:val="34"/>
              </w:numPr>
              <w:spacing w:after="120" w:line="259" w:lineRule="auto"/>
              <w:ind w:left="714" w:hanging="357"/>
              <w:rPr>
                <w:noProof/>
              </w:rPr>
            </w:pPr>
            <w:r>
              <w:rPr>
                <w:noProof/>
              </w:rPr>
              <w:t xml:space="preserve">Intégration d'au moins un système numérique. Par exemple, les systèmes de bibliothèque, de publication ou informatiques. </w:t>
            </w:r>
          </w:p>
          <w:p w14:paraId="38FA4475" w14:textId="0D12B98D" w:rsidR="003B5F50" w:rsidRDefault="000D2D85">
            <w:pPr>
              <w:pStyle w:val="P68B1DB1-Normal15"/>
              <w:spacing w:after="120" w:line="259" w:lineRule="auto"/>
              <w:rPr>
                <w:noProof/>
              </w:rPr>
            </w:pPr>
            <w:r>
              <w:rPr>
                <w:noProof/>
              </w:rPr>
              <w:t>Au moins cinq programmes d'études conjoints sont établis par consortium. Au moins l'une d'entre elles, pour chaque consortium, est établie dans un domaine d'études dans lequel une ou plusieurs universités proposant le programme commun affichent des performances supérieures à la moyenne dans le système d'évaluation des performances scientifiques.</w:t>
            </w:r>
          </w:p>
          <w:p w14:paraId="406E4B5E" w14:textId="11A2C9A8" w:rsidR="003B5F50" w:rsidRDefault="003B5F50">
            <w:pPr>
              <w:spacing w:after="120" w:line="259" w:lineRule="auto"/>
              <w:rPr>
                <w:rFonts w:ascii="Times New Roman" w:hAnsi="Times New Roman"/>
                <w:noProof/>
                <w:color w:val="006100"/>
                <w:sz w:val="20"/>
                <w:szCs w:val="20"/>
              </w:rPr>
            </w:pPr>
          </w:p>
          <w:p w14:paraId="50B4B120" w14:textId="77777777" w:rsidR="003B5F50" w:rsidRDefault="000D2D85">
            <w:pPr>
              <w:pStyle w:val="P68B1DB1-Normal14"/>
              <w:spacing w:after="120" w:line="259" w:lineRule="auto"/>
              <w:rPr>
                <w:noProof/>
              </w:rPr>
            </w:pPr>
            <w:r>
              <w:rPr>
                <w:noProof/>
              </w:rPr>
              <w:t>Mise en place d'une feuille de route pour un troisième consortium et signature d'un contrat entre le ministère et l'université pour la mise en place de ce consortium.</w:t>
            </w:r>
          </w:p>
        </w:tc>
      </w:tr>
      <w:tr w:rsidR="003B5F50" w14:paraId="50B4B12F" w14:textId="77777777" w:rsidTr="00F133D4">
        <w:trPr>
          <w:trHeight w:val="722"/>
        </w:trPr>
        <w:tc>
          <w:tcPr>
            <w:tcW w:w="348" w:type="pct"/>
            <w:shd w:val="clear" w:color="auto" w:fill="C6EFCE"/>
          </w:tcPr>
          <w:p w14:paraId="50B4B122" w14:textId="77777777" w:rsidR="003B5F50" w:rsidRDefault="000D2D85">
            <w:pPr>
              <w:pStyle w:val="P68B1DB1-Normal14"/>
              <w:jc w:val="center"/>
              <w:rPr>
                <w:noProof/>
                <w:szCs w:val="20"/>
              </w:rPr>
            </w:pPr>
            <w:r>
              <w:rPr>
                <w:noProof/>
              </w:rPr>
              <w:t>9</w:t>
            </w:r>
          </w:p>
        </w:tc>
        <w:tc>
          <w:tcPr>
            <w:tcW w:w="551" w:type="pct"/>
            <w:shd w:val="clear" w:color="auto" w:fill="C6EFCE"/>
          </w:tcPr>
          <w:p w14:paraId="50B4B123" w14:textId="77777777" w:rsidR="003B5F50" w:rsidRDefault="000D2D85">
            <w:pPr>
              <w:pStyle w:val="P68B1DB1-Normal14"/>
              <w:rPr>
                <w:noProof/>
                <w:szCs w:val="20"/>
              </w:rPr>
            </w:pPr>
            <w:r>
              <w:rPr>
                <w:noProof/>
              </w:rPr>
              <w:t>8 – Augmentation des performances des établissements d’enseignement supérieur slovaques –</w:t>
            </w:r>
            <w:r>
              <w:rPr>
                <w:noProof/>
                <w:szCs w:val="20"/>
              </w:rPr>
              <w:t>Investissement 1</w:t>
            </w:r>
            <w:r>
              <w:rPr>
                <w:noProof/>
              </w:rPr>
              <w:t>: soutien au développement stratégique des universités</w:t>
            </w:r>
          </w:p>
        </w:tc>
        <w:tc>
          <w:tcPr>
            <w:tcW w:w="283" w:type="pct"/>
            <w:shd w:val="clear" w:color="auto" w:fill="C6EFCE"/>
          </w:tcPr>
          <w:p w14:paraId="50B4B124" w14:textId="77777777" w:rsidR="003B5F50" w:rsidRDefault="000D2D85">
            <w:pPr>
              <w:pStyle w:val="P68B1DB1-Normal14"/>
              <w:rPr>
                <w:noProof/>
                <w:szCs w:val="20"/>
              </w:rPr>
            </w:pPr>
            <w:r>
              <w:rPr>
                <w:noProof/>
              </w:rPr>
              <w:t>Étape</w:t>
            </w:r>
          </w:p>
        </w:tc>
        <w:tc>
          <w:tcPr>
            <w:tcW w:w="283" w:type="pct"/>
            <w:shd w:val="clear" w:color="auto" w:fill="C6EFCE"/>
          </w:tcPr>
          <w:p w14:paraId="50B4B125" w14:textId="77777777" w:rsidR="003B5F50" w:rsidRDefault="000D2D85">
            <w:pPr>
              <w:pStyle w:val="P68B1DB1-Normal14"/>
              <w:rPr>
                <w:noProof/>
                <w:szCs w:val="20"/>
              </w:rPr>
            </w:pPr>
            <w:r>
              <w:rPr>
                <w:noProof/>
              </w:rPr>
              <w:t>Au moins 2 appels conclus pour soutenir le développement stratégique des universités</w:t>
            </w:r>
          </w:p>
        </w:tc>
        <w:tc>
          <w:tcPr>
            <w:tcW w:w="666" w:type="pct"/>
            <w:shd w:val="clear" w:color="auto" w:fill="C6EFCE"/>
          </w:tcPr>
          <w:p w14:paraId="50B4B126" w14:textId="77777777" w:rsidR="003B5F50" w:rsidRDefault="000D2D85">
            <w:pPr>
              <w:pStyle w:val="P68B1DB1-Normal14"/>
              <w:rPr>
                <w:noProof/>
                <w:szCs w:val="20"/>
              </w:rPr>
            </w:pPr>
            <w:r>
              <w:rPr>
                <w:noProof/>
              </w:rPr>
              <w:t xml:space="preserve">Attribution des marchés à la suite des appels </w:t>
            </w:r>
          </w:p>
        </w:tc>
        <w:tc>
          <w:tcPr>
            <w:tcW w:w="396" w:type="pct"/>
            <w:shd w:val="clear" w:color="auto" w:fill="C6EFCE"/>
          </w:tcPr>
          <w:p w14:paraId="50B4B127" w14:textId="77777777" w:rsidR="003B5F50" w:rsidRDefault="000D2D85">
            <w:pPr>
              <w:pStyle w:val="P68B1DB1-Normal14"/>
              <w:rPr>
                <w:noProof/>
                <w:szCs w:val="20"/>
              </w:rPr>
            </w:pPr>
            <w:r>
              <w:rPr>
                <w:noProof/>
              </w:rPr>
              <w:t xml:space="preserve"> </w:t>
            </w:r>
          </w:p>
        </w:tc>
        <w:tc>
          <w:tcPr>
            <w:tcW w:w="346" w:type="pct"/>
            <w:shd w:val="clear" w:color="auto" w:fill="C6EFCE"/>
          </w:tcPr>
          <w:p w14:paraId="50B4B128" w14:textId="77777777" w:rsidR="003B5F50" w:rsidRDefault="000D2D85">
            <w:pPr>
              <w:pStyle w:val="P68B1DB1-Normal14"/>
              <w:rPr>
                <w:noProof/>
                <w:szCs w:val="20"/>
              </w:rPr>
            </w:pPr>
            <w:r>
              <w:rPr>
                <w:noProof/>
              </w:rPr>
              <w:t xml:space="preserve"> </w:t>
            </w:r>
          </w:p>
        </w:tc>
        <w:tc>
          <w:tcPr>
            <w:tcW w:w="346" w:type="pct"/>
            <w:shd w:val="clear" w:color="auto" w:fill="C6EFCE"/>
          </w:tcPr>
          <w:p w14:paraId="50B4B129" w14:textId="77777777" w:rsidR="003B5F50" w:rsidRDefault="000D2D85">
            <w:pPr>
              <w:pStyle w:val="P68B1DB1-Normal14"/>
              <w:rPr>
                <w:noProof/>
                <w:szCs w:val="20"/>
              </w:rPr>
            </w:pPr>
            <w:r>
              <w:rPr>
                <w:noProof/>
              </w:rPr>
              <w:t xml:space="preserve"> </w:t>
            </w:r>
          </w:p>
        </w:tc>
        <w:tc>
          <w:tcPr>
            <w:tcW w:w="373" w:type="pct"/>
            <w:shd w:val="clear" w:color="auto" w:fill="C6EFCE"/>
          </w:tcPr>
          <w:p w14:paraId="50B4B12A" w14:textId="77777777" w:rsidR="003B5F50" w:rsidRDefault="000D2D85">
            <w:pPr>
              <w:pStyle w:val="P68B1DB1-Normal14"/>
              <w:jc w:val="center"/>
              <w:rPr>
                <w:noProof/>
                <w:szCs w:val="20"/>
              </w:rPr>
            </w:pPr>
            <w:r>
              <w:rPr>
                <w:noProof/>
              </w:rPr>
              <w:t>T3</w:t>
            </w:r>
          </w:p>
        </w:tc>
        <w:tc>
          <w:tcPr>
            <w:tcW w:w="283" w:type="pct"/>
            <w:shd w:val="clear" w:color="auto" w:fill="C6EFCE"/>
          </w:tcPr>
          <w:p w14:paraId="50B4B12B" w14:textId="77777777" w:rsidR="003B5F50" w:rsidRDefault="000D2D85">
            <w:pPr>
              <w:pStyle w:val="P68B1DB1-Normal14"/>
              <w:jc w:val="center"/>
              <w:rPr>
                <w:noProof/>
                <w:szCs w:val="20"/>
              </w:rPr>
            </w:pPr>
            <w:r>
              <w:rPr>
                <w:noProof/>
              </w:rPr>
              <w:t>2023</w:t>
            </w:r>
          </w:p>
        </w:tc>
        <w:tc>
          <w:tcPr>
            <w:tcW w:w="1124" w:type="pct"/>
            <w:shd w:val="clear" w:color="auto" w:fill="C6EFCE"/>
          </w:tcPr>
          <w:p w14:paraId="50B4B12C" w14:textId="77777777" w:rsidR="003B5F50" w:rsidRDefault="000D2D85">
            <w:pPr>
              <w:pStyle w:val="P68B1DB1-Normal14"/>
              <w:rPr>
                <w:noProof/>
                <w:szCs w:val="20"/>
              </w:rPr>
            </w:pPr>
            <w:r>
              <w:rPr>
                <w:noProof/>
              </w:rPr>
              <w:t>2 appels à soutenir le développement stratégique des universités tel que décrit dans la réforme 5 prévoient:</w:t>
            </w:r>
          </w:p>
          <w:p w14:paraId="50B4B12D" w14:textId="77777777" w:rsidR="003B5F50" w:rsidRDefault="000D2D85">
            <w:pPr>
              <w:pStyle w:val="P68B1DB1-Normal14"/>
              <w:rPr>
                <w:noProof/>
                <w:szCs w:val="20"/>
              </w:rPr>
            </w:pPr>
            <w:r>
              <w:rPr>
                <w:noProof/>
              </w:rPr>
              <w:t>a) Le sous-programme pour le développement universitaire soutient des projets d'infrastructure pour le développement d'infrastructures de recherche, d'éducation et d'hébergement à haute valeur ajoutée pour une recherche d'excellence et une internationalisation: par exemple, la mise à niveau d’espaces existants ou nouveaux pour la concentration d’excellents travaux de recherche et d’études doctorales, y compris des chercheurs étrangers, la mise à niveau d’espaces existants ou nouveaux pour l’enseignement pratique dans des cours de licence professionnelle, la mise à niveau de locaux existants ou nouveaux pour des installations intérieures, la suppression des obstacles et la numérisation moderne des bâtiments;</w:t>
            </w:r>
          </w:p>
          <w:p w14:paraId="50B4B12E" w14:textId="77777777" w:rsidR="003B5F50" w:rsidRDefault="000D2D85">
            <w:pPr>
              <w:pStyle w:val="P68B1DB1-Normal14"/>
              <w:rPr>
                <w:noProof/>
                <w:szCs w:val="20"/>
              </w:rPr>
            </w:pPr>
            <w:r>
              <w:rPr>
                <w:noProof/>
              </w:rPr>
              <w:t>b) Le programme de développement universitaire soutient la gestion de projets et les investissements induits en rassemblant les universités. Une fois la feuille de route approuvée, et en fonction de sa faisabilité et de son ambition, ainsi que de la justification des investissements nécessaires et de la garantie de leur pérennité, elle comprend un plan d’investissement lié au processus de regroupement des unités universitaires.</w:t>
            </w:r>
          </w:p>
        </w:tc>
      </w:tr>
      <w:tr w:rsidR="003B5F50" w14:paraId="50B4B13D" w14:textId="77777777" w:rsidTr="00F133D4">
        <w:trPr>
          <w:trHeight w:val="1860"/>
        </w:trPr>
        <w:tc>
          <w:tcPr>
            <w:tcW w:w="348" w:type="pct"/>
            <w:shd w:val="clear" w:color="auto" w:fill="C6EFCE"/>
          </w:tcPr>
          <w:p w14:paraId="50B4B130" w14:textId="77777777" w:rsidR="003B5F50" w:rsidRDefault="000D2D85">
            <w:pPr>
              <w:pStyle w:val="P68B1DB1-Normal14"/>
              <w:jc w:val="center"/>
              <w:rPr>
                <w:noProof/>
                <w:szCs w:val="20"/>
              </w:rPr>
            </w:pPr>
            <w:r>
              <w:rPr>
                <w:noProof/>
              </w:rPr>
              <w:t>10</w:t>
            </w:r>
          </w:p>
        </w:tc>
        <w:tc>
          <w:tcPr>
            <w:tcW w:w="551" w:type="pct"/>
            <w:shd w:val="clear" w:color="auto" w:fill="C6EFCE"/>
          </w:tcPr>
          <w:p w14:paraId="50B4B131" w14:textId="77777777" w:rsidR="003B5F50" w:rsidRDefault="000D2D85">
            <w:pPr>
              <w:pStyle w:val="P68B1DB1-Normal14"/>
              <w:rPr>
                <w:noProof/>
                <w:szCs w:val="20"/>
              </w:rPr>
            </w:pPr>
            <w:r>
              <w:rPr>
                <w:noProof/>
              </w:rPr>
              <w:t xml:space="preserve">8 – Augmentation des performances des établissements d’enseignement supérieur slovaques – </w:t>
            </w:r>
            <w:r>
              <w:rPr>
                <w:noProof/>
                <w:szCs w:val="20"/>
              </w:rPr>
              <w:t>Investissement 1</w:t>
            </w:r>
            <w:r>
              <w:rPr>
                <w:noProof/>
              </w:rPr>
              <w:t>: soutien au développement stratégique des universités</w:t>
            </w:r>
          </w:p>
        </w:tc>
        <w:tc>
          <w:tcPr>
            <w:tcW w:w="283" w:type="pct"/>
            <w:shd w:val="clear" w:color="auto" w:fill="C6EFCE"/>
          </w:tcPr>
          <w:p w14:paraId="50B4B132" w14:textId="77777777" w:rsidR="003B5F50" w:rsidRDefault="000D2D85">
            <w:pPr>
              <w:pStyle w:val="P68B1DB1-Normal14"/>
              <w:rPr>
                <w:noProof/>
                <w:szCs w:val="20"/>
              </w:rPr>
            </w:pPr>
            <w:r>
              <w:rPr>
                <w:noProof/>
              </w:rPr>
              <w:t>Objectif</w:t>
            </w:r>
          </w:p>
        </w:tc>
        <w:tc>
          <w:tcPr>
            <w:tcW w:w="283" w:type="pct"/>
            <w:shd w:val="clear" w:color="auto" w:fill="C6EFCE"/>
          </w:tcPr>
          <w:p w14:paraId="50B4B133" w14:textId="77777777" w:rsidR="003B5F50" w:rsidRDefault="000D2D85">
            <w:pPr>
              <w:pStyle w:val="P68B1DB1-Normal14"/>
              <w:rPr>
                <w:noProof/>
                <w:szCs w:val="20"/>
              </w:rPr>
            </w:pPr>
            <w:r>
              <w:rPr>
                <w:noProof/>
              </w:rPr>
              <w:t xml:space="preserve">Zone universitaire et dortoir reconstruits ou rénovés  </w:t>
            </w:r>
          </w:p>
        </w:tc>
        <w:tc>
          <w:tcPr>
            <w:tcW w:w="666" w:type="pct"/>
            <w:shd w:val="clear" w:color="auto" w:fill="C6EFCE"/>
          </w:tcPr>
          <w:p w14:paraId="50B4B134" w14:textId="77777777" w:rsidR="003B5F50" w:rsidRDefault="003B5F50">
            <w:pPr>
              <w:rPr>
                <w:rFonts w:ascii="Times New Roman" w:hAnsi="Times New Roman"/>
                <w:noProof/>
                <w:sz w:val="20"/>
                <w:szCs w:val="20"/>
              </w:rPr>
            </w:pPr>
          </w:p>
        </w:tc>
        <w:tc>
          <w:tcPr>
            <w:tcW w:w="396" w:type="pct"/>
            <w:shd w:val="clear" w:color="auto" w:fill="C6EFCE"/>
          </w:tcPr>
          <w:p w14:paraId="50B4B135" w14:textId="77777777" w:rsidR="003B5F50" w:rsidRDefault="000D2D85">
            <w:pPr>
              <w:pStyle w:val="P68B1DB1-Normal14"/>
              <w:rPr>
                <w:noProof/>
                <w:szCs w:val="20"/>
              </w:rPr>
            </w:pPr>
            <w:r>
              <w:rPr>
                <w:noProof/>
              </w:rPr>
              <w:t>Numéro</w:t>
            </w:r>
          </w:p>
        </w:tc>
        <w:tc>
          <w:tcPr>
            <w:tcW w:w="346" w:type="pct"/>
            <w:shd w:val="clear" w:color="auto" w:fill="C6EFCE"/>
          </w:tcPr>
          <w:p w14:paraId="50B4B136" w14:textId="77777777" w:rsidR="003B5F50" w:rsidRDefault="000D2D85">
            <w:pPr>
              <w:pStyle w:val="P68B1DB1-Normal14"/>
              <w:jc w:val="right"/>
              <w:rPr>
                <w:noProof/>
                <w:szCs w:val="20"/>
              </w:rPr>
            </w:pPr>
            <w:r>
              <w:rPr>
                <w:noProof/>
              </w:rPr>
              <w:t>0</w:t>
            </w:r>
          </w:p>
        </w:tc>
        <w:tc>
          <w:tcPr>
            <w:tcW w:w="346" w:type="pct"/>
            <w:shd w:val="clear" w:color="auto" w:fill="C6EFCE"/>
          </w:tcPr>
          <w:p w14:paraId="50B4B137" w14:textId="77777777" w:rsidR="003B5F50" w:rsidRDefault="000D2D85">
            <w:pPr>
              <w:pStyle w:val="P68B1DB1-Normal27"/>
              <w:rPr>
                <w:rFonts w:ascii="Times New Roman" w:hAnsi="Times New Roman" w:cs="Times New Roman"/>
                <w:noProof/>
                <w:szCs w:val="20"/>
              </w:rPr>
            </w:pPr>
            <w:r>
              <w:rPr>
                <w:rFonts w:ascii="Times New Roman" w:hAnsi="Times New Roman" w:cs="Times New Roman"/>
                <w:noProof/>
                <w:szCs w:val="20"/>
              </w:rPr>
              <w:t>126</w:t>
            </w:r>
            <w:r>
              <w:rPr>
                <w:rFonts w:ascii="Times New Roman" w:hAnsi="Times New Roman"/>
                <w:noProof/>
              </w:rPr>
              <w:t xml:space="preserve"> </w:t>
            </w:r>
            <w:r>
              <w:rPr>
                <w:rFonts w:ascii="Times New Roman" w:hAnsi="Times New Roman" w:cs="Times New Roman"/>
                <w:noProof/>
                <w:szCs w:val="20"/>
              </w:rPr>
              <w:t>826</w:t>
            </w:r>
          </w:p>
          <w:p w14:paraId="50B4B138" w14:textId="77777777" w:rsidR="003B5F50" w:rsidRDefault="003B5F50">
            <w:pPr>
              <w:rPr>
                <w:rFonts w:ascii="Times New Roman" w:hAnsi="Times New Roman" w:cs="Times New Roman"/>
                <w:strike/>
                <w:noProof/>
                <w:color w:val="006100"/>
                <w:sz w:val="20"/>
                <w:szCs w:val="20"/>
              </w:rPr>
            </w:pPr>
          </w:p>
        </w:tc>
        <w:tc>
          <w:tcPr>
            <w:tcW w:w="373" w:type="pct"/>
            <w:shd w:val="clear" w:color="auto" w:fill="C6EFCE"/>
          </w:tcPr>
          <w:p w14:paraId="50B4B139" w14:textId="77777777" w:rsidR="003B5F50" w:rsidRDefault="000D2D85">
            <w:pPr>
              <w:pStyle w:val="P68B1DB1-Normal14"/>
              <w:jc w:val="center"/>
              <w:rPr>
                <w:noProof/>
                <w:szCs w:val="20"/>
              </w:rPr>
            </w:pPr>
            <w:r>
              <w:rPr>
                <w:noProof/>
              </w:rPr>
              <w:t>T2</w:t>
            </w:r>
          </w:p>
        </w:tc>
        <w:tc>
          <w:tcPr>
            <w:tcW w:w="283" w:type="pct"/>
            <w:shd w:val="clear" w:color="auto" w:fill="C6EFCE"/>
          </w:tcPr>
          <w:p w14:paraId="50B4B13A" w14:textId="77777777" w:rsidR="003B5F50" w:rsidRDefault="000D2D85">
            <w:pPr>
              <w:pStyle w:val="P68B1DB1-Normal14"/>
              <w:jc w:val="center"/>
              <w:rPr>
                <w:noProof/>
                <w:szCs w:val="20"/>
              </w:rPr>
            </w:pPr>
            <w:r>
              <w:rPr>
                <w:noProof/>
              </w:rPr>
              <w:t>2026</w:t>
            </w:r>
          </w:p>
        </w:tc>
        <w:tc>
          <w:tcPr>
            <w:tcW w:w="1124" w:type="pct"/>
            <w:shd w:val="clear" w:color="auto" w:fill="C6EFCE"/>
          </w:tcPr>
          <w:p w14:paraId="50B4B13B" w14:textId="6F75B7A6" w:rsidR="003B5F50" w:rsidRDefault="000D2D85">
            <w:pPr>
              <w:pStyle w:val="P68B1DB1-Normal14"/>
              <w:rPr>
                <w:noProof/>
              </w:rPr>
            </w:pPr>
            <w:r>
              <w:rPr>
                <w:noProof/>
              </w:rPr>
              <w:t>126 826</w:t>
            </w:r>
            <w:r>
              <w:rPr>
                <w:strike/>
                <w:noProof/>
              </w:rPr>
              <w:t xml:space="preserve"> </w:t>
            </w:r>
            <w:r>
              <w:rPr>
                <w:noProof/>
              </w:rPr>
              <w:t xml:space="preserve">m2 doivent être reconstruits ou rénovés. </w:t>
            </w:r>
          </w:p>
          <w:p w14:paraId="50B4B13C" w14:textId="77777777" w:rsidR="003B5F50" w:rsidRDefault="000D2D85">
            <w:pPr>
              <w:pStyle w:val="P68B1DB1-Normal15"/>
              <w:rPr>
                <w:noProof/>
              </w:rPr>
            </w:pPr>
            <w:r>
              <w:rPr>
                <w:noProof/>
              </w:rPr>
              <w:t>Les bâtiments faisant l’objet d’une rénovation contribuent à la transition écologique en réalisant au moins 30 % d’économies d’énergie primaire en moyenne.</w:t>
            </w:r>
          </w:p>
        </w:tc>
      </w:tr>
    </w:tbl>
    <w:p w14:paraId="50B4B13E" w14:textId="77777777" w:rsidR="003B5F50" w:rsidRDefault="003B5F50">
      <w:pPr>
        <w:rPr>
          <w:noProof/>
        </w:rPr>
      </w:pPr>
    </w:p>
    <w:p w14:paraId="50B4B13F" w14:textId="77777777" w:rsidR="003B5F50" w:rsidRDefault="003B5F50">
      <w:pPr>
        <w:pStyle w:val="Heading2"/>
        <w:rPr>
          <w:rFonts w:ascii="Times New Roman" w:hAnsi="Times New Roman" w:cs="Times New Roman"/>
          <w:b/>
          <w:bCs/>
          <w:noProof/>
          <w:sz w:val="24"/>
          <w:szCs w:val="24"/>
        </w:rPr>
        <w:sectPr w:rsidR="003B5F50" w:rsidSect="003E3DD3">
          <w:headerReference w:type="even" r:id="rId107"/>
          <w:headerReference w:type="default" r:id="rId108"/>
          <w:footerReference w:type="even" r:id="rId109"/>
          <w:footerReference w:type="default" r:id="rId110"/>
          <w:headerReference w:type="first" r:id="rId111"/>
          <w:footerReference w:type="first" r:id="rId112"/>
          <w:pgSz w:w="15840" w:h="12240" w:orient="landscape"/>
          <w:pgMar w:top="1134" w:right="1134" w:bottom="1134" w:left="1134" w:header="567" w:footer="567" w:gutter="0"/>
          <w:cols w:space="720"/>
          <w:docGrid w:linePitch="360"/>
        </w:sectPr>
      </w:pPr>
    </w:p>
    <w:p w14:paraId="50B4B140" w14:textId="77777777" w:rsidR="003B5F50" w:rsidRDefault="000D2D85">
      <w:pPr>
        <w:pStyle w:val="P68B1DB1-Heading218"/>
        <w:rPr>
          <w:bCs/>
          <w:noProof/>
        </w:rPr>
      </w:pPr>
      <w:r>
        <w:rPr>
          <w:noProof/>
        </w:rPr>
        <w:t>COMPOSANT 9 : Gestion et renforcement plus efficaces du financement de la R &amp; D &amp; I</w:t>
      </w:r>
    </w:p>
    <w:p w14:paraId="50B4B141" w14:textId="77777777" w:rsidR="003B5F50" w:rsidRDefault="000D2D85">
      <w:pPr>
        <w:pStyle w:val="NormalWeb"/>
        <w:rPr>
          <w:noProof/>
        </w:rPr>
      </w:pPr>
      <w:r>
        <w:rPr>
          <w:noProof/>
        </w:rPr>
        <w:t xml:space="preserve">Ce volet du plan slovaque pour la reprise et la résilience s’attaque à d’importants goulets d’étranglement structurels dans l’écosystème slovaque de la recherche, du développement et de l’innovation (RDI), tels que la fragmentation de la gouvernance de la RDI, l’insuffisance de la coopération entre le secteur privé et le monde universitaire, l’internationalisation et le financement de la RDI. L'objectif à plus long terme est de stimuler la participation privée à la RDI par une augmentation des dépenses privées de R&amp;D.  </w:t>
      </w:r>
    </w:p>
    <w:p w14:paraId="50B4B142" w14:textId="77777777" w:rsidR="003B5F50" w:rsidRDefault="000D2D85">
      <w:pPr>
        <w:pStyle w:val="NormalWeb"/>
        <w:rPr>
          <w:rFonts w:eastAsia="Times New Roman"/>
          <w:noProof/>
        </w:rPr>
      </w:pPr>
      <w:r>
        <w:rPr>
          <w:noProof/>
        </w:rPr>
        <w:t xml:space="preserve">Ce volet vise à renforcer les performances de la RDI et le potentiel d'innovation, qui sont une condition préalable nécessaire à une croissance économique compétitive et durable. Les mesures proposées sont axées sur le renforcement de la gouvernance de la RDI, de la coordination globale, de l’impact et de l’efficacité de l’investissement dans la RDI, ainsi que sur la promotion de la coopération public-privé et de l’investissement privé. Les mesures soutiennent l’excellence et l’internationalisation de la recherche, ainsi que l’attraction et la rétention des talents dans les domaines de la science et de l’innovation. L’objectif des programmes d’investissement est de générer de nouveaux projets de RDI dans des secteurs clés de l’économie ayant un potentiel de transformation afin de soutenir la création d’emplois à plus forte valeur ajoutée et de stimuler la croissance de l’écosystème d’innovation aux niveaux national et régional. </w:t>
      </w:r>
    </w:p>
    <w:p w14:paraId="50B4B143" w14:textId="77777777" w:rsidR="003B5F50" w:rsidRDefault="000D2D85">
      <w:pPr>
        <w:pStyle w:val="NormalWeb"/>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B144" w14:textId="77777777" w:rsidR="003B5F50" w:rsidRDefault="000D2D85">
      <w:pPr>
        <w:pStyle w:val="NormalWeb"/>
        <w:rPr>
          <w:rFonts w:eastAsia="Times New Roman"/>
          <w:noProof/>
        </w:rPr>
      </w:pPr>
      <w:r>
        <w:rPr>
          <w:noProof/>
        </w:rPr>
        <w:t>Le volet se compose de 2 réformes et de 6 investissements, qui sont étroitement liés. Les réformes de la RDI sont conçues comme une condition préalable à une absorption efficiente et efficace des investissements.</w:t>
      </w:r>
    </w:p>
    <w:p w14:paraId="50B4B145" w14:textId="77777777" w:rsidR="003B5F50" w:rsidRDefault="000D2D85">
      <w:pPr>
        <w:pStyle w:val="NormalWeb"/>
        <w:rPr>
          <w:noProof/>
        </w:rPr>
      </w:pPr>
      <w:r>
        <w:rPr>
          <w:noProof/>
        </w:rPr>
        <w:t xml:space="preserve">Tous les régimes d’investissement respectent les principes DNSH exigeant des investissements neutres sur le plan technologique au niveau des applications et excluant les domaines potentiellement dommageables tels que les combustibles fossiles, y compris l’utilisation en aval. Le lancement de tous les appels à propositions concurrentiels comprend des critères d’éligibilité qui garantissent que les projets sélectionnés respectent les principes consistant à «ne pas causer de préjudice important» grâce à l’utilisation d’une liste d’exclusion et à l’exigence de conformité avec la législation environnementale pertinente de l’Union et des États membres. </w:t>
      </w:r>
    </w:p>
    <w:p w14:paraId="50B4B146" w14:textId="77777777" w:rsidR="003B5F50" w:rsidRDefault="000D2D85">
      <w:pPr>
        <w:pStyle w:val="P68B1DB1-Normal11"/>
        <w:spacing w:before="120" w:after="120" w:line="240" w:lineRule="auto"/>
        <w:jc w:val="both"/>
        <w:rPr>
          <w:noProof/>
        </w:rPr>
      </w:pPr>
      <w:r>
        <w:rPr>
          <w:noProof/>
        </w:rPr>
        <w:t>Les investissements et les réformes contribuent aux recommandations par pays adressées à la Slovaquie au cours des deux dernières années, sur la nécessité de «axer la politique d’investissement sur la recherche et l’innovation» (recommandations par pays no 2/2019), de «axer les investissements sur la transition écologique et numérique» (recommandation par pays no 3/2020) et d’«améliorer la coordination et l’élaboration des politiques» (recommandations par pays no 4/2020).</w:t>
      </w:r>
    </w:p>
    <w:p w14:paraId="50B4B147" w14:textId="6500E390" w:rsidR="003B5F50" w:rsidRDefault="000D2D85">
      <w:pPr>
        <w:spacing w:before="120" w:after="120" w:line="240" w:lineRule="auto"/>
        <w:jc w:val="both"/>
        <w:rPr>
          <w:rFonts w:ascii="Times New Roman" w:hAnsi="Times New Roman"/>
          <w:noProof/>
        </w:rPr>
      </w:pPr>
      <w:r>
        <w:rPr>
          <w:rFonts w:ascii="Times New Roman" w:hAnsi="Times New Roman"/>
          <w:b/>
          <w:noProof/>
          <w:u w:val="single"/>
        </w:rPr>
        <w:t xml:space="preserve">A.1. </w:t>
      </w:r>
      <w:r>
        <w:rPr>
          <w:noProof/>
        </w:rPr>
        <w:t xml:space="preserve"> </w:t>
      </w:r>
      <w:r>
        <w:rPr>
          <w:rFonts w:ascii="Times New Roman" w:hAnsi="Times New Roman"/>
          <w:b/>
          <w:noProof/>
          <w:u w:val="single"/>
        </w:rPr>
        <w:t>Description des réformes et des investissements pour le soutien financier non remboursable</w:t>
      </w:r>
    </w:p>
    <w:p w14:paraId="50B4B148" w14:textId="77777777" w:rsidR="003B5F50" w:rsidRDefault="000D2D85">
      <w:pPr>
        <w:pStyle w:val="P68B1DB1-Normal19"/>
        <w:spacing w:before="120" w:after="120" w:line="240" w:lineRule="auto"/>
        <w:jc w:val="both"/>
        <w:rPr>
          <w:noProof/>
        </w:rPr>
      </w:pPr>
      <w:r>
        <w:rPr>
          <w:noProof/>
        </w:rPr>
        <w:t>Réforme 1: Réforme de la gouvernance, de l'évaluation et du soutien dans les domaines de la science, de la recherche et de l'innovation.</w:t>
      </w:r>
    </w:p>
    <w:p w14:paraId="50B4B149" w14:textId="77777777" w:rsidR="003B5F50" w:rsidRDefault="000D2D85">
      <w:pPr>
        <w:pStyle w:val="NormalWeb"/>
        <w:rPr>
          <w:noProof/>
        </w:rPr>
      </w:pPr>
      <w:r>
        <w:rPr>
          <w:noProof/>
        </w:rPr>
        <w:t xml:space="preserve">La réforme se concentre sur la modification de la législation pertinente en matière de RDI, qui renforcera la structure de gouvernance de la RDI, renforcera et professionnalisera la coordination interministérielle des politiques de RDI. La nouvelle structure de gouvernance est composée du gouvernement slovaque, du conseil gouvernemental pour la science, la technologie et l’innovation et du secrétariat créé sous l’autorité du bureau gouvernemental. La réforme repose sur cinq piliers: i) une stratégie et une coordination fortes en matière de suradministration, ii) des normes transversales efficaces pour les instruments de soutien, iii) la consolidation des organismes subventionnaires et le renforcement de leur expertise, iv) l’application des principes de bonne gouvernance et d’efficacité et v) un système unifié d’évaluation institutionnelle et de financement institutionnel de la RDI. </w:t>
      </w:r>
    </w:p>
    <w:p w14:paraId="50B4B14A" w14:textId="77777777" w:rsidR="003B5F50" w:rsidRDefault="000D2D85">
      <w:pPr>
        <w:pStyle w:val="P68B1DB1-Normal20"/>
        <w:jc w:val="both"/>
        <w:rPr>
          <w:noProof/>
        </w:rPr>
      </w:pPr>
      <w:r>
        <w:rPr>
          <w:noProof/>
        </w:rPr>
        <w:br w:type="page"/>
        <w:t>La révision de la législation (loi no 172/2005) est proposée par le ministère de l’éducation, de la science, de la recherche et des sports et entre en vigueur le 31 mars 2022 au plus tard. La réforme comprend l’adoption d’une nouvelle stratégie nationale en matière de RDI afin de fournir une orientation stratégique, des objectifs et des outils à appliquer à tous les types de soutien public, y compris les fonds nationaux et de l’UE, de manière cohérente et complémentaire. Le gouvernement adopte la stratégie au plus tard le 30 septembre 2022. Afin de réduire au minimum les inefficacités, les principes de bonne gouvernance et de financement efficace sont traduits en une méthode à appliquer ex ante aux investissements dans la RDI. La nouvelle stratégie et les nouvelles mesures en matière de RDI tiennent compte de la stratégie révisée de spécialisation intelligente visant à favoriser la concentration thématique, ainsi que des recommandations d’études récentes telles que l’OCDE visant à améliorer la mise en œuvre des investissements en matière de RDI et des «enseignements tirés» des périodes de programmation de la politique de cohésion. Le processus d’évaluation est réformé afin d’accroître le recours à des experts et à des évaluateurs étrangers, et les processus administratifs sont progressivement rationalisés.</w:t>
      </w:r>
    </w:p>
    <w:p w14:paraId="50B4B14B" w14:textId="77777777" w:rsidR="003B5F50" w:rsidRDefault="000D2D85">
      <w:pPr>
        <w:pStyle w:val="NormalWeb"/>
        <w:rPr>
          <w:noProof/>
        </w:rPr>
      </w:pPr>
      <w:r>
        <w:rPr>
          <w:noProof/>
        </w:rPr>
        <w:t>La mise en œuvre de la réforme est achevée au plus tard le 30 septembre 2022.</w:t>
      </w:r>
    </w:p>
    <w:p w14:paraId="50B4B14C" w14:textId="77777777" w:rsidR="003B5F50" w:rsidRDefault="000D2D85">
      <w:pPr>
        <w:pStyle w:val="P68B1DB1-Normal19"/>
        <w:spacing w:before="120" w:after="120" w:line="240" w:lineRule="auto"/>
        <w:jc w:val="both"/>
        <w:rPr>
          <w:noProof/>
        </w:rPr>
      </w:pPr>
      <w:r>
        <w:rPr>
          <w:noProof/>
        </w:rPr>
        <w:t xml:space="preserve">Réforme 2: Réforme de l'organisation et du financement des institutions de recherche, en particulier l'Académie slovaque des sciences.  </w:t>
      </w:r>
    </w:p>
    <w:p w14:paraId="50B4B14D" w14:textId="77777777" w:rsidR="003B5F50" w:rsidRDefault="000D2D85">
      <w:pPr>
        <w:pStyle w:val="NormalWeb"/>
        <w:rPr>
          <w:rFonts w:eastAsia="Times New Roman"/>
          <w:noProof/>
        </w:rPr>
      </w:pPr>
      <w:r>
        <w:rPr>
          <w:noProof/>
        </w:rPr>
        <w:t xml:space="preserve">La réforme vise à achever la transformation de l'Académie slovaque des sciences (SAS) en une organisation publique afin de stimuler le financement multi-sources et la coopération avec le secteur privé. La réforme sera rendue possible par une révision des deux actes législatifs (loi no 133/2002 sur les SAS et loi no 243/2017 sur les établissements publics de recherche) proposés par le ministère de l’éducation, de la science, de la recherche et des sports. Elle permettra à la SAS de nouer des relations commerciales et de propriété liées à la RDI avec une protection totale des droits de propriété intellectuelle et des gains financiers. </w:t>
      </w:r>
    </w:p>
    <w:p w14:paraId="50B4B14E" w14:textId="77777777" w:rsidR="003B5F50" w:rsidRDefault="000D2D85">
      <w:pPr>
        <w:pStyle w:val="NormalWeb"/>
        <w:rPr>
          <w:noProof/>
        </w:rPr>
      </w:pPr>
      <w:r>
        <w:rPr>
          <w:noProof/>
        </w:rPr>
        <w:t xml:space="preserve">La mise en œuvre de la réforme est achevée au plus tard le 31 décembre 2021. </w:t>
      </w:r>
    </w:p>
    <w:p w14:paraId="50B4B14F" w14:textId="77777777" w:rsidR="003B5F50" w:rsidRDefault="000D2D85">
      <w:pPr>
        <w:pStyle w:val="P68B1DB1-Normal19"/>
        <w:spacing w:before="120" w:after="120" w:line="240" w:lineRule="auto"/>
        <w:jc w:val="both"/>
        <w:rPr>
          <w:noProof/>
        </w:rPr>
      </w:pPr>
      <w:r>
        <w:rPr>
          <w:noProof/>
        </w:rPr>
        <w:t xml:space="preserve">Investissement 1: Promouvoir la coopération et la participation internationales aux projets Horizon Europe et EIT. </w:t>
      </w:r>
    </w:p>
    <w:p w14:paraId="50B4B150" w14:textId="77777777" w:rsidR="003B5F50" w:rsidRDefault="000D2D85">
      <w:pPr>
        <w:pStyle w:val="NormalWeb"/>
        <w:rPr>
          <w:noProof/>
        </w:rPr>
      </w:pPr>
      <w:r>
        <w:rPr>
          <w:noProof/>
        </w:rPr>
        <w:t>L'objectif de cette mesure est de permettre une plus grande participation des institutions, des chercheurs et des entreprises slovaques aux projets de pointe de l'Espace européen de la recherche (EER).</w:t>
      </w:r>
    </w:p>
    <w:p w14:paraId="50B4B151" w14:textId="77777777" w:rsidR="003B5F50" w:rsidRDefault="000D2D85">
      <w:pPr>
        <w:pStyle w:val="NormalWeb"/>
        <w:rPr>
          <w:noProof/>
        </w:rPr>
      </w:pPr>
      <w:r>
        <w:rPr>
          <w:noProof/>
        </w:rPr>
        <w:t xml:space="preserve">La mesure consiste en un soutien sous forme de subventions à la préparation de demandes au titre d’Horizon Europe, des projets de haute qualité, qui obtiennent une note très élevée dans les programmes de l’EER, mais qui ne bénéficient d’aucun financement ou de projets de haute qualité au moyen de «subventions d’appariement» afin de mobiliser les ressources générées dans le cadre d’Horizon 2020/Horizon Europe. </w:t>
      </w:r>
    </w:p>
    <w:p w14:paraId="50B4B152" w14:textId="77777777" w:rsidR="003B5F50" w:rsidRDefault="000D2D85">
      <w:pPr>
        <w:pStyle w:val="P68B1DB1-Normal19"/>
        <w:rPr>
          <w:noProof/>
        </w:rPr>
      </w:pPr>
      <w:r>
        <w:rPr>
          <w:noProof/>
        </w:rPr>
        <w:t>Investissement 2: Soutenir la coopération entre les entreprises, le monde universitaire et les</w:t>
      </w:r>
      <w:r>
        <w:rPr>
          <w:smallCaps/>
          <w:noProof/>
        </w:rPr>
        <w:t xml:space="preserve"> organisations de R&amp;D.</w:t>
      </w:r>
      <w:r>
        <w:rPr>
          <w:noProof/>
        </w:rPr>
        <w:t xml:space="preserve"> </w:t>
      </w:r>
    </w:p>
    <w:p w14:paraId="50B4B153" w14:textId="77777777" w:rsidR="003B5F50" w:rsidRDefault="000D2D85">
      <w:pPr>
        <w:pStyle w:val="NormalWeb"/>
        <w:rPr>
          <w:noProof/>
        </w:rPr>
      </w:pPr>
      <w:r>
        <w:rPr>
          <w:noProof/>
        </w:rPr>
        <w:t>L'objectif de l'investissement est d'accroître la participation du secteur privé à la RDI et d'accroître la part des entreprises innovantes dans l'économie.</w:t>
      </w:r>
    </w:p>
    <w:p w14:paraId="50B4B154" w14:textId="77777777" w:rsidR="003B5F50" w:rsidRDefault="000D2D85">
      <w:pPr>
        <w:pStyle w:val="NormalWeb"/>
        <w:rPr>
          <w:noProof/>
        </w:rPr>
      </w:pPr>
      <w:r>
        <w:rPr>
          <w:noProof/>
        </w:rPr>
        <w:t xml:space="preserve">Cette mesure consiste en une aide sous forme de subventions au titre de divers régimes: les «subventions de contrepartie», les régimes de soutien «bons» et le soutien à la création de «consortiums transformateurs et innovants».  </w:t>
      </w:r>
    </w:p>
    <w:p w14:paraId="50B4B155" w14:textId="77777777" w:rsidR="003B5F50" w:rsidRDefault="000D2D85">
      <w:pPr>
        <w:pStyle w:val="P68B1DB1-Normal19"/>
        <w:spacing w:before="120" w:after="120" w:line="240" w:lineRule="auto"/>
        <w:jc w:val="both"/>
        <w:rPr>
          <w:noProof/>
        </w:rPr>
      </w:pPr>
      <w:r>
        <w:rPr>
          <w:noProof/>
        </w:rPr>
        <w:t xml:space="preserve">Investissement 3: Excellente science. </w:t>
      </w:r>
    </w:p>
    <w:p w14:paraId="50B4B156" w14:textId="77777777" w:rsidR="003B5F50" w:rsidRDefault="000D2D85">
      <w:pPr>
        <w:pStyle w:val="NormalWeb"/>
        <w:rPr>
          <w:noProof/>
        </w:rPr>
      </w:pPr>
      <w:r>
        <w:rPr>
          <w:noProof/>
        </w:rPr>
        <w:t xml:space="preserve">L'objectif de l'investissement est de créer un environnement compétitif à l'échelle internationale pour les meilleurs scientifiques en termes de salaires et de disponibilité de programmes de recherche attrayants. </w:t>
      </w:r>
    </w:p>
    <w:p w14:paraId="50B4B157" w14:textId="77777777" w:rsidR="003B5F50" w:rsidRDefault="000D2D85">
      <w:pPr>
        <w:pStyle w:val="NormalWeb"/>
        <w:rPr>
          <w:b/>
          <w:bCs/>
          <w:noProof/>
        </w:rPr>
      </w:pPr>
      <w:r>
        <w:rPr>
          <w:noProof/>
        </w:rPr>
        <w:t>Cette mesure consiste à accorder un soutien à d'excellents chercheurs.</w:t>
      </w:r>
    </w:p>
    <w:p w14:paraId="50B4B158" w14:textId="77777777" w:rsidR="003B5F50" w:rsidRDefault="000D2D85">
      <w:pPr>
        <w:pStyle w:val="P68B1DB1-Normal19"/>
        <w:rPr>
          <w:bCs/>
          <w:noProof/>
        </w:rPr>
      </w:pPr>
      <w:r>
        <w:rPr>
          <w:noProof/>
        </w:rPr>
        <w:t>Investissement 4: Recherche et innovation pour décarboner l’économie.</w:t>
      </w:r>
    </w:p>
    <w:p w14:paraId="50B4B159" w14:textId="77777777" w:rsidR="003B5F50" w:rsidRDefault="000D2D85">
      <w:pPr>
        <w:pStyle w:val="NormalWeb"/>
        <w:rPr>
          <w:noProof/>
        </w:rPr>
      </w:pPr>
      <w:r>
        <w:rPr>
          <w:noProof/>
        </w:rPr>
        <w:t xml:space="preserve">L’objectif de l’investissement est d’améliorer les synergies dans les domaines de la RDI «verte» entre le niveau national et le niveau de l’UE. </w:t>
      </w:r>
    </w:p>
    <w:p w14:paraId="50B4B15A" w14:textId="0A43179B" w:rsidR="003B5F50" w:rsidRDefault="000D2D85">
      <w:pPr>
        <w:pStyle w:val="NormalWeb"/>
        <w:rPr>
          <w:noProof/>
        </w:rPr>
      </w:pPr>
      <w:r>
        <w:rPr>
          <w:noProof/>
        </w:rPr>
        <w:t xml:space="preserve">La mesure consiste en un soutien sous forme de subventions à des projets soutenant la transition écologique, la résilience et l’adaptation au changement climatique, conformément aux priorités thématiques d’Horizon Europe, telles que l’énergie sans carbone, l’électrification, l’hydrogène, les technologies des batteries et les carburants alternatifs, les procédés et matériaux industriels à faibles émissions et la bioéconomie. Le soutien vise l’ensemble du cycle de recherche et d’innovation (niveaux de maturité technologique 1 à 9).  </w:t>
      </w:r>
    </w:p>
    <w:p w14:paraId="50B4B15B" w14:textId="77777777" w:rsidR="003B5F50" w:rsidRDefault="000D2D85">
      <w:pPr>
        <w:pStyle w:val="P68B1DB1-Normal19"/>
        <w:spacing w:before="120" w:after="120" w:line="240" w:lineRule="auto"/>
        <w:jc w:val="both"/>
        <w:rPr>
          <w:noProof/>
        </w:rPr>
      </w:pPr>
      <w:r>
        <w:rPr>
          <w:noProof/>
        </w:rPr>
        <w:t xml:space="preserve">Investissement 5: Recherche et innovation pour la numérisation de l’économie. </w:t>
      </w:r>
    </w:p>
    <w:p w14:paraId="50B4B15C" w14:textId="77777777" w:rsidR="003B5F50" w:rsidRDefault="000D2D85">
      <w:pPr>
        <w:pStyle w:val="NormalWeb"/>
        <w:rPr>
          <w:noProof/>
        </w:rPr>
      </w:pPr>
      <w:r>
        <w:rPr>
          <w:noProof/>
        </w:rPr>
        <w:t xml:space="preserve">L’objectif de l’investissement est d’améliorer les synergies dans les domaines de la RDI «numérique» entre le niveau national et le niveau de l’UE. </w:t>
      </w:r>
    </w:p>
    <w:p w14:paraId="50B4B15D" w14:textId="77777777" w:rsidR="003B5F50" w:rsidRDefault="000D2D85">
      <w:pPr>
        <w:pStyle w:val="NormalWeb"/>
        <w:rPr>
          <w:noProof/>
        </w:rPr>
      </w:pPr>
      <w:r>
        <w:rPr>
          <w:noProof/>
        </w:rPr>
        <w:t>La mesure consiste à octroyer une aide et/ou un soutien par l’intermédiaire d’instruments financiers à des projets soutenant la numérisation de l’économie, conformément aux priorités thématiques d’Horizon Europe, telles que, par exemple, les technologies numériques et industrielles, l’internet des objets, l’intelligence artificielle et la robotique. Le soutien vise l’ensemble du cycle de recherche et d’innovation (niveaux de maturité technologique 1 à 9).</w:t>
      </w:r>
    </w:p>
    <w:p w14:paraId="50B4B15E" w14:textId="77777777" w:rsidR="003B5F50" w:rsidRDefault="000D2D85">
      <w:pPr>
        <w:pStyle w:val="P68B1DB1-Normal19"/>
        <w:spacing w:before="120" w:after="120" w:line="240" w:lineRule="auto"/>
        <w:jc w:val="both"/>
        <w:rPr>
          <w:noProof/>
        </w:rPr>
      </w:pPr>
      <w:r>
        <w:rPr>
          <w:noProof/>
        </w:rPr>
        <w:t xml:space="preserve">Investissement 6: Instruments financiers pour soutenir l'innovation. </w:t>
      </w:r>
    </w:p>
    <w:p w14:paraId="50B4B15F" w14:textId="72C7DA5C" w:rsidR="003B5F50" w:rsidRDefault="000D2D85">
      <w:pPr>
        <w:pStyle w:val="NormalWeb"/>
        <w:rPr>
          <w:rFonts w:eastAsia="Times New Roman"/>
          <w:noProof/>
        </w:rPr>
      </w:pPr>
      <w:r>
        <w:rPr>
          <w:noProof/>
        </w:rPr>
        <w:t xml:space="preserve">L’objectif de l’investissement est de contribuer à l’augmentation de la part des entreprises innovantes et d’investir dans des entreprises à potentiel technologique et innovant. </w:t>
      </w:r>
    </w:p>
    <w:p w14:paraId="50B4B160" w14:textId="7810E91D" w:rsidR="003B5F50" w:rsidRDefault="000D2D85">
      <w:pPr>
        <w:pStyle w:val="NormalWeb"/>
        <w:rPr>
          <w:rFonts w:eastAsia="Times New Roman"/>
          <w:noProof/>
        </w:rPr>
        <w:sectPr w:rsidR="003B5F50" w:rsidSect="003E3DD3">
          <w:headerReference w:type="even" r:id="rId113"/>
          <w:headerReference w:type="default" r:id="rId114"/>
          <w:footerReference w:type="even" r:id="rId115"/>
          <w:footerReference w:type="default" r:id="rId116"/>
          <w:headerReference w:type="first" r:id="rId117"/>
          <w:footerReference w:type="first" r:id="rId118"/>
          <w:pgSz w:w="12240" w:h="15840"/>
          <w:pgMar w:top="1134" w:right="1134" w:bottom="1134" w:left="1134" w:header="567" w:footer="567" w:gutter="0"/>
          <w:cols w:space="720"/>
          <w:docGrid w:linePitch="360"/>
        </w:sectPr>
      </w:pPr>
      <w:r>
        <w:rPr>
          <w:noProof/>
        </w:rPr>
        <w:t>La mesure consiste en la mise en place d’instruments financiers permettant d’investir dans des entreprises en phase initiale (phase d’amorçage) ainsi que dans des entreprises en phase de croissance.</w:t>
      </w:r>
    </w:p>
    <w:p w14:paraId="50B4B161" w14:textId="77777777" w:rsidR="003B5F50" w:rsidRDefault="000D2D85">
      <w:pPr>
        <w:pStyle w:val="P68B1DB1-Normal44"/>
        <w:tabs>
          <w:tab w:val="left" w:pos="1560"/>
        </w:tabs>
        <w:spacing w:before="120" w:after="120" w:line="240" w:lineRule="auto"/>
        <w:ind w:left="1276"/>
        <w:jc w:val="both"/>
        <w:rPr>
          <w:noProof/>
        </w:rPr>
      </w:pPr>
      <w:r>
        <w:rPr>
          <w:noProof/>
        </w:rPr>
        <w:t xml:space="preserve">A.2. </w:t>
      </w:r>
      <w:r>
        <w:rPr>
          <w:noProof/>
        </w:rPr>
        <w:tab/>
        <w:t>Étapes, cibles, indicateurs et calendrier pour le suivi et la mise en œuvre du soutien financier non remboursable</w:t>
      </w:r>
    </w:p>
    <w:p w14:paraId="50B4B162" w14:textId="77777777" w:rsidR="003B5F50" w:rsidRDefault="003B5F50">
      <w:pPr>
        <w:tabs>
          <w:tab w:val="left" w:pos="1560"/>
          <w:tab w:val="left" w:pos="14601"/>
        </w:tabs>
        <w:spacing w:before="120" w:after="120" w:line="240" w:lineRule="auto"/>
        <w:ind w:left="1276" w:right="-455"/>
        <w:jc w:val="both"/>
        <w:rPr>
          <w:rFonts w:ascii="Times New Roman" w:hAnsi="Times New Roman"/>
          <w:noProof/>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516"/>
        <w:gridCol w:w="1458"/>
        <w:gridCol w:w="1438"/>
        <w:gridCol w:w="1561"/>
        <w:gridCol w:w="1219"/>
        <w:gridCol w:w="1016"/>
        <w:gridCol w:w="916"/>
        <w:gridCol w:w="1072"/>
        <w:gridCol w:w="761"/>
        <w:gridCol w:w="1916"/>
      </w:tblGrid>
      <w:tr w:rsidR="003B5F50" w14:paraId="50B4B171" w14:textId="77777777">
        <w:trPr>
          <w:trHeight w:val="735"/>
          <w:tblHeader/>
        </w:trPr>
        <w:tc>
          <w:tcPr>
            <w:tcW w:w="335" w:type="pct"/>
            <w:vMerge w:val="restart"/>
            <w:shd w:val="clear" w:color="auto" w:fill="BDD7EE"/>
            <w:vAlign w:val="center"/>
          </w:tcPr>
          <w:p w14:paraId="50B4B163" w14:textId="77777777" w:rsidR="003B5F50" w:rsidRDefault="000D2D85">
            <w:pPr>
              <w:pStyle w:val="P68B1DB1-Normal13"/>
              <w:jc w:val="center"/>
              <w:rPr>
                <w:noProof/>
                <w:szCs w:val="20"/>
              </w:rPr>
            </w:pPr>
            <w:r>
              <w:rPr>
                <w:noProof/>
              </w:rPr>
              <w:t>Seq. Num.</w:t>
            </w:r>
          </w:p>
          <w:p w14:paraId="50B4B164" w14:textId="77777777" w:rsidR="003B5F50" w:rsidRDefault="000D2D85">
            <w:pPr>
              <w:pStyle w:val="P68B1DB1-Normal13"/>
              <w:jc w:val="center"/>
              <w:rPr>
                <w:noProof/>
                <w:szCs w:val="20"/>
              </w:rPr>
            </w:pPr>
            <w:r>
              <w:rPr>
                <w:noProof/>
              </w:rPr>
              <w:t xml:space="preserve"> </w:t>
            </w:r>
          </w:p>
        </w:tc>
        <w:tc>
          <w:tcPr>
            <w:tcW w:w="504" w:type="pct"/>
            <w:vMerge w:val="restart"/>
            <w:shd w:val="clear" w:color="auto" w:fill="BDD7EE"/>
            <w:vAlign w:val="center"/>
          </w:tcPr>
          <w:p w14:paraId="50B4B165" w14:textId="77777777" w:rsidR="003B5F50" w:rsidRDefault="000D2D85">
            <w:pPr>
              <w:pStyle w:val="P68B1DB1-Normal13"/>
              <w:jc w:val="center"/>
              <w:rPr>
                <w:noProof/>
                <w:szCs w:val="20"/>
              </w:rPr>
            </w:pPr>
            <w:r>
              <w:rPr>
                <w:noProof/>
              </w:rPr>
              <w:t>Mesure connexe (réforme ou investissement)</w:t>
            </w:r>
          </w:p>
          <w:p w14:paraId="50B4B166" w14:textId="77777777" w:rsidR="003B5F50" w:rsidRDefault="000D2D85">
            <w:pPr>
              <w:pStyle w:val="P68B1DB1-Normal13"/>
              <w:jc w:val="center"/>
              <w:rPr>
                <w:noProof/>
                <w:szCs w:val="20"/>
              </w:rPr>
            </w:pPr>
            <w:r>
              <w:rPr>
                <w:noProof/>
              </w:rPr>
              <w:t xml:space="preserve"> </w:t>
            </w:r>
          </w:p>
        </w:tc>
        <w:tc>
          <w:tcPr>
            <w:tcW w:w="650" w:type="pct"/>
            <w:vMerge w:val="restart"/>
            <w:shd w:val="clear" w:color="auto" w:fill="BDD7EE"/>
            <w:vAlign w:val="center"/>
          </w:tcPr>
          <w:p w14:paraId="50B4B167" w14:textId="77777777" w:rsidR="003B5F50" w:rsidRDefault="000D2D85">
            <w:pPr>
              <w:pStyle w:val="P68B1DB1-Normal13"/>
              <w:jc w:val="center"/>
              <w:rPr>
                <w:noProof/>
                <w:szCs w:val="20"/>
              </w:rPr>
            </w:pPr>
            <w:r>
              <w:rPr>
                <w:noProof/>
              </w:rPr>
              <w:t>Étape/cible</w:t>
            </w:r>
          </w:p>
          <w:p w14:paraId="50B4B168" w14:textId="77777777" w:rsidR="003B5F50" w:rsidRDefault="000D2D85">
            <w:pPr>
              <w:pStyle w:val="P68B1DB1-Normal13"/>
              <w:jc w:val="center"/>
              <w:rPr>
                <w:noProof/>
                <w:szCs w:val="20"/>
              </w:rPr>
            </w:pPr>
            <w:r>
              <w:rPr>
                <w:noProof/>
              </w:rPr>
              <w:t xml:space="preserve"> </w:t>
            </w:r>
          </w:p>
        </w:tc>
        <w:tc>
          <w:tcPr>
            <w:tcW w:w="573" w:type="pct"/>
            <w:vMerge w:val="restart"/>
            <w:shd w:val="clear" w:color="auto" w:fill="BDD7EE"/>
            <w:vAlign w:val="center"/>
          </w:tcPr>
          <w:p w14:paraId="50B4B169" w14:textId="77777777" w:rsidR="003B5F50" w:rsidRDefault="000D2D85">
            <w:pPr>
              <w:pStyle w:val="P68B1DB1-Normal13"/>
              <w:jc w:val="center"/>
              <w:rPr>
                <w:noProof/>
                <w:szCs w:val="20"/>
              </w:rPr>
            </w:pPr>
            <w:r>
              <w:rPr>
                <w:noProof/>
              </w:rPr>
              <w:t>Nom</w:t>
            </w:r>
          </w:p>
          <w:p w14:paraId="50B4B16A" w14:textId="77777777" w:rsidR="003B5F50" w:rsidRDefault="000D2D85">
            <w:pPr>
              <w:pStyle w:val="P68B1DB1-Normal13"/>
              <w:jc w:val="center"/>
              <w:rPr>
                <w:noProof/>
                <w:szCs w:val="20"/>
              </w:rPr>
            </w:pPr>
            <w:r>
              <w:rPr>
                <w:noProof/>
              </w:rPr>
              <w:t xml:space="preserve"> </w:t>
            </w:r>
          </w:p>
        </w:tc>
        <w:tc>
          <w:tcPr>
            <w:tcW w:w="495" w:type="pct"/>
            <w:vMerge w:val="restart"/>
            <w:shd w:val="clear" w:color="auto" w:fill="BDD7EE"/>
            <w:vAlign w:val="center"/>
          </w:tcPr>
          <w:p w14:paraId="50B4B16C" w14:textId="6E26EBAB" w:rsidR="003B5F50" w:rsidRDefault="000D2D85">
            <w:pPr>
              <w:pStyle w:val="P68B1DB1-Normal16"/>
              <w:jc w:val="center"/>
              <w:rPr>
                <w:noProof/>
                <w:szCs w:val="20"/>
              </w:rPr>
            </w:pPr>
            <w:r>
              <w:rPr>
                <w:b/>
                <w:noProof/>
              </w:rPr>
              <w:t>Indicateurs qualitatifs</w:t>
            </w:r>
            <w:r>
              <w:rPr>
                <w:noProof/>
              </w:rPr>
              <w:t xml:space="preserve"> </w:t>
            </w:r>
            <w:r>
              <w:rPr>
                <w:b/>
                <w:noProof/>
              </w:rPr>
              <w:t xml:space="preserve">(pour les jalons) </w:t>
            </w:r>
          </w:p>
        </w:tc>
        <w:tc>
          <w:tcPr>
            <w:tcW w:w="1032" w:type="pct"/>
            <w:gridSpan w:val="3"/>
            <w:shd w:val="clear" w:color="auto" w:fill="BDD7EE"/>
            <w:vAlign w:val="center"/>
          </w:tcPr>
          <w:p w14:paraId="50B4B16D" w14:textId="77777777" w:rsidR="003B5F50" w:rsidRDefault="000D2D85">
            <w:pPr>
              <w:pStyle w:val="P68B1DB1-Normal16"/>
              <w:jc w:val="center"/>
              <w:rPr>
                <w:noProof/>
                <w:szCs w:val="20"/>
              </w:rPr>
            </w:pPr>
            <w:r>
              <w:rPr>
                <w:b/>
                <w:noProof/>
              </w:rPr>
              <w:t>Indicateurs quantitatifs</w:t>
            </w:r>
            <w:r>
              <w:rPr>
                <w:noProof/>
              </w:rPr>
              <w:t xml:space="preserve"> </w:t>
            </w:r>
            <w:r>
              <w:rPr>
                <w:b/>
                <w:noProof/>
              </w:rPr>
              <w:t>(pour les objectifs)</w:t>
            </w:r>
          </w:p>
        </w:tc>
        <w:tc>
          <w:tcPr>
            <w:tcW w:w="600" w:type="pct"/>
            <w:gridSpan w:val="2"/>
            <w:shd w:val="clear" w:color="auto" w:fill="BDD7EE"/>
            <w:vAlign w:val="center"/>
          </w:tcPr>
          <w:p w14:paraId="50B4B16E" w14:textId="77777777" w:rsidR="003B5F50" w:rsidRDefault="000D2D85">
            <w:pPr>
              <w:pStyle w:val="P68B1DB1-Normal13"/>
              <w:jc w:val="center"/>
              <w:rPr>
                <w:noProof/>
                <w:szCs w:val="20"/>
              </w:rPr>
            </w:pPr>
            <w:r>
              <w:rPr>
                <w:noProof/>
              </w:rPr>
              <w:t xml:space="preserve">Calendrier indicatif d'achèvement </w:t>
            </w:r>
          </w:p>
        </w:tc>
        <w:tc>
          <w:tcPr>
            <w:tcW w:w="811" w:type="pct"/>
            <w:vMerge w:val="restart"/>
            <w:shd w:val="clear" w:color="auto" w:fill="BDD7EE"/>
            <w:vAlign w:val="center"/>
          </w:tcPr>
          <w:p w14:paraId="50B4B16F" w14:textId="77777777" w:rsidR="003B5F50" w:rsidRDefault="000D2D85">
            <w:pPr>
              <w:pStyle w:val="P68B1DB1-Normal13"/>
              <w:jc w:val="center"/>
              <w:rPr>
                <w:noProof/>
                <w:szCs w:val="20"/>
              </w:rPr>
            </w:pPr>
            <w:r>
              <w:rPr>
                <w:noProof/>
              </w:rPr>
              <w:t>Description et définition claire de chaque jalon et cible</w:t>
            </w:r>
          </w:p>
          <w:p w14:paraId="50B4B170" w14:textId="77777777" w:rsidR="003B5F50" w:rsidRDefault="000D2D85">
            <w:pPr>
              <w:pStyle w:val="P68B1DB1-Normal16"/>
              <w:rPr>
                <w:noProof/>
                <w:szCs w:val="20"/>
              </w:rPr>
            </w:pPr>
            <w:r>
              <w:rPr>
                <w:noProof/>
              </w:rPr>
              <w:t xml:space="preserve"> </w:t>
            </w:r>
          </w:p>
        </w:tc>
      </w:tr>
      <w:tr w:rsidR="003B5F50" w14:paraId="50B4B17D" w14:textId="77777777">
        <w:trPr>
          <w:trHeight w:val="540"/>
          <w:tblHeader/>
        </w:trPr>
        <w:tc>
          <w:tcPr>
            <w:tcW w:w="335" w:type="pct"/>
            <w:vMerge/>
            <w:vAlign w:val="center"/>
          </w:tcPr>
          <w:p w14:paraId="50B4B172" w14:textId="77777777" w:rsidR="003B5F50" w:rsidRDefault="003B5F50">
            <w:pPr>
              <w:jc w:val="center"/>
              <w:rPr>
                <w:rFonts w:ascii="Times New Roman" w:hAnsi="Times New Roman"/>
                <w:noProof/>
                <w:sz w:val="20"/>
                <w:szCs w:val="20"/>
              </w:rPr>
            </w:pPr>
          </w:p>
        </w:tc>
        <w:tc>
          <w:tcPr>
            <w:tcW w:w="504" w:type="pct"/>
            <w:vMerge/>
            <w:vAlign w:val="center"/>
          </w:tcPr>
          <w:p w14:paraId="50B4B173" w14:textId="77777777" w:rsidR="003B5F50" w:rsidRDefault="003B5F50">
            <w:pPr>
              <w:jc w:val="center"/>
              <w:rPr>
                <w:rFonts w:ascii="Times New Roman" w:hAnsi="Times New Roman"/>
                <w:noProof/>
                <w:sz w:val="20"/>
                <w:szCs w:val="20"/>
              </w:rPr>
            </w:pPr>
          </w:p>
        </w:tc>
        <w:tc>
          <w:tcPr>
            <w:tcW w:w="650" w:type="pct"/>
            <w:vMerge/>
            <w:vAlign w:val="center"/>
          </w:tcPr>
          <w:p w14:paraId="50B4B174" w14:textId="77777777" w:rsidR="003B5F50" w:rsidRDefault="003B5F50">
            <w:pPr>
              <w:jc w:val="center"/>
              <w:rPr>
                <w:rFonts w:ascii="Times New Roman" w:hAnsi="Times New Roman"/>
                <w:noProof/>
                <w:sz w:val="20"/>
                <w:szCs w:val="20"/>
              </w:rPr>
            </w:pPr>
          </w:p>
        </w:tc>
        <w:tc>
          <w:tcPr>
            <w:tcW w:w="573" w:type="pct"/>
            <w:vMerge/>
            <w:vAlign w:val="center"/>
          </w:tcPr>
          <w:p w14:paraId="50B4B175" w14:textId="77777777" w:rsidR="003B5F50" w:rsidRDefault="003B5F50">
            <w:pPr>
              <w:jc w:val="center"/>
              <w:rPr>
                <w:rFonts w:ascii="Times New Roman" w:hAnsi="Times New Roman"/>
                <w:noProof/>
                <w:sz w:val="20"/>
                <w:szCs w:val="20"/>
              </w:rPr>
            </w:pPr>
          </w:p>
        </w:tc>
        <w:tc>
          <w:tcPr>
            <w:tcW w:w="495" w:type="pct"/>
            <w:vMerge/>
            <w:vAlign w:val="center"/>
          </w:tcPr>
          <w:p w14:paraId="50B4B176" w14:textId="77777777" w:rsidR="003B5F50" w:rsidRDefault="003B5F50">
            <w:pPr>
              <w:jc w:val="center"/>
              <w:rPr>
                <w:rFonts w:ascii="Times New Roman" w:hAnsi="Times New Roman"/>
                <w:noProof/>
                <w:sz w:val="20"/>
                <w:szCs w:val="20"/>
              </w:rPr>
            </w:pPr>
          </w:p>
        </w:tc>
        <w:tc>
          <w:tcPr>
            <w:tcW w:w="431" w:type="pct"/>
            <w:shd w:val="clear" w:color="auto" w:fill="BDD7EE"/>
            <w:vAlign w:val="center"/>
          </w:tcPr>
          <w:p w14:paraId="50B4B177" w14:textId="77777777" w:rsidR="003B5F50" w:rsidRDefault="000D2D85">
            <w:pPr>
              <w:pStyle w:val="P68B1DB1-Normal13"/>
              <w:jc w:val="center"/>
              <w:rPr>
                <w:noProof/>
                <w:szCs w:val="20"/>
              </w:rPr>
            </w:pPr>
            <w:r>
              <w:rPr>
                <w:noProof/>
              </w:rPr>
              <w:t>Unité de mesure</w:t>
            </w:r>
          </w:p>
        </w:tc>
        <w:tc>
          <w:tcPr>
            <w:tcW w:w="358" w:type="pct"/>
            <w:shd w:val="clear" w:color="auto" w:fill="BDD7EE"/>
            <w:vAlign w:val="center"/>
          </w:tcPr>
          <w:p w14:paraId="50B4B178" w14:textId="77777777" w:rsidR="003B5F50" w:rsidRDefault="000D2D85">
            <w:pPr>
              <w:pStyle w:val="P68B1DB1-Normal13"/>
              <w:jc w:val="both"/>
              <w:rPr>
                <w:noProof/>
                <w:szCs w:val="20"/>
              </w:rPr>
            </w:pPr>
            <w:r>
              <w:rPr>
                <w:noProof/>
              </w:rPr>
              <w:t>Données de référence</w:t>
            </w:r>
          </w:p>
        </w:tc>
        <w:tc>
          <w:tcPr>
            <w:tcW w:w="243" w:type="pct"/>
            <w:shd w:val="clear" w:color="auto" w:fill="BDD7EE"/>
            <w:vAlign w:val="center"/>
          </w:tcPr>
          <w:p w14:paraId="50B4B179" w14:textId="77777777" w:rsidR="003B5F50" w:rsidRDefault="000D2D85">
            <w:pPr>
              <w:pStyle w:val="P68B1DB1-Normal13"/>
              <w:jc w:val="center"/>
              <w:rPr>
                <w:noProof/>
                <w:szCs w:val="20"/>
              </w:rPr>
            </w:pPr>
            <w:r>
              <w:rPr>
                <w:noProof/>
              </w:rPr>
              <w:t>Objectif</w:t>
            </w:r>
          </w:p>
        </w:tc>
        <w:tc>
          <w:tcPr>
            <w:tcW w:w="354" w:type="pct"/>
            <w:shd w:val="clear" w:color="auto" w:fill="BDD7EE"/>
            <w:vAlign w:val="center"/>
          </w:tcPr>
          <w:p w14:paraId="50B4B17A" w14:textId="77777777" w:rsidR="003B5F50" w:rsidRDefault="000D2D85">
            <w:pPr>
              <w:pStyle w:val="P68B1DB1-Normal13"/>
              <w:jc w:val="center"/>
              <w:rPr>
                <w:noProof/>
                <w:szCs w:val="20"/>
              </w:rPr>
            </w:pPr>
            <w:r>
              <w:rPr>
                <w:noProof/>
              </w:rPr>
              <w:t>Trimestre</w:t>
            </w:r>
          </w:p>
        </w:tc>
        <w:tc>
          <w:tcPr>
            <w:tcW w:w="246" w:type="pct"/>
            <w:shd w:val="clear" w:color="auto" w:fill="BDD7EE"/>
            <w:vAlign w:val="center"/>
          </w:tcPr>
          <w:p w14:paraId="50B4B17B" w14:textId="77777777" w:rsidR="003B5F50" w:rsidRDefault="000D2D85">
            <w:pPr>
              <w:pStyle w:val="P68B1DB1-Normal13"/>
              <w:jc w:val="center"/>
              <w:rPr>
                <w:noProof/>
                <w:szCs w:val="20"/>
              </w:rPr>
            </w:pPr>
            <w:r>
              <w:rPr>
                <w:noProof/>
              </w:rPr>
              <w:t>Année</w:t>
            </w:r>
          </w:p>
        </w:tc>
        <w:tc>
          <w:tcPr>
            <w:tcW w:w="811" w:type="pct"/>
            <w:vMerge/>
            <w:vAlign w:val="center"/>
          </w:tcPr>
          <w:p w14:paraId="50B4B17C" w14:textId="77777777" w:rsidR="003B5F50" w:rsidRDefault="003B5F50">
            <w:pPr>
              <w:rPr>
                <w:rFonts w:ascii="Times New Roman" w:hAnsi="Times New Roman"/>
                <w:noProof/>
                <w:sz w:val="20"/>
                <w:szCs w:val="20"/>
              </w:rPr>
            </w:pPr>
          </w:p>
        </w:tc>
      </w:tr>
      <w:tr w:rsidR="003B5F50" w14:paraId="50B4B18A" w14:textId="77777777">
        <w:trPr>
          <w:trHeight w:val="75"/>
        </w:trPr>
        <w:tc>
          <w:tcPr>
            <w:tcW w:w="335" w:type="pct"/>
            <w:shd w:val="clear" w:color="auto" w:fill="C6EFCE"/>
          </w:tcPr>
          <w:p w14:paraId="50B4B17E" w14:textId="77777777" w:rsidR="003B5F50" w:rsidRDefault="000D2D85">
            <w:pPr>
              <w:pStyle w:val="P68B1DB1-Normal14"/>
              <w:jc w:val="center"/>
              <w:rPr>
                <w:noProof/>
                <w:szCs w:val="20"/>
              </w:rPr>
            </w:pPr>
            <w:r>
              <w:rPr>
                <w:noProof/>
              </w:rPr>
              <w:t>1</w:t>
            </w:r>
          </w:p>
        </w:tc>
        <w:tc>
          <w:tcPr>
            <w:tcW w:w="504" w:type="pct"/>
            <w:shd w:val="clear" w:color="auto" w:fill="C6EFCE"/>
          </w:tcPr>
          <w:p w14:paraId="50B4B17F" w14:textId="0E4A1EF5" w:rsidR="003B5F50" w:rsidRDefault="000D2D85">
            <w:pPr>
              <w:pStyle w:val="P68B1DB1-Normal14"/>
              <w:rPr>
                <w:noProof/>
                <w:szCs w:val="20"/>
              </w:rPr>
            </w:pPr>
            <w:r>
              <w:rPr>
                <w:noProof/>
              </w:rPr>
              <w:t>9 – Gouvernance plus efficace et renforcement du financement de la RDI – Réforme 1: Réforme de la gouvernance, de l'évaluation et du soutien dans les domaines de la science, de la recherche et de l'innovation</w:t>
            </w:r>
          </w:p>
        </w:tc>
        <w:tc>
          <w:tcPr>
            <w:tcW w:w="650" w:type="pct"/>
            <w:shd w:val="clear" w:color="auto" w:fill="C6EFCE"/>
          </w:tcPr>
          <w:p w14:paraId="50B4B180" w14:textId="77777777" w:rsidR="003B5F50" w:rsidRDefault="000D2D85">
            <w:pPr>
              <w:pStyle w:val="P68B1DB1-Normal14"/>
              <w:rPr>
                <w:noProof/>
                <w:szCs w:val="20"/>
              </w:rPr>
            </w:pPr>
            <w:r>
              <w:rPr>
                <w:noProof/>
              </w:rPr>
              <w:t>Étape</w:t>
            </w:r>
          </w:p>
        </w:tc>
        <w:tc>
          <w:tcPr>
            <w:tcW w:w="573" w:type="pct"/>
            <w:shd w:val="clear" w:color="auto" w:fill="C6EFCE"/>
          </w:tcPr>
          <w:p w14:paraId="50B4B181" w14:textId="77777777" w:rsidR="003B5F50" w:rsidRDefault="000D2D85">
            <w:pPr>
              <w:pStyle w:val="P68B1DB1-Normal14"/>
              <w:rPr>
                <w:noProof/>
                <w:szCs w:val="20"/>
              </w:rPr>
            </w:pPr>
            <w:r>
              <w:rPr>
                <w:noProof/>
              </w:rPr>
              <w:t>Réforme de la gouvernance et soutien à la recherche, au développement et à l'innovation.</w:t>
            </w:r>
          </w:p>
        </w:tc>
        <w:tc>
          <w:tcPr>
            <w:tcW w:w="495" w:type="pct"/>
            <w:shd w:val="clear" w:color="auto" w:fill="C6EFCE"/>
          </w:tcPr>
          <w:p w14:paraId="50B4B182" w14:textId="77777777" w:rsidR="003B5F50" w:rsidRDefault="000D2D85">
            <w:pPr>
              <w:pStyle w:val="P68B1DB1-Normal14"/>
              <w:rPr>
                <w:noProof/>
                <w:szCs w:val="20"/>
              </w:rPr>
            </w:pPr>
            <w:r>
              <w:rPr>
                <w:noProof/>
              </w:rPr>
              <w:t>Entrée en vigueur de la modification de la loi 172/2005</w:t>
            </w:r>
          </w:p>
          <w:p w14:paraId="50B4B183" w14:textId="77777777" w:rsidR="003B5F50" w:rsidRDefault="003B5F50">
            <w:pPr>
              <w:rPr>
                <w:rFonts w:ascii="Times New Roman" w:hAnsi="Times New Roman"/>
                <w:noProof/>
                <w:sz w:val="20"/>
                <w:szCs w:val="20"/>
              </w:rPr>
            </w:pPr>
          </w:p>
        </w:tc>
        <w:tc>
          <w:tcPr>
            <w:tcW w:w="431" w:type="pct"/>
            <w:shd w:val="clear" w:color="auto" w:fill="C6EFCE"/>
          </w:tcPr>
          <w:p w14:paraId="50B4B184" w14:textId="77777777" w:rsidR="003B5F50" w:rsidRDefault="000D2D85">
            <w:pPr>
              <w:pStyle w:val="P68B1DB1-Normal14"/>
              <w:rPr>
                <w:noProof/>
                <w:szCs w:val="20"/>
              </w:rPr>
            </w:pPr>
            <w:r>
              <w:rPr>
                <w:noProof/>
              </w:rPr>
              <w:t xml:space="preserve"> </w:t>
            </w:r>
          </w:p>
        </w:tc>
        <w:tc>
          <w:tcPr>
            <w:tcW w:w="358" w:type="pct"/>
            <w:shd w:val="clear" w:color="auto" w:fill="C6EFCE"/>
          </w:tcPr>
          <w:p w14:paraId="50B4B185" w14:textId="77777777" w:rsidR="003B5F50" w:rsidRDefault="000D2D85">
            <w:pPr>
              <w:pStyle w:val="P68B1DB1-Normal14"/>
              <w:rPr>
                <w:noProof/>
                <w:szCs w:val="20"/>
              </w:rPr>
            </w:pPr>
            <w:r>
              <w:rPr>
                <w:noProof/>
              </w:rPr>
              <w:t xml:space="preserve"> </w:t>
            </w:r>
          </w:p>
        </w:tc>
        <w:tc>
          <w:tcPr>
            <w:tcW w:w="243" w:type="pct"/>
            <w:shd w:val="clear" w:color="auto" w:fill="C6EFCE"/>
          </w:tcPr>
          <w:p w14:paraId="50B4B186" w14:textId="77777777" w:rsidR="003B5F50" w:rsidRDefault="000D2D85">
            <w:pPr>
              <w:pStyle w:val="P68B1DB1-Normal14"/>
              <w:rPr>
                <w:noProof/>
                <w:szCs w:val="20"/>
              </w:rPr>
            </w:pPr>
            <w:r>
              <w:rPr>
                <w:noProof/>
              </w:rPr>
              <w:t xml:space="preserve"> </w:t>
            </w:r>
          </w:p>
        </w:tc>
        <w:tc>
          <w:tcPr>
            <w:tcW w:w="354" w:type="pct"/>
            <w:shd w:val="clear" w:color="auto" w:fill="C6EFCE"/>
          </w:tcPr>
          <w:p w14:paraId="50B4B187" w14:textId="77777777" w:rsidR="003B5F50" w:rsidRDefault="000D2D85">
            <w:pPr>
              <w:pStyle w:val="P68B1DB1-Normal14"/>
              <w:jc w:val="center"/>
              <w:rPr>
                <w:noProof/>
                <w:szCs w:val="20"/>
              </w:rPr>
            </w:pPr>
            <w:r>
              <w:rPr>
                <w:noProof/>
              </w:rPr>
              <w:t>T1</w:t>
            </w:r>
          </w:p>
        </w:tc>
        <w:tc>
          <w:tcPr>
            <w:tcW w:w="246" w:type="pct"/>
            <w:shd w:val="clear" w:color="auto" w:fill="C6EFCE"/>
          </w:tcPr>
          <w:p w14:paraId="50B4B188" w14:textId="77777777" w:rsidR="003B5F50" w:rsidRDefault="000D2D85">
            <w:pPr>
              <w:pStyle w:val="P68B1DB1-Normal14"/>
              <w:jc w:val="center"/>
              <w:rPr>
                <w:noProof/>
                <w:szCs w:val="20"/>
              </w:rPr>
            </w:pPr>
            <w:r>
              <w:rPr>
                <w:noProof/>
              </w:rPr>
              <w:t>2022</w:t>
            </w:r>
          </w:p>
        </w:tc>
        <w:tc>
          <w:tcPr>
            <w:tcW w:w="811" w:type="pct"/>
            <w:shd w:val="clear" w:color="auto" w:fill="C6EFCE"/>
          </w:tcPr>
          <w:p w14:paraId="50B4B189" w14:textId="77777777" w:rsidR="003B5F50" w:rsidRDefault="000D2D85">
            <w:pPr>
              <w:pStyle w:val="P68B1DB1-Normal14"/>
              <w:rPr>
                <w:noProof/>
                <w:szCs w:val="20"/>
              </w:rPr>
            </w:pPr>
            <w:r>
              <w:rPr>
                <w:noProof/>
              </w:rPr>
              <w:t>La modification de la loi renforcera le rôle de coordination de la nouvelle structure de gouvernance pour la recherche, le développement et l’innovation (telle que la définition du rôle du Conseil pour la science, la technologie et l’innovation du gouvernement slovaque et de son secrétariat placé sous l’autorité du bureau du gouvernement). La loi réglemente différents types de soutien public afin d’assurer la coordination et la cohérence des interventions publiques. Elle permet l'intégration progressive des processus et l'évaluation par des experts des projets de RD, la simplification et la normalisation des processus d'évaluation des projets de RD par les agences.</w:t>
            </w:r>
          </w:p>
        </w:tc>
      </w:tr>
      <w:tr w:rsidR="003B5F50" w14:paraId="50B4B196" w14:textId="77777777">
        <w:trPr>
          <w:trHeight w:val="1170"/>
        </w:trPr>
        <w:tc>
          <w:tcPr>
            <w:tcW w:w="335" w:type="pct"/>
            <w:shd w:val="clear" w:color="auto" w:fill="C6EFCE"/>
          </w:tcPr>
          <w:p w14:paraId="50B4B18B" w14:textId="77777777" w:rsidR="003B5F50" w:rsidRDefault="000D2D85">
            <w:pPr>
              <w:pStyle w:val="P68B1DB1-Normal14"/>
              <w:jc w:val="center"/>
              <w:rPr>
                <w:noProof/>
                <w:szCs w:val="20"/>
              </w:rPr>
            </w:pPr>
            <w:r>
              <w:rPr>
                <w:noProof/>
              </w:rPr>
              <w:t>2</w:t>
            </w:r>
          </w:p>
        </w:tc>
        <w:tc>
          <w:tcPr>
            <w:tcW w:w="504" w:type="pct"/>
            <w:shd w:val="clear" w:color="auto" w:fill="C6EFCE"/>
          </w:tcPr>
          <w:p w14:paraId="50B4B18C" w14:textId="77777777" w:rsidR="003B5F50" w:rsidRDefault="000D2D85">
            <w:pPr>
              <w:pStyle w:val="P68B1DB1-Normal14"/>
              <w:rPr>
                <w:noProof/>
                <w:szCs w:val="20"/>
              </w:rPr>
            </w:pPr>
            <w:r>
              <w:rPr>
                <w:noProof/>
              </w:rPr>
              <w:t>9 – Gouvernance plus efficace et renforcement du financement de la RDI – Réforme 1: Réforme de la gouvernance, de l'évaluation et du soutien dans les domaines de la science, de la recherche et de l'innovation</w:t>
            </w:r>
          </w:p>
        </w:tc>
        <w:tc>
          <w:tcPr>
            <w:tcW w:w="650" w:type="pct"/>
            <w:shd w:val="clear" w:color="auto" w:fill="C6EFCE"/>
          </w:tcPr>
          <w:p w14:paraId="50B4B18D" w14:textId="77777777" w:rsidR="003B5F50" w:rsidRDefault="000D2D85">
            <w:pPr>
              <w:pStyle w:val="P68B1DB1-Normal14"/>
              <w:rPr>
                <w:noProof/>
                <w:szCs w:val="20"/>
              </w:rPr>
            </w:pPr>
            <w:r>
              <w:rPr>
                <w:noProof/>
              </w:rPr>
              <w:t>Étape</w:t>
            </w:r>
          </w:p>
        </w:tc>
        <w:tc>
          <w:tcPr>
            <w:tcW w:w="573" w:type="pct"/>
            <w:shd w:val="clear" w:color="auto" w:fill="C6EFCE"/>
          </w:tcPr>
          <w:p w14:paraId="50B4B18E" w14:textId="77777777" w:rsidR="003B5F50" w:rsidRDefault="000D2D85">
            <w:pPr>
              <w:pStyle w:val="P68B1DB1-Normal14"/>
              <w:rPr>
                <w:noProof/>
                <w:szCs w:val="20"/>
              </w:rPr>
            </w:pPr>
            <w:r>
              <w:rPr>
                <w:noProof/>
              </w:rPr>
              <w:t>Conception de la stratégie nationale globale de RDI</w:t>
            </w:r>
          </w:p>
        </w:tc>
        <w:tc>
          <w:tcPr>
            <w:tcW w:w="495" w:type="pct"/>
            <w:shd w:val="clear" w:color="auto" w:fill="C6EFCE"/>
          </w:tcPr>
          <w:p w14:paraId="50B4B18F" w14:textId="77777777" w:rsidR="003B5F50" w:rsidRDefault="000D2D85">
            <w:pPr>
              <w:pStyle w:val="P68B1DB1-Normal14"/>
              <w:rPr>
                <w:noProof/>
                <w:szCs w:val="20"/>
              </w:rPr>
            </w:pPr>
            <w:r>
              <w:rPr>
                <w:noProof/>
              </w:rPr>
              <w:t xml:space="preserve">Adoption de la stratégie nationale de RDI par le gouvernement </w:t>
            </w:r>
          </w:p>
        </w:tc>
        <w:tc>
          <w:tcPr>
            <w:tcW w:w="431" w:type="pct"/>
            <w:shd w:val="clear" w:color="auto" w:fill="C6EFCE"/>
          </w:tcPr>
          <w:p w14:paraId="50B4B190" w14:textId="77777777" w:rsidR="003B5F50" w:rsidRDefault="000D2D85">
            <w:pPr>
              <w:pStyle w:val="P68B1DB1-Normal14"/>
              <w:rPr>
                <w:noProof/>
                <w:szCs w:val="20"/>
              </w:rPr>
            </w:pPr>
            <w:r>
              <w:rPr>
                <w:noProof/>
              </w:rPr>
              <w:t xml:space="preserve"> </w:t>
            </w:r>
          </w:p>
        </w:tc>
        <w:tc>
          <w:tcPr>
            <w:tcW w:w="358" w:type="pct"/>
            <w:shd w:val="clear" w:color="auto" w:fill="C6EFCE"/>
          </w:tcPr>
          <w:p w14:paraId="50B4B191" w14:textId="77777777" w:rsidR="003B5F50" w:rsidRDefault="000D2D85">
            <w:pPr>
              <w:pStyle w:val="P68B1DB1-Normal14"/>
              <w:rPr>
                <w:noProof/>
                <w:szCs w:val="20"/>
              </w:rPr>
            </w:pPr>
            <w:r>
              <w:rPr>
                <w:noProof/>
              </w:rPr>
              <w:t xml:space="preserve"> </w:t>
            </w:r>
          </w:p>
        </w:tc>
        <w:tc>
          <w:tcPr>
            <w:tcW w:w="243" w:type="pct"/>
            <w:shd w:val="clear" w:color="auto" w:fill="C6EFCE"/>
          </w:tcPr>
          <w:p w14:paraId="50B4B192" w14:textId="77777777" w:rsidR="003B5F50" w:rsidRDefault="000D2D85">
            <w:pPr>
              <w:pStyle w:val="P68B1DB1-Normal14"/>
              <w:rPr>
                <w:noProof/>
                <w:szCs w:val="20"/>
              </w:rPr>
            </w:pPr>
            <w:r>
              <w:rPr>
                <w:noProof/>
              </w:rPr>
              <w:t xml:space="preserve"> </w:t>
            </w:r>
          </w:p>
        </w:tc>
        <w:tc>
          <w:tcPr>
            <w:tcW w:w="354" w:type="pct"/>
            <w:shd w:val="clear" w:color="auto" w:fill="C6EFCE"/>
          </w:tcPr>
          <w:p w14:paraId="50B4B193" w14:textId="77777777" w:rsidR="003B5F50" w:rsidRDefault="000D2D85">
            <w:pPr>
              <w:pStyle w:val="P68B1DB1-Normal14"/>
              <w:jc w:val="center"/>
              <w:rPr>
                <w:noProof/>
                <w:szCs w:val="20"/>
              </w:rPr>
            </w:pPr>
            <w:r>
              <w:rPr>
                <w:noProof/>
              </w:rPr>
              <w:t>T3</w:t>
            </w:r>
          </w:p>
        </w:tc>
        <w:tc>
          <w:tcPr>
            <w:tcW w:w="246" w:type="pct"/>
            <w:shd w:val="clear" w:color="auto" w:fill="C6EFCE"/>
          </w:tcPr>
          <w:p w14:paraId="50B4B194" w14:textId="77777777" w:rsidR="003B5F50" w:rsidRDefault="000D2D85">
            <w:pPr>
              <w:pStyle w:val="P68B1DB1-Normal14"/>
              <w:jc w:val="center"/>
              <w:rPr>
                <w:noProof/>
                <w:szCs w:val="20"/>
              </w:rPr>
            </w:pPr>
            <w:r>
              <w:rPr>
                <w:noProof/>
              </w:rPr>
              <w:t>2022</w:t>
            </w:r>
          </w:p>
        </w:tc>
        <w:tc>
          <w:tcPr>
            <w:tcW w:w="811" w:type="pct"/>
            <w:shd w:val="clear" w:color="auto" w:fill="C6EFCE"/>
          </w:tcPr>
          <w:p w14:paraId="50B4B195" w14:textId="77777777" w:rsidR="003B5F50" w:rsidRDefault="000D2D85">
            <w:pPr>
              <w:pStyle w:val="P68B1DB1-Normal14"/>
              <w:rPr>
                <w:noProof/>
                <w:szCs w:val="20"/>
              </w:rPr>
            </w:pPr>
            <w:r>
              <w:rPr>
                <w:noProof/>
              </w:rPr>
              <w:t>Le gouvernement approuve la stratégie nationale pour la recherche, le développement et l’innovation (RDI) afin qu’elle devienne un document global pour l’ensemble du financement public de la RDI d’ici à 2030. Il se penchera sur les expériences passées et offrira le cadre horizontal permettant d’intégrer les stratégies existantes (telles que la stratégie de spécialisation intelligente). Il fournit un cadre stratégique et une orientation pour la politique de RDI, définit des objectifs et des mesures pour les atteindre.</w:t>
            </w:r>
          </w:p>
        </w:tc>
      </w:tr>
      <w:tr w:rsidR="003B5F50" w14:paraId="50B4B1A2" w14:textId="77777777">
        <w:trPr>
          <w:trHeight w:val="690"/>
        </w:trPr>
        <w:tc>
          <w:tcPr>
            <w:tcW w:w="335" w:type="pct"/>
            <w:shd w:val="clear" w:color="auto" w:fill="C6EFCE"/>
          </w:tcPr>
          <w:p w14:paraId="50B4B197" w14:textId="77777777" w:rsidR="003B5F50" w:rsidRDefault="000D2D85">
            <w:pPr>
              <w:pStyle w:val="P68B1DB1-Normal14"/>
              <w:jc w:val="center"/>
              <w:rPr>
                <w:noProof/>
                <w:szCs w:val="20"/>
              </w:rPr>
            </w:pPr>
            <w:r>
              <w:rPr>
                <w:noProof/>
              </w:rPr>
              <w:t>3</w:t>
            </w:r>
          </w:p>
        </w:tc>
        <w:tc>
          <w:tcPr>
            <w:tcW w:w="504" w:type="pct"/>
            <w:shd w:val="clear" w:color="auto" w:fill="C6EFCE"/>
          </w:tcPr>
          <w:p w14:paraId="50B4B198" w14:textId="27AA07E1" w:rsidR="003B5F50" w:rsidRDefault="000D2D85">
            <w:pPr>
              <w:pStyle w:val="P68B1DB1-Normal15"/>
              <w:rPr>
                <w:noProof/>
              </w:rPr>
            </w:pPr>
            <w:r>
              <w:rPr>
                <w:noProof/>
              </w:rPr>
              <w:t>9 – Gouvernance plus efficace et renforcement du financement de la RDI – Réforme 2: Réforme de l'organisation et du financement des institutions de recherche non commerciales, en particulier l'Académie slovaque des sciences</w:t>
            </w:r>
          </w:p>
        </w:tc>
        <w:tc>
          <w:tcPr>
            <w:tcW w:w="650" w:type="pct"/>
            <w:shd w:val="clear" w:color="auto" w:fill="C6EFCE"/>
          </w:tcPr>
          <w:p w14:paraId="50B4B199" w14:textId="77777777" w:rsidR="003B5F50" w:rsidRDefault="000D2D85">
            <w:pPr>
              <w:pStyle w:val="P68B1DB1-Normal14"/>
              <w:rPr>
                <w:noProof/>
                <w:szCs w:val="20"/>
              </w:rPr>
            </w:pPr>
            <w:r>
              <w:rPr>
                <w:noProof/>
              </w:rPr>
              <w:t>Étape</w:t>
            </w:r>
          </w:p>
        </w:tc>
        <w:tc>
          <w:tcPr>
            <w:tcW w:w="573" w:type="pct"/>
            <w:shd w:val="clear" w:color="auto" w:fill="C6EFCE"/>
          </w:tcPr>
          <w:p w14:paraId="50B4B19A" w14:textId="77777777" w:rsidR="003B5F50" w:rsidRDefault="000D2D85">
            <w:pPr>
              <w:pStyle w:val="P68B1DB1-Normal14"/>
              <w:rPr>
                <w:noProof/>
                <w:szCs w:val="20"/>
              </w:rPr>
            </w:pPr>
            <w:r>
              <w:rPr>
                <w:noProof/>
              </w:rPr>
              <w:t xml:space="preserve">Réforme de l'Académie slovaque des sciences (SaS) </w:t>
            </w:r>
          </w:p>
        </w:tc>
        <w:tc>
          <w:tcPr>
            <w:tcW w:w="495" w:type="pct"/>
            <w:shd w:val="clear" w:color="auto" w:fill="C6EFCE"/>
          </w:tcPr>
          <w:p w14:paraId="50B4B19B" w14:textId="4597F578" w:rsidR="003B5F50" w:rsidRDefault="000D2D85">
            <w:pPr>
              <w:pStyle w:val="P68B1DB1-Normal14"/>
              <w:rPr>
                <w:noProof/>
                <w:szCs w:val="20"/>
              </w:rPr>
            </w:pPr>
            <w:r>
              <w:rPr>
                <w:noProof/>
              </w:rPr>
              <w:t xml:space="preserve">Entrée en vigueur d’une modification de la loi no 133/2002 sur les SAS et d’une modification de la loi no 243/2017 sur l’établissement public de recherche </w:t>
            </w:r>
          </w:p>
        </w:tc>
        <w:tc>
          <w:tcPr>
            <w:tcW w:w="431" w:type="pct"/>
            <w:shd w:val="clear" w:color="auto" w:fill="C6EFCE"/>
          </w:tcPr>
          <w:p w14:paraId="50B4B19C" w14:textId="77777777" w:rsidR="003B5F50" w:rsidRDefault="000D2D85">
            <w:pPr>
              <w:pStyle w:val="P68B1DB1-Normal14"/>
              <w:rPr>
                <w:noProof/>
                <w:szCs w:val="20"/>
              </w:rPr>
            </w:pPr>
            <w:r>
              <w:rPr>
                <w:noProof/>
              </w:rPr>
              <w:t xml:space="preserve"> </w:t>
            </w:r>
          </w:p>
        </w:tc>
        <w:tc>
          <w:tcPr>
            <w:tcW w:w="358" w:type="pct"/>
            <w:shd w:val="clear" w:color="auto" w:fill="C6EFCE"/>
          </w:tcPr>
          <w:p w14:paraId="50B4B19D" w14:textId="77777777" w:rsidR="003B5F50" w:rsidRDefault="000D2D85">
            <w:pPr>
              <w:pStyle w:val="P68B1DB1-Normal14"/>
              <w:rPr>
                <w:noProof/>
                <w:szCs w:val="20"/>
              </w:rPr>
            </w:pPr>
            <w:r>
              <w:rPr>
                <w:noProof/>
              </w:rPr>
              <w:t xml:space="preserve"> </w:t>
            </w:r>
          </w:p>
        </w:tc>
        <w:tc>
          <w:tcPr>
            <w:tcW w:w="243" w:type="pct"/>
            <w:shd w:val="clear" w:color="auto" w:fill="C6EFCE"/>
          </w:tcPr>
          <w:p w14:paraId="50B4B19E" w14:textId="77777777" w:rsidR="003B5F50" w:rsidRDefault="000D2D85">
            <w:pPr>
              <w:pStyle w:val="P68B1DB1-Normal14"/>
              <w:rPr>
                <w:noProof/>
                <w:szCs w:val="20"/>
              </w:rPr>
            </w:pPr>
            <w:r>
              <w:rPr>
                <w:noProof/>
              </w:rPr>
              <w:t xml:space="preserve"> </w:t>
            </w:r>
          </w:p>
        </w:tc>
        <w:tc>
          <w:tcPr>
            <w:tcW w:w="354" w:type="pct"/>
            <w:shd w:val="clear" w:color="auto" w:fill="C6EFCE"/>
          </w:tcPr>
          <w:p w14:paraId="50B4B19F" w14:textId="77777777" w:rsidR="003B5F50" w:rsidRDefault="000D2D85">
            <w:pPr>
              <w:pStyle w:val="P68B1DB1-Normal14"/>
              <w:jc w:val="center"/>
              <w:rPr>
                <w:noProof/>
                <w:szCs w:val="20"/>
              </w:rPr>
            </w:pPr>
            <w:r>
              <w:rPr>
                <w:noProof/>
              </w:rPr>
              <w:t>T4</w:t>
            </w:r>
          </w:p>
        </w:tc>
        <w:tc>
          <w:tcPr>
            <w:tcW w:w="246" w:type="pct"/>
            <w:shd w:val="clear" w:color="auto" w:fill="C6EFCE"/>
          </w:tcPr>
          <w:p w14:paraId="50B4B1A0" w14:textId="77777777" w:rsidR="003B5F50" w:rsidRDefault="000D2D85">
            <w:pPr>
              <w:pStyle w:val="P68B1DB1-Normal14"/>
              <w:jc w:val="center"/>
              <w:rPr>
                <w:noProof/>
                <w:szCs w:val="20"/>
              </w:rPr>
            </w:pPr>
            <w:r>
              <w:rPr>
                <w:noProof/>
              </w:rPr>
              <w:t>2021</w:t>
            </w:r>
          </w:p>
        </w:tc>
        <w:tc>
          <w:tcPr>
            <w:tcW w:w="811" w:type="pct"/>
            <w:shd w:val="clear" w:color="auto" w:fill="C6EFCE"/>
          </w:tcPr>
          <w:p w14:paraId="50B4B1A1" w14:textId="77777777" w:rsidR="003B5F50" w:rsidRDefault="000D2D85">
            <w:pPr>
              <w:pStyle w:val="P68B1DB1-Normal14"/>
              <w:rPr>
                <w:noProof/>
                <w:szCs w:val="20"/>
              </w:rPr>
            </w:pPr>
            <w:r>
              <w:rPr>
                <w:noProof/>
              </w:rPr>
              <w:t xml:space="preserve">Entrée en vigueur des modifications apportées aux lois, qui transformeront l'Académie slovaque des sciences (SAS) en une institution publique permettant le financement multi-sources, y compris par le secteur privé, tout en garantissant la pleine protection de la propriété intellectuelle et de la rentabilité financière. </w:t>
            </w:r>
          </w:p>
        </w:tc>
      </w:tr>
      <w:tr w:rsidR="003B5F50" w14:paraId="50B4B1B1" w14:textId="77777777">
        <w:trPr>
          <w:trHeight w:val="270"/>
        </w:trPr>
        <w:tc>
          <w:tcPr>
            <w:tcW w:w="335" w:type="pct"/>
            <w:shd w:val="clear" w:color="auto" w:fill="C6EFCE"/>
          </w:tcPr>
          <w:p w14:paraId="50B4B1A3" w14:textId="77777777" w:rsidR="003B5F50" w:rsidRDefault="000D2D85">
            <w:pPr>
              <w:pStyle w:val="P68B1DB1-Normal14"/>
              <w:jc w:val="center"/>
              <w:rPr>
                <w:noProof/>
                <w:szCs w:val="20"/>
              </w:rPr>
            </w:pPr>
            <w:r>
              <w:rPr>
                <w:noProof/>
              </w:rPr>
              <w:t>4</w:t>
            </w:r>
          </w:p>
        </w:tc>
        <w:tc>
          <w:tcPr>
            <w:tcW w:w="504" w:type="pct"/>
            <w:shd w:val="clear" w:color="auto" w:fill="C6EFCE"/>
          </w:tcPr>
          <w:p w14:paraId="50B4B1A4" w14:textId="77777777" w:rsidR="003B5F50" w:rsidRDefault="000D2D85">
            <w:pPr>
              <w:pStyle w:val="P68B1DB1-Normal14"/>
              <w:rPr>
                <w:noProof/>
                <w:szCs w:val="20"/>
              </w:rPr>
            </w:pPr>
            <w:r>
              <w:rPr>
                <w:noProof/>
              </w:rPr>
              <w:t>9 – Gouvernance plus efficace et renforcement du financement de la RDI – Investissement 1: Promouvoir la coopération et la participation internationales aux projets Horizon Europe et EIT</w:t>
            </w:r>
          </w:p>
        </w:tc>
        <w:tc>
          <w:tcPr>
            <w:tcW w:w="650" w:type="pct"/>
            <w:shd w:val="clear" w:color="auto" w:fill="C6EFCE"/>
          </w:tcPr>
          <w:p w14:paraId="50B4B1A5" w14:textId="77777777" w:rsidR="003B5F50" w:rsidRDefault="000D2D85">
            <w:pPr>
              <w:pStyle w:val="P68B1DB1-Normal14"/>
              <w:rPr>
                <w:noProof/>
                <w:szCs w:val="20"/>
              </w:rPr>
            </w:pPr>
            <w:r>
              <w:rPr>
                <w:noProof/>
              </w:rPr>
              <w:t>Étape</w:t>
            </w:r>
          </w:p>
        </w:tc>
        <w:tc>
          <w:tcPr>
            <w:tcW w:w="573" w:type="pct"/>
            <w:shd w:val="clear" w:color="auto" w:fill="C6EFCE"/>
          </w:tcPr>
          <w:p w14:paraId="50B4B1A6" w14:textId="77777777" w:rsidR="003B5F50" w:rsidRDefault="000D2D85">
            <w:pPr>
              <w:pStyle w:val="P68B1DB1-Normal14"/>
              <w:rPr>
                <w:noProof/>
                <w:szCs w:val="20"/>
              </w:rPr>
            </w:pPr>
            <w:r>
              <w:rPr>
                <w:noProof/>
              </w:rPr>
              <w:t xml:space="preserve">Lancement d’appels à projets pour soutenir la participation des acteurs slovaques à Horizon Europe </w:t>
            </w:r>
          </w:p>
        </w:tc>
        <w:tc>
          <w:tcPr>
            <w:tcW w:w="495" w:type="pct"/>
            <w:shd w:val="clear" w:color="auto" w:fill="C6EFCE"/>
          </w:tcPr>
          <w:p w14:paraId="50B4B1A7" w14:textId="77777777" w:rsidR="003B5F50" w:rsidRDefault="000D2D85">
            <w:pPr>
              <w:pStyle w:val="P68B1DB1-Normal14"/>
              <w:rPr>
                <w:noProof/>
                <w:szCs w:val="20"/>
              </w:rPr>
            </w:pPr>
            <w:r>
              <w:rPr>
                <w:noProof/>
              </w:rPr>
              <w:t xml:space="preserve">Lancement d’appels à projets pour soutenir la participation des acteurs slovaques à Horizon Europe </w:t>
            </w:r>
          </w:p>
        </w:tc>
        <w:tc>
          <w:tcPr>
            <w:tcW w:w="431" w:type="pct"/>
            <w:shd w:val="clear" w:color="auto" w:fill="C6EFCE"/>
          </w:tcPr>
          <w:p w14:paraId="50B4B1A8" w14:textId="77777777" w:rsidR="003B5F50" w:rsidRDefault="000D2D85">
            <w:pPr>
              <w:pStyle w:val="P68B1DB1-Normal14"/>
              <w:rPr>
                <w:noProof/>
                <w:szCs w:val="20"/>
              </w:rPr>
            </w:pPr>
            <w:r>
              <w:rPr>
                <w:noProof/>
              </w:rPr>
              <w:t xml:space="preserve"> </w:t>
            </w:r>
          </w:p>
        </w:tc>
        <w:tc>
          <w:tcPr>
            <w:tcW w:w="358" w:type="pct"/>
            <w:shd w:val="clear" w:color="auto" w:fill="C6EFCE"/>
          </w:tcPr>
          <w:p w14:paraId="50B4B1A9" w14:textId="77777777" w:rsidR="003B5F50" w:rsidRDefault="000D2D85">
            <w:pPr>
              <w:pStyle w:val="P68B1DB1-Normal14"/>
              <w:rPr>
                <w:noProof/>
                <w:szCs w:val="20"/>
              </w:rPr>
            </w:pPr>
            <w:r>
              <w:rPr>
                <w:noProof/>
              </w:rPr>
              <w:t xml:space="preserve"> </w:t>
            </w:r>
          </w:p>
        </w:tc>
        <w:tc>
          <w:tcPr>
            <w:tcW w:w="243" w:type="pct"/>
            <w:shd w:val="clear" w:color="auto" w:fill="C6EFCE"/>
          </w:tcPr>
          <w:p w14:paraId="50B4B1AA" w14:textId="77777777" w:rsidR="003B5F50" w:rsidRDefault="000D2D85">
            <w:pPr>
              <w:pStyle w:val="P68B1DB1-Normal14"/>
              <w:rPr>
                <w:noProof/>
                <w:szCs w:val="20"/>
              </w:rPr>
            </w:pPr>
            <w:r>
              <w:rPr>
                <w:noProof/>
              </w:rPr>
              <w:t xml:space="preserve"> 3</w:t>
            </w:r>
          </w:p>
        </w:tc>
        <w:tc>
          <w:tcPr>
            <w:tcW w:w="354" w:type="pct"/>
            <w:shd w:val="clear" w:color="auto" w:fill="C6EFCE"/>
          </w:tcPr>
          <w:p w14:paraId="50B4B1AB" w14:textId="77777777" w:rsidR="003B5F50" w:rsidRDefault="000D2D85">
            <w:pPr>
              <w:pStyle w:val="P68B1DB1-Normal14"/>
              <w:jc w:val="center"/>
              <w:rPr>
                <w:noProof/>
                <w:szCs w:val="20"/>
              </w:rPr>
            </w:pPr>
            <w:r>
              <w:rPr>
                <w:noProof/>
              </w:rPr>
              <w:t>T4</w:t>
            </w:r>
          </w:p>
        </w:tc>
        <w:tc>
          <w:tcPr>
            <w:tcW w:w="246" w:type="pct"/>
            <w:shd w:val="clear" w:color="auto" w:fill="C6EFCE"/>
          </w:tcPr>
          <w:p w14:paraId="50B4B1AC" w14:textId="77777777" w:rsidR="003B5F50" w:rsidRDefault="000D2D85">
            <w:pPr>
              <w:pStyle w:val="P68B1DB1-Normal14"/>
              <w:jc w:val="center"/>
              <w:rPr>
                <w:noProof/>
                <w:szCs w:val="20"/>
              </w:rPr>
            </w:pPr>
            <w:r>
              <w:rPr>
                <w:noProof/>
              </w:rPr>
              <w:t>2022</w:t>
            </w:r>
          </w:p>
        </w:tc>
        <w:tc>
          <w:tcPr>
            <w:tcW w:w="811" w:type="pct"/>
            <w:shd w:val="clear" w:color="auto" w:fill="C6EFCE"/>
          </w:tcPr>
          <w:p w14:paraId="50B4B1AD" w14:textId="7F74094B" w:rsidR="003B5F50" w:rsidRDefault="000D2D85">
            <w:pPr>
              <w:pStyle w:val="P68B1DB1-Normal14"/>
              <w:spacing w:after="0"/>
              <w:rPr>
                <w:noProof/>
                <w:szCs w:val="20"/>
              </w:rPr>
            </w:pPr>
            <w:r>
              <w:rPr>
                <w:noProof/>
              </w:rPr>
              <w:t xml:space="preserve">Au moins trois appels à projets sont lancés pour soutenir la participation des acteurs slovaques au programme Horizon Europe dans le cadre des programmes suivants: </w:t>
            </w:r>
          </w:p>
          <w:p w14:paraId="50B4B1AE" w14:textId="77777777" w:rsidR="003B5F50" w:rsidRDefault="000D2D85">
            <w:pPr>
              <w:pStyle w:val="P68B1DB1-Normal14"/>
              <w:spacing w:after="0"/>
              <w:rPr>
                <w:noProof/>
                <w:szCs w:val="20"/>
              </w:rPr>
            </w:pPr>
            <w:r>
              <w:rPr>
                <w:noProof/>
              </w:rPr>
              <w:t>• Programme de soutien à la préparation des demandes pour Horizon Europe</w:t>
            </w:r>
          </w:p>
          <w:p w14:paraId="50B4B1AF" w14:textId="77777777" w:rsidR="003B5F50" w:rsidRDefault="000D2D85">
            <w:pPr>
              <w:pStyle w:val="P68B1DB1-Normal15"/>
              <w:spacing w:after="0"/>
              <w:rPr>
                <w:rFonts w:eastAsia="Times New Roman" w:cs="Times New Roman"/>
                <w:noProof/>
              </w:rPr>
            </w:pPr>
            <w:r>
              <w:rPr>
                <w:noProof/>
              </w:rPr>
              <w:t>• Programme de soutien aux projets ayant obtenu un label d'excellence ou un score élevé</w:t>
            </w:r>
          </w:p>
          <w:p w14:paraId="50B4B1B0" w14:textId="77777777" w:rsidR="003B5F50" w:rsidRDefault="000D2D85">
            <w:pPr>
              <w:pStyle w:val="P68B1DB1-Normal14"/>
              <w:spacing w:after="0"/>
              <w:rPr>
                <w:noProof/>
                <w:szCs w:val="20"/>
              </w:rPr>
            </w:pPr>
            <w:r>
              <w:rPr>
                <w:noProof/>
              </w:rPr>
              <w:t>• "Subventions de jumelage" pour des projets réussis dans le cadre d'Horizon Europe/Horizon 2020</w:t>
            </w:r>
          </w:p>
        </w:tc>
      </w:tr>
      <w:tr w:rsidR="003B5F50" w14:paraId="50B4B1C0" w14:textId="77777777">
        <w:trPr>
          <w:trHeight w:val="660"/>
        </w:trPr>
        <w:tc>
          <w:tcPr>
            <w:tcW w:w="335" w:type="pct"/>
            <w:shd w:val="clear" w:color="auto" w:fill="C6EFCE"/>
          </w:tcPr>
          <w:p w14:paraId="50B4B1B2" w14:textId="77777777" w:rsidR="003B5F50" w:rsidRDefault="000D2D85">
            <w:pPr>
              <w:pStyle w:val="P68B1DB1-Normal14"/>
              <w:jc w:val="center"/>
              <w:rPr>
                <w:noProof/>
                <w:szCs w:val="20"/>
              </w:rPr>
            </w:pPr>
            <w:r>
              <w:rPr>
                <w:noProof/>
              </w:rPr>
              <w:t>5</w:t>
            </w:r>
          </w:p>
        </w:tc>
        <w:tc>
          <w:tcPr>
            <w:tcW w:w="504" w:type="pct"/>
            <w:shd w:val="clear" w:color="auto" w:fill="C6EFCE"/>
          </w:tcPr>
          <w:p w14:paraId="50B4B1B3" w14:textId="00EAF9D2" w:rsidR="003B5F50" w:rsidRDefault="000D2D85">
            <w:pPr>
              <w:pStyle w:val="P68B1DB1-Normal14"/>
              <w:rPr>
                <w:noProof/>
                <w:szCs w:val="20"/>
              </w:rPr>
            </w:pPr>
            <w:r>
              <w:rPr>
                <w:noProof/>
              </w:rPr>
              <w:t>9 – Gouvernance plus efficace et renforcement du financement de la RDI – Investissement 1: Promouvoir la coopération et la participation internationales aux projets Horizon Europe et EIT</w:t>
            </w:r>
          </w:p>
        </w:tc>
        <w:tc>
          <w:tcPr>
            <w:tcW w:w="650" w:type="pct"/>
            <w:shd w:val="clear" w:color="auto" w:fill="C6EFCE"/>
          </w:tcPr>
          <w:p w14:paraId="50B4B1B4" w14:textId="77777777" w:rsidR="003B5F50" w:rsidRDefault="000D2D85">
            <w:pPr>
              <w:pStyle w:val="P68B1DB1-Normal14"/>
              <w:rPr>
                <w:noProof/>
                <w:szCs w:val="20"/>
              </w:rPr>
            </w:pPr>
            <w:r>
              <w:rPr>
                <w:noProof/>
              </w:rPr>
              <w:t>Objectif</w:t>
            </w:r>
          </w:p>
        </w:tc>
        <w:tc>
          <w:tcPr>
            <w:tcW w:w="573" w:type="pct"/>
            <w:shd w:val="clear" w:color="auto" w:fill="C6EFCE"/>
          </w:tcPr>
          <w:p w14:paraId="50B4B1B5" w14:textId="77777777" w:rsidR="003B5F50" w:rsidRDefault="000D2D85">
            <w:pPr>
              <w:pStyle w:val="P68B1DB1-Normal15"/>
              <w:rPr>
                <w:noProof/>
              </w:rPr>
            </w:pPr>
            <w:r>
              <w:rPr>
                <w:noProof/>
              </w:rPr>
              <w:t>Nombre de projets visant à accroître la participation aux appels Horizon Europe</w:t>
            </w:r>
          </w:p>
        </w:tc>
        <w:tc>
          <w:tcPr>
            <w:tcW w:w="495" w:type="pct"/>
            <w:shd w:val="clear" w:color="auto" w:fill="C6EFCE"/>
          </w:tcPr>
          <w:p w14:paraId="50B4B1B6" w14:textId="77777777" w:rsidR="003B5F50" w:rsidRDefault="000D2D85">
            <w:pPr>
              <w:pStyle w:val="P68B1DB1-Normal14"/>
              <w:rPr>
                <w:noProof/>
                <w:szCs w:val="20"/>
              </w:rPr>
            </w:pPr>
            <w:r>
              <w:rPr>
                <w:noProof/>
              </w:rPr>
              <w:t xml:space="preserve"> </w:t>
            </w:r>
          </w:p>
        </w:tc>
        <w:tc>
          <w:tcPr>
            <w:tcW w:w="431" w:type="pct"/>
            <w:shd w:val="clear" w:color="auto" w:fill="C6EFCE"/>
          </w:tcPr>
          <w:p w14:paraId="50B4B1B7" w14:textId="77777777" w:rsidR="003B5F50" w:rsidRDefault="000D2D85">
            <w:pPr>
              <w:pStyle w:val="P68B1DB1-Normal15"/>
              <w:rPr>
                <w:noProof/>
              </w:rPr>
            </w:pPr>
            <w:r>
              <w:rPr>
                <w:noProof/>
              </w:rPr>
              <w:t>Nombre de projets</w:t>
            </w:r>
          </w:p>
        </w:tc>
        <w:tc>
          <w:tcPr>
            <w:tcW w:w="358" w:type="pct"/>
            <w:shd w:val="clear" w:color="auto" w:fill="C6EFCE"/>
          </w:tcPr>
          <w:p w14:paraId="50B4B1B8" w14:textId="77777777" w:rsidR="003B5F50" w:rsidRDefault="000D2D85">
            <w:pPr>
              <w:pStyle w:val="P68B1DB1-Normal14"/>
              <w:jc w:val="right"/>
              <w:rPr>
                <w:noProof/>
                <w:szCs w:val="20"/>
              </w:rPr>
            </w:pPr>
            <w:r>
              <w:rPr>
                <w:noProof/>
              </w:rPr>
              <w:t>0</w:t>
            </w:r>
          </w:p>
        </w:tc>
        <w:tc>
          <w:tcPr>
            <w:tcW w:w="243" w:type="pct"/>
            <w:shd w:val="clear" w:color="auto" w:fill="C6EFCE"/>
          </w:tcPr>
          <w:p w14:paraId="50B4B1B9" w14:textId="77777777" w:rsidR="003B5F50" w:rsidRDefault="000D2D85">
            <w:pPr>
              <w:pStyle w:val="P68B1DB1-Normal15"/>
              <w:jc w:val="right"/>
              <w:rPr>
                <w:noProof/>
              </w:rPr>
            </w:pPr>
            <w:r>
              <w:rPr>
                <w:noProof/>
              </w:rPr>
              <w:t>765</w:t>
            </w:r>
          </w:p>
          <w:p w14:paraId="50B4B1BA" w14:textId="77777777" w:rsidR="003B5F50" w:rsidRDefault="003B5F50">
            <w:pPr>
              <w:jc w:val="right"/>
              <w:rPr>
                <w:rFonts w:ascii="Times New Roman" w:hAnsi="Times New Roman"/>
                <w:noProof/>
                <w:color w:val="006100"/>
                <w:sz w:val="20"/>
              </w:rPr>
            </w:pPr>
          </w:p>
        </w:tc>
        <w:tc>
          <w:tcPr>
            <w:tcW w:w="354" w:type="pct"/>
            <w:shd w:val="clear" w:color="auto" w:fill="C6EFCE"/>
          </w:tcPr>
          <w:p w14:paraId="50B4B1BB" w14:textId="77777777" w:rsidR="003B5F50" w:rsidRDefault="000D2D85">
            <w:pPr>
              <w:pStyle w:val="P68B1DB1-Normal14"/>
              <w:jc w:val="center"/>
              <w:rPr>
                <w:noProof/>
                <w:szCs w:val="20"/>
              </w:rPr>
            </w:pPr>
            <w:r>
              <w:rPr>
                <w:noProof/>
              </w:rPr>
              <w:t>T1</w:t>
            </w:r>
          </w:p>
        </w:tc>
        <w:tc>
          <w:tcPr>
            <w:tcW w:w="246" w:type="pct"/>
            <w:shd w:val="clear" w:color="auto" w:fill="C6EFCE"/>
          </w:tcPr>
          <w:p w14:paraId="50B4B1BC" w14:textId="77777777" w:rsidR="003B5F50" w:rsidRDefault="000D2D85">
            <w:pPr>
              <w:pStyle w:val="P68B1DB1-Normal14"/>
              <w:jc w:val="center"/>
              <w:rPr>
                <w:noProof/>
                <w:szCs w:val="20"/>
              </w:rPr>
            </w:pPr>
            <w:r>
              <w:rPr>
                <w:noProof/>
              </w:rPr>
              <w:t>2026</w:t>
            </w:r>
          </w:p>
        </w:tc>
        <w:tc>
          <w:tcPr>
            <w:tcW w:w="811" w:type="pct"/>
            <w:shd w:val="clear" w:color="auto" w:fill="C6EFCE"/>
          </w:tcPr>
          <w:p w14:paraId="50B4B1BD" w14:textId="77777777" w:rsidR="003B5F50" w:rsidRDefault="000D2D85">
            <w:pPr>
              <w:pStyle w:val="P68B1DB1-Normal15"/>
              <w:spacing w:after="0"/>
              <w:rPr>
                <w:noProof/>
              </w:rPr>
            </w:pPr>
            <w:r>
              <w:rPr>
                <w:noProof/>
              </w:rPr>
              <w:t xml:space="preserve">Sur l’objectif global de 770 projets, des subventions sont octroyées à au moins 765 projets au titre des appels visant à accroître la participation au programme Horizon Europe. </w:t>
            </w:r>
          </w:p>
          <w:p w14:paraId="50B4B1BE" w14:textId="77777777" w:rsidR="003B5F50" w:rsidRDefault="003B5F50">
            <w:pPr>
              <w:spacing w:after="0"/>
              <w:rPr>
                <w:rFonts w:ascii="Times New Roman" w:hAnsi="Times New Roman"/>
                <w:noProof/>
                <w:sz w:val="20"/>
                <w:szCs w:val="20"/>
              </w:rPr>
            </w:pPr>
          </w:p>
          <w:p w14:paraId="50B4B1BF" w14:textId="77777777" w:rsidR="003B5F50" w:rsidRDefault="003B5F50">
            <w:pPr>
              <w:pStyle w:val="ListParagraph"/>
              <w:spacing w:after="0"/>
              <w:ind w:left="134"/>
              <w:rPr>
                <w:rFonts w:ascii="Times New Roman" w:hAnsi="Times New Roman"/>
                <w:noProof/>
                <w:sz w:val="20"/>
                <w:szCs w:val="20"/>
              </w:rPr>
            </w:pPr>
          </w:p>
        </w:tc>
      </w:tr>
      <w:tr w:rsidR="003B5F50" w14:paraId="50B4B1CF" w14:textId="77777777">
        <w:trPr>
          <w:trHeight w:val="255"/>
        </w:trPr>
        <w:tc>
          <w:tcPr>
            <w:tcW w:w="335" w:type="pct"/>
            <w:shd w:val="clear" w:color="auto" w:fill="C6EFCE"/>
          </w:tcPr>
          <w:p w14:paraId="50B4B1C1" w14:textId="77777777" w:rsidR="003B5F50" w:rsidRDefault="000D2D85">
            <w:pPr>
              <w:pStyle w:val="P68B1DB1-Normal14"/>
              <w:jc w:val="center"/>
              <w:rPr>
                <w:noProof/>
                <w:szCs w:val="20"/>
              </w:rPr>
            </w:pPr>
            <w:r>
              <w:rPr>
                <w:noProof/>
              </w:rPr>
              <w:t>6</w:t>
            </w:r>
          </w:p>
        </w:tc>
        <w:tc>
          <w:tcPr>
            <w:tcW w:w="504" w:type="pct"/>
            <w:shd w:val="clear" w:color="auto" w:fill="C6EFCE"/>
          </w:tcPr>
          <w:p w14:paraId="50B4B1C2" w14:textId="00AB3F3C" w:rsidR="003B5F50" w:rsidRDefault="000D2D85">
            <w:pPr>
              <w:pStyle w:val="P68B1DB1-Normal14"/>
              <w:spacing w:after="0"/>
              <w:rPr>
                <w:noProof/>
                <w:szCs w:val="20"/>
              </w:rPr>
            </w:pPr>
            <w:r>
              <w:rPr>
                <w:noProof/>
              </w:rPr>
              <w:t>9 –</w:t>
            </w:r>
            <w:r>
              <w:rPr>
                <w:noProof/>
              </w:rPr>
              <w:br/>
              <w:t>Gouvernance plus efficace et renforcement du financement de la RDI – Investissement 2: Soutien à la coopération entre les entreprises, le monde universitaire et les organisations de RD</w:t>
            </w:r>
          </w:p>
        </w:tc>
        <w:tc>
          <w:tcPr>
            <w:tcW w:w="650" w:type="pct"/>
            <w:shd w:val="clear" w:color="auto" w:fill="C6EFCE"/>
          </w:tcPr>
          <w:p w14:paraId="50B4B1C3" w14:textId="77777777" w:rsidR="003B5F50" w:rsidRDefault="000D2D85">
            <w:pPr>
              <w:pStyle w:val="P68B1DB1-Normal14"/>
              <w:rPr>
                <w:noProof/>
                <w:szCs w:val="20"/>
              </w:rPr>
            </w:pPr>
            <w:r>
              <w:rPr>
                <w:noProof/>
              </w:rPr>
              <w:t>Étape</w:t>
            </w:r>
          </w:p>
        </w:tc>
        <w:tc>
          <w:tcPr>
            <w:tcW w:w="573" w:type="pct"/>
            <w:shd w:val="clear" w:color="auto" w:fill="C6EFCE"/>
          </w:tcPr>
          <w:p w14:paraId="50B4B1C4" w14:textId="206C8523" w:rsidR="003B5F50" w:rsidRDefault="000D2D85">
            <w:pPr>
              <w:pStyle w:val="P68B1DB1-Normal14"/>
              <w:rPr>
                <w:noProof/>
                <w:szCs w:val="20"/>
              </w:rPr>
            </w:pPr>
            <w:r>
              <w:rPr>
                <w:noProof/>
              </w:rPr>
              <w:t xml:space="preserve">Lancement d'appels à projets pour soutenir la coopération entre les entreprises, le monde universitaire et les organisations de R &amp; D et de bons d'achat </w:t>
            </w:r>
          </w:p>
        </w:tc>
        <w:tc>
          <w:tcPr>
            <w:tcW w:w="495" w:type="pct"/>
            <w:shd w:val="clear" w:color="auto" w:fill="C6EFCE"/>
          </w:tcPr>
          <w:p w14:paraId="50B4B1C5" w14:textId="6CDB7314" w:rsidR="003B5F50" w:rsidRDefault="000D2D85">
            <w:pPr>
              <w:pStyle w:val="P68B1DB1-Normal14"/>
              <w:rPr>
                <w:noProof/>
                <w:szCs w:val="20"/>
              </w:rPr>
            </w:pPr>
            <w:r>
              <w:rPr>
                <w:noProof/>
              </w:rPr>
              <w:t xml:space="preserve">Lancement d'appels à projets pour soutenir la coopération entre les entreprises, le monde universitaire et les organismes de R &amp; D et les bons d'achat  </w:t>
            </w:r>
          </w:p>
        </w:tc>
        <w:tc>
          <w:tcPr>
            <w:tcW w:w="431" w:type="pct"/>
            <w:shd w:val="clear" w:color="auto" w:fill="C6EFCE"/>
          </w:tcPr>
          <w:p w14:paraId="50B4B1C6" w14:textId="77777777" w:rsidR="003B5F50" w:rsidRDefault="000D2D85">
            <w:pPr>
              <w:pStyle w:val="P68B1DB1-Normal14"/>
              <w:jc w:val="both"/>
              <w:rPr>
                <w:noProof/>
                <w:szCs w:val="20"/>
              </w:rPr>
            </w:pPr>
            <w:r>
              <w:rPr>
                <w:noProof/>
              </w:rPr>
              <w:t xml:space="preserve"> </w:t>
            </w:r>
          </w:p>
        </w:tc>
        <w:tc>
          <w:tcPr>
            <w:tcW w:w="358" w:type="pct"/>
            <w:shd w:val="clear" w:color="auto" w:fill="C6EFCE"/>
          </w:tcPr>
          <w:p w14:paraId="50B4B1C7" w14:textId="77777777" w:rsidR="003B5F50" w:rsidRDefault="000D2D85">
            <w:pPr>
              <w:pStyle w:val="P68B1DB1-Normal14"/>
              <w:jc w:val="both"/>
              <w:rPr>
                <w:noProof/>
                <w:szCs w:val="20"/>
              </w:rPr>
            </w:pPr>
            <w:r>
              <w:rPr>
                <w:noProof/>
              </w:rPr>
              <w:t xml:space="preserve"> </w:t>
            </w:r>
          </w:p>
        </w:tc>
        <w:tc>
          <w:tcPr>
            <w:tcW w:w="243" w:type="pct"/>
            <w:shd w:val="clear" w:color="auto" w:fill="C6EFCE"/>
          </w:tcPr>
          <w:p w14:paraId="50B4B1C8" w14:textId="77777777" w:rsidR="003B5F50" w:rsidRDefault="000D2D85">
            <w:pPr>
              <w:pStyle w:val="P68B1DB1-Normal14"/>
              <w:jc w:val="center"/>
              <w:rPr>
                <w:noProof/>
                <w:szCs w:val="20"/>
              </w:rPr>
            </w:pPr>
            <w:r>
              <w:rPr>
                <w:noProof/>
              </w:rPr>
              <w:t>4</w:t>
            </w:r>
          </w:p>
        </w:tc>
        <w:tc>
          <w:tcPr>
            <w:tcW w:w="354" w:type="pct"/>
            <w:shd w:val="clear" w:color="auto" w:fill="C6EFCE"/>
          </w:tcPr>
          <w:p w14:paraId="50B4B1C9" w14:textId="77777777" w:rsidR="003B5F50" w:rsidRDefault="000D2D85">
            <w:pPr>
              <w:pStyle w:val="P68B1DB1-Normal14"/>
              <w:jc w:val="center"/>
              <w:rPr>
                <w:noProof/>
                <w:szCs w:val="20"/>
              </w:rPr>
            </w:pPr>
            <w:r>
              <w:rPr>
                <w:noProof/>
              </w:rPr>
              <w:t>T4</w:t>
            </w:r>
          </w:p>
        </w:tc>
        <w:tc>
          <w:tcPr>
            <w:tcW w:w="246" w:type="pct"/>
            <w:shd w:val="clear" w:color="auto" w:fill="C6EFCE"/>
          </w:tcPr>
          <w:p w14:paraId="50B4B1CA" w14:textId="77777777" w:rsidR="003B5F50" w:rsidRDefault="000D2D85">
            <w:pPr>
              <w:pStyle w:val="P68B1DB1-Normal15"/>
              <w:jc w:val="center"/>
              <w:rPr>
                <w:noProof/>
              </w:rPr>
            </w:pPr>
            <w:r>
              <w:rPr>
                <w:noProof/>
              </w:rPr>
              <w:t>2022</w:t>
            </w:r>
          </w:p>
        </w:tc>
        <w:tc>
          <w:tcPr>
            <w:tcW w:w="811" w:type="pct"/>
            <w:shd w:val="clear" w:color="auto" w:fill="C6EFCE"/>
          </w:tcPr>
          <w:p w14:paraId="50B4B1CB" w14:textId="77777777" w:rsidR="003B5F50" w:rsidRDefault="000D2D85">
            <w:pPr>
              <w:pStyle w:val="P68B1DB1-Normal14"/>
              <w:spacing w:after="0"/>
              <w:rPr>
                <w:noProof/>
                <w:szCs w:val="20"/>
              </w:rPr>
            </w:pPr>
            <w:r>
              <w:rPr>
                <w:noProof/>
              </w:rPr>
              <w:t>Au moins quatre appels à projets sont lancés conformément au principe consistant à «ne pas causer de préjudice important» afin de soutenir la coopération entre les entreprises, le monde universitaire et les organisations de R&amp;D et de soutenir les systèmes de chèques:</w:t>
            </w:r>
          </w:p>
          <w:p w14:paraId="50B4B1CC" w14:textId="77777777" w:rsidR="003B5F50" w:rsidRDefault="000D2D85">
            <w:pPr>
              <w:pStyle w:val="P68B1DB1-Normal14"/>
              <w:spacing w:after="0"/>
              <w:rPr>
                <w:noProof/>
                <w:szCs w:val="20"/>
              </w:rPr>
            </w:pPr>
            <w:r>
              <w:rPr>
                <w:noProof/>
              </w:rPr>
              <w:t>• subventions «d’appariement» aux établissements de recherche afin de mobiliser des ressources du secteur privé dans le cadre de la collaboration en matière de recherche.</w:t>
            </w:r>
          </w:p>
          <w:p w14:paraId="50B4B1CD" w14:textId="77777777" w:rsidR="003B5F50" w:rsidRDefault="000D2D85">
            <w:pPr>
              <w:pStyle w:val="P68B1DB1-Normal14"/>
              <w:spacing w:after="0"/>
              <w:rPr>
                <w:noProof/>
                <w:szCs w:val="20"/>
              </w:rPr>
            </w:pPr>
            <w:r>
              <w:rPr>
                <w:noProof/>
              </w:rPr>
              <w:t>• la mise en place de consortiums «transformateurs et innovants»</w:t>
            </w:r>
          </w:p>
          <w:p w14:paraId="50B4B1CE" w14:textId="77777777" w:rsidR="003B5F50" w:rsidRDefault="000D2D85">
            <w:pPr>
              <w:pStyle w:val="P68B1DB1-Normal14"/>
              <w:spacing w:after="0"/>
              <w:rPr>
                <w:noProof/>
                <w:szCs w:val="20"/>
              </w:rPr>
            </w:pPr>
            <w:r>
              <w:rPr>
                <w:noProof/>
              </w:rPr>
              <w:t xml:space="preserve">• les régimes d’aide sous forme de bons, qui comprennent des bons d’innovation et des bons numériques. </w:t>
            </w:r>
          </w:p>
        </w:tc>
      </w:tr>
      <w:tr w:rsidR="003B5F50" w14:paraId="50B4B1E1" w14:textId="77777777">
        <w:trPr>
          <w:trHeight w:val="900"/>
        </w:trPr>
        <w:tc>
          <w:tcPr>
            <w:tcW w:w="335" w:type="pct"/>
            <w:shd w:val="clear" w:color="auto" w:fill="C6EFCE"/>
          </w:tcPr>
          <w:p w14:paraId="50B4B1D0" w14:textId="77777777" w:rsidR="003B5F50" w:rsidRDefault="000D2D85">
            <w:pPr>
              <w:pStyle w:val="P68B1DB1-Normal15"/>
              <w:jc w:val="center"/>
              <w:rPr>
                <w:noProof/>
              </w:rPr>
            </w:pPr>
            <w:r>
              <w:rPr>
                <w:noProof/>
              </w:rPr>
              <w:t>7</w:t>
            </w:r>
          </w:p>
        </w:tc>
        <w:tc>
          <w:tcPr>
            <w:tcW w:w="504" w:type="pct"/>
            <w:shd w:val="clear" w:color="auto" w:fill="C6EFCE"/>
          </w:tcPr>
          <w:p w14:paraId="50B4B1D1" w14:textId="14E0AAAD" w:rsidR="003B5F50" w:rsidRDefault="000D2D85">
            <w:pPr>
              <w:pStyle w:val="P68B1DB1-Normal15"/>
              <w:spacing w:after="0"/>
              <w:rPr>
                <w:noProof/>
              </w:rPr>
            </w:pPr>
            <w:r>
              <w:rPr>
                <w:noProof/>
              </w:rPr>
              <w:t>9 – Gouvernance plus efficace et renforcement du financement de la RDI – Investissement 2: Soutien à la coopération entre les entreprises, le monde universitaire et les organisations de RD</w:t>
            </w:r>
          </w:p>
        </w:tc>
        <w:tc>
          <w:tcPr>
            <w:tcW w:w="650" w:type="pct"/>
            <w:shd w:val="clear" w:color="auto" w:fill="C6EFCE"/>
          </w:tcPr>
          <w:p w14:paraId="50B4B1D2" w14:textId="77777777" w:rsidR="003B5F50" w:rsidRDefault="000D2D85">
            <w:pPr>
              <w:pStyle w:val="P68B1DB1-Normal15"/>
              <w:rPr>
                <w:noProof/>
              </w:rPr>
            </w:pPr>
            <w:r>
              <w:rPr>
                <w:noProof/>
              </w:rPr>
              <w:t>Objectif</w:t>
            </w:r>
          </w:p>
        </w:tc>
        <w:tc>
          <w:tcPr>
            <w:tcW w:w="573" w:type="pct"/>
            <w:shd w:val="clear" w:color="auto" w:fill="C6EFCE"/>
          </w:tcPr>
          <w:p w14:paraId="50B4B1D3" w14:textId="77777777" w:rsidR="003B5F50" w:rsidRDefault="000D2D85">
            <w:pPr>
              <w:pStyle w:val="P68B1DB1-Normal15"/>
              <w:rPr>
                <w:noProof/>
              </w:rPr>
            </w:pPr>
            <w:r>
              <w:rPr>
                <w:noProof/>
              </w:rPr>
              <w:t>Nombre de projets collaboratifs et de bons</w:t>
            </w:r>
          </w:p>
        </w:tc>
        <w:tc>
          <w:tcPr>
            <w:tcW w:w="495" w:type="pct"/>
            <w:shd w:val="clear" w:color="auto" w:fill="C6EFCE"/>
          </w:tcPr>
          <w:p w14:paraId="50B4B1D4" w14:textId="77777777" w:rsidR="003B5F50" w:rsidRDefault="000D2D85">
            <w:pPr>
              <w:pStyle w:val="P68B1DB1-Normal15"/>
              <w:rPr>
                <w:noProof/>
              </w:rPr>
            </w:pPr>
            <w:r>
              <w:rPr>
                <w:noProof/>
              </w:rPr>
              <w:t xml:space="preserve"> </w:t>
            </w:r>
          </w:p>
        </w:tc>
        <w:tc>
          <w:tcPr>
            <w:tcW w:w="431" w:type="pct"/>
            <w:shd w:val="clear" w:color="auto" w:fill="C6EFCE"/>
          </w:tcPr>
          <w:p w14:paraId="50B4B1D5" w14:textId="77777777" w:rsidR="003B5F50" w:rsidRDefault="000D2D85">
            <w:pPr>
              <w:pStyle w:val="P68B1DB1-Normal15"/>
              <w:rPr>
                <w:noProof/>
              </w:rPr>
            </w:pPr>
            <w:r>
              <w:rPr>
                <w:noProof/>
              </w:rPr>
              <w:t>Nombre de projets</w:t>
            </w:r>
          </w:p>
        </w:tc>
        <w:tc>
          <w:tcPr>
            <w:tcW w:w="358" w:type="pct"/>
            <w:shd w:val="clear" w:color="auto" w:fill="C6EFCE"/>
          </w:tcPr>
          <w:p w14:paraId="50B4B1D6" w14:textId="77777777" w:rsidR="003B5F50" w:rsidRDefault="000D2D85">
            <w:pPr>
              <w:pStyle w:val="P68B1DB1-Normal15"/>
              <w:jc w:val="right"/>
              <w:rPr>
                <w:noProof/>
              </w:rPr>
            </w:pPr>
            <w:r>
              <w:rPr>
                <w:noProof/>
              </w:rPr>
              <w:t>0</w:t>
            </w:r>
          </w:p>
        </w:tc>
        <w:tc>
          <w:tcPr>
            <w:tcW w:w="243" w:type="pct"/>
            <w:shd w:val="clear" w:color="auto" w:fill="C6EFCE"/>
          </w:tcPr>
          <w:p w14:paraId="50B4B1D7" w14:textId="77777777" w:rsidR="003B5F50" w:rsidRDefault="000D2D85">
            <w:pPr>
              <w:pStyle w:val="P68B1DB1-Normal14"/>
              <w:jc w:val="right"/>
              <w:rPr>
                <w:noProof/>
                <w:szCs w:val="20"/>
              </w:rPr>
            </w:pPr>
            <w:r>
              <w:rPr>
                <w:noProof/>
                <w:szCs w:val="20"/>
              </w:rPr>
              <w:t>3</w:t>
            </w:r>
            <w:r>
              <w:rPr>
                <w:noProof/>
              </w:rPr>
              <w:t xml:space="preserve"> </w:t>
            </w:r>
            <w:r>
              <w:rPr>
                <w:noProof/>
                <w:szCs w:val="20"/>
              </w:rPr>
              <w:t>538</w:t>
            </w:r>
          </w:p>
          <w:p w14:paraId="50B4B1D8" w14:textId="77777777" w:rsidR="003B5F50" w:rsidRDefault="003B5F50">
            <w:pPr>
              <w:jc w:val="right"/>
              <w:rPr>
                <w:rFonts w:ascii="Times New Roman" w:hAnsi="Times New Roman"/>
                <w:noProof/>
                <w:sz w:val="20"/>
                <w:szCs w:val="20"/>
              </w:rPr>
            </w:pPr>
          </w:p>
        </w:tc>
        <w:tc>
          <w:tcPr>
            <w:tcW w:w="354" w:type="pct"/>
            <w:shd w:val="clear" w:color="auto" w:fill="C6EFCE"/>
          </w:tcPr>
          <w:p w14:paraId="50B4B1D9" w14:textId="77777777" w:rsidR="003B5F50" w:rsidRDefault="000D2D85">
            <w:pPr>
              <w:pStyle w:val="P68B1DB1-Normal15"/>
              <w:jc w:val="center"/>
              <w:rPr>
                <w:noProof/>
              </w:rPr>
            </w:pPr>
            <w:r>
              <w:rPr>
                <w:noProof/>
              </w:rPr>
              <w:t>T4</w:t>
            </w:r>
          </w:p>
        </w:tc>
        <w:tc>
          <w:tcPr>
            <w:tcW w:w="246" w:type="pct"/>
            <w:shd w:val="clear" w:color="auto" w:fill="C6EFCE"/>
          </w:tcPr>
          <w:p w14:paraId="50B4B1DA" w14:textId="77777777" w:rsidR="003B5F50" w:rsidRDefault="000D2D85">
            <w:pPr>
              <w:pStyle w:val="P68B1DB1-Normal15"/>
              <w:jc w:val="center"/>
              <w:rPr>
                <w:noProof/>
              </w:rPr>
            </w:pPr>
            <w:r>
              <w:rPr>
                <w:noProof/>
              </w:rPr>
              <w:t>2024</w:t>
            </w:r>
          </w:p>
        </w:tc>
        <w:tc>
          <w:tcPr>
            <w:tcW w:w="811" w:type="pct"/>
            <w:shd w:val="clear" w:color="auto" w:fill="C6EFCE"/>
          </w:tcPr>
          <w:p w14:paraId="50B4B1DB" w14:textId="77777777" w:rsidR="003B5F50" w:rsidRDefault="000D2D85">
            <w:pPr>
              <w:pStyle w:val="P68B1DB1-Normal14"/>
              <w:spacing w:after="0"/>
              <w:rPr>
                <w:noProof/>
                <w:szCs w:val="20"/>
              </w:rPr>
            </w:pPr>
            <w:r>
              <w:rPr>
                <w:noProof/>
                <w:szCs w:val="20"/>
              </w:rPr>
              <w:t>Sur l’objectif global de 3</w:t>
            </w:r>
            <w:r>
              <w:rPr>
                <w:noProof/>
              </w:rPr>
              <w:t> </w:t>
            </w:r>
            <w:r>
              <w:rPr>
                <w:noProof/>
                <w:szCs w:val="20"/>
              </w:rPr>
              <w:t>931 projets, des subventions sont octroyées à au moins 3</w:t>
            </w:r>
            <w:r>
              <w:rPr>
                <w:noProof/>
              </w:rPr>
              <w:t> </w:t>
            </w:r>
            <w:r>
              <w:rPr>
                <w:noProof/>
                <w:szCs w:val="20"/>
              </w:rPr>
              <w:t>538 projets de coopération entre des entreprises, des universités et des organismes de R&amp;D et des bons.</w:t>
            </w:r>
          </w:p>
          <w:p w14:paraId="50B4B1DC" w14:textId="77777777" w:rsidR="003B5F50" w:rsidRDefault="000D2D85">
            <w:pPr>
              <w:pStyle w:val="P68B1DB1-Normal15"/>
              <w:spacing w:after="0"/>
              <w:rPr>
                <w:noProof/>
              </w:rPr>
            </w:pPr>
            <w:r>
              <w:rPr>
                <w:noProof/>
              </w:rPr>
              <w:t xml:space="preserve">L'investissement devrait se traduire par: </w:t>
            </w:r>
          </w:p>
          <w:p w14:paraId="50B4B1DD" w14:textId="77777777" w:rsidR="003B5F50" w:rsidRDefault="000D2D85">
            <w:pPr>
              <w:pStyle w:val="P68B1DB1-Normal15"/>
              <w:spacing w:after="0"/>
              <w:rPr>
                <w:noProof/>
              </w:rPr>
            </w:pPr>
            <w:r>
              <w:rPr>
                <w:noProof/>
              </w:rPr>
              <w:t xml:space="preserve">• Mise en place d’au moins deux consortiums «transformateurs et innovants» </w:t>
            </w:r>
          </w:p>
          <w:p w14:paraId="50B4B1DE" w14:textId="77777777" w:rsidR="003B5F50" w:rsidRDefault="000D2D85">
            <w:pPr>
              <w:pStyle w:val="P68B1DB1-Normal14"/>
              <w:spacing w:after="0"/>
              <w:rPr>
                <w:noProof/>
                <w:szCs w:val="20"/>
              </w:rPr>
            </w:pPr>
            <w:r>
              <w:rPr>
                <w:noProof/>
                <w:szCs w:val="20"/>
              </w:rPr>
              <w:t>•2</w:t>
            </w:r>
            <w:r>
              <w:rPr>
                <w:noProof/>
              </w:rPr>
              <w:t> </w:t>
            </w:r>
            <w:r>
              <w:rPr>
                <w:noProof/>
                <w:szCs w:val="20"/>
              </w:rPr>
              <w:t>760 projets collaboratifs bénéficiant de subventions de contrepartie</w:t>
            </w:r>
          </w:p>
          <w:p w14:paraId="50B4B1DF" w14:textId="77777777" w:rsidR="003B5F50" w:rsidRDefault="000D2D85">
            <w:pPr>
              <w:pStyle w:val="P68B1DB1-Normal15"/>
              <w:spacing w:after="0"/>
              <w:rPr>
                <w:noProof/>
              </w:rPr>
            </w:pPr>
            <w:r>
              <w:rPr>
                <w:noProof/>
              </w:rPr>
              <w:t xml:space="preserve">•450 chèques-cadeaux innovants et 720 chèques-cadeaux numériques </w:t>
            </w:r>
          </w:p>
          <w:p w14:paraId="50B4B1E0" w14:textId="77777777" w:rsidR="003B5F50" w:rsidRDefault="003B5F50">
            <w:pPr>
              <w:spacing w:after="0"/>
              <w:rPr>
                <w:rFonts w:ascii="Times New Roman" w:hAnsi="Times New Roman"/>
                <w:noProof/>
                <w:sz w:val="20"/>
                <w:szCs w:val="20"/>
              </w:rPr>
            </w:pPr>
          </w:p>
        </w:tc>
      </w:tr>
      <w:tr w:rsidR="003B5F50" w14:paraId="50B4B1EF" w14:textId="77777777">
        <w:trPr>
          <w:trHeight w:val="75"/>
        </w:trPr>
        <w:tc>
          <w:tcPr>
            <w:tcW w:w="335" w:type="pct"/>
            <w:shd w:val="clear" w:color="auto" w:fill="C6EFCE"/>
          </w:tcPr>
          <w:p w14:paraId="50B4B1E2" w14:textId="77777777" w:rsidR="003B5F50" w:rsidRDefault="000D2D85">
            <w:pPr>
              <w:pStyle w:val="P68B1DB1-Normal15"/>
              <w:jc w:val="center"/>
              <w:rPr>
                <w:noProof/>
              </w:rPr>
            </w:pPr>
            <w:r>
              <w:rPr>
                <w:noProof/>
              </w:rPr>
              <w:t>8</w:t>
            </w:r>
          </w:p>
        </w:tc>
        <w:tc>
          <w:tcPr>
            <w:tcW w:w="504" w:type="pct"/>
            <w:shd w:val="clear" w:color="auto" w:fill="C6EFCE"/>
          </w:tcPr>
          <w:p w14:paraId="50B4B1E3" w14:textId="4E949B9F" w:rsidR="003B5F50" w:rsidRDefault="000D2D85">
            <w:pPr>
              <w:pStyle w:val="P68B1DB1-Normal15"/>
              <w:spacing w:after="0"/>
              <w:rPr>
                <w:noProof/>
              </w:rPr>
            </w:pPr>
            <w:r>
              <w:rPr>
                <w:noProof/>
              </w:rPr>
              <w:t>9 – Gouvernance plus efficace et renforcement du financement de la RDI – Investissement 2: Soutien à la coopération entre les entreprises, le monde universitaire et les organisations de RD</w:t>
            </w:r>
          </w:p>
        </w:tc>
        <w:tc>
          <w:tcPr>
            <w:tcW w:w="650" w:type="pct"/>
            <w:shd w:val="clear" w:color="auto" w:fill="C6EFCE"/>
          </w:tcPr>
          <w:p w14:paraId="50B4B1E4" w14:textId="77777777" w:rsidR="003B5F50" w:rsidRDefault="000D2D85">
            <w:pPr>
              <w:pStyle w:val="P68B1DB1-Normal14"/>
              <w:rPr>
                <w:noProof/>
              </w:rPr>
            </w:pPr>
            <w:r>
              <w:rPr>
                <w:noProof/>
              </w:rPr>
              <w:t>Étape</w:t>
            </w:r>
          </w:p>
        </w:tc>
        <w:tc>
          <w:tcPr>
            <w:tcW w:w="573" w:type="pct"/>
            <w:shd w:val="clear" w:color="auto" w:fill="C6EFCE"/>
          </w:tcPr>
          <w:p w14:paraId="50B4B1E5" w14:textId="77777777" w:rsidR="003B5F50" w:rsidRDefault="000D2D85">
            <w:pPr>
              <w:pStyle w:val="P68B1DB1-Normal15"/>
              <w:rPr>
                <w:noProof/>
              </w:rPr>
            </w:pPr>
            <w:r>
              <w:rPr>
                <w:noProof/>
              </w:rPr>
              <w:t>Mise en œuvre d’appels à projets pour soutenir la coopération entre les entreprises, le monde universitaire et les organisations de RD et de bons d’achat</w:t>
            </w:r>
          </w:p>
        </w:tc>
        <w:tc>
          <w:tcPr>
            <w:tcW w:w="495" w:type="pct"/>
            <w:shd w:val="clear" w:color="auto" w:fill="C6EFCE"/>
          </w:tcPr>
          <w:p w14:paraId="50B4B1E6" w14:textId="77777777" w:rsidR="003B5F50" w:rsidRDefault="000D2D85">
            <w:pPr>
              <w:pStyle w:val="P68B1DB1-Normal14"/>
              <w:rPr>
                <w:noProof/>
              </w:rPr>
            </w:pPr>
            <w:r>
              <w:rPr>
                <w:noProof/>
              </w:rPr>
              <w:t xml:space="preserve">Approbation du Conseil gouvernemental </w:t>
            </w:r>
            <w:r>
              <w:rPr>
                <w:noProof/>
                <w:szCs w:val="20"/>
              </w:rPr>
              <w:t>pour la science, la technologie et l'innovation.</w:t>
            </w:r>
          </w:p>
        </w:tc>
        <w:tc>
          <w:tcPr>
            <w:tcW w:w="431" w:type="pct"/>
            <w:shd w:val="clear" w:color="auto" w:fill="C6EFCE"/>
          </w:tcPr>
          <w:p w14:paraId="50B4B1E7" w14:textId="77777777" w:rsidR="003B5F50" w:rsidRDefault="003B5F50">
            <w:pPr>
              <w:rPr>
                <w:rFonts w:ascii="Times New Roman" w:hAnsi="Times New Roman"/>
                <w:noProof/>
                <w:color w:val="006100"/>
                <w:sz w:val="20"/>
              </w:rPr>
            </w:pPr>
          </w:p>
        </w:tc>
        <w:tc>
          <w:tcPr>
            <w:tcW w:w="358" w:type="pct"/>
            <w:shd w:val="clear" w:color="auto" w:fill="C6EFCE"/>
          </w:tcPr>
          <w:p w14:paraId="50B4B1E8" w14:textId="77777777" w:rsidR="003B5F50" w:rsidRDefault="003B5F50">
            <w:pPr>
              <w:jc w:val="right"/>
              <w:rPr>
                <w:rFonts w:ascii="Times New Roman" w:hAnsi="Times New Roman"/>
                <w:noProof/>
                <w:color w:val="006100"/>
                <w:sz w:val="20"/>
              </w:rPr>
            </w:pPr>
          </w:p>
        </w:tc>
        <w:tc>
          <w:tcPr>
            <w:tcW w:w="243" w:type="pct"/>
            <w:shd w:val="clear" w:color="auto" w:fill="C6EFCE"/>
          </w:tcPr>
          <w:p w14:paraId="50B4B1E9" w14:textId="77777777" w:rsidR="003B5F50" w:rsidRDefault="003B5F50">
            <w:pPr>
              <w:jc w:val="right"/>
              <w:rPr>
                <w:rFonts w:ascii="Times New Roman" w:hAnsi="Times New Roman"/>
                <w:noProof/>
                <w:color w:val="006100"/>
                <w:sz w:val="20"/>
              </w:rPr>
            </w:pPr>
          </w:p>
        </w:tc>
        <w:tc>
          <w:tcPr>
            <w:tcW w:w="354" w:type="pct"/>
            <w:shd w:val="clear" w:color="auto" w:fill="C6EFCE"/>
          </w:tcPr>
          <w:p w14:paraId="50B4B1EA" w14:textId="77777777" w:rsidR="003B5F50" w:rsidRDefault="000D2D85">
            <w:pPr>
              <w:pStyle w:val="P68B1DB1-Normal14"/>
              <w:jc w:val="center"/>
              <w:rPr>
                <w:noProof/>
              </w:rPr>
            </w:pPr>
            <w:r>
              <w:rPr>
                <w:noProof/>
              </w:rPr>
              <w:t>T1</w:t>
            </w:r>
          </w:p>
        </w:tc>
        <w:tc>
          <w:tcPr>
            <w:tcW w:w="246" w:type="pct"/>
            <w:shd w:val="clear" w:color="auto" w:fill="C6EFCE"/>
          </w:tcPr>
          <w:p w14:paraId="50B4B1EB" w14:textId="77777777" w:rsidR="003B5F50" w:rsidRDefault="000D2D85">
            <w:pPr>
              <w:pStyle w:val="P68B1DB1-Normal14"/>
              <w:jc w:val="center"/>
              <w:rPr>
                <w:noProof/>
              </w:rPr>
            </w:pPr>
            <w:r>
              <w:rPr>
                <w:noProof/>
              </w:rPr>
              <w:t>2026</w:t>
            </w:r>
          </w:p>
        </w:tc>
        <w:tc>
          <w:tcPr>
            <w:tcW w:w="811" w:type="pct"/>
            <w:shd w:val="clear" w:color="auto" w:fill="C6EFCE"/>
          </w:tcPr>
          <w:p w14:paraId="50B4B1EC" w14:textId="77777777" w:rsidR="003B5F50" w:rsidRDefault="000D2D85">
            <w:pPr>
              <w:pStyle w:val="P68B1DB1-Normal15"/>
              <w:spacing w:after="0"/>
              <w:rPr>
                <w:noProof/>
              </w:rPr>
            </w:pPr>
            <w:r>
              <w:rPr>
                <w:noProof/>
              </w:rPr>
              <w:t xml:space="preserve">Un rapport de synthèse intermédiaire est approuvé par le Conseil gouvernemental de la science, de la technologie et de l'innovation. </w:t>
            </w:r>
          </w:p>
          <w:p w14:paraId="50B4B1ED" w14:textId="77777777" w:rsidR="003B5F50" w:rsidRDefault="000D2D85">
            <w:pPr>
              <w:pStyle w:val="P68B1DB1-Normal15"/>
              <w:spacing w:after="0"/>
              <w:rPr>
                <w:noProof/>
              </w:rPr>
            </w:pPr>
            <w:r>
              <w:rPr>
                <w:noProof/>
              </w:rPr>
              <w:t>Ce rapport examine la contribution des projets achevés et en cours au titre des appels aux objectifs du volet 9.</w:t>
            </w:r>
          </w:p>
          <w:p w14:paraId="50B4B1EE" w14:textId="77777777" w:rsidR="003B5F50" w:rsidRDefault="003B5F50">
            <w:pPr>
              <w:spacing w:after="0"/>
              <w:rPr>
                <w:rFonts w:ascii="Times New Roman" w:hAnsi="Times New Roman"/>
                <w:noProof/>
                <w:color w:val="006100"/>
                <w:sz w:val="20"/>
                <w:szCs w:val="20"/>
              </w:rPr>
            </w:pPr>
          </w:p>
        </w:tc>
      </w:tr>
      <w:tr w:rsidR="003B5F50" w14:paraId="50B4B203" w14:textId="77777777">
        <w:trPr>
          <w:trHeight w:val="75"/>
        </w:trPr>
        <w:tc>
          <w:tcPr>
            <w:tcW w:w="335" w:type="pct"/>
            <w:shd w:val="clear" w:color="auto" w:fill="C6EFCE"/>
          </w:tcPr>
          <w:p w14:paraId="50B4B1F0" w14:textId="77777777" w:rsidR="003B5F50" w:rsidRDefault="000D2D85">
            <w:pPr>
              <w:pStyle w:val="P68B1DB1-Normal14"/>
              <w:jc w:val="center"/>
              <w:rPr>
                <w:noProof/>
                <w:szCs w:val="20"/>
              </w:rPr>
            </w:pPr>
            <w:r>
              <w:rPr>
                <w:noProof/>
              </w:rPr>
              <w:t>9</w:t>
            </w:r>
          </w:p>
        </w:tc>
        <w:tc>
          <w:tcPr>
            <w:tcW w:w="504" w:type="pct"/>
            <w:shd w:val="clear" w:color="auto" w:fill="C6EFCE"/>
          </w:tcPr>
          <w:p w14:paraId="50B4B1F1" w14:textId="78A301B5" w:rsidR="003B5F50" w:rsidRDefault="000D2D85">
            <w:pPr>
              <w:pStyle w:val="P68B1DB1-Normal14"/>
              <w:spacing w:after="0"/>
              <w:rPr>
                <w:noProof/>
                <w:szCs w:val="20"/>
              </w:rPr>
            </w:pPr>
            <w:r>
              <w:rPr>
                <w:noProof/>
              </w:rPr>
              <w:t>9 – Gouvernance plus efficace et renforcement du financement de la RDI – Investissement 3: Excellente science</w:t>
            </w:r>
          </w:p>
        </w:tc>
        <w:tc>
          <w:tcPr>
            <w:tcW w:w="650" w:type="pct"/>
            <w:shd w:val="clear" w:color="auto" w:fill="C6EFCE"/>
          </w:tcPr>
          <w:p w14:paraId="50B4B1F2" w14:textId="77777777" w:rsidR="003B5F50" w:rsidRDefault="000D2D85">
            <w:pPr>
              <w:pStyle w:val="P68B1DB1-Normal14"/>
              <w:rPr>
                <w:noProof/>
                <w:szCs w:val="20"/>
              </w:rPr>
            </w:pPr>
            <w:r>
              <w:rPr>
                <w:noProof/>
              </w:rPr>
              <w:t>Étape</w:t>
            </w:r>
          </w:p>
        </w:tc>
        <w:tc>
          <w:tcPr>
            <w:tcW w:w="573" w:type="pct"/>
            <w:shd w:val="clear" w:color="auto" w:fill="C6EFCE"/>
          </w:tcPr>
          <w:p w14:paraId="50B4B1F3" w14:textId="3ACD038D" w:rsidR="003B5F50" w:rsidRDefault="000D2D85">
            <w:pPr>
              <w:pStyle w:val="P68B1DB1-Normal14"/>
              <w:rPr>
                <w:noProof/>
                <w:szCs w:val="20"/>
              </w:rPr>
            </w:pPr>
            <w:r>
              <w:rPr>
                <w:noProof/>
              </w:rPr>
              <w:t>Lancement d'appels pour soutenir d'excellents chercheurs</w:t>
            </w:r>
          </w:p>
        </w:tc>
        <w:tc>
          <w:tcPr>
            <w:tcW w:w="495" w:type="pct"/>
            <w:shd w:val="clear" w:color="auto" w:fill="C6EFCE"/>
          </w:tcPr>
          <w:p w14:paraId="50B4B1F4" w14:textId="77777777" w:rsidR="003B5F50" w:rsidRDefault="000D2D85">
            <w:pPr>
              <w:pStyle w:val="P68B1DB1-Normal14"/>
              <w:rPr>
                <w:noProof/>
                <w:szCs w:val="20"/>
              </w:rPr>
            </w:pPr>
            <w:r>
              <w:rPr>
                <w:noProof/>
              </w:rPr>
              <w:t xml:space="preserve">Lancement d'appels à projets pour soutenir d'excellents chercheurs </w:t>
            </w:r>
          </w:p>
        </w:tc>
        <w:tc>
          <w:tcPr>
            <w:tcW w:w="431" w:type="pct"/>
            <w:shd w:val="clear" w:color="auto" w:fill="C6EFCE"/>
          </w:tcPr>
          <w:p w14:paraId="50B4B1F5" w14:textId="77777777" w:rsidR="003B5F50" w:rsidRDefault="000D2D85">
            <w:pPr>
              <w:pStyle w:val="P68B1DB1-Normal14"/>
              <w:rPr>
                <w:noProof/>
                <w:szCs w:val="20"/>
              </w:rPr>
            </w:pPr>
            <w:r>
              <w:rPr>
                <w:noProof/>
              </w:rPr>
              <w:t xml:space="preserve"> </w:t>
            </w:r>
          </w:p>
        </w:tc>
        <w:tc>
          <w:tcPr>
            <w:tcW w:w="358" w:type="pct"/>
            <w:shd w:val="clear" w:color="auto" w:fill="C6EFCE"/>
          </w:tcPr>
          <w:p w14:paraId="50B4B1F6" w14:textId="77777777" w:rsidR="003B5F50" w:rsidRDefault="000D2D85">
            <w:pPr>
              <w:pStyle w:val="P68B1DB1-Normal14"/>
              <w:rPr>
                <w:noProof/>
                <w:szCs w:val="20"/>
              </w:rPr>
            </w:pPr>
            <w:r>
              <w:rPr>
                <w:noProof/>
              </w:rPr>
              <w:t xml:space="preserve"> </w:t>
            </w:r>
          </w:p>
        </w:tc>
        <w:tc>
          <w:tcPr>
            <w:tcW w:w="243" w:type="pct"/>
            <w:shd w:val="clear" w:color="auto" w:fill="C6EFCE"/>
          </w:tcPr>
          <w:p w14:paraId="50B4B1F7" w14:textId="77777777" w:rsidR="003B5F50" w:rsidRDefault="000D2D85">
            <w:pPr>
              <w:pStyle w:val="P68B1DB1-Normal14"/>
              <w:rPr>
                <w:noProof/>
                <w:szCs w:val="20"/>
              </w:rPr>
            </w:pPr>
            <w:r>
              <w:rPr>
                <w:noProof/>
              </w:rPr>
              <w:t>6</w:t>
            </w:r>
          </w:p>
        </w:tc>
        <w:tc>
          <w:tcPr>
            <w:tcW w:w="354" w:type="pct"/>
            <w:shd w:val="clear" w:color="auto" w:fill="C6EFCE"/>
          </w:tcPr>
          <w:p w14:paraId="50B4B1F8" w14:textId="77777777" w:rsidR="003B5F50" w:rsidRDefault="000D2D85">
            <w:pPr>
              <w:pStyle w:val="P68B1DB1-Normal14"/>
              <w:jc w:val="center"/>
              <w:rPr>
                <w:noProof/>
                <w:szCs w:val="20"/>
              </w:rPr>
            </w:pPr>
            <w:r>
              <w:rPr>
                <w:noProof/>
              </w:rPr>
              <w:t>T4</w:t>
            </w:r>
          </w:p>
        </w:tc>
        <w:tc>
          <w:tcPr>
            <w:tcW w:w="246" w:type="pct"/>
            <w:shd w:val="clear" w:color="auto" w:fill="C6EFCE"/>
          </w:tcPr>
          <w:p w14:paraId="50B4B1F9" w14:textId="77777777" w:rsidR="003B5F50" w:rsidRDefault="000D2D85">
            <w:pPr>
              <w:pStyle w:val="P68B1DB1-Normal14"/>
              <w:jc w:val="center"/>
              <w:rPr>
                <w:noProof/>
                <w:szCs w:val="20"/>
              </w:rPr>
            </w:pPr>
            <w:r>
              <w:rPr>
                <w:noProof/>
              </w:rPr>
              <w:t>2022</w:t>
            </w:r>
          </w:p>
        </w:tc>
        <w:tc>
          <w:tcPr>
            <w:tcW w:w="811" w:type="pct"/>
            <w:shd w:val="clear" w:color="auto" w:fill="C6EFCE"/>
          </w:tcPr>
          <w:p w14:paraId="50B4B1FA" w14:textId="410F0D11" w:rsidR="003B5F50" w:rsidRDefault="000D2D85">
            <w:pPr>
              <w:pStyle w:val="P68B1DB1-Normal14"/>
              <w:spacing w:after="0"/>
              <w:rPr>
                <w:noProof/>
                <w:szCs w:val="20"/>
              </w:rPr>
            </w:pPr>
            <w:r>
              <w:rPr>
                <w:noProof/>
              </w:rPr>
              <w:t>Au moins six appels à projets sont lancés pour soutenir d’excellents chercheurs conformément au principe consistant à «ne pas causer de préjudice important» dans le cadre des programmes suivants:</w:t>
            </w:r>
          </w:p>
          <w:p w14:paraId="50B4B1FB" w14:textId="1E4A8195" w:rsidR="003B5F50" w:rsidRDefault="000D2D85">
            <w:pPr>
              <w:pStyle w:val="P68B1DB1-Normal14"/>
              <w:spacing w:after="0"/>
              <w:rPr>
                <w:noProof/>
                <w:szCs w:val="20"/>
              </w:rPr>
            </w:pPr>
            <w:r>
              <w:rPr>
                <w:noProof/>
              </w:rPr>
              <w:t xml:space="preserve">• bourses pour chercheurs de première étape – R1 </w:t>
            </w:r>
          </w:p>
          <w:p w14:paraId="50B4B1FC" w14:textId="77777777" w:rsidR="003B5F50" w:rsidRDefault="000D2D85">
            <w:pPr>
              <w:pStyle w:val="P68B1DB1-Normal14"/>
              <w:spacing w:after="0"/>
              <w:rPr>
                <w:noProof/>
                <w:szCs w:val="20"/>
              </w:rPr>
            </w:pPr>
            <w:r>
              <w:rPr>
                <w:noProof/>
              </w:rPr>
              <w:t xml:space="preserve">• bourses pour chercheurs reconnus – R2 </w:t>
            </w:r>
          </w:p>
          <w:p w14:paraId="50B4B1FD" w14:textId="77777777" w:rsidR="003B5F50" w:rsidRDefault="000D2D85">
            <w:pPr>
              <w:pStyle w:val="P68B1DB1-Normal14"/>
              <w:spacing w:after="0"/>
              <w:rPr>
                <w:noProof/>
                <w:szCs w:val="20"/>
              </w:rPr>
            </w:pPr>
            <w:r>
              <w:rPr>
                <w:noProof/>
              </w:rPr>
              <w:t xml:space="preserve">• bourses pour chercheurs confirmés – R3  </w:t>
            </w:r>
          </w:p>
          <w:p w14:paraId="50B4B1FE" w14:textId="77777777" w:rsidR="003B5F50" w:rsidRDefault="000D2D85">
            <w:pPr>
              <w:pStyle w:val="P68B1DB1-Normal14"/>
              <w:spacing w:after="0"/>
              <w:rPr>
                <w:noProof/>
                <w:szCs w:val="20"/>
              </w:rPr>
            </w:pPr>
            <w:r>
              <w:rPr>
                <w:noProof/>
              </w:rPr>
              <w:t>• bourses pour chercheurs de premier plan - R4</w:t>
            </w:r>
          </w:p>
          <w:p w14:paraId="50B4B1FF" w14:textId="77777777" w:rsidR="003B5F50" w:rsidRDefault="000D2D85">
            <w:pPr>
              <w:pStyle w:val="P68B1DB1-Normal14"/>
              <w:spacing w:after="0"/>
              <w:rPr>
                <w:noProof/>
                <w:szCs w:val="20"/>
              </w:rPr>
            </w:pPr>
            <w:r>
              <w:rPr>
                <w:noProof/>
              </w:rPr>
              <w:t>• Grands projets pour d'excellents chercheurs</w:t>
            </w:r>
          </w:p>
          <w:p w14:paraId="50B4B200" w14:textId="77777777" w:rsidR="003B5F50" w:rsidRDefault="000D2D85">
            <w:pPr>
              <w:pStyle w:val="P68B1DB1-Normal14"/>
              <w:spacing w:after="0"/>
              <w:rPr>
                <w:noProof/>
                <w:szCs w:val="20"/>
              </w:rPr>
            </w:pPr>
            <w:r>
              <w:rPr>
                <w:noProof/>
              </w:rPr>
              <w:t>• Subventions de recherche «en début de carrière»</w:t>
            </w:r>
          </w:p>
          <w:p w14:paraId="50B4B202" w14:textId="0480D437" w:rsidR="003B5F50" w:rsidRDefault="000D2D85">
            <w:pPr>
              <w:pStyle w:val="P68B1DB1-Normal14"/>
              <w:spacing w:after="0"/>
              <w:rPr>
                <w:noProof/>
                <w:szCs w:val="20"/>
              </w:rPr>
            </w:pPr>
            <w:r>
              <w:rPr>
                <w:noProof/>
              </w:rPr>
              <w:t>• Capital booster pour les régimes existants de soutien à la R&amp;D</w:t>
            </w:r>
          </w:p>
        </w:tc>
      </w:tr>
      <w:tr w:rsidR="003B5F50" w14:paraId="50B4B218" w14:textId="77777777">
        <w:trPr>
          <w:trHeight w:val="2849"/>
        </w:trPr>
        <w:tc>
          <w:tcPr>
            <w:tcW w:w="335" w:type="pct"/>
            <w:shd w:val="clear" w:color="auto" w:fill="C6EFCE"/>
          </w:tcPr>
          <w:p w14:paraId="50B4B204" w14:textId="77777777" w:rsidR="003B5F50" w:rsidRDefault="000D2D85">
            <w:pPr>
              <w:pStyle w:val="P68B1DB1-Normal14"/>
              <w:jc w:val="center"/>
              <w:rPr>
                <w:noProof/>
                <w:szCs w:val="20"/>
              </w:rPr>
            </w:pPr>
            <w:r>
              <w:rPr>
                <w:noProof/>
              </w:rPr>
              <w:t>10</w:t>
            </w:r>
          </w:p>
        </w:tc>
        <w:tc>
          <w:tcPr>
            <w:tcW w:w="504" w:type="pct"/>
            <w:shd w:val="clear" w:color="auto" w:fill="C6EFCE"/>
          </w:tcPr>
          <w:p w14:paraId="50B4B205" w14:textId="35EB3A38" w:rsidR="003B5F50" w:rsidRDefault="000D2D85">
            <w:pPr>
              <w:pStyle w:val="P68B1DB1-Normal14"/>
              <w:spacing w:after="0"/>
              <w:rPr>
                <w:noProof/>
                <w:szCs w:val="20"/>
              </w:rPr>
            </w:pPr>
            <w:r>
              <w:rPr>
                <w:noProof/>
              </w:rPr>
              <w:t>9 – Gouvernance plus efficace et renforcement du financement de la RDI – Investissement 3: Excellente science</w:t>
            </w:r>
          </w:p>
        </w:tc>
        <w:tc>
          <w:tcPr>
            <w:tcW w:w="650" w:type="pct"/>
            <w:shd w:val="clear" w:color="auto" w:fill="C6EFCE"/>
          </w:tcPr>
          <w:p w14:paraId="50B4B206" w14:textId="77777777" w:rsidR="003B5F50" w:rsidRDefault="000D2D85">
            <w:pPr>
              <w:pStyle w:val="P68B1DB1-Normal14"/>
              <w:rPr>
                <w:noProof/>
                <w:szCs w:val="20"/>
              </w:rPr>
            </w:pPr>
            <w:r>
              <w:rPr>
                <w:noProof/>
              </w:rPr>
              <w:t>Objectif</w:t>
            </w:r>
          </w:p>
        </w:tc>
        <w:tc>
          <w:tcPr>
            <w:tcW w:w="573" w:type="pct"/>
            <w:shd w:val="clear" w:color="auto" w:fill="C6EFCE"/>
          </w:tcPr>
          <w:p w14:paraId="50B4B207" w14:textId="77777777" w:rsidR="003B5F50" w:rsidRDefault="000D2D85">
            <w:pPr>
              <w:pStyle w:val="P68B1DB1-Normal14"/>
              <w:rPr>
                <w:noProof/>
                <w:szCs w:val="20"/>
              </w:rPr>
            </w:pPr>
            <w:r>
              <w:rPr>
                <w:noProof/>
              </w:rPr>
              <w:t>Nombre d'excellents chercheurs soutenus</w:t>
            </w:r>
          </w:p>
          <w:p w14:paraId="50B4B208" w14:textId="77777777" w:rsidR="003B5F50" w:rsidRDefault="000D2D85">
            <w:pPr>
              <w:pStyle w:val="P68B1DB1-Normal14"/>
              <w:rPr>
                <w:noProof/>
                <w:szCs w:val="20"/>
              </w:rPr>
            </w:pPr>
            <w:r>
              <w:rPr>
                <w:noProof/>
              </w:rPr>
              <w:t xml:space="preserve"> </w:t>
            </w:r>
          </w:p>
          <w:p w14:paraId="50B4B209" w14:textId="77777777" w:rsidR="003B5F50" w:rsidRDefault="000D2D85">
            <w:pPr>
              <w:pStyle w:val="P68B1DB1-Normal14"/>
              <w:rPr>
                <w:noProof/>
                <w:szCs w:val="20"/>
              </w:rPr>
            </w:pPr>
            <w:r>
              <w:rPr>
                <w:noProof/>
              </w:rPr>
              <w:t xml:space="preserve"> </w:t>
            </w:r>
          </w:p>
          <w:p w14:paraId="50B4B20A" w14:textId="77777777" w:rsidR="003B5F50" w:rsidRDefault="000D2D85">
            <w:pPr>
              <w:pStyle w:val="P68B1DB1-Normal14"/>
              <w:rPr>
                <w:noProof/>
                <w:szCs w:val="20"/>
              </w:rPr>
            </w:pPr>
            <w:r>
              <w:rPr>
                <w:noProof/>
              </w:rPr>
              <w:t xml:space="preserve"> </w:t>
            </w:r>
          </w:p>
        </w:tc>
        <w:tc>
          <w:tcPr>
            <w:tcW w:w="495" w:type="pct"/>
            <w:shd w:val="clear" w:color="auto" w:fill="C6EFCE"/>
          </w:tcPr>
          <w:p w14:paraId="50B4B20B" w14:textId="77777777" w:rsidR="003B5F50" w:rsidRDefault="000D2D85">
            <w:pPr>
              <w:pStyle w:val="P68B1DB1-Normal14"/>
              <w:rPr>
                <w:noProof/>
                <w:szCs w:val="20"/>
              </w:rPr>
            </w:pPr>
            <w:r>
              <w:rPr>
                <w:noProof/>
              </w:rPr>
              <w:t xml:space="preserve"> </w:t>
            </w:r>
          </w:p>
        </w:tc>
        <w:tc>
          <w:tcPr>
            <w:tcW w:w="431" w:type="pct"/>
            <w:shd w:val="clear" w:color="auto" w:fill="C6EFCE"/>
          </w:tcPr>
          <w:p w14:paraId="50B4B20C" w14:textId="77777777" w:rsidR="003B5F50" w:rsidRDefault="000D2D85">
            <w:pPr>
              <w:pStyle w:val="P68B1DB1-Normal14"/>
              <w:rPr>
                <w:noProof/>
                <w:szCs w:val="20"/>
              </w:rPr>
            </w:pPr>
            <w:r>
              <w:rPr>
                <w:noProof/>
              </w:rPr>
              <w:t>Nombre de chercheurs</w:t>
            </w:r>
          </w:p>
        </w:tc>
        <w:tc>
          <w:tcPr>
            <w:tcW w:w="358" w:type="pct"/>
            <w:shd w:val="clear" w:color="auto" w:fill="C6EFCE"/>
          </w:tcPr>
          <w:p w14:paraId="50B4B20D" w14:textId="77777777" w:rsidR="003B5F50" w:rsidRDefault="000D2D85">
            <w:pPr>
              <w:pStyle w:val="P68B1DB1-Normal14"/>
              <w:jc w:val="right"/>
              <w:rPr>
                <w:noProof/>
                <w:szCs w:val="20"/>
              </w:rPr>
            </w:pPr>
            <w:r>
              <w:rPr>
                <w:noProof/>
              </w:rPr>
              <w:t>0</w:t>
            </w:r>
          </w:p>
        </w:tc>
        <w:tc>
          <w:tcPr>
            <w:tcW w:w="243" w:type="pct"/>
            <w:shd w:val="clear" w:color="auto" w:fill="C6EFCE"/>
          </w:tcPr>
          <w:p w14:paraId="50B4B20E" w14:textId="77777777" w:rsidR="003B5F50" w:rsidRDefault="000D2D85">
            <w:pPr>
              <w:pStyle w:val="P68B1DB1-Normal14"/>
              <w:jc w:val="right"/>
              <w:rPr>
                <w:noProof/>
                <w:szCs w:val="20"/>
              </w:rPr>
            </w:pPr>
            <w:r>
              <w:rPr>
                <w:noProof/>
              </w:rPr>
              <w:t>650</w:t>
            </w:r>
          </w:p>
        </w:tc>
        <w:tc>
          <w:tcPr>
            <w:tcW w:w="354" w:type="pct"/>
            <w:shd w:val="clear" w:color="auto" w:fill="C6EFCE"/>
          </w:tcPr>
          <w:p w14:paraId="50B4B20F" w14:textId="77777777" w:rsidR="003B5F50" w:rsidRDefault="000D2D85">
            <w:pPr>
              <w:pStyle w:val="P68B1DB1-Normal14"/>
              <w:jc w:val="center"/>
              <w:rPr>
                <w:noProof/>
                <w:szCs w:val="20"/>
              </w:rPr>
            </w:pPr>
            <w:r>
              <w:rPr>
                <w:noProof/>
              </w:rPr>
              <w:t>T1</w:t>
            </w:r>
          </w:p>
        </w:tc>
        <w:tc>
          <w:tcPr>
            <w:tcW w:w="246" w:type="pct"/>
            <w:shd w:val="clear" w:color="auto" w:fill="C6EFCE"/>
          </w:tcPr>
          <w:p w14:paraId="50B4B210" w14:textId="77777777" w:rsidR="003B5F50" w:rsidRDefault="000D2D85">
            <w:pPr>
              <w:pStyle w:val="P68B1DB1-Normal14"/>
              <w:jc w:val="center"/>
              <w:rPr>
                <w:noProof/>
                <w:szCs w:val="20"/>
              </w:rPr>
            </w:pPr>
            <w:r>
              <w:rPr>
                <w:noProof/>
              </w:rPr>
              <w:t>2024</w:t>
            </w:r>
          </w:p>
        </w:tc>
        <w:tc>
          <w:tcPr>
            <w:tcW w:w="811" w:type="pct"/>
            <w:shd w:val="clear" w:color="auto" w:fill="C6EFCE"/>
          </w:tcPr>
          <w:p w14:paraId="50B4B211" w14:textId="77777777" w:rsidR="003B5F50" w:rsidRDefault="000D2D85">
            <w:pPr>
              <w:pStyle w:val="P68B1DB1-Normal14"/>
              <w:rPr>
                <w:noProof/>
                <w:szCs w:val="20"/>
              </w:rPr>
            </w:pPr>
            <w:r>
              <w:rPr>
                <w:noProof/>
              </w:rPr>
              <w:t xml:space="preserve">Parmi l’objectif global visant à soutenir 715 chercheurs, au moins 650 excellents chercheurs sont soutenus dans le cadre des appels. </w:t>
            </w:r>
          </w:p>
          <w:p w14:paraId="50B4B212" w14:textId="77777777" w:rsidR="003B5F50" w:rsidRDefault="000D2D85">
            <w:pPr>
              <w:pStyle w:val="P68B1DB1-Normal14"/>
              <w:spacing w:after="0"/>
              <w:rPr>
                <w:noProof/>
                <w:szCs w:val="20"/>
              </w:rPr>
            </w:pPr>
            <w:r>
              <w:rPr>
                <w:noProof/>
              </w:rPr>
              <w:t xml:space="preserve">L'investissement devrait se traduire par: </w:t>
            </w:r>
          </w:p>
          <w:p w14:paraId="50B4B213" w14:textId="77777777" w:rsidR="003B5F50" w:rsidRDefault="000D2D85">
            <w:pPr>
              <w:pStyle w:val="P68B1DB1-Normal14"/>
              <w:spacing w:after="0"/>
              <w:rPr>
                <w:noProof/>
                <w:szCs w:val="20"/>
              </w:rPr>
            </w:pPr>
            <w:r>
              <w:rPr>
                <w:noProof/>
              </w:rPr>
              <w:t xml:space="preserve">• Sélection de 15 subventions importantes à d'excellentes équipes de chercheurs </w:t>
            </w:r>
          </w:p>
          <w:p w14:paraId="50B4B214" w14:textId="77777777" w:rsidR="003B5F50" w:rsidRDefault="000D2D85">
            <w:pPr>
              <w:pStyle w:val="P68B1DB1-Normal14"/>
              <w:spacing w:after="0"/>
              <w:rPr>
                <w:noProof/>
                <w:szCs w:val="20"/>
              </w:rPr>
            </w:pPr>
            <w:r>
              <w:rPr>
                <w:noProof/>
              </w:rPr>
              <w:t xml:space="preserve">Soutien de: </w:t>
            </w:r>
          </w:p>
          <w:p w14:paraId="50B4B215" w14:textId="77777777" w:rsidR="003B5F50" w:rsidRDefault="000D2D85">
            <w:pPr>
              <w:pStyle w:val="P68B1DB1-Normal14"/>
              <w:spacing w:after="0"/>
              <w:rPr>
                <w:noProof/>
                <w:szCs w:val="20"/>
              </w:rPr>
            </w:pPr>
            <w:r>
              <w:rPr>
                <w:noProof/>
              </w:rPr>
              <w:t>• 425 bourses pour chercheurs à différents stades de leur carrière (R1-R4)</w:t>
            </w:r>
          </w:p>
          <w:p w14:paraId="50B4B216" w14:textId="77777777" w:rsidR="003B5F50" w:rsidRDefault="000D2D85">
            <w:pPr>
              <w:pStyle w:val="P68B1DB1-Normal14"/>
              <w:spacing w:after="0"/>
              <w:rPr>
                <w:noProof/>
                <w:szCs w:val="20"/>
              </w:rPr>
            </w:pPr>
            <w:r>
              <w:rPr>
                <w:noProof/>
              </w:rPr>
              <w:t>• 200 subventions de recherche «en début de carrière» pour les jeunes chercheurs</w:t>
            </w:r>
          </w:p>
          <w:p w14:paraId="50B4B217" w14:textId="77777777" w:rsidR="003B5F50" w:rsidRDefault="000D2D85">
            <w:pPr>
              <w:pStyle w:val="P68B1DB1-Normal14"/>
              <w:spacing w:after="0"/>
              <w:rPr>
                <w:noProof/>
                <w:szCs w:val="20"/>
              </w:rPr>
            </w:pPr>
            <w:r>
              <w:rPr>
                <w:noProof/>
              </w:rPr>
              <w:t xml:space="preserve">• 90 projets dans le cadre du renforcement des fonds propres  </w:t>
            </w:r>
          </w:p>
        </w:tc>
      </w:tr>
      <w:tr w:rsidR="003B5F50" w14:paraId="50B4B226" w14:textId="77777777">
        <w:trPr>
          <w:trHeight w:val="1155"/>
        </w:trPr>
        <w:tc>
          <w:tcPr>
            <w:tcW w:w="335" w:type="pct"/>
            <w:shd w:val="clear" w:color="auto" w:fill="C6EFCE"/>
          </w:tcPr>
          <w:p w14:paraId="50B4B219" w14:textId="77777777" w:rsidR="003B5F50" w:rsidRDefault="000D2D85">
            <w:pPr>
              <w:pStyle w:val="P68B1DB1-Normal14"/>
              <w:jc w:val="center"/>
              <w:rPr>
                <w:noProof/>
              </w:rPr>
            </w:pPr>
            <w:r>
              <w:rPr>
                <w:noProof/>
              </w:rPr>
              <w:t>11</w:t>
            </w:r>
          </w:p>
        </w:tc>
        <w:tc>
          <w:tcPr>
            <w:tcW w:w="504" w:type="pct"/>
            <w:shd w:val="clear" w:color="auto" w:fill="C6EFCE"/>
          </w:tcPr>
          <w:p w14:paraId="50B4B21A" w14:textId="5474BD2E" w:rsidR="003B5F50" w:rsidRDefault="000D2D85">
            <w:pPr>
              <w:pStyle w:val="P68B1DB1-Normal14"/>
              <w:spacing w:after="0"/>
              <w:rPr>
                <w:noProof/>
              </w:rPr>
            </w:pPr>
            <w:r>
              <w:rPr>
                <w:noProof/>
              </w:rPr>
              <w:t>9 – Gouvernance plus efficace et renforcement du financement de la RDI – Investissement 3: Excellente science</w:t>
            </w:r>
          </w:p>
        </w:tc>
        <w:tc>
          <w:tcPr>
            <w:tcW w:w="650" w:type="pct"/>
            <w:shd w:val="clear" w:color="auto" w:fill="C6EFCE"/>
          </w:tcPr>
          <w:p w14:paraId="50B4B21B" w14:textId="77777777" w:rsidR="003B5F50" w:rsidRDefault="000D2D85">
            <w:pPr>
              <w:pStyle w:val="P68B1DB1-Normal14"/>
              <w:rPr>
                <w:noProof/>
              </w:rPr>
            </w:pPr>
            <w:r>
              <w:rPr>
                <w:noProof/>
              </w:rPr>
              <w:t>Étape</w:t>
            </w:r>
          </w:p>
        </w:tc>
        <w:tc>
          <w:tcPr>
            <w:tcW w:w="573" w:type="pct"/>
            <w:shd w:val="clear" w:color="auto" w:fill="C6EFCE"/>
          </w:tcPr>
          <w:p w14:paraId="50B4B21C" w14:textId="643D00AA" w:rsidR="003B5F50" w:rsidRDefault="000D2D85">
            <w:pPr>
              <w:pStyle w:val="P68B1DB1-Normal14"/>
              <w:rPr>
                <w:noProof/>
              </w:rPr>
            </w:pPr>
            <w:r>
              <w:rPr>
                <w:noProof/>
              </w:rPr>
              <w:t>Mise en œuvre d'appels pour soutenir d'excellents chercheurs</w:t>
            </w:r>
          </w:p>
        </w:tc>
        <w:tc>
          <w:tcPr>
            <w:tcW w:w="495" w:type="pct"/>
            <w:shd w:val="clear" w:color="auto" w:fill="C6EFCE"/>
          </w:tcPr>
          <w:p w14:paraId="50B4B21D" w14:textId="77777777" w:rsidR="003B5F50" w:rsidRDefault="000D2D85">
            <w:pPr>
              <w:pStyle w:val="P68B1DB1-Normal14"/>
              <w:rPr>
                <w:noProof/>
              </w:rPr>
            </w:pPr>
            <w:r>
              <w:rPr>
                <w:noProof/>
              </w:rPr>
              <w:t xml:space="preserve">Approbation du Conseil gouvernemental </w:t>
            </w:r>
            <w:r>
              <w:rPr>
                <w:noProof/>
                <w:szCs w:val="20"/>
              </w:rPr>
              <w:t>pour la science, la technologie et l'innovation</w:t>
            </w:r>
          </w:p>
        </w:tc>
        <w:tc>
          <w:tcPr>
            <w:tcW w:w="431" w:type="pct"/>
            <w:shd w:val="clear" w:color="auto" w:fill="C6EFCE"/>
          </w:tcPr>
          <w:p w14:paraId="50B4B21E" w14:textId="77777777" w:rsidR="003B5F50" w:rsidRDefault="003B5F50">
            <w:pPr>
              <w:rPr>
                <w:rFonts w:ascii="Times New Roman" w:hAnsi="Times New Roman"/>
                <w:noProof/>
                <w:color w:val="006100"/>
                <w:sz w:val="20"/>
              </w:rPr>
            </w:pPr>
          </w:p>
        </w:tc>
        <w:tc>
          <w:tcPr>
            <w:tcW w:w="358" w:type="pct"/>
            <w:shd w:val="clear" w:color="auto" w:fill="C6EFCE"/>
          </w:tcPr>
          <w:p w14:paraId="50B4B21F" w14:textId="77777777" w:rsidR="003B5F50" w:rsidRDefault="003B5F50">
            <w:pPr>
              <w:jc w:val="right"/>
              <w:rPr>
                <w:rFonts w:ascii="Times New Roman" w:hAnsi="Times New Roman"/>
                <w:noProof/>
                <w:color w:val="006100"/>
                <w:sz w:val="20"/>
              </w:rPr>
            </w:pPr>
          </w:p>
        </w:tc>
        <w:tc>
          <w:tcPr>
            <w:tcW w:w="243" w:type="pct"/>
            <w:shd w:val="clear" w:color="auto" w:fill="C6EFCE"/>
          </w:tcPr>
          <w:p w14:paraId="50B4B220" w14:textId="77777777" w:rsidR="003B5F50" w:rsidRDefault="003B5F50">
            <w:pPr>
              <w:jc w:val="right"/>
              <w:rPr>
                <w:rFonts w:ascii="Times New Roman" w:hAnsi="Times New Roman"/>
                <w:noProof/>
                <w:color w:val="006100"/>
                <w:sz w:val="20"/>
              </w:rPr>
            </w:pPr>
          </w:p>
        </w:tc>
        <w:tc>
          <w:tcPr>
            <w:tcW w:w="354" w:type="pct"/>
            <w:shd w:val="clear" w:color="auto" w:fill="C6EFCE"/>
          </w:tcPr>
          <w:p w14:paraId="50B4B221" w14:textId="77777777" w:rsidR="003B5F50" w:rsidRDefault="000D2D85">
            <w:pPr>
              <w:pStyle w:val="P68B1DB1-Normal14"/>
              <w:jc w:val="center"/>
              <w:rPr>
                <w:noProof/>
              </w:rPr>
            </w:pPr>
            <w:r>
              <w:rPr>
                <w:noProof/>
              </w:rPr>
              <w:t>T1</w:t>
            </w:r>
          </w:p>
        </w:tc>
        <w:tc>
          <w:tcPr>
            <w:tcW w:w="246" w:type="pct"/>
            <w:shd w:val="clear" w:color="auto" w:fill="C6EFCE"/>
          </w:tcPr>
          <w:p w14:paraId="50B4B222" w14:textId="77777777" w:rsidR="003B5F50" w:rsidRDefault="000D2D85">
            <w:pPr>
              <w:pStyle w:val="P68B1DB1-Normal14"/>
              <w:jc w:val="center"/>
              <w:rPr>
                <w:noProof/>
              </w:rPr>
            </w:pPr>
            <w:r>
              <w:rPr>
                <w:noProof/>
              </w:rPr>
              <w:t>2026</w:t>
            </w:r>
          </w:p>
        </w:tc>
        <w:tc>
          <w:tcPr>
            <w:tcW w:w="811" w:type="pct"/>
            <w:shd w:val="clear" w:color="auto" w:fill="C6EFCE"/>
          </w:tcPr>
          <w:p w14:paraId="50B4B223" w14:textId="77777777" w:rsidR="003B5F50" w:rsidRDefault="000D2D85">
            <w:pPr>
              <w:pStyle w:val="P68B1DB1-Normal15"/>
              <w:spacing w:after="0"/>
              <w:rPr>
                <w:noProof/>
              </w:rPr>
            </w:pPr>
            <w:r>
              <w:rPr>
                <w:noProof/>
              </w:rPr>
              <w:t xml:space="preserve">Un rapport de synthèse intermédiaire est approuvé par le Conseil gouvernemental de la science, de la technologie et de l'innovation. </w:t>
            </w:r>
          </w:p>
          <w:p w14:paraId="50B4B225" w14:textId="5D59EE09" w:rsidR="003B5F50" w:rsidRDefault="000D2D85">
            <w:pPr>
              <w:pStyle w:val="P68B1DB1-Normal15"/>
              <w:spacing w:after="0"/>
              <w:rPr>
                <w:noProof/>
              </w:rPr>
            </w:pPr>
            <w:r>
              <w:rPr>
                <w:noProof/>
              </w:rPr>
              <w:t>Ce rapport examine la contribution des projets achevés et en cours au titre des appels aux objectifs du volet 9.</w:t>
            </w:r>
          </w:p>
        </w:tc>
      </w:tr>
      <w:tr w:rsidR="003B5F50" w14:paraId="50B4B23A" w14:textId="77777777">
        <w:trPr>
          <w:trHeight w:val="915"/>
        </w:trPr>
        <w:tc>
          <w:tcPr>
            <w:tcW w:w="335" w:type="pct"/>
            <w:shd w:val="clear" w:color="auto" w:fill="C6EFCE"/>
          </w:tcPr>
          <w:p w14:paraId="50B4B227" w14:textId="77777777" w:rsidR="003B5F50" w:rsidRDefault="000D2D85">
            <w:pPr>
              <w:pStyle w:val="P68B1DB1-Normal14"/>
              <w:jc w:val="center"/>
              <w:rPr>
                <w:noProof/>
                <w:szCs w:val="20"/>
              </w:rPr>
            </w:pPr>
            <w:r>
              <w:rPr>
                <w:noProof/>
              </w:rPr>
              <w:t>12</w:t>
            </w:r>
          </w:p>
        </w:tc>
        <w:tc>
          <w:tcPr>
            <w:tcW w:w="504" w:type="pct"/>
            <w:shd w:val="clear" w:color="auto" w:fill="C6EFCE"/>
          </w:tcPr>
          <w:p w14:paraId="50B4B228" w14:textId="695D372D" w:rsidR="003B5F50" w:rsidRDefault="000D2D85">
            <w:pPr>
              <w:pStyle w:val="P68B1DB1-Normal14"/>
              <w:spacing w:after="0"/>
              <w:rPr>
                <w:noProof/>
                <w:szCs w:val="20"/>
              </w:rPr>
            </w:pPr>
            <w:r>
              <w:rPr>
                <w:noProof/>
              </w:rPr>
              <w:t>9 – Gouvernance plus efficace et renforcement du financement de la RDI – Investissement 4: Recherche et innovation pour décarboner l’économie</w:t>
            </w:r>
          </w:p>
        </w:tc>
        <w:tc>
          <w:tcPr>
            <w:tcW w:w="650" w:type="pct"/>
            <w:shd w:val="clear" w:color="auto" w:fill="C6EFCE"/>
          </w:tcPr>
          <w:p w14:paraId="50B4B229" w14:textId="77777777" w:rsidR="003B5F50" w:rsidRDefault="000D2D85">
            <w:pPr>
              <w:pStyle w:val="P68B1DB1-Normal14"/>
              <w:rPr>
                <w:noProof/>
                <w:szCs w:val="20"/>
              </w:rPr>
            </w:pPr>
            <w:r>
              <w:rPr>
                <w:noProof/>
              </w:rPr>
              <w:t>Étape</w:t>
            </w:r>
          </w:p>
        </w:tc>
        <w:tc>
          <w:tcPr>
            <w:tcW w:w="573" w:type="pct"/>
            <w:shd w:val="clear" w:color="auto" w:fill="C6EFCE"/>
          </w:tcPr>
          <w:p w14:paraId="50B4B22A" w14:textId="77777777" w:rsidR="003B5F50" w:rsidRDefault="000D2D85">
            <w:pPr>
              <w:pStyle w:val="P68B1DB1-Normal14"/>
              <w:rPr>
                <w:noProof/>
                <w:szCs w:val="20"/>
              </w:rPr>
            </w:pPr>
            <w:r>
              <w:rPr>
                <w:noProof/>
              </w:rPr>
              <w:t>Lancement d’appels à projets thématiques axés sur la demande pour relever les défis de la transition écologique</w:t>
            </w:r>
          </w:p>
        </w:tc>
        <w:tc>
          <w:tcPr>
            <w:tcW w:w="495" w:type="pct"/>
            <w:shd w:val="clear" w:color="auto" w:fill="C6EFCE"/>
          </w:tcPr>
          <w:p w14:paraId="50B4B22B" w14:textId="77777777" w:rsidR="003B5F50" w:rsidRDefault="000D2D85">
            <w:pPr>
              <w:pStyle w:val="P68B1DB1-Normal14"/>
              <w:rPr>
                <w:noProof/>
                <w:szCs w:val="20"/>
              </w:rPr>
            </w:pPr>
            <w:r>
              <w:rPr>
                <w:noProof/>
              </w:rPr>
              <w:t xml:space="preserve">Lancement d’appels à projets thématiques axés sur la demande pour relever les défis de la transition écologique </w:t>
            </w:r>
          </w:p>
        </w:tc>
        <w:tc>
          <w:tcPr>
            <w:tcW w:w="431" w:type="pct"/>
            <w:shd w:val="clear" w:color="auto" w:fill="C6EFCE"/>
          </w:tcPr>
          <w:p w14:paraId="50B4B22C" w14:textId="77777777" w:rsidR="003B5F50" w:rsidRDefault="000D2D85">
            <w:pPr>
              <w:pStyle w:val="P68B1DB1-Normal14"/>
              <w:rPr>
                <w:noProof/>
                <w:szCs w:val="20"/>
              </w:rPr>
            </w:pPr>
            <w:r>
              <w:rPr>
                <w:noProof/>
              </w:rPr>
              <w:t xml:space="preserve"> </w:t>
            </w:r>
          </w:p>
        </w:tc>
        <w:tc>
          <w:tcPr>
            <w:tcW w:w="358" w:type="pct"/>
            <w:shd w:val="clear" w:color="auto" w:fill="C6EFCE"/>
          </w:tcPr>
          <w:p w14:paraId="50B4B22D" w14:textId="77777777" w:rsidR="003B5F50" w:rsidRDefault="000D2D85">
            <w:pPr>
              <w:pStyle w:val="P68B1DB1-Normal14"/>
              <w:rPr>
                <w:noProof/>
                <w:szCs w:val="20"/>
              </w:rPr>
            </w:pPr>
            <w:r>
              <w:rPr>
                <w:noProof/>
              </w:rPr>
              <w:t xml:space="preserve"> </w:t>
            </w:r>
          </w:p>
        </w:tc>
        <w:tc>
          <w:tcPr>
            <w:tcW w:w="243" w:type="pct"/>
            <w:shd w:val="clear" w:color="auto" w:fill="C6EFCE"/>
          </w:tcPr>
          <w:p w14:paraId="50B4B22E" w14:textId="77777777" w:rsidR="003B5F50" w:rsidRDefault="000D2D85">
            <w:pPr>
              <w:pStyle w:val="P68B1DB1-Normal14"/>
              <w:jc w:val="center"/>
              <w:rPr>
                <w:noProof/>
                <w:szCs w:val="20"/>
              </w:rPr>
            </w:pPr>
            <w:r>
              <w:rPr>
                <w:noProof/>
              </w:rPr>
              <w:t>2</w:t>
            </w:r>
          </w:p>
        </w:tc>
        <w:tc>
          <w:tcPr>
            <w:tcW w:w="354" w:type="pct"/>
            <w:shd w:val="clear" w:color="auto" w:fill="C6EFCE"/>
          </w:tcPr>
          <w:p w14:paraId="50B4B22F" w14:textId="77777777" w:rsidR="003B5F50" w:rsidRDefault="000D2D85">
            <w:pPr>
              <w:pStyle w:val="P68B1DB1-Normal14"/>
              <w:jc w:val="center"/>
              <w:rPr>
                <w:noProof/>
                <w:szCs w:val="20"/>
              </w:rPr>
            </w:pPr>
            <w:r>
              <w:rPr>
                <w:noProof/>
              </w:rPr>
              <w:t>T4</w:t>
            </w:r>
          </w:p>
        </w:tc>
        <w:tc>
          <w:tcPr>
            <w:tcW w:w="246" w:type="pct"/>
            <w:shd w:val="clear" w:color="auto" w:fill="C6EFCE"/>
          </w:tcPr>
          <w:p w14:paraId="50B4B230" w14:textId="77777777" w:rsidR="003B5F50" w:rsidRDefault="000D2D85">
            <w:pPr>
              <w:pStyle w:val="P68B1DB1-Normal14"/>
              <w:jc w:val="center"/>
              <w:rPr>
                <w:noProof/>
                <w:szCs w:val="20"/>
              </w:rPr>
            </w:pPr>
            <w:r>
              <w:rPr>
                <w:noProof/>
              </w:rPr>
              <w:t>2022</w:t>
            </w:r>
          </w:p>
        </w:tc>
        <w:tc>
          <w:tcPr>
            <w:tcW w:w="811" w:type="pct"/>
            <w:shd w:val="clear" w:color="auto" w:fill="C6EFCE"/>
          </w:tcPr>
          <w:p w14:paraId="50B4B231" w14:textId="77777777" w:rsidR="003B5F50" w:rsidRDefault="000D2D85">
            <w:pPr>
              <w:pStyle w:val="P68B1DB1-Normal14"/>
              <w:spacing w:after="0"/>
              <w:rPr>
                <w:noProof/>
                <w:szCs w:val="20"/>
              </w:rPr>
            </w:pPr>
            <w:r>
              <w:rPr>
                <w:noProof/>
              </w:rPr>
              <w:t xml:space="preserve">Au moins deux appels thématiques pour des projets axés sur la demande sont lancés conformément au principe consistant à «ne pas causer de préjudice important» afin de relever les défis de la transition écologique, de la décarbonation ainsi que de la résilience et de l’adaptation au changement climatique. </w:t>
            </w:r>
          </w:p>
          <w:p w14:paraId="50B4B232" w14:textId="73A66F64" w:rsidR="003B5F50" w:rsidRDefault="000D2D85">
            <w:pPr>
              <w:pStyle w:val="P68B1DB1-Normal14"/>
              <w:spacing w:after="0"/>
              <w:rPr>
                <w:noProof/>
                <w:szCs w:val="20"/>
              </w:rPr>
            </w:pPr>
            <w:r>
              <w:rPr>
                <w:noProof/>
              </w:rPr>
              <w:t>L’aide est destinée à des thèmes qui sont prévus dans les priorités thématiques d’Horizon Europe, tels que:</w:t>
            </w:r>
          </w:p>
          <w:p w14:paraId="50B4B233" w14:textId="77777777" w:rsidR="003B5F50" w:rsidRDefault="000D2D85">
            <w:pPr>
              <w:pStyle w:val="P68B1DB1-Normal14"/>
              <w:spacing w:after="0"/>
              <w:rPr>
                <w:noProof/>
                <w:szCs w:val="20"/>
              </w:rPr>
            </w:pPr>
            <w:r>
              <w:rPr>
                <w:noProof/>
              </w:rPr>
              <w:t>• Énergie sans carbone</w:t>
            </w:r>
          </w:p>
          <w:p w14:paraId="50B4B234" w14:textId="77777777" w:rsidR="003B5F50" w:rsidRDefault="000D2D85">
            <w:pPr>
              <w:pStyle w:val="P68B1DB1-Normal14"/>
              <w:spacing w:after="0"/>
              <w:rPr>
                <w:noProof/>
                <w:szCs w:val="20"/>
              </w:rPr>
            </w:pPr>
            <w:r>
              <w:rPr>
                <w:noProof/>
              </w:rPr>
              <w:t>• électrification</w:t>
            </w:r>
          </w:p>
          <w:p w14:paraId="50B4B235" w14:textId="77777777" w:rsidR="003B5F50" w:rsidRDefault="000D2D85">
            <w:pPr>
              <w:pStyle w:val="P68B1DB1-Normal14"/>
              <w:spacing w:after="0"/>
              <w:rPr>
                <w:noProof/>
                <w:szCs w:val="20"/>
              </w:rPr>
            </w:pPr>
            <w:r>
              <w:rPr>
                <w:noProof/>
              </w:rPr>
              <w:t>• Hydrogène, technologies des batteries et carburants alternatifs</w:t>
            </w:r>
          </w:p>
          <w:p w14:paraId="50B4B236" w14:textId="77777777" w:rsidR="003B5F50" w:rsidRDefault="000D2D85">
            <w:pPr>
              <w:pStyle w:val="P68B1DB1-Normal14"/>
              <w:spacing w:after="0"/>
              <w:rPr>
                <w:noProof/>
                <w:szCs w:val="20"/>
              </w:rPr>
            </w:pPr>
            <w:r>
              <w:rPr>
                <w:noProof/>
              </w:rPr>
              <w:t>• Procédés et matériaux industriels à faibles émissions</w:t>
            </w:r>
          </w:p>
          <w:p w14:paraId="50B4B237" w14:textId="77777777" w:rsidR="003B5F50" w:rsidRDefault="000D2D85">
            <w:pPr>
              <w:pStyle w:val="P68B1DB1-Normal14"/>
              <w:spacing w:after="0"/>
              <w:rPr>
                <w:noProof/>
                <w:szCs w:val="20"/>
              </w:rPr>
            </w:pPr>
            <w:r>
              <w:rPr>
                <w:noProof/>
              </w:rPr>
              <w:t>• Bioéconomie, agriculture et sylviculture durables.</w:t>
            </w:r>
          </w:p>
          <w:p w14:paraId="50B4B238" w14:textId="77777777" w:rsidR="003B5F50" w:rsidRDefault="000D2D85">
            <w:pPr>
              <w:pStyle w:val="P68B1DB1-Normal14"/>
              <w:spacing w:after="0"/>
              <w:rPr>
                <w:noProof/>
                <w:szCs w:val="20"/>
              </w:rPr>
            </w:pPr>
            <w:r>
              <w:rPr>
                <w:noProof/>
              </w:rPr>
              <w:t>Les appels à projets couvrent de manière cumulée l’ensemble du cycle de recherche et d’innovation (niveaux de maturité technologique1 à 9).</w:t>
            </w:r>
          </w:p>
          <w:p w14:paraId="50B4B239" w14:textId="77777777" w:rsidR="003B5F50" w:rsidRDefault="003B5F50">
            <w:pPr>
              <w:spacing w:after="0"/>
              <w:rPr>
                <w:rFonts w:ascii="Times New Roman" w:hAnsi="Times New Roman"/>
                <w:noProof/>
                <w:sz w:val="20"/>
                <w:szCs w:val="20"/>
              </w:rPr>
            </w:pPr>
          </w:p>
        </w:tc>
      </w:tr>
      <w:tr w:rsidR="003B5F50" w14:paraId="50B4B247" w14:textId="77777777">
        <w:trPr>
          <w:trHeight w:val="75"/>
        </w:trPr>
        <w:tc>
          <w:tcPr>
            <w:tcW w:w="335" w:type="pct"/>
            <w:shd w:val="clear" w:color="auto" w:fill="C6EFCE"/>
          </w:tcPr>
          <w:p w14:paraId="50B4B23B" w14:textId="77777777" w:rsidR="003B5F50" w:rsidRDefault="000D2D85">
            <w:pPr>
              <w:pStyle w:val="P68B1DB1-Normal15"/>
              <w:jc w:val="center"/>
              <w:rPr>
                <w:noProof/>
              </w:rPr>
            </w:pPr>
            <w:r>
              <w:rPr>
                <w:noProof/>
              </w:rPr>
              <w:t>13</w:t>
            </w:r>
          </w:p>
        </w:tc>
        <w:tc>
          <w:tcPr>
            <w:tcW w:w="504" w:type="pct"/>
            <w:shd w:val="clear" w:color="auto" w:fill="C6EFCE"/>
          </w:tcPr>
          <w:p w14:paraId="50B4B23C" w14:textId="604E89DB" w:rsidR="003B5F50" w:rsidRDefault="000D2D85">
            <w:pPr>
              <w:pStyle w:val="P68B1DB1-Normal15"/>
              <w:spacing w:after="0"/>
              <w:rPr>
                <w:noProof/>
              </w:rPr>
            </w:pPr>
            <w:r>
              <w:rPr>
                <w:noProof/>
              </w:rPr>
              <w:t>9 – Gouvernance plus efficace et renforcement du financement de la RDI – Investissement 4: Recherche et innovation pour décarboner l’économie</w:t>
            </w:r>
          </w:p>
        </w:tc>
        <w:tc>
          <w:tcPr>
            <w:tcW w:w="650" w:type="pct"/>
            <w:shd w:val="clear" w:color="auto" w:fill="C6EFCE"/>
          </w:tcPr>
          <w:p w14:paraId="50B4B23D" w14:textId="77777777" w:rsidR="003B5F50" w:rsidRDefault="000D2D85">
            <w:pPr>
              <w:pStyle w:val="P68B1DB1-Normal15"/>
              <w:rPr>
                <w:noProof/>
              </w:rPr>
            </w:pPr>
            <w:r>
              <w:rPr>
                <w:noProof/>
              </w:rPr>
              <w:t>Objectif</w:t>
            </w:r>
          </w:p>
        </w:tc>
        <w:tc>
          <w:tcPr>
            <w:tcW w:w="573" w:type="pct"/>
            <w:shd w:val="clear" w:color="auto" w:fill="C6EFCE"/>
          </w:tcPr>
          <w:p w14:paraId="50B4B23E" w14:textId="77777777" w:rsidR="003B5F50" w:rsidRDefault="000D2D85">
            <w:pPr>
              <w:pStyle w:val="P68B1DB1-Normal15"/>
              <w:rPr>
                <w:noProof/>
              </w:rPr>
            </w:pPr>
            <w:r>
              <w:rPr>
                <w:noProof/>
              </w:rPr>
              <w:t xml:space="preserve">Nombre de projets sélectionnés pour relever les défis de la transition écologique </w:t>
            </w:r>
          </w:p>
        </w:tc>
        <w:tc>
          <w:tcPr>
            <w:tcW w:w="495" w:type="pct"/>
            <w:shd w:val="clear" w:color="auto" w:fill="C6EFCE"/>
          </w:tcPr>
          <w:p w14:paraId="50B4B23F" w14:textId="77777777" w:rsidR="003B5F50" w:rsidRDefault="003B5F50">
            <w:pPr>
              <w:rPr>
                <w:rFonts w:ascii="Times New Roman" w:hAnsi="Times New Roman"/>
                <w:noProof/>
                <w:sz w:val="20"/>
                <w:szCs w:val="20"/>
              </w:rPr>
            </w:pPr>
          </w:p>
        </w:tc>
        <w:tc>
          <w:tcPr>
            <w:tcW w:w="431" w:type="pct"/>
            <w:shd w:val="clear" w:color="auto" w:fill="C6EFCE"/>
          </w:tcPr>
          <w:p w14:paraId="50B4B240" w14:textId="77777777" w:rsidR="003B5F50" w:rsidRDefault="000D2D85">
            <w:pPr>
              <w:pStyle w:val="P68B1DB1-Normal15"/>
              <w:rPr>
                <w:noProof/>
              </w:rPr>
            </w:pPr>
            <w:r>
              <w:rPr>
                <w:noProof/>
              </w:rPr>
              <w:t>Nombre de projets</w:t>
            </w:r>
          </w:p>
        </w:tc>
        <w:tc>
          <w:tcPr>
            <w:tcW w:w="358" w:type="pct"/>
            <w:shd w:val="clear" w:color="auto" w:fill="C6EFCE"/>
          </w:tcPr>
          <w:p w14:paraId="50B4B241" w14:textId="77777777" w:rsidR="003B5F50" w:rsidRDefault="000D2D85">
            <w:pPr>
              <w:pStyle w:val="P68B1DB1-Normal15"/>
              <w:jc w:val="right"/>
              <w:rPr>
                <w:noProof/>
              </w:rPr>
            </w:pPr>
            <w:r>
              <w:rPr>
                <w:noProof/>
              </w:rPr>
              <w:t>0</w:t>
            </w:r>
          </w:p>
        </w:tc>
        <w:tc>
          <w:tcPr>
            <w:tcW w:w="243" w:type="pct"/>
            <w:shd w:val="clear" w:color="auto" w:fill="C6EFCE"/>
          </w:tcPr>
          <w:p w14:paraId="50B4B242" w14:textId="77777777" w:rsidR="003B5F50" w:rsidRDefault="000D2D85">
            <w:pPr>
              <w:pStyle w:val="P68B1DB1-Normal15"/>
              <w:jc w:val="center"/>
              <w:rPr>
                <w:noProof/>
              </w:rPr>
            </w:pPr>
            <w:r>
              <w:rPr>
                <w:noProof/>
              </w:rPr>
              <w:t>27</w:t>
            </w:r>
          </w:p>
        </w:tc>
        <w:tc>
          <w:tcPr>
            <w:tcW w:w="354" w:type="pct"/>
            <w:shd w:val="clear" w:color="auto" w:fill="C6EFCE"/>
          </w:tcPr>
          <w:p w14:paraId="50B4B243" w14:textId="77777777" w:rsidR="003B5F50" w:rsidRDefault="000D2D85">
            <w:pPr>
              <w:pStyle w:val="P68B1DB1-Normal15"/>
              <w:jc w:val="center"/>
              <w:rPr>
                <w:noProof/>
              </w:rPr>
            </w:pPr>
            <w:r>
              <w:rPr>
                <w:noProof/>
              </w:rPr>
              <w:t>T4</w:t>
            </w:r>
          </w:p>
        </w:tc>
        <w:tc>
          <w:tcPr>
            <w:tcW w:w="246" w:type="pct"/>
            <w:shd w:val="clear" w:color="auto" w:fill="C6EFCE"/>
          </w:tcPr>
          <w:p w14:paraId="50B4B244" w14:textId="77777777" w:rsidR="003B5F50" w:rsidRDefault="000D2D85">
            <w:pPr>
              <w:pStyle w:val="P68B1DB1-Normal15"/>
              <w:jc w:val="center"/>
              <w:rPr>
                <w:noProof/>
              </w:rPr>
            </w:pPr>
            <w:r>
              <w:rPr>
                <w:noProof/>
              </w:rPr>
              <w:t>2024</w:t>
            </w:r>
          </w:p>
        </w:tc>
        <w:tc>
          <w:tcPr>
            <w:tcW w:w="811" w:type="pct"/>
            <w:shd w:val="clear" w:color="auto" w:fill="C6EFCE"/>
          </w:tcPr>
          <w:p w14:paraId="50B4B245" w14:textId="77777777" w:rsidR="003B5F50" w:rsidRDefault="000D2D85">
            <w:pPr>
              <w:pStyle w:val="P68B1DB1-Normal15"/>
              <w:rPr>
                <w:noProof/>
              </w:rPr>
            </w:pPr>
            <w:r>
              <w:rPr>
                <w:noProof/>
              </w:rPr>
              <w:t>Sur l’objectif global de 30 projets, des subventions sont octroyées à au moins 27 projets, dans le cadre des appels visant à relever les défis de la transition écologique et de la décarbonation.</w:t>
            </w:r>
          </w:p>
          <w:p w14:paraId="50B4B246" w14:textId="77777777" w:rsidR="003B5F50" w:rsidRDefault="003B5F50">
            <w:pPr>
              <w:rPr>
                <w:rFonts w:ascii="Times New Roman" w:hAnsi="Times New Roman"/>
                <w:noProof/>
                <w:sz w:val="20"/>
                <w:szCs w:val="20"/>
              </w:rPr>
            </w:pPr>
          </w:p>
        </w:tc>
      </w:tr>
      <w:tr w:rsidR="003B5F50" w14:paraId="50B4B255" w14:textId="77777777">
        <w:trPr>
          <w:trHeight w:val="75"/>
        </w:trPr>
        <w:tc>
          <w:tcPr>
            <w:tcW w:w="335" w:type="pct"/>
            <w:shd w:val="clear" w:color="auto" w:fill="C6EFCE"/>
          </w:tcPr>
          <w:p w14:paraId="50B4B248" w14:textId="77777777" w:rsidR="003B5F50" w:rsidRDefault="000D2D85">
            <w:pPr>
              <w:pStyle w:val="P68B1DB1-Normal14"/>
              <w:jc w:val="center"/>
              <w:rPr>
                <w:noProof/>
              </w:rPr>
            </w:pPr>
            <w:r>
              <w:rPr>
                <w:noProof/>
              </w:rPr>
              <w:t>14</w:t>
            </w:r>
          </w:p>
        </w:tc>
        <w:tc>
          <w:tcPr>
            <w:tcW w:w="504" w:type="pct"/>
            <w:shd w:val="clear" w:color="auto" w:fill="C6EFCE"/>
          </w:tcPr>
          <w:p w14:paraId="50B4B249" w14:textId="546E131A" w:rsidR="003B5F50" w:rsidRDefault="000D2D85">
            <w:pPr>
              <w:pStyle w:val="P68B1DB1-Normal15"/>
              <w:spacing w:after="0"/>
              <w:rPr>
                <w:noProof/>
              </w:rPr>
            </w:pPr>
            <w:r>
              <w:rPr>
                <w:noProof/>
              </w:rPr>
              <w:t>9 – Gouvernance plus efficace et renforcement du financement de la RDI – Investissement 4: Recherche et innovation pour décarboner l’économie</w:t>
            </w:r>
          </w:p>
        </w:tc>
        <w:tc>
          <w:tcPr>
            <w:tcW w:w="650" w:type="pct"/>
            <w:shd w:val="clear" w:color="auto" w:fill="C6EFCE"/>
          </w:tcPr>
          <w:p w14:paraId="50B4B24A" w14:textId="77777777" w:rsidR="003B5F50" w:rsidRDefault="000D2D85">
            <w:pPr>
              <w:pStyle w:val="P68B1DB1-Normal14"/>
              <w:rPr>
                <w:noProof/>
              </w:rPr>
            </w:pPr>
            <w:r>
              <w:rPr>
                <w:noProof/>
              </w:rPr>
              <w:t>Étape</w:t>
            </w:r>
          </w:p>
        </w:tc>
        <w:tc>
          <w:tcPr>
            <w:tcW w:w="573" w:type="pct"/>
            <w:shd w:val="clear" w:color="auto" w:fill="C6EFCE"/>
          </w:tcPr>
          <w:p w14:paraId="50B4B24B" w14:textId="77777777" w:rsidR="003B5F50" w:rsidRDefault="000D2D85">
            <w:pPr>
              <w:pStyle w:val="P68B1DB1-Normal14"/>
              <w:rPr>
                <w:noProof/>
              </w:rPr>
            </w:pPr>
            <w:r>
              <w:rPr>
                <w:noProof/>
              </w:rPr>
              <w:t>Mise en œuvre d’appels à projets thématiques axés sur la demande pour relever les défis de la transition écologique</w:t>
            </w:r>
          </w:p>
        </w:tc>
        <w:tc>
          <w:tcPr>
            <w:tcW w:w="495" w:type="pct"/>
            <w:shd w:val="clear" w:color="auto" w:fill="C6EFCE"/>
          </w:tcPr>
          <w:p w14:paraId="50B4B24C" w14:textId="77777777" w:rsidR="003B5F50" w:rsidRDefault="000D2D85">
            <w:pPr>
              <w:pStyle w:val="P68B1DB1-Normal14"/>
              <w:rPr>
                <w:noProof/>
              </w:rPr>
            </w:pPr>
            <w:r>
              <w:rPr>
                <w:noProof/>
              </w:rPr>
              <w:t xml:space="preserve">Approbation du Conseil gouvernemental </w:t>
            </w:r>
            <w:r>
              <w:rPr>
                <w:noProof/>
                <w:szCs w:val="20"/>
              </w:rPr>
              <w:t>pour la science, la technologie et l'innovation.</w:t>
            </w:r>
          </w:p>
        </w:tc>
        <w:tc>
          <w:tcPr>
            <w:tcW w:w="431" w:type="pct"/>
            <w:shd w:val="clear" w:color="auto" w:fill="C6EFCE"/>
          </w:tcPr>
          <w:p w14:paraId="50B4B24D" w14:textId="77777777" w:rsidR="003B5F50" w:rsidRDefault="003B5F50">
            <w:pPr>
              <w:rPr>
                <w:rFonts w:ascii="Times New Roman" w:hAnsi="Times New Roman"/>
                <w:noProof/>
                <w:color w:val="006100"/>
                <w:sz w:val="20"/>
              </w:rPr>
            </w:pPr>
          </w:p>
        </w:tc>
        <w:tc>
          <w:tcPr>
            <w:tcW w:w="358" w:type="pct"/>
            <w:shd w:val="clear" w:color="auto" w:fill="C6EFCE"/>
          </w:tcPr>
          <w:p w14:paraId="50B4B24E" w14:textId="77777777" w:rsidR="003B5F50" w:rsidRDefault="003B5F50">
            <w:pPr>
              <w:jc w:val="right"/>
              <w:rPr>
                <w:rFonts w:ascii="Times New Roman" w:hAnsi="Times New Roman"/>
                <w:noProof/>
                <w:color w:val="006100"/>
                <w:sz w:val="20"/>
              </w:rPr>
            </w:pPr>
          </w:p>
        </w:tc>
        <w:tc>
          <w:tcPr>
            <w:tcW w:w="243" w:type="pct"/>
            <w:shd w:val="clear" w:color="auto" w:fill="C6EFCE"/>
          </w:tcPr>
          <w:p w14:paraId="50B4B24F" w14:textId="77777777" w:rsidR="003B5F50" w:rsidRDefault="003B5F50">
            <w:pPr>
              <w:jc w:val="right"/>
              <w:rPr>
                <w:rFonts w:ascii="Times New Roman" w:hAnsi="Times New Roman"/>
                <w:noProof/>
                <w:color w:val="006100"/>
                <w:sz w:val="20"/>
              </w:rPr>
            </w:pPr>
          </w:p>
        </w:tc>
        <w:tc>
          <w:tcPr>
            <w:tcW w:w="354" w:type="pct"/>
            <w:shd w:val="clear" w:color="auto" w:fill="C6EFCE"/>
          </w:tcPr>
          <w:p w14:paraId="50B4B250" w14:textId="77777777" w:rsidR="003B5F50" w:rsidRDefault="000D2D85">
            <w:pPr>
              <w:pStyle w:val="P68B1DB1-Normal14"/>
              <w:jc w:val="center"/>
              <w:rPr>
                <w:noProof/>
              </w:rPr>
            </w:pPr>
            <w:r>
              <w:rPr>
                <w:noProof/>
              </w:rPr>
              <w:t>T1</w:t>
            </w:r>
          </w:p>
        </w:tc>
        <w:tc>
          <w:tcPr>
            <w:tcW w:w="246" w:type="pct"/>
            <w:shd w:val="clear" w:color="auto" w:fill="C6EFCE"/>
          </w:tcPr>
          <w:p w14:paraId="50B4B251" w14:textId="77777777" w:rsidR="003B5F50" w:rsidRDefault="000D2D85">
            <w:pPr>
              <w:pStyle w:val="P68B1DB1-Normal14"/>
              <w:jc w:val="center"/>
              <w:rPr>
                <w:noProof/>
              </w:rPr>
            </w:pPr>
            <w:r>
              <w:rPr>
                <w:noProof/>
              </w:rPr>
              <w:t>2026</w:t>
            </w:r>
          </w:p>
        </w:tc>
        <w:tc>
          <w:tcPr>
            <w:tcW w:w="811" w:type="pct"/>
            <w:shd w:val="clear" w:color="auto" w:fill="C6EFCE"/>
          </w:tcPr>
          <w:p w14:paraId="50B4B252" w14:textId="77777777" w:rsidR="003B5F50" w:rsidRDefault="000D2D85">
            <w:pPr>
              <w:pStyle w:val="P68B1DB1-Normal15"/>
              <w:spacing w:after="0"/>
              <w:rPr>
                <w:noProof/>
              </w:rPr>
            </w:pPr>
            <w:r>
              <w:rPr>
                <w:noProof/>
              </w:rPr>
              <w:t xml:space="preserve">Un rapport de synthèse intermédiaire est approuvé par le Conseil gouvernemental de la science, de la technologie et de l'innovation. </w:t>
            </w:r>
          </w:p>
          <w:p w14:paraId="50B4B254" w14:textId="5E0DC7FA" w:rsidR="003B5F50" w:rsidRDefault="000D2D85">
            <w:pPr>
              <w:pStyle w:val="P68B1DB1-Normal15"/>
              <w:spacing w:after="0"/>
              <w:rPr>
                <w:noProof/>
              </w:rPr>
            </w:pPr>
            <w:r>
              <w:rPr>
                <w:noProof/>
              </w:rPr>
              <w:t>Ce rapport examine la contribution des projets achevés et en cours au titre des appels aux objectifs du volet 9.</w:t>
            </w:r>
          </w:p>
        </w:tc>
      </w:tr>
      <w:tr w:rsidR="003B5F50" w14:paraId="50B4B266" w14:textId="77777777">
        <w:trPr>
          <w:trHeight w:val="75"/>
        </w:trPr>
        <w:tc>
          <w:tcPr>
            <w:tcW w:w="335" w:type="pct"/>
            <w:shd w:val="clear" w:color="auto" w:fill="C6EFCE"/>
          </w:tcPr>
          <w:p w14:paraId="50B4B256" w14:textId="77777777" w:rsidR="003B5F50" w:rsidRDefault="000D2D85">
            <w:pPr>
              <w:pStyle w:val="P68B1DB1-Normal14"/>
              <w:jc w:val="center"/>
              <w:rPr>
                <w:noProof/>
                <w:szCs w:val="20"/>
              </w:rPr>
            </w:pPr>
            <w:r>
              <w:rPr>
                <w:noProof/>
              </w:rPr>
              <w:t>15</w:t>
            </w:r>
          </w:p>
        </w:tc>
        <w:tc>
          <w:tcPr>
            <w:tcW w:w="504" w:type="pct"/>
            <w:shd w:val="clear" w:color="auto" w:fill="C6EFCE"/>
          </w:tcPr>
          <w:p w14:paraId="50B4B257" w14:textId="69E3D68B" w:rsidR="003B5F50" w:rsidRDefault="000D2D85">
            <w:pPr>
              <w:pStyle w:val="P68B1DB1-Normal14"/>
              <w:spacing w:after="0"/>
              <w:rPr>
                <w:noProof/>
                <w:szCs w:val="20"/>
              </w:rPr>
            </w:pPr>
            <w:r>
              <w:rPr>
                <w:noProof/>
              </w:rPr>
              <w:t>9 – Gouvernance plus efficace et renforcement du financement de la RDI – Investissement 5: Recherche et innovation pour la numérisation de l’économie</w:t>
            </w:r>
          </w:p>
        </w:tc>
        <w:tc>
          <w:tcPr>
            <w:tcW w:w="650" w:type="pct"/>
            <w:shd w:val="clear" w:color="auto" w:fill="C6EFCE"/>
          </w:tcPr>
          <w:p w14:paraId="50B4B258" w14:textId="77777777" w:rsidR="003B5F50" w:rsidRDefault="000D2D85">
            <w:pPr>
              <w:pStyle w:val="P68B1DB1-Normal14"/>
              <w:rPr>
                <w:noProof/>
                <w:szCs w:val="20"/>
              </w:rPr>
            </w:pPr>
            <w:r>
              <w:rPr>
                <w:noProof/>
              </w:rPr>
              <w:t>Étape</w:t>
            </w:r>
          </w:p>
        </w:tc>
        <w:tc>
          <w:tcPr>
            <w:tcW w:w="573" w:type="pct"/>
            <w:shd w:val="clear" w:color="auto" w:fill="C6EFCE"/>
          </w:tcPr>
          <w:p w14:paraId="50B4B259" w14:textId="77777777" w:rsidR="003B5F50" w:rsidRDefault="000D2D85">
            <w:pPr>
              <w:pStyle w:val="P68B1DB1-Normal14"/>
              <w:rPr>
                <w:noProof/>
                <w:szCs w:val="20"/>
              </w:rPr>
            </w:pPr>
            <w:r>
              <w:rPr>
                <w:noProof/>
              </w:rPr>
              <w:t>Lancement d’appels à projets thématiques axés sur la demande pour relever les défis de la transition numérique</w:t>
            </w:r>
          </w:p>
        </w:tc>
        <w:tc>
          <w:tcPr>
            <w:tcW w:w="495" w:type="pct"/>
            <w:shd w:val="clear" w:color="auto" w:fill="C6EFCE"/>
          </w:tcPr>
          <w:p w14:paraId="50B4B25A" w14:textId="7F298A6E" w:rsidR="003B5F50" w:rsidRDefault="000D2D85">
            <w:pPr>
              <w:pStyle w:val="P68B1DB1-Normal14"/>
              <w:rPr>
                <w:noProof/>
                <w:szCs w:val="20"/>
              </w:rPr>
            </w:pPr>
            <w:r>
              <w:rPr>
                <w:noProof/>
              </w:rPr>
              <w:t xml:space="preserve">Lancement d’appels à projets thématiques axés sur la demande pour relever les défis de la transition numérique </w:t>
            </w:r>
          </w:p>
        </w:tc>
        <w:tc>
          <w:tcPr>
            <w:tcW w:w="431" w:type="pct"/>
            <w:shd w:val="clear" w:color="auto" w:fill="C6EFCE"/>
          </w:tcPr>
          <w:p w14:paraId="50B4B25B" w14:textId="77777777" w:rsidR="003B5F50" w:rsidRDefault="000D2D85">
            <w:pPr>
              <w:pStyle w:val="P68B1DB1-Normal14"/>
              <w:rPr>
                <w:noProof/>
                <w:szCs w:val="20"/>
              </w:rPr>
            </w:pPr>
            <w:r>
              <w:rPr>
                <w:noProof/>
              </w:rPr>
              <w:t xml:space="preserve"> </w:t>
            </w:r>
          </w:p>
        </w:tc>
        <w:tc>
          <w:tcPr>
            <w:tcW w:w="358" w:type="pct"/>
            <w:shd w:val="clear" w:color="auto" w:fill="C6EFCE"/>
          </w:tcPr>
          <w:p w14:paraId="50B4B25C" w14:textId="77777777" w:rsidR="003B5F50" w:rsidRDefault="000D2D85">
            <w:pPr>
              <w:pStyle w:val="P68B1DB1-Normal14"/>
              <w:rPr>
                <w:noProof/>
                <w:szCs w:val="20"/>
              </w:rPr>
            </w:pPr>
            <w:r>
              <w:rPr>
                <w:noProof/>
              </w:rPr>
              <w:t xml:space="preserve"> </w:t>
            </w:r>
          </w:p>
        </w:tc>
        <w:tc>
          <w:tcPr>
            <w:tcW w:w="243" w:type="pct"/>
            <w:shd w:val="clear" w:color="auto" w:fill="C6EFCE"/>
          </w:tcPr>
          <w:p w14:paraId="50B4B25D" w14:textId="77777777" w:rsidR="003B5F50" w:rsidRDefault="000D2D85">
            <w:pPr>
              <w:pStyle w:val="P68B1DB1-Normal14"/>
              <w:rPr>
                <w:noProof/>
                <w:szCs w:val="20"/>
              </w:rPr>
            </w:pPr>
            <w:r>
              <w:rPr>
                <w:noProof/>
              </w:rPr>
              <w:t>2</w:t>
            </w:r>
          </w:p>
        </w:tc>
        <w:tc>
          <w:tcPr>
            <w:tcW w:w="354" w:type="pct"/>
            <w:shd w:val="clear" w:color="auto" w:fill="C6EFCE"/>
          </w:tcPr>
          <w:p w14:paraId="50B4B25E" w14:textId="77777777" w:rsidR="003B5F50" w:rsidRDefault="000D2D85">
            <w:pPr>
              <w:pStyle w:val="P68B1DB1-Normal14"/>
              <w:jc w:val="center"/>
              <w:rPr>
                <w:noProof/>
                <w:szCs w:val="20"/>
              </w:rPr>
            </w:pPr>
            <w:r>
              <w:rPr>
                <w:noProof/>
              </w:rPr>
              <w:t>T4</w:t>
            </w:r>
          </w:p>
        </w:tc>
        <w:tc>
          <w:tcPr>
            <w:tcW w:w="246" w:type="pct"/>
            <w:shd w:val="clear" w:color="auto" w:fill="C6EFCE"/>
          </w:tcPr>
          <w:p w14:paraId="50B4B25F" w14:textId="77777777" w:rsidR="003B5F50" w:rsidRDefault="000D2D85">
            <w:pPr>
              <w:pStyle w:val="P68B1DB1-Normal14"/>
              <w:jc w:val="center"/>
              <w:rPr>
                <w:noProof/>
                <w:szCs w:val="20"/>
              </w:rPr>
            </w:pPr>
            <w:r>
              <w:rPr>
                <w:noProof/>
              </w:rPr>
              <w:t>2022</w:t>
            </w:r>
          </w:p>
        </w:tc>
        <w:tc>
          <w:tcPr>
            <w:tcW w:w="811" w:type="pct"/>
            <w:shd w:val="clear" w:color="auto" w:fill="C6EFCE"/>
          </w:tcPr>
          <w:p w14:paraId="50B4B260" w14:textId="4A7D47F0" w:rsidR="003B5F50" w:rsidRDefault="000D2D85">
            <w:pPr>
              <w:pStyle w:val="P68B1DB1-Normal14"/>
              <w:spacing w:after="0"/>
              <w:rPr>
                <w:noProof/>
                <w:szCs w:val="20"/>
              </w:rPr>
            </w:pPr>
            <w:r>
              <w:rPr>
                <w:noProof/>
              </w:rPr>
              <w:t>Au moins deux programmes thématiques (tels que des appels axés sur la demande et/ou des instruments financiers) pour des projets sont lancés conformément au principe consistant à «ne pas causer de préjudice important» afin de relever les défis de la transformation numérique et de contribuer à la réalisation des ambitions de la Commission en matière d’autonomie numérique.</w:t>
            </w:r>
          </w:p>
          <w:p w14:paraId="50B4B261" w14:textId="77777777" w:rsidR="003B5F50" w:rsidRDefault="000D2D85">
            <w:pPr>
              <w:pStyle w:val="P68B1DB1-Normal14"/>
              <w:spacing w:after="0"/>
              <w:rPr>
                <w:noProof/>
                <w:szCs w:val="20"/>
              </w:rPr>
            </w:pPr>
            <w:r>
              <w:rPr>
                <w:noProof/>
              </w:rPr>
              <w:t xml:space="preserve">L’aide est orientée vers des thèmes conformes aux priorités thématiques d’Horizon Europe, tels que: </w:t>
            </w:r>
          </w:p>
          <w:p w14:paraId="50B4B262" w14:textId="77777777" w:rsidR="003B5F50" w:rsidRDefault="000D2D85">
            <w:pPr>
              <w:pStyle w:val="P68B1DB1-Normal14"/>
              <w:spacing w:after="0"/>
              <w:rPr>
                <w:noProof/>
                <w:szCs w:val="20"/>
              </w:rPr>
            </w:pPr>
            <w:r>
              <w:rPr>
                <w:noProof/>
              </w:rPr>
              <w:t>• les technologies numériques clés (telles que la cybersécurité; technologies quantiques pour la cybersécurité, les capteurs et l’internet des objets; microélectronique et composants électroniques et solutions en nuage)</w:t>
            </w:r>
          </w:p>
          <w:p w14:paraId="50B4B263" w14:textId="77777777" w:rsidR="003B5F50" w:rsidRDefault="000D2D85">
            <w:pPr>
              <w:pStyle w:val="P68B1DB1-Normal14"/>
              <w:spacing w:after="0"/>
              <w:rPr>
                <w:noProof/>
                <w:szCs w:val="20"/>
              </w:rPr>
            </w:pPr>
            <w:r>
              <w:rPr>
                <w:noProof/>
              </w:rPr>
              <w:t xml:space="preserve">• Intelligence artificielle et robotique </w:t>
            </w:r>
          </w:p>
          <w:p w14:paraId="50B4B265" w14:textId="51BDB390" w:rsidR="003B5F50" w:rsidRDefault="000D2D85">
            <w:pPr>
              <w:pStyle w:val="P68B1DB1-Normal14"/>
              <w:spacing w:after="0"/>
              <w:rPr>
                <w:noProof/>
                <w:szCs w:val="20"/>
              </w:rPr>
            </w:pPr>
            <w:r>
              <w:rPr>
                <w:noProof/>
              </w:rPr>
              <w:t xml:space="preserve">Les programmes de projets couvrent de manière cumulée l’ensemble du cycle de recherche et d’innovation (niveaux de maturité technologique 1 à 9). </w:t>
            </w:r>
          </w:p>
        </w:tc>
      </w:tr>
      <w:tr w:rsidR="003B5F50" w14:paraId="50B4B273" w14:textId="77777777">
        <w:trPr>
          <w:trHeight w:val="1500"/>
        </w:trPr>
        <w:tc>
          <w:tcPr>
            <w:tcW w:w="335" w:type="pct"/>
            <w:shd w:val="clear" w:color="auto" w:fill="C6EFCE"/>
          </w:tcPr>
          <w:p w14:paraId="50B4B267" w14:textId="77777777" w:rsidR="003B5F50" w:rsidRDefault="000D2D85">
            <w:pPr>
              <w:pStyle w:val="P68B1DB1-Normal15"/>
              <w:jc w:val="center"/>
              <w:rPr>
                <w:noProof/>
              </w:rPr>
            </w:pPr>
            <w:r>
              <w:rPr>
                <w:noProof/>
              </w:rPr>
              <w:t>16</w:t>
            </w:r>
          </w:p>
        </w:tc>
        <w:tc>
          <w:tcPr>
            <w:tcW w:w="504" w:type="pct"/>
            <w:shd w:val="clear" w:color="auto" w:fill="C6EFCE"/>
          </w:tcPr>
          <w:p w14:paraId="50B4B268" w14:textId="77777777" w:rsidR="003B5F50" w:rsidRDefault="000D2D85">
            <w:pPr>
              <w:pStyle w:val="P68B1DB1-Normal15"/>
              <w:spacing w:after="0"/>
              <w:rPr>
                <w:noProof/>
              </w:rPr>
            </w:pPr>
            <w:r>
              <w:rPr>
                <w:noProof/>
              </w:rPr>
              <w:t>9 – Gouvernance plus efficace et renforcement du financement de la RDI – Investissement 5: Recherche et innovation pour la numérisation de l’économie</w:t>
            </w:r>
          </w:p>
        </w:tc>
        <w:tc>
          <w:tcPr>
            <w:tcW w:w="650" w:type="pct"/>
            <w:shd w:val="clear" w:color="auto" w:fill="C6EFCE"/>
          </w:tcPr>
          <w:p w14:paraId="50B4B269" w14:textId="77777777" w:rsidR="003B5F50" w:rsidRDefault="000D2D85">
            <w:pPr>
              <w:pStyle w:val="P68B1DB1-Normal15"/>
              <w:rPr>
                <w:noProof/>
              </w:rPr>
            </w:pPr>
            <w:r>
              <w:rPr>
                <w:noProof/>
              </w:rPr>
              <w:t>Objectif</w:t>
            </w:r>
          </w:p>
        </w:tc>
        <w:tc>
          <w:tcPr>
            <w:tcW w:w="573" w:type="pct"/>
            <w:shd w:val="clear" w:color="auto" w:fill="C6EFCE"/>
          </w:tcPr>
          <w:p w14:paraId="50B4B26A" w14:textId="77777777" w:rsidR="003B5F50" w:rsidRDefault="000D2D85">
            <w:pPr>
              <w:pStyle w:val="P68B1DB1-Normal15"/>
              <w:rPr>
                <w:noProof/>
              </w:rPr>
            </w:pPr>
            <w:r>
              <w:rPr>
                <w:noProof/>
              </w:rPr>
              <w:t>Nombre de projets de RDI sélectionnés dans le cadre des appels visant à relever les défis de la transformation numérique.</w:t>
            </w:r>
          </w:p>
        </w:tc>
        <w:tc>
          <w:tcPr>
            <w:tcW w:w="495" w:type="pct"/>
            <w:shd w:val="clear" w:color="auto" w:fill="C6EFCE"/>
          </w:tcPr>
          <w:p w14:paraId="50B4B26B" w14:textId="77777777" w:rsidR="003B5F50" w:rsidRDefault="003B5F50">
            <w:pPr>
              <w:rPr>
                <w:rFonts w:ascii="Times New Roman" w:hAnsi="Times New Roman"/>
                <w:noProof/>
                <w:sz w:val="20"/>
                <w:szCs w:val="20"/>
              </w:rPr>
            </w:pPr>
          </w:p>
        </w:tc>
        <w:tc>
          <w:tcPr>
            <w:tcW w:w="431" w:type="pct"/>
            <w:shd w:val="clear" w:color="auto" w:fill="C6EFCE"/>
          </w:tcPr>
          <w:p w14:paraId="50B4B26C" w14:textId="77777777" w:rsidR="003B5F50" w:rsidRDefault="000D2D85">
            <w:pPr>
              <w:pStyle w:val="P68B1DB1-Normal15"/>
              <w:rPr>
                <w:noProof/>
              </w:rPr>
            </w:pPr>
            <w:r>
              <w:rPr>
                <w:noProof/>
              </w:rPr>
              <w:t>Nombre de projets</w:t>
            </w:r>
          </w:p>
        </w:tc>
        <w:tc>
          <w:tcPr>
            <w:tcW w:w="358" w:type="pct"/>
            <w:shd w:val="clear" w:color="auto" w:fill="C6EFCE"/>
          </w:tcPr>
          <w:p w14:paraId="50B4B26D" w14:textId="77777777" w:rsidR="003B5F50" w:rsidRDefault="000D2D85">
            <w:pPr>
              <w:pStyle w:val="P68B1DB1-Normal15"/>
              <w:jc w:val="right"/>
              <w:rPr>
                <w:noProof/>
              </w:rPr>
            </w:pPr>
            <w:r>
              <w:rPr>
                <w:noProof/>
              </w:rPr>
              <w:t>0</w:t>
            </w:r>
          </w:p>
        </w:tc>
        <w:tc>
          <w:tcPr>
            <w:tcW w:w="243" w:type="pct"/>
            <w:shd w:val="clear" w:color="auto" w:fill="C6EFCE"/>
          </w:tcPr>
          <w:p w14:paraId="50B4B26E" w14:textId="77777777" w:rsidR="003B5F50" w:rsidRDefault="000D2D85">
            <w:pPr>
              <w:pStyle w:val="P68B1DB1-Normal15"/>
              <w:jc w:val="right"/>
              <w:rPr>
                <w:noProof/>
              </w:rPr>
            </w:pPr>
            <w:r>
              <w:rPr>
                <w:noProof/>
              </w:rPr>
              <w:t>140</w:t>
            </w:r>
          </w:p>
        </w:tc>
        <w:tc>
          <w:tcPr>
            <w:tcW w:w="354" w:type="pct"/>
            <w:shd w:val="clear" w:color="auto" w:fill="C6EFCE"/>
          </w:tcPr>
          <w:p w14:paraId="50B4B26F" w14:textId="77777777" w:rsidR="003B5F50" w:rsidRDefault="000D2D85">
            <w:pPr>
              <w:pStyle w:val="P68B1DB1-Normal15"/>
              <w:jc w:val="center"/>
              <w:rPr>
                <w:noProof/>
              </w:rPr>
            </w:pPr>
            <w:r>
              <w:rPr>
                <w:noProof/>
              </w:rPr>
              <w:t>T4</w:t>
            </w:r>
          </w:p>
        </w:tc>
        <w:tc>
          <w:tcPr>
            <w:tcW w:w="246" w:type="pct"/>
            <w:shd w:val="clear" w:color="auto" w:fill="C6EFCE"/>
          </w:tcPr>
          <w:p w14:paraId="50B4B270" w14:textId="77777777" w:rsidR="003B5F50" w:rsidRDefault="000D2D85">
            <w:pPr>
              <w:pStyle w:val="P68B1DB1-Normal15"/>
              <w:jc w:val="center"/>
              <w:rPr>
                <w:noProof/>
              </w:rPr>
            </w:pPr>
            <w:r>
              <w:rPr>
                <w:noProof/>
              </w:rPr>
              <w:t>2024</w:t>
            </w:r>
          </w:p>
        </w:tc>
        <w:tc>
          <w:tcPr>
            <w:tcW w:w="811" w:type="pct"/>
            <w:shd w:val="clear" w:color="auto" w:fill="C6EFCE"/>
          </w:tcPr>
          <w:p w14:paraId="50B4B271" w14:textId="77777777" w:rsidR="003B5F50" w:rsidRDefault="000D2D85">
            <w:pPr>
              <w:pStyle w:val="P68B1DB1-Normal15"/>
              <w:rPr>
                <w:noProof/>
              </w:rPr>
            </w:pPr>
            <w:r>
              <w:rPr>
                <w:noProof/>
              </w:rPr>
              <w:t>Sur l’objectif global de 155 projets, des subventions/prêts sont octroyés à au moins 140 projets au titre des programmes thématiques (tels que des appels axés sur la demande et/ou des instruments financiers) pour des projets thématiques visant à relever les défis de la transformation numérique.</w:t>
            </w:r>
          </w:p>
          <w:p w14:paraId="50B4B272" w14:textId="77777777" w:rsidR="003B5F50" w:rsidRDefault="000D2D85">
            <w:pPr>
              <w:pStyle w:val="P68B1DB1-Normal15"/>
              <w:rPr>
                <w:noProof/>
              </w:rPr>
            </w:pPr>
            <w:r>
              <w:rPr>
                <w:noProof/>
              </w:rPr>
              <w:t xml:space="preserve"> </w:t>
            </w:r>
          </w:p>
        </w:tc>
      </w:tr>
      <w:tr w:rsidR="003B5F50" w14:paraId="50B4B281" w14:textId="77777777">
        <w:trPr>
          <w:trHeight w:val="75"/>
        </w:trPr>
        <w:tc>
          <w:tcPr>
            <w:tcW w:w="335" w:type="pct"/>
            <w:shd w:val="clear" w:color="auto" w:fill="C6EFCE"/>
          </w:tcPr>
          <w:p w14:paraId="50B4B274" w14:textId="77777777" w:rsidR="003B5F50" w:rsidRDefault="000D2D85">
            <w:pPr>
              <w:pStyle w:val="P68B1DB1-Normal15"/>
              <w:jc w:val="center"/>
              <w:rPr>
                <w:noProof/>
              </w:rPr>
            </w:pPr>
            <w:r>
              <w:rPr>
                <w:noProof/>
              </w:rPr>
              <w:t>17</w:t>
            </w:r>
          </w:p>
        </w:tc>
        <w:tc>
          <w:tcPr>
            <w:tcW w:w="504" w:type="pct"/>
            <w:shd w:val="clear" w:color="auto" w:fill="C6EFCE"/>
          </w:tcPr>
          <w:p w14:paraId="50B4B275" w14:textId="77777777" w:rsidR="003B5F50" w:rsidRDefault="000D2D85">
            <w:pPr>
              <w:pStyle w:val="P68B1DB1-Normal15"/>
              <w:spacing w:after="0"/>
              <w:rPr>
                <w:noProof/>
              </w:rPr>
            </w:pPr>
            <w:r>
              <w:rPr>
                <w:noProof/>
              </w:rPr>
              <w:t>9 – Gouvernance plus efficace et renforcement du financement de la RDI – Investissement 5: Recherche et innovation pour la numérisation de l’économie</w:t>
            </w:r>
          </w:p>
        </w:tc>
        <w:tc>
          <w:tcPr>
            <w:tcW w:w="650" w:type="pct"/>
            <w:shd w:val="clear" w:color="auto" w:fill="C6EFCE"/>
          </w:tcPr>
          <w:p w14:paraId="50B4B276" w14:textId="77777777" w:rsidR="003B5F50" w:rsidRDefault="000D2D85">
            <w:pPr>
              <w:pStyle w:val="P68B1DB1-Normal14"/>
              <w:rPr>
                <w:noProof/>
              </w:rPr>
            </w:pPr>
            <w:r>
              <w:rPr>
                <w:noProof/>
              </w:rPr>
              <w:t>Étape</w:t>
            </w:r>
          </w:p>
        </w:tc>
        <w:tc>
          <w:tcPr>
            <w:tcW w:w="573" w:type="pct"/>
            <w:shd w:val="clear" w:color="auto" w:fill="C6EFCE"/>
          </w:tcPr>
          <w:p w14:paraId="50B4B277" w14:textId="77777777" w:rsidR="003B5F50" w:rsidRDefault="000D2D85">
            <w:pPr>
              <w:pStyle w:val="P68B1DB1-Normal14"/>
              <w:rPr>
                <w:noProof/>
              </w:rPr>
            </w:pPr>
            <w:r>
              <w:rPr>
                <w:noProof/>
              </w:rPr>
              <w:t>Mise en œuvre d’appels à projets thématiques axés sur la demande pour relever les défis de la transition numérique</w:t>
            </w:r>
          </w:p>
        </w:tc>
        <w:tc>
          <w:tcPr>
            <w:tcW w:w="495" w:type="pct"/>
            <w:shd w:val="clear" w:color="auto" w:fill="C6EFCE"/>
          </w:tcPr>
          <w:p w14:paraId="50B4B278" w14:textId="77777777" w:rsidR="003B5F50" w:rsidRDefault="000D2D85">
            <w:pPr>
              <w:pStyle w:val="P68B1DB1-Normal14"/>
              <w:rPr>
                <w:noProof/>
              </w:rPr>
            </w:pPr>
            <w:r>
              <w:rPr>
                <w:noProof/>
              </w:rPr>
              <w:t xml:space="preserve">Approbation du Conseil gouvernemental </w:t>
            </w:r>
            <w:r>
              <w:rPr>
                <w:noProof/>
                <w:szCs w:val="20"/>
              </w:rPr>
              <w:t>pour la science, la technologie et l'innovation.</w:t>
            </w:r>
          </w:p>
        </w:tc>
        <w:tc>
          <w:tcPr>
            <w:tcW w:w="431" w:type="pct"/>
            <w:shd w:val="clear" w:color="auto" w:fill="C6EFCE"/>
          </w:tcPr>
          <w:p w14:paraId="50B4B279" w14:textId="77777777" w:rsidR="003B5F50" w:rsidRDefault="003B5F50">
            <w:pPr>
              <w:rPr>
                <w:rFonts w:ascii="Times New Roman" w:hAnsi="Times New Roman"/>
                <w:noProof/>
                <w:color w:val="006100"/>
                <w:sz w:val="20"/>
              </w:rPr>
            </w:pPr>
          </w:p>
        </w:tc>
        <w:tc>
          <w:tcPr>
            <w:tcW w:w="358" w:type="pct"/>
            <w:shd w:val="clear" w:color="auto" w:fill="C6EFCE"/>
          </w:tcPr>
          <w:p w14:paraId="50B4B27A" w14:textId="77777777" w:rsidR="003B5F50" w:rsidRDefault="003B5F50">
            <w:pPr>
              <w:jc w:val="right"/>
              <w:rPr>
                <w:rFonts w:ascii="Times New Roman" w:hAnsi="Times New Roman"/>
                <w:noProof/>
                <w:color w:val="006100"/>
                <w:sz w:val="20"/>
              </w:rPr>
            </w:pPr>
          </w:p>
        </w:tc>
        <w:tc>
          <w:tcPr>
            <w:tcW w:w="243" w:type="pct"/>
            <w:shd w:val="clear" w:color="auto" w:fill="C6EFCE"/>
          </w:tcPr>
          <w:p w14:paraId="50B4B27B" w14:textId="77777777" w:rsidR="003B5F50" w:rsidRDefault="003B5F50">
            <w:pPr>
              <w:jc w:val="center"/>
              <w:rPr>
                <w:rFonts w:ascii="Times New Roman" w:hAnsi="Times New Roman"/>
                <w:noProof/>
                <w:color w:val="006100"/>
                <w:sz w:val="20"/>
              </w:rPr>
            </w:pPr>
          </w:p>
        </w:tc>
        <w:tc>
          <w:tcPr>
            <w:tcW w:w="354" w:type="pct"/>
            <w:shd w:val="clear" w:color="auto" w:fill="C6EFCE"/>
          </w:tcPr>
          <w:p w14:paraId="50B4B27C" w14:textId="77777777" w:rsidR="003B5F50" w:rsidRDefault="000D2D85">
            <w:pPr>
              <w:pStyle w:val="P68B1DB1-Normal14"/>
              <w:jc w:val="center"/>
              <w:rPr>
                <w:noProof/>
              </w:rPr>
            </w:pPr>
            <w:r>
              <w:rPr>
                <w:noProof/>
              </w:rPr>
              <w:t>T1</w:t>
            </w:r>
          </w:p>
        </w:tc>
        <w:tc>
          <w:tcPr>
            <w:tcW w:w="246" w:type="pct"/>
            <w:shd w:val="clear" w:color="auto" w:fill="C6EFCE"/>
          </w:tcPr>
          <w:p w14:paraId="50B4B27D" w14:textId="77777777" w:rsidR="003B5F50" w:rsidRDefault="000D2D85">
            <w:pPr>
              <w:pStyle w:val="P68B1DB1-Normal14"/>
              <w:jc w:val="center"/>
              <w:rPr>
                <w:noProof/>
              </w:rPr>
            </w:pPr>
            <w:r>
              <w:rPr>
                <w:noProof/>
              </w:rPr>
              <w:t>2026</w:t>
            </w:r>
          </w:p>
        </w:tc>
        <w:tc>
          <w:tcPr>
            <w:tcW w:w="811" w:type="pct"/>
            <w:shd w:val="clear" w:color="auto" w:fill="C6EFCE"/>
          </w:tcPr>
          <w:p w14:paraId="50B4B27E" w14:textId="77777777" w:rsidR="003B5F50" w:rsidRDefault="000D2D85">
            <w:pPr>
              <w:pStyle w:val="P68B1DB1-Normal15"/>
              <w:spacing w:after="0"/>
              <w:rPr>
                <w:noProof/>
              </w:rPr>
            </w:pPr>
            <w:r>
              <w:rPr>
                <w:noProof/>
              </w:rPr>
              <w:t xml:space="preserve">Un rapport de synthèse intermédiaire est approuvé par le Conseil gouvernemental de la science, de la technologie et de l'innovation. </w:t>
            </w:r>
          </w:p>
          <w:p w14:paraId="50B4B280" w14:textId="759E6ACF" w:rsidR="003B5F50" w:rsidRDefault="000D2D85">
            <w:pPr>
              <w:pStyle w:val="P68B1DB1-Normal15"/>
              <w:spacing w:after="0"/>
              <w:rPr>
                <w:noProof/>
              </w:rPr>
            </w:pPr>
            <w:r>
              <w:rPr>
                <w:noProof/>
              </w:rPr>
              <w:t>Ce rapport examine la contribution des projets achevés et en cours au titre des appels aux objectifs du volet 9.</w:t>
            </w:r>
          </w:p>
        </w:tc>
      </w:tr>
      <w:tr w:rsidR="003B5F50" w14:paraId="50B4B292" w14:textId="77777777">
        <w:trPr>
          <w:trHeight w:val="75"/>
        </w:trPr>
        <w:tc>
          <w:tcPr>
            <w:tcW w:w="335" w:type="pct"/>
            <w:shd w:val="clear" w:color="auto" w:fill="C6EFCE"/>
          </w:tcPr>
          <w:p w14:paraId="50B4B282" w14:textId="77777777" w:rsidR="003B5F50" w:rsidRDefault="000D2D85">
            <w:pPr>
              <w:pStyle w:val="P68B1DB1-Normal14"/>
              <w:jc w:val="center"/>
              <w:rPr>
                <w:noProof/>
                <w:szCs w:val="20"/>
              </w:rPr>
            </w:pPr>
            <w:r>
              <w:rPr>
                <w:noProof/>
              </w:rPr>
              <w:t>18</w:t>
            </w:r>
          </w:p>
        </w:tc>
        <w:tc>
          <w:tcPr>
            <w:tcW w:w="504" w:type="pct"/>
            <w:shd w:val="clear" w:color="auto" w:fill="C6EFCE"/>
          </w:tcPr>
          <w:p w14:paraId="50B4B283" w14:textId="4E5C3A3D" w:rsidR="003B5F50" w:rsidRDefault="000D2D85">
            <w:pPr>
              <w:pStyle w:val="P68B1DB1-Normal14"/>
              <w:spacing w:after="0"/>
              <w:rPr>
                <w:noProof/>
                <w:szCs w:val="20"/>
              </w:rPr>
            </w:pPr>
            <w:r>
              <w:rPr>
                <w:noProof/>
              </w:rPr>
              <w:t>9 – Gouvernance plus efficace et renforcement du financement de la RDI – Investissement 6: Instruments financiers pour soutenir l'innovation</w:t>
            </w:r>
          </w:p>
        </w:tc>
        <w:tc>
          <w:tcPr>
            <w:tcW w:w="650" w:type="pct"/>
            <w:shd w:val="clear" w:color="auto" w:fill="C6EFCE"/>
          </w:tcPr>
          <w:p w14:paraId="50B4B284" w14:textId="77777777" w:rsidR="003B5F50" w:rsidRDefault="000D2D85">
            <w:pPr>
              <w:pStyle w:val="P68B1DB1-Normal14"/>
              <w:rPr>
                <w:noProof/>
                <w:szCs w:val="20"/>
              </w:rPr>
            </w:pPr>
            <w:r>
              <w:rPr>
                <w:noProof/>
              </w:rPr>
              <w:t>Étape</w:t>
            </w:r>
          </w:p>
        </w:tc>
        <w:tc>
          <w:tcPr>
            <w:tcW w:w="573" w:type="pct"/>
            <w:shd w:val="clear" w:color="auto" w:fill="C6EFCE"/>
          </w:tcPr>
          <w:p w14:paraId="50B4B285" w14:textId="77777777" w:rsidR="003B5F50" w:rsidRDefault="000D2D85">
            <w:pPr>
              <w:pStyle w:val="P68B1DB1-Normal14"/>
              <w:rPr>
                <w:noProof/>
                <w:szCs w:val="20"/>
              </w:rPr>
            </w:pPr>
            <w:r>
              <w:rPr>
                <w:noProof/>
              </w:rPr>
              <w:t>Lancement et mise en œuvre d'instruments financiers pour soutenir l'innovation</w:t>
            </w:r>
          </w:p>
        </w:tc>
        <w:tc>
          <w:tcPr>
            <w:tcW w:w="495" w:type="pct"/>
            <w:shd w:val="clear" w:color="auto" w:fill="C6EFCE"/>
          </w:tcPr>
          <w:p w14:paraId="50B4B286" w14:textId="77777777" w:rsidR="003B5F50" w:rsidRDefault="000D2D85">
            <w:pPr>
              <w:pStyle w:val="P68B1DB1-Normal14"/>
              <w:rPr>
                <w:noProof/>
                <w:szCs w:val="20"/>
              </w:rPr>
            </w:pPr>
            <w:r>
              <w:rPr>
                <w:noProof/>
              </w:rPr>
              <w:t xml:space="preserve">Lancement de la phase d’investissement des instruments financiers visant à soutenir l’innovation conformément à la stratégie d’investissement </w:t>
            </w:r>
          </w:p>
        </w:tc>
        <w:tc>
          <w:tcPr>
            <w:tcW w:w="431" w:type="pct"/>
            <w:shd w:val="clear" w:color="auto" w:fill="C6EFCE"/>
          </w:tcPr>
          <w:p w14:paraId="50B4B287" w14:textId="77777777" w:rsidR="003B5F50" w:rsidRDefault="000D2D85">
            <w:pPr>
              <w:pStyle w:val="P68B1DB1-Normal14"/>
              <w:rPr>
                <w:noProof/>
                <w:szCs w:val="20"/>
              </w:rPr>
            </w:pPr>
            <w:r>
              <w:rPr>
                <w:noProof/>
              </w:rPr>
              <w:t xml:space="preserve"> </w:t>
            </w:r>
          </w:p>
        </w:tc>
        <w:tc>
          <w:tcPr>
            <w:tcW w:w="358" w:type="pct"/>
            <w:shd w:val="clear" w:color="auto" w:fill="C6EFCE"/>
          </w:tcPr>
          <w:p w14:paraId="50B4B288" w14:textId="77777777" w:rsidR="003B5F50" w:rsidRDefault="000D2D85">
            <w:pPr>
              <w:pStyle w:val="P68B1DB1-Normal14"/>
              <w:rPr>
                <w:noProof/>
                <w:szCs w:val="20"/>
              </w:rPr>
            </w:pPr>
            <w:r>
              <w:rPr>
                <w:noProof/>
              </w:rPr>
              <w:t xml:space="preserve"> </w:t>
            </w:r>
          </w:p>
        </w:tc>
        <w:tc>
          <w:tcPr>
            <w:tcW w:w="243" w:type="pct"/>
            <w:shd w:val="clear" w:color="auto" w:fill="C6EFCE"/>
          </w:tcPr>
          <w:p w14:paraId="50B4B289" w14:textId="77777777" w:rsidR="003B5F50" w:rsidRDefault="000D2D85">
            <w:pPr>
              <w:pStyle w:val="P68B1DB1-Normal14"/>
              <w:jc w:val="center"/>
              <w:rPr>
                <w:noProof/>
                <w:szCs w:val="20"/>
              </w:rPr>
            </w:pPr>
            <w:r>
              <w:rPr>
                <w:noProof/>
              </w:rPr>
              <w:t>2</w:t>
            </w:r>
          </w:p>
        </w:tc>
        <w:tc>
          <w:tcPr>
            <w:tcW w:w="354" w:type="pct"/>
            <w:shd w:val="clear" w:color="auto" w:fill="C6EFCE"/>
          </w:tcPr>
          <w:p w14:paraId="50B4B28A" w14:textId="77777777" w:rsidR="003B5F50" w:rsidRDefault="000D2D85">
            <w:pPr>
              <w:pStyle w:val="P68B1DB1-Normal14"/>
              <w:jc w:val="center"/>
              <w:rPr>
                <w:noProof/>
                <w:szCs w:val="20"/>
              </w:rPr>
            </w:pPr>
            <w:r>
              <w:rPr>
                <w:noProof/>
              </w:rPr>
              <w:t>T4</w:t>
            </w:r>
          </w:p>
        </w:tc>
        <w:tc>
          <w:tcPr>
            <w:tcW w:w="246" w:type="pct"/>
            <w:shd w:val="clear" w:color="auto" w:fill="C6EFCE"/>
          </w:tcPr>
          <w:p w14:paraId="50B4B28B" w14:textId="77777777" w:rsidR="003B5F50" w:rsidRDefault="000D2D85">
            <w:pPr>
              <w:pStyle w:val="P68B1DB1-Normal14"/>
              <w:jc w:val="center"/>
              <w:rPr>
                <w:noProof/>
                <w:szCs w:val="20"/>
              </w:rPr>
            </w:pPr>
            <w:r>
              <w:rPr>
                <w:noProof/>
              </w:rPr>
              <w:t>2023</w:t>
            </w:r>
          </w:p>
        </w:tc>
        <w:tc>
          <w:tcPr>
            <w:tcW w:w="811" w:type="pct"/>
            <w:shd w:val="clear" w:color="auto" w:fill="C6EFCE"/>
          </w:tcPr>
          <w:p w14:paraId="50B4B28C" w14:textId="17AC30AD" w:rsidR="003B5F50" w:rsidRDefault="000D2D85">
            <w:pPr>
              <w:pStyle w:val="P68B1DB1-Normal14"/>
              <w:spacing w:after="0"/>
              <w:rPr>
                <w:noProof/>
                <w:szCs w:val="20"/>
              </w:rPr>
            </w:pPr>
            <w:r>
              <w:rPr>
                <w:noProof/>
              </w:rPr>
              <w:t xml:space="preserve">Au moins deux instruments financiers sont lancés au cours de la phase d’investissement conformément à une stratégie d’investissement/à un accord contractuel, qui sont conformes aux principes des orientations techniques «Ne pas causer de préjudice important» (2021/C58/01) exigeant des critères d’exclusion de l’investissement et le respect de la législation environnementale pertinente de l’UE et nationale. </w:t>
            </w:r>
          </w:p>
          <w:p w14:paraId="50B4B28D" w14:textId="77777777" w:rsidR="003B5F50" w:rsidRDefault="000D2D85">
            <w:pPr>
              <w:pStyle w:val="P68B1DB1-Normal14"/>
              <w:spacing w:after="0"/>
              <w:rPr>
                <w:noProof/>
                <w:szCs w:val="20"/>
              </w:rPr>
            </w:pPr>
            <w:r>
              <w:rPr>
                <w:noProof/>
              </w:rPr>
              <w:t>Les aspects DNSH sont dûment pris en compte dans l’accord contractuel entre les autorités slovaques et les partenaires chargés de la mise en œuvre/intermédiaires financiers.</w:t>
            </w:r>
          </w:p>
          <w:p w14:paraId="50B4B28E" w14:textId="77777777" w:rsidR="003B5F50" w:rsidRDefault="000D2D85">
            <w:pPr>
              <w:pStyle w:val="P68B1DB1-Normal14"/>
              <w:spacing w:after="0"/>
              <w:rPr>
                <w:noProof/>
                <w:szCs w:val="20"/>
              </w:rPr>
            </w:pPr>
            <w:r>
              <w:rPr>
                <w:noProof/>
              </w:rPr>
              <w:t xml:space="preserve">Les instruments financiers soutiennent l'innovation dans les entreprises et comprennent les régimes suivants: </w:t>
            </w:r>
          </w:p>
          <w:p w14:paraId="50B4B28F" w14:textId="77777777" w:rsidR="003B5F50" w:rsidRDefault="000D2D85">
            <w:pPr>
              <w:pStyle w:val="P68B1DB1-Normal14"/>
              <w:spacing w:after="0"/>
              <w:rPr>
                <w:noProof/>
                <w:szCs w:val="20"/>
              </w:rPr>
            </w:pPr>
            <w:r>
              <w:rPr>
                <w:noProof/>
              </w:rPr>
              <w:t xml:space="preserve">• Apport de capital au début du cycle de vie de l’entreprise </w:t>
            </w:r>
          </w:p>
          <w:p w14:paraId="50B4B290" w14:textId="77777777" w:rsidR="003B5F50" w:rsidRDefault="000D2D85">
            <w:pPr>
              <w:pStyle w:val="P68B1DB1-Normal14"/>
              <w:spacing w:after="0"/>
              <w:rPr>
                <w:noProof/>
                <w:szCs w:val="20"/>
              </w:rPr>
            </w:pPr>
            <w:r>
              <w:rPr>
                <w:noProof/>
              </w:rPr>
              <w:t>• Apport de capitaux aux entreprises en phase de croissance</w:t>
            </w:r>
          </w:p>
          <w:p w14:paraId="50B4B291" w14:textId="77777777" w:rsidR="003B5F50" w:rsidRDefault="003B5F50">
            <w:pPr>
              <w:spacing w:after="0"/>
              <w:rPr>
                <w:rFonts w:ascii="Times New Roman" w:hAnsi="Times New Roman"/>
                <w:noProof/>
                <w:sz w:val="20"/>
                <w:szCs w:val="20"/>
              </w:rPr>
            </w:pPr>
          </w:p>
        </w:tc>
      </w:tr>
      <w:tr w:rsidR="003B5F50" w14:paraId="50B4B2A0" w14:textId="77777777">
        <w:trPr>
          <w:trHeight w:val="75"/>
        </w:trPr>
        <w:tc>
          <w:tcPr>
            <w:tcW w:w="335" w:type="pct"/>
            <w:shd w:val="clear" w:color="auto" w:fill="C6EFCE"/>
          </w:tcPr>
          <w:p w14:paraId="50B4B293" w14:textId="77777777" w:rsidR="003B5F50" w:rsidRDefault="000D2D85">
            <w:pPr>
              <w:pStyle w:val="P68B1DB1-Normal14"/>
              <w:jc w:val="center"/>
              <w:rPr>
                <w:noProof/>
                <w:szCs w:val="20"/>
              </w:rPr>
            </w:pPr>
            <w:r>
              <w:rPr>
                <w:noProof/>
              </w:rPr>
              <w:t>19</w:t>
            </w:r>
          </w:p>
        </w:tc>
        <w:tc>
          <w:tcPr>
            <w:tcW w:w="504" w:type="pct"/>
            <w:shd w:val="clear" w:color="auto" w:fill="C6EFCE"/>
          </w:tcPr>
          <w:p w14:paraId="50B4B294" w14:textId="3C183414" w:rsidR="003B5F50" w:rsidRDefault="000D2D85">
            <w:pPr>
              <w:pStyle w:val="P68B1DB1-Normal14"/>
              <w:spacing w:after="0"/>
              <w:rPr>
                <w:noProof/>
                <w:szCs w:val="20"/>
              </w:rPr>
            </w:pPr>
            <w:r>
              <w:rPr>
                <w:noProof/>
              </w:rPr>
              <w:t>9 – Gouvernance plus efficace et renforcement du financement de la RDI – Investissement 6: Instruments financiers pour soutenir l'innovation</w:t>
            </w:r>
          </w:p>
        </w:tc>
        <w:tc>
          <w:tcPr>
            <w:tcW w:w="650" w:type="pct"/>
            <w:shd w:val="clear" w:color="auto" w:fill="C6EFCE"/>
          </w:tcPr>
          <w:p w14:paraId="50B4B295" w14:textId="77777777" w:rsidR="003B5F50" w:rsidRDefault="000D2D85">
            <w:pPr>
              <w:pStyle w:val="P68B1DB1-Normal14"/>
              <w:rPr>
                <w:noProof/>
                <w:szCs w:val="20"/>
              </w:rPr>
            </w:pPr>
            <w:r>
              <w:rPr>
                <w:noProof/>
              </w:rPr>
              <w:t>Objectif</w:t>
            </w:r>
          </w:p>
        </w:tc>
        <w:tc>
          <w:tcPr>
            <w:tcW w:w="573" w:type="pct"/>
            <w:shd w:val="clear" w:color="auto" w:fill="C6EFCE"/>
          </w:tcPr>
          <w:p w14:paraId="50B4B296" w14:textId="77777777" w:rsidR="003B5F50" w:rsidRDefault="000D2D85">
            <w:pPr>
              <w:pStyle w:val="P68B1DB1-Normal14"/>
              <w:rPr>
                <w:noProof/>
                <w:szCs w:val="20"/>
              </w:rPr>
            </w:pPr>
            <w:r>
              <w:rPr>
                <w:noProof/>
              </w:rPr>
              <w:t xml:space="preserve">Nombre d’entreprises bénéficiant d’un soutien au moyen d’instruments financiers </w:t>
            </w:r>
          </w:p>
        </w:tc>
        <w:tc>
          <w:tcPr>
            <w:tcW w:w="495" w:type="pct"/>
            <w:shd w:val="clear" w:color="auto" w:fill="C6EFCE"/>
          </w:tcPr>
          <w:p w14:paraId="50B4B297" w14:textId="250B73DC" w:rsidR="003B5F50" w:rsidRDefault="000D2D85">
            <w:pPr>
              <w:pStyle w:val="P68B1DB1-Normal14"/>
              <w:rPr>
                <w:noProof/>
                <w:szCs w:val="20"/>
              </w:rPr>
            </w:pPr>
            <w:r>
              <w:rPr>
                <w:noProof/>
              </w:rPr>
              <w:t xml:space="preserve"> </w:t>
            </w:r>
          </w:p>
        </w:tc>
        <w:tc>
          <w:tcPr>
            <w:tcW w:w="431" w:type="pct"/>
            <w:shd w:val="clear" w:color="auto" w:fill="C6EFCE"/>
          </w:tcPr>
          <w:p w14:paraId="50B4B298" w14:textId="77777777" w:rsidR="003B5F50" w:rsidRDefault="000D2D85">
            <w:pPr>
              <w:pStyle w:val="P68B1DB1-Normal14"/>
              <w:rPr>
                <w:noProof/>
                <w:szCs w:val="20"/>
              </w:rPr>
            </w:pPr>
            <w:r>
              <w:rPr>
                <w:noProof/>
              </w:rPr>
              <w:t>Nombre d'entreprises</w:t>
            </w:r>
          </w:p>
        </w:tc>
        <w:tc>
          <w:tcPr>
            <w:tcW w:w="358" w:type="pct"/>
            <w:shd w:val="clear" w:color="auto" w:fill="C6EFCE"/>
          </w:tcPr>
          <w:p w14:paraId="50B4B299" w14:textId="77777777" w:rsidR="003B5F50" w:rsidRDefault="000D2D85">
            <w:pPr>
              <w:pStyle w:val="P68B1DB1-Normal14"/>
              <w:jc w:val="center"/>
              <w:rPr>
                <w:noProof/>
                <w:szCs w:val="20"/>
              </w:rPr>
            </w:pPr>
            <w:r>
              <w:rPr>
                <w:noProof/>
              </w:rPr>
              <w:t>0</w:t>
            </w:r>
          </w:p>
        </w:tc>
        <w:tc>
          <w:tcPr>
            <w:tcW w:w="243" w:type="pct"/>
            <w:shd w:val="clear" w:color="auto" w:fill="C6EFCE"/>
          </w:tcPr>
          <w:p w14:paraId="50B4B29A" w14:textId="77777777" w:rsidR="003B5F50" w:rsidRDefault="000D2D85">
            <w:pPr>
              <w:pStyle w:val="P68B1DB1-Normal14"/>
              <w:jc w:val="center"/>
              <w:rPr>
                <w:noProof/>
                <w:szCs w:val="20"/>
              </w:rPr>
            </w:pPr>
            <w:r>
              <w:rPr>
                <w:noProof/>
              </w:rPr>
              <w:t>36</w:t>
            </w:r>
          </w:p>
          <w:p w14:paraId="50B4B29B" w14:textId="77777777" w:rsidR="003B5F50" w:rsidRDefault="003B5F50">
            <w:pPr>
              <w:jc w:val="right"/>
              <w:rPr>
                <w:rFonts w:ascii="Times New Roman" w:hAnsi="Times New Roman"/>
                <w:noProof/>
                <w:sz w:val="20"/>
                <w:szCs w:val="20"/>
              </w:rPr>
            </w:pPr>
          </w:p>
        </w:tc>
        <w:tc>
          <w:tcPr>
            <w:tcW w:w="354" w:type="pct"/>
            <w:shd w:val="clear" w:color="auto" w:fill="C6EFCE"/>
          </w:tcPr>
          <w:p w14:paraId="50B4B29C" w14:textId="77777777" w:rsidR="003B5F50" w:rsidRDefault="000D2D85">
            <w:pPr>
              <w:pStyle w:val="P68B1DB1-Normal14"/>
              <w:jc w:val="center"/>
              <w:rPr>
                <w:noProof/>
                <w:szCs w:val="20"/>
              </w:rPr>
            </w:pPr>
            <w:r>
              <w:rPr>
                <w:noProof/>
              </w:rPr>
              <w:t>T2</w:t>
            </w:r>
          </w:p>
        </w:tc>
        <w:tc>
          <w:tcPr>
            <w:tcW w:w="246" w:type="pct"/>
            <w:shd w:val="clear" w:color="auto" w:fill="C6EFCE"/>
          </w:tcPr>
          <w:p w14:paraId="50B4B29D" w14:textId="77777777" w:rsidR="003B5F50" w:rsidRDefault="000D2D85">
            <w:pPr>
              <w:pStyle w:val="P68B1DB1-Normal14"/>
              <w:jc w:val="center"/>
              <w:rPr>
                <w:noProof/>
                <w:szCs w:val="20"/>
              </w:rPr>
            </w:pPr>
            <w:r>
              <w:rPr>
                <w:noProof/>
              </w:rPr>
              <w:t>2026</w:t>
            </w:r>
          </w:p>
        </w:tc>
        <w:tc>
          <w:tcPr>
            <w:tcW w:w="811" w:type="pct"/>
            <w:shd w:val="clear" w:color="auto" w:fill="C6EFCE"/>
          </w:tcPr>
          <w:p w14:paraId="50B4B29E" w14:textId="3FF47D87" w:rsidR="003B5F50" w:rsidRDefault="000D2D85">
            <w:pPr>
              <w:pStyle w:val="P68B1DB1-Normal15"/>
              <w:spacing w:after="0"/>
              <w:rPr>
                <w:noProof/>
              </w:rPr>
            </w:pPr>
            <w:r>
              <w:rPr>
                <w:noProof/>
              </w:rPr>
              <w:t>Sur l’objectif global consistant à soutenir 40 entreprises, au moins 36 sont soutenues par des instruments financiers sous la forme d’apports de capitaux.</w:t>
            </w:r>
          </w:p>
          <w:p w14:paraId="50B4B29F" w14:textId="77777777" w:rsidR="003B5F50" w:rsidRDefault="003B5F50">
            <w:pPr>
              <w:spacing w:after="0"/>
              <w:rPr>
                <w:rFonts w:ascii="Times New Roman" w:hAnsi="Times New Roman"/>
                <w:noProof/>
                <w:color w:val="006100"/>
                <w:sz w:val="20"/>
                <w:szCs w:val="20"/>
              </w:rPr>
            </w:pPr>
          </w:p>
        </w:tc>
      </w:tr>
    </w:tbl>
    <w:p w14:paraId="50B4B2A1" w14:textId="77777777" w:rsidR="003B5F50" w:rsidRDefault="003B5F50">
      <w:pPr>
        <w:rPr>
          <w:noProof/>
        </w:rPr>
      </w:pPr>
    </w:p>
    <w:p w14:paraId="50B4B2A2" w14:textId="77777777" w:rsidR="003B5F50" w:rsidRDefault="003B5F50">
      <w:pPr>
        <w:rPr>
          <w:noProof/>
        </w:rPr>
      </w:pPr>
    </w:p>
    <w:p w14:paraId="50B4B2A3" w14:textId="77777777" w:rsidR="003B5F50" w:rsidRDefault="003B5F50">
      <w:pPr>
        <w:pStyle w:val="Heading2"/>
        <w:ind w:left="130" w:firstLine="720"/>
        <w:rPr>
          <w:rFonts w:ascii="Times New Roman" w:hAnsi="Times New Roman" w:cs="Times New Roman"/>
          <w:b/>
          <w:bCs/>
          <w:noProof/>
          <w:sz w:val="24"/>
          <w:szCs w:val="24"/>
        </w:rPr>
        <w:sectPr w:rsidR="003B5F50" w:rsidSect="003E3DD3">
          <w:headerReference w:type="even" r:id="rId119"/>
          <w:headerReference w:type="default" r:id="rId120"/>
          <w:footerReference w:type="even" r:id="rId121"/>
          <w:footerReference w:type="default" r:id="rId122"/>
          <w:headerReference w:type="first" r:id="rId123"/>
          <w:footerReference w:type="first" r:id="rId124"/>
          <w:pgSz w:w="15840" w:h="12240" w:orient="landscape"/>
          <w:pgMar w:top="1134" w:right="1134" w:bottom="1134" w:left="1134" w:header="567" w:footer="567" w:gutter="0"/>
          <w:cols w:space="720"/>
          <w:docGrid w:linePitch="360"/>
        </w:sectPr>
      </w:pPr>
    </w:p>
    <w:p w14:paraId="50B4B2A4" w14:textId="77777777" w:rsidR="003B5F50" w:rsidRDefault="000D2D85">
      <w:pPr>
        <w:pStyle w:val="P68B1DB1-Heading218"/>
        <w:rPr>
          <w:bCs/>
          <w:noProof/>
        </w:rPr>
      </w:pPr>
      <w:r>
        <w:rPr>
          <w:noProof/>
        </w:rPr>
        <w:t>Élément 10: Attirer et retenir les talents</w:t>
      </w:r>
    </w:p>
    <w:p w14:paraId="50B4B2A5" w14:textId="77777777" w:rsidR="003B5F50" w:rsidRDefault="000D2D85">
      <w:pPr>
        <w:pStyle w:val="NormalWeb"/>
        <w:rPr>
          <w:noProof/>
        </w:rPr>
      </w:pPr>
      <w:r>
        <w:rPr>
          <w:noProof/>
        </w:rPr>
        <w:t>L’objectif de ce volet du plan slovaque pour la reprise et la résilience est d’élaborer des politiques efficaces visant à promouvoir la mobilité des étudiants et de la main-d’œuvre, à motiver activement des experts étrangers hautement qualifiés (y compris des ressortissants slovaques), des étudiants et des entrepreneurs à s’établir en Slovaquie. L’objectif de ces mesures est la nécessité d’attirer et de conserver le capital humain essentiel au développement économique de la Slovaquie. L’ambition des autorités est d’augmenter, sur un horizon de cinq ans, la proportion de ressortissants étrangers hautement qualifiés dans la main-d’œuvre de 0,5 % à 1 % et de stabiliser le solde des étudiants sortants et entrants dans les établissements d’enseignement supérieur slovaques.</w:t>
      </w:r>
    </w:p>
    <w:p w14:paraId="50B4B2A6" w14:textId="5AA64A8C" w:rsidR="003B5F50" w:rsidRDefault="000D2D85">
      <w:pPr>
        <w:pStyle w:val="NormalWeb"/>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B2A7" w14:textId="77777777" w:rsidR="003B5F50" w:rsidRDefault="000D2D85">
      <w:pPr>
        <w:pStyle w:val="NormalWeb"/>
        <w:rPr>
          <w:noProof/>
        </w:rPr>
      </w:pPr>
      <w:r>
        <w:rPr>
          <w:noProof/>
        </w:rPr>
        <w:t xml:space="preserve">Les mesures relevant de ce volet contribuent à donner suite aux recommandations par pays adressées à la Slovaquie, en particulier en ce qui concerne «l’amélioration de la qualité et de l’inclusivité de l’éducation à tous les niveaux et la promotion des compétences» et «la promotion de l’intégration des groupes défavorisés» (recommandation par pays no 2, 2019), ainsi que la «résilience du système de santé dans les domaines du personnel de santé» (recommandation par pays no 1, 2020). </w:t>
      </w:r>
    </w:p>
    <w:p w14:paraId="50B4B2A8" w14:textId="77777777" w:rsidR="003B5F50" w:rsidRDefault="003B5F50">
      <w:pPr>
        <w:spacing w:before="120" w:after="120" w:line="240" w:lineRule="auto"/>
        <w:ind w:left="850"/>
        <w:jc w:val="both"/>
        <w:rPr>
          <w:rFonts w:ascii="Times New Roman" w:hAnsi="Times New Roman"/>
          <w:noProof/>
        </w:rPr>
      </w:pPr>
    </w:p>
    <w:p w14:paraId="50B4B2A9" w14:textId="77777777" w:rsidR="003B5F50" w:rsidRDefault="000D2D85">
      <w:pPr>
        <w:spacing w:before="120" w:after="120" w:line="240" w:lineRule="auto"/>
        <w:jc w:val="both"/>
        <w:rPr>
          <w:rFonts w:ascii="Times New Roman" w:hAnsi="Times New Roman"/>
          <w:b/>
          <w:i/>
          <w:noProof/>
          <w:color w:val="4F81BD"/>
        </w:rPr>
      </w:pPr>
      <w:r>
        <w:rPr>
          <w:rFonts w:ascii="Times New Roman" w:hAnsi="Times New Roman"/>
          <w:b/>
          <w:noProof/>
          <w:u w:val="single"/>
        </w:rPr>
        <w:t xml:space="preserve">A.1. </w:t>
      </w:r>
      <w:r>
        <w:rPr>
          <w:noProof/>
        </w:rPr>
        <w:t xml:space="preserve"> </w:t>
      </w:r>
      <w:r>
        <w:rPr>
          <w:rFonts w:ascii="Times New Roman" w:hAnsi="Times New Roman"/>
          <w:b/>
          <w:noProof/>
          <w:u w:val="single"/>
        </w:rPr>
        <w:t>Description des réformes et des investissements pour le soutien financier non remboursable</w:t>
      </w:r>
    </w:p>
    <w:p w14:paraId="50B4B2AA" w14:textId="77777777" w:rsidR="003B5F50" w:rsidRDefault="000D2D85">
      <w:pPr>
        <w:pStyle w:val="P68B1DB1-Normal19"/>
        <w:spacing w:before="120" w:after="120" w:line="240" w:lineRule="auto"/>
        <w:jc w:val="both"/>
        <w:rPr>
          <w:noProof/>
        </w:rPr>
      </w:pPr>
      <w:r>
        <w:rPr>
          <w:noProof/>
        </w:rPr>
        <w:t>Réforme 1: Réforme de la législation en matière de résidence et de travail</w:t>
      </w:r>
    </w:p>
    <w:p w14:paraId="50B4B2AB" w14:textId="77777777" w:rsidR="003B5F50" w:rsidRDefault="000D2D85">
      <w:pPr>
        <w:pStyle w:val="NormalWeb"/>
        <w:rPr>
          <w:noProof/>
        </w:rPr>
      </w:pPr>
      <w:r>
        <w:rPr>
          <w:noProof/>
        </w:rPr>
        <w:t xml:space="preserve">En Slovaquie, les procédures applicables en matière de permis de travail et de séjour sont généralement exigeantes tant pour le travailleur que pour l'entreprise et ont tendance à être longues. L’objectif de cette réforme est de raccourcir et de simplifier considérablement ces procédures pour les ressortissants de pays tiers hautement qualifiés, y compris les membres de leur famille. </w:t>
      </w:r>
    </w:p>
    <w:p w14:paraId="50B4B2AC" w14:textId="77777777" w:rsidR="003B5F50" w:rsidRDefault="000D2D85">
      <w:pPr>
        <w:pStyle w:val="NormalWeb"/>
        <w:rPr>
          <w:noProof/>
        </w:rPr>
      </w:pPr>
      <w:r>
        <w:rPr>
          <w:noProof/>
        </w:rPr>
        <w:t xml:space="preserve">La réforme utilise le système accéléré existant de visa national (D) dans l'intérêt du pays, en l'ouvrant à une nouvelle catégorie de ressortissants de pays tiers hautement qualifiés à la recherche d'un emploi. Cette catégorie de travailleurs est exemptée de la nécessité de prouver qu'ils ont un emploi garanti avant d'entrer dans le pays et est autorisée à commencer à travailler avec un visa national (D) immédiatement après avoir trouvé un emploi. La compatibilité avec la révision de la directive «carte bleue» est assurée. </w:t>
      </w:r>
    </w:p>
    <w:p w14:paraId="50B4B2AD" w14:textId="77777777" w:rsidR="003B5F50" w:rsidRDefault="000D2D85">
      <w:pPr>
        <w:pStyle w:val="NormalWeb"/>
        <w:rPr>
          <w:noProof/>
        </w:rPr>
      </w:pPr>
      <w:r>
        <w:rPr>
          <w:noProof/>
        </w:rPr>
        <w:t>La mise en œuvre de la réforme est achevée au plus tard le 31 mars 2022.</w:t>
      </w:r>
    </w:p>
    <w:p w14:paraId="50B4B2AE" w14:textId="77777777" w:rsidR="003B5F50" w:rsidRDefault="000D2D85">
      <w:pPr>
        <w:pStyle w:val="P68B1DB1-Normal19"/>
        <w:spacing w:before="240" w:after="120" w:line="240" w:lineRule="auto"/>
        <w:jc w:val="both"/>
        <w:rPr>
          <w:noProof/>
        </w:rPr>
      </w:pPr>
      <w:r>
        <w:rPr>
          <w:noProof/>
        </w:rPr>
        <w:t>Réforme 2: Simplification du régime de reconnaissance des qualifications et des qualifications professionnelles pour l'exercice de professions réglementées</w:t>
      </w:r>
    </w:p>
    <w:p w14:paraId="50B4B2AF" w14:textId="77777777" w:rsidR="003B5F50" w:rsidRDefault="000D2D85">
      <w:pPr>
        <w:pStyle w:val="NormalWeb"/>
        <w:rPr>
          <w:noProof/>
        </w:rPr>
      </w:pPr>
      <w:r>
        <w:rPr>
          <w:noProof/>
        </w:rPr>
        <w:t xml:space="preserve">Cette réforme simplifiera la reconnaissance des diplômes par les travailleurs étrangers, afin de faciliter leur établissement en Slovaquie. </w:t>
      </w:r>
    </w:p>
    <w:p w14:paraId="50B4B2B0" w14:textId="77777777" w:rsidR="003B5F50" w:rsidRDefault="000D2D85">
      <w:pPr>
        <w:pStyle w:val="NormalWeb"/>
        <w:rPr>
          <w:noProof/>
        </w:rPr>
      </w:pPr>
      <w:r>
        <w:rPr>
          <w:noProof/>
        </w:rPr>
        <w:t>Pour les pays ayant conclu un accord bilatéral de reconnaissance des qualifications, les candidats sont dispensés de fournir une attestation d’accréditation de l’université pour dispenser l’enseignement concerné. En outre, la capacité du Centre pour la reconnaissance de la reconnaissance de l'éducation sera renforcée afin d'accélérer le processus de reconnaissance des qualifications pour tous les pays.</w:t>
      </w:r>
    </w:p>
    <w:p w14:paraId="50B4B2B1" w14:textId="77777777" w:rsidR="003B5F50" w:rsidRDefault="000D2D85">
      <w:pPr>
        <w:pStyle w:val="NormalWeb"/>
        <w:rPr>
          <w:noProof/>
        </w:rPr>
      </w:pPr>
      <w:r>
        <w:rPr>
          <w:noProof/>
        </w:rPr>
        <w:t>En ce qui concerne les qualifications des médecins, la réforme:</w:t>
      </w:r>
    </w:p>
    <w:p w14:paraId="50B4B2B2" w14:textId="77777777" w:rsidR="003B5F50" w:rsidRDefault="000D2D85">
      <w:pPr>
        <w:pStyle w:val="NormalWeb"/>
        <w:numPr>
          <w:ilvl w:val="0"/>
          <w:numId w:val="35"/>
        </w:numPr>
        <w:ind w:left="360"/>
        <w:rPr>
          <w:noProof/>
        </w:rPr>
      </w:pPr>
      <w:r>
        <w:rPr>
          <w:noProof/>
        </w:rPr>
        <w:t>réduire de trois mois à un mois les délais de reconnaissance des diplômes énumérés à l’annexe 3 de la loi sur les prestataires de soins de santé. la reconnaissance automatique des spécialisations coordonnées au niveau de l’UE des médecins et des dentistes;</w:t>
      </w:r>
    </w:p>
    <w:p w14:paraId="50B4B2B3" w14:textId="77777777" w:rsidR="003B5F50" w:rsidRDefault="000D2D85">
      <w:pPr>
        <w:pStyle w:val="NormalWeb"/>
        <w:numPr>
          <w:ilvl w:val="0"/>
          <w:numId w:val="35"/>
        </w:numPr>
        <w:ind w:left="360"/>
        <w:rPr>
          <w:noProof/>
        </w:rPr>
      </w:pPr>
      <w:r>
        <w:rPr>
          <w:noProof/>
        </w:rPr>
        <w:t>réduire de trois à deux mois les délais de reconnaissance des diplômes non énumérés à l'annexe 3 de la loi sur les prestataires de soins de santé délivrés par les autorités compétentes en vertu de la législation des États membres;</w:t>
      </w:r>
    </w:p>
    <w:p w14:paraId="50B4B2B4" w14:textId="77777777" w:rsidR="003B5F50" w:rsidRDefault="000D2D85">
      <w:pPr>
        <w:pStyle w:val="NormalWeb"/>
        <w:numPr>
          <w:ilvl w:val="0"/>
          <w:numId w:val="35"/>
        </w:numPr>
        <w:ind w:left="360"/>
        <w:rPr>
          <w:noProof/>
        </w:rPr>
      </w:pPr>
      <w:r>
        <w:rPr>
          <w:noProof/>
        </w:rPr>
        <w:t>réduire de trois à deux mois les délais de reconnaissance des diplômes délivrés par les autorités compétentes en vertu de la législation des pays tiers. a) Ajuster de quatre à deux mois les délais de reconnaissance des diplômes délivrés dans un autre pays;</w:t>
      </w:r>
    </w:p>
    <w:p w14:paraId="50B4B2B5" w14:textId="77777777" w:rsidR="003B5F50" w:rsidRDefault="000D2D85">
      <w:pPr>
        <w:pStyle w:val="NormalWeb"/>
        <w:numPr>
          <w:ilvl w:val="0"/>
          <w:numId w:val="35"/>
        </w:numPr>
        <w:ind w:left="360"/>
        <w:rPr>
          <w:noProof/>
        </w:rPr>
      </w:pPr>
      <w:r>
        <w:rPr>
          <w:noProof/>
        </w:rPr>
        <w:t>prolonger l’institution de stages temporaires au-delà de la période de crise actuelle, en modifiant l’article 30 bis de la loi sur les prestataires de soins de santé.</w:t>
      </w:r>
    </w:p>
    <w:p w14:paraId="50B4B2B6" w14:textId="77777777" w:rsidR="003B5F50" w:rsidRDefault="000D2D85">
      <w:pPr>
        <w:pStyle w:val="NormalWeb"/>
        <w:rPr>
          <w:noProof/>
        </w:rPr>
      </w:pPr>
      <w:r>
        <w:rPr>
          <w:noProof/>
        </w:rPr>
        <w:t>La mise en œuvre de la réforme est achevée au plus tard le 31 mars 2022.</w:t>
      </w:r>
    </w:p>
    <w:p w14:paraId="50B4B2B7" w14:textId="77777777" w:rsidR="003B5F50" w:rsidRDefault="000D2D85">
      <w:pPr>
        <w:pStyle w:val="P68B1DB1-Normal19"/>
        <w:spacing w:before="240" w:after="120" w:line="240" w:lineRule="auto"/>
        <w:jc w:val="both"/>
        <w:rPr>
          <w:noProof/>
        </w:rPr>
      </w:pPr>
      <w:r>
        <w:rPr>
          <w:noProof/>
        </w:rPr>
        <w:t>Investissement 1: Outils de soutien et d'assistance pour des groupes cibles spécifiques</w:t>
      </w:r>
    </w:p>
    <w:p w14:paraId="50B4B2B8" w14:textId="77777777" w:rsidR="003B5F50" w:rsidRDefault="000D2D85">
      <w:pPr>
        <w:pStyle w:val="NormalWeb"/>
        <w:rPr>
          <w:noProof/>
        </w:rPr>
      </w:pPr>
      <w:r>
        <w:rPr>
          <w:noProof/>
        </w:rPr>
        <w:t>L’objectif de cette mesure est de contribuer à l’intégration des travailleurs étrangers hautement qualifiés, des étudiants étrangers de l’enseignement supérieur, des Slovaques vivant à l’étranger et des membres de la famille de ces groupes cibles dans la société slovaque.</w:t>
      </w:r>
    </w:p>
    <w:p w14:paraId="50B4B2B9" w14:textId="77777777" w:rsidR="003B5F50" w:rsidRDefault="000D2D85">
      <w:pPr>
        <w:pStyle w:val="NormalWeb"/>
        <w:rPr>
          <w:noProof/>
        </w:rPr>
      </w:pPr>
      <w:r>
        <w:rPr>
          <w:noProof/>
        </w:rPr>
        <w:t>Cette mesure consiste à fournir des consultations ou des services de soutien à ces groupes cibles.</w:t>
      </w:r>
    </w:p>
    <w:p w14:paraId="50B4B2BA" w14:textId="34266289" w:rsidR="003B5F50" w:rsidRDefault="000D2D85">
      <w:pPr>
        <w:pStyle w:val="P68B1DB1-Normal19"/>
        <w:spacing w:before="240" w:after="120" w:line="240" w:lineRule="auto"/>
        <w:jc w:val="both"/>
        <w:rPr>
          <w:noProof/>
        </w:rPr>
      </w:pPr>
      <w:r>
        <w:rPr>
          <w:noProof/>
        </w:rPr>
        <w:t>Investissement 2: Renforcer les relations avec la diaspora</w:t>
      </w:r>
    </w:p>
    <w:p w14:paraId="50B4B2BB" w14:textId="77777777" w:rsidR="003B5F50" w:rsidRDefault="000D2D85">
      <w:pPr>
        <w:pStyle w:val="NormalWeb"/>
        <w:rPr>
          <w:noProof/>
        </w:rPr>
      </w:pPr>
      <w:r>
        <w:rPr>
          <w:noProof/>
        </w:rPr>
        <w:t>L’objectif de cette mesure est de renforcer les relations avec les Slovaques à l’étranger, d’accroître la probabilité de leur retour dans leur pays d’origine et de favoriser la circulation cérébrale.</w:t>
      </w:r>
    </w:p>
    <w:p w14:paraId="50B4B2BC" w14:textId="77777777" w:rsidR="003B5F50" w:rsidRDefault="000D2D85">
      <w:pPr>
        <w:pStyle w:val="NormalWeb"/>
        <w:rPr>
          <w:noProof/>
        </w:rPr>
      </w:pPr>
      <w:r>
        <w:rPr>
          <w:noProof/>
        </w:rPr>
        <w:t xml:space="preserve">La mesure consiste à organiser des événements avec des Slovaques à l’étranger. </w:t>
      </w:r>
    </w:p>
    <w:p w14:paraId="50B4B2BD" w14:textId="77777777" w:rsidR="003B5F50" w:rsidRDefault="000D2D85">
      <w:pPr>
        <w:pStyle w:val="P68B1DB1-Normal19"/>
        <w:spacing w:before="240" w:after="120" w:line="240" w:lineRule="auto"/>
        <w:jc w:val="both"/>
        <w:rPr>
          <w:noProof/>
        </w:rPr>
      </w:pPr>
      <w:r>
        <w:rPr>
          <w:noProof/>
        </w:rPr>
        <w:t>Investissement 3: Bourses d'études pour les étudiants talentueux nationaux et étrangers</w:t>
      </w:r>
    </w:p>
    <w:p w14:paraId="50B4B2BE" w14:textId="77777777" w:rsidR="003B5F50" w:rsidRDefault="000D2D85">
      <w:pPr>
        <w:pStyle w:val="NormalWeb"/>
        <w:rPr>
          <w:noProof/>
        </w:rPr>
      </w:pPr>
      <w:r>
        <w:rPr>
          <w:noProof/>
        </w:rPr>
        <w:t>L'objectif de cette mesure est de soutenir financièrement les étudiants talentueux nationaux et étrangers. Cette mesure consiste à accorder des bourses à ces groupes cibles.</w:t>
      </w:r>
    </w:p>
    <w:p w14:paraId="50B4B2BF" w14:textId="77777777" w:rsidR="003B5F50" w:rsidRDefault="000D2D85">
      <w:pPr>
        <w:pStyle w:val="P68B1DB1-Normal19"/>
        <w:spacing w:before="240" w:after="120" w:line="240" w:lineRule="auto"/>
        <w:jc w:val="both"/>
        <w:rPr>
          <w:noProof/>
        </w:rPr>
      </w:pPr>
      <w:r>
        <w:rPr>
          <w:noProof/>
        </w:rPr>
        <w:t>Investissement 4: Promouvoir l'internationalisation dans le milieu universitaire</w:t>
      </w:r>
    </w:p>
    <w:p w14:paraId="50B4B2C0" w14:textId="77777777" w:rsidR="003B5F50" w:rsidRDefault="000D2D85">
      <w:pPr>
        <w:pStyle w:val="NormalWeb"/>
        <w:rPr>
          <w:noProof/>
        </w:rPr>
      </w:pPr>
      <w:r>
        <w:rPr>
          <w:noProof/>
        </w:rPr>
        <w:t xml:space="preserve">L’objectif de cette mesure est de soutenir l’internationalisation des établissements d’enseignement supérieur ou de recherche en Slovaquie. </w:t>
      </w:r>
    </w:p>
    <w:p w14:paraId="50B4B2C1" w14:textId="1B5F1295" w:rsidR="003B5F50" w:rsidRDefault="000D2D85">
      <w:pPr>
        <w:pStyle w:val="NormalWeb"/>
        <w:rPr>
          <w:strike/>
          <w:noProof/>
        </w:rPr>
      </w:pPr>
      <w:r>
        <w:rPr>
          <w:noProof/>
        </w:rPr>
        <w:t>La mesure consiste à adopter une stratégie d’internationalisation des universités, qui comprend un soutien aux programmes universitaires communs, des mesures visant à attirer des étudiants et des universitaires étrangers et à mettre en œuvre les principes de la stratégie en matière de ressources humaines pour la recherche (HRS4R) et la réalisation de projets visant à l’internationalisation des établissements d’enseignement supérieur ou des établissements de recherche.</w:t>
      </w:r>
      <w:r>
        <w:rPr>
          <w:strike/>
          <w:noProof/>
        </w:rPr>
        <w:t xml:space="preserve"> </w:t>
      </w:r>
    </w:p>
    <w:p w14:paraId="50B4B2C2" w14:textId="77777777" w:rsidR="003B5F50" w:rsidRDefault="003B5F50">
      <w:pPr>
        <w:spacing w:before="120" w:after="120" w:line="240" w:lineRule="auto"/>
        <w:ind w:left="850"/>
        <w:jc w:val="both"/>
        <w:rPr>
          <w:rFonts w:ascii="Times New Roman" w:hAnsi="Times New Roman"/>
          <w:b/>
          <w:noProof/>
          <w:u w:val="single"/>
        </w:rPr>
      </w:pPr>
    </w:p>
    <w:p w14:paraId="4741B631" w14:textId="77777777" w:rsidR="003B5F50" w:rsidRDefault="003B5F50">
      <w:pPr>
        <w:spacing w:before="120" w:after="120" w:line="240" w:lineRule="auto"/>
        <w:ind w:left="850"/>
        <w:jc w:val="both"/>
        <w:rPr>
          <w:rFonts w:ascii="Times New Roman" w:hAnsi="Times New Roman"/>
          <w:b/>
          <w:noProof/>
          <w:u w:val="single"/>
        </w:rPr>
        <w:sectPr w:rsidR="003B5F50" w:rsidSect="003E3DD3">
          <w:headerReference w:type="even" r:id="rId125"/>
          <w:headerReference w:type="default" r:id="rId126"/>
          <w:footerReference w:type="even" r:id="rId127"/>
          <w:footerReference w:type="default" r:id="rId128"/>
          <w:headerReference w:type="first" r:id="rId129"/>
          <w:footerReference w:type="first" r:id="rId130"/>
          <w:pgSz w:w="12240" w:h="15840"/>
          <w:pgMar w:top="1134" w:right="1134" w:bottom="1134" w:left="1134" w:header="567" w:footer="567" w:gutter="0"/>
          <w:cols w:space="720"/>
          <w:docGrid w:linePitch="360"/>
        </w:sectPr>
      </w:pPr>
    </w:p>
    <w:p w14:paraId="50B4B2C5" w14:textId="77777777" w:rsidR="003B5F50" w:rsidRDefault="000D2D85">
      <w:pPr>
        <w:pStyle w:val="P68B1DB1-Normal44"/>
        <w:spacing w:before="120" w:after="120" w:line="240" w:lineRule="auto"/>
        <w:ind w:left="850"/>
        <w:jc w:val="both"/>
        <w:rPr>
          <w:noProof/>
        </w:rPr>
      </w:pPr>
      <w:r>
        <w:rPr>
          <w:noProof/>
        </w:rPr>
        <w:t xml:space="preserve">A.2. </w:t>
      </w:r>
      <w:r>
        <w:rPr>
          <w:noProof/>
        </w:rPr>
        <w:tab/>
        <w:t>Étapes, cibles, indicateurs et calendrier pour le suivi et la mise en œuvre du soutien financier non remboursable</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2000"/>
        <w:gridCol w:w="1172"/>
        <w:gridCol w:w="1982"/>
        <w:gridCol w:w="1417"/>
        <w:gridCol w:w="880"/>
        <w:gridCol w:w="1027"/>
        <w:gridCol w:w="916"/>
        <w:gridCol w:w="1080"/>
        <w:gridCol w:w="767"/>
        <w:gridCol w:w="2223"/>
      </w:tblGrid>
      <w:tr w:rsidR="003B5F50" w14:paraId="50B4B2D4" w14:textId="77777777">
        <w:trPr>
          <w:trHeight w:val="742"/>
          <w:tblHeader/>
        </w:trPr>
        <w:tc>
          <w:tcPr>
            <w:tcW w:w="0" w:type="auto"/>
            <w:vMerge w:val="restart"/>
            <w:shd w:val="clear" w:color="auto" w:fill="BDD7EE"/>
            <w:vAlign w:val="center"/>
            <w:hideMark/>
          </w:tcPr>
          <w:p w14:paraId="50B4B2C6" w14:textId="77777777" w:rsidR="003B5F50" w:rsidRDefault="000D2D85">
            <w:pPr>
              <w:pStyle w:val="P68B1DB1-Normal13"/>
              <w:spacing w:after="0"/>
              <w:jc w:val="center"/>
              <w:rPr>
                <w:rFonts w:eastAsia="Times New Roman"/>
                <w:noProof/>
                <w:szCs w:val="20"/>
              </w:rPr>
            </w:pPr>
            <w:r>
              <w:rPr>
                <w:noProof/>
              </w:rPr>
              <w:t>Seq. Num.</w:t>
            </w:r>
          </w:p>
          <w:p w14:paraId="50B4B2C7" w14:textId="77777777" w:rsidR="003B5F50" w:rsidRDefault="000D2D85">
            <w:pPr>
              <w:pStyle w:val="P68B1DB1-Normal13"/>
              <w:spacing w:after="0"/>
              <w:jc w:val="center"/>
              <w:rPr>
                <w:rFonts w:eastAsia="Times New Roman"/>
                <w:noProof/>
                <w:szCs w:val="20"/>
              </w:rPr>
            </w:pPr>
            <w:r>
              <w:rPr>
                <w:noProof/>
              </w:rPr>
              <w:t> </w:t>
            </w:r>
          </w:p>
        </w:tc>
        <w:tc>
          <w:tcPr>
            <w:tcW w:w="0" w:type="auto"/>
            <w:vMerge w:val="restart"/>
            <w:shd w:val="clear" w:color="auto" w:fill="BDD7EE"/>
            <w:vAlign w:val="center"/>
            <w:hideMark/>
          </w:tcPr>
          <w:p w14:paraId="50B4B2C8" w14:textId="77777777" w:rsidR="003B5F50" w:rsidRDefault="000D2D85">
            <w:pPr>
              <w:pStyle w:val="P68B1DB1-Normal13"/>
              <w:spacing w:after="0"/>
              <w:jc w:val="center"/>
              <w:rPr>
                <w:rFonts w:eastAsia="Times New Roman"/>
                <w:noProof/>
                <w:szCs w:val="20"/>
              </w:rPr>
            </w:pPr>
            <w:r>
              <w:rPr>
                <w:noProof/>
              </w:rPr>
              <w:t>Mesure connexe (réforme ou investissement)</w:t>
            </w:r>
          </w:p>
          <w:p w14:paraId="50B4B2C9" w14:textId="77777777" w:rsidR="003B5F50" w:rsidRDefault="000D2D85">
            <w:pPr>
              <w:pStyle w:val="P68B1DB1-Normal13"/>
              <w:spacing w:after="0"/>
              <w:jc w:val="center"/>
              <w:rPr>
                <w:rFonts w:eastAsia="Times New Roman"/>
                <w:noProof/>
                <w:szCs w:val="20"/>
              </w:rPr>
            </w:pPr>
            <w:r>
              <w:rPr>
                <w:noProof/>
              </w:rPr>
              <w:t> </w:t>
            </w:r>
          </w:p>
        </w:tc>
        <w:tc>
          <w:tcPr>
            <w:tcW w:w="0" w:type="auto"/>
            <w:vMerge w:val="restart"/>
            <w:shd w:val="clear" w:color="auto" w:fill="BDD7EE"/>
            <w:vAlign w:val="center"/>
            <w:hideMark/>
          </w:tcPr>
          <w:p w14:paraId="50B4B2CA" w14:textId="77777777" w:rsidR="003B5F50" w:rsidRDefault="000D2D85">
            <w:pPr>
              <w:pStyle w:val="P68B1DB1-Normal13"/>
              <w:spacing w:after="0"/>
              <w:jc w:val="center"/>
              <w:rPr>
                <w:rFonts w:eastAsia="Times New Roman"/>
                <w:noProof/>
                <w:szCs w:val="20"/>
              </w:rPr>
            </w:pPr>
            <w:r>
              <w:rPr>
                <w:noProof/>
              </w:rPr>
              <w:t>Étape/cible</w:t>
            </w:r>
          </w:p>
          <w:p w14:paraId="50B4B2CB" w14:textId="77777777" w:rsidR="003B5F50" w:rsidRDefault="000D2D85">
            <w:pPr>
              <w:pStyle w:val="P68B1DB1-Normal13"/>
              <w:spacing w:after="0"/>
              <w:jc w:val="center"/>
              <w:rPr>
                <w:rFonts w:eastAsia="Times New Roman"/>
                <w:noProof/>
                <w:szCs w:val="20"/>
              </w:rPr>
            </w:pPr>
            <w:r>
              <w:rPr>
                <w:noProof/>
              </w:rPr>
              <w:t> </w:t>
            </w:r>
          </w:p>
        </w:tc>
        <w:tc>
          <w:tcPr>
            <w:tcW w:w="0" w:type="auto"/>
            <w:vMerge w:val="restart"/>
            <w:shd w:val="clear" w:color="auto" w:fill="BDD7EE"/>
            <w:vAlign w:val="center"/>
            <w:hideMark/>
          </w:tcPr>
          <w:p w14:paraId="50B4B2CC" w14:textId="77777777" w:rsidR="003B5F50" w:rsidRDefault="000D2D85">
            <w:pPr>
              <w:pStyle w:val="P68B1DB1-Normal13"/>
              <w:spacing w:after="0"/>
              <w:jc w:val="center"/>
              <w:rPr>
                <w:rFonts w:eastAsia="Times New Roman"/>
                <w:noProof/>
                <w:szCs w:val="20"/>
              </w:rPr>
            </w:pPr>
            <w:r>
              <w:rPr>
                <w:noProof/>
              </w:rPr>
              <w:t>Nom</w:t>
            </w:r>
          </w:p>
          <w:p w14:paraId="50B4B2CD" w14:textId="77777777" w:rsidR="003B5F50" w:rsidRDefault="000D2D85">
            <w:pPr>
              <w:pStyle w:val="P68B1DB1-Normal13"/>
              <w:spacing w:after="0"/>
              <w:jc w:val="center"/>
              <w:rPr>
                <w:rFonts w:eastAsia="Times New Roman"/>
                <w:noProof/>
                <w:szCs w:val="20"/>
              </w:rPr>
            </w:pPr>
            <w:r>
              <w:rPr>
                <w:noProof/>
              </w:rPr>
              <w:t> </w:t>
            </w:r>
          </w:p>
        </w:tc>
        <w:tc>
          <w:tcPr>
            <w:tcW w:w="0" w:type="auto"/>
            <w:vMerge w:val="restart"/>
            <w:shd w:val="clear" w:color="auto" w:fill="BDD7EE"/>
            <w:vAlign w:val="center"/>
            <w:hideMark/>
          </w:tcPr>
          <w:p w14:paraId="50B4B2CE" w14:textId="77777777" w:rsidR="003B5F50" w:rsidRDefault="000D2D85">
            <w:pPr>
              <w:pStyle w:val="P68B1DB1-Normal13"/>
              <w:spacing w:after="0"/>
              <w:jc w:val="center"/>
              <w:rPr>
                <w:rFonts w:eastAsia="Times New Roman"/>
                <w:noProof/>
                <w:szCs w:val="20"/>
              </w:rPr>
            </w:pPr>
            <w:r>
              <w:rPr>
                <w:noProof/>
              </w:rPr>
              <w:t>Indicateurs qualitatifs (pour les jalons)</w:t>
            </w:r>
          </w:p>
          <w:p w14:paraId="50B4B2CF" w14:textId="77777777" w:rsidR="003B5F50" w:rsidRDefault="000D2D85">
            <w:pPr>
              <w:pStyle w:val="P68B1DB1-Normal13"/>
              <w:spacing w:after="0"/>
              <w:jc w:val="center"/>
              <w:rPr>
                <w:rFonts w:eastAsia="Times New Roman"/>
                <w:noProof/>
                <w:szCs w:val="20"/>
              </w:rPr>
            </w:pPr>
            <w:r>
              <w:rPr>
                <w:noProof/>
              </w:rPr>
              <w:t> </w:t>
            </w:r>
          </w:p>
        </w:tc>
        <w:tc>
          <w:tcPr>
            <w:tcW w:w="0" w:type="auto"/>
            <w:gridSpan w:val="3"/>
            <w:shd w:val="clear" w:color="auto" w:fill="BDD7EE"/>
            <w:vAlign w:val="center"/>
            <w:hideMark/>
          </w:tcPr>
          <w:p w14:paraId="50B4B2D0" w14:textId="77777777" w:rsidR="003B5F50" w:rsidRDefault="000D2D85">
            <w:pPr>
              <w:pStyle w:val="P68B1DB1-Normal13"/>
              <w:spacing w:after="0"/>
              <w:jc w:val="center"/>
              <w:rPr>
                <w:rFonts w:eastAsia="Times New Roman"/>
                <w:noProof/>
                <w:szCs w:val="20"/>
              </w:rPr>
            </w:pPr>
            <w:r>
              <w:rPr>
                <w:noProof/>
              </w:rPr>
              <w:t>Indicateurs quantitatifs (pour les objectifs)</w:t>
            </w:r>
          </w:p>
        </w:tc>
        <w:tc>
          <w:tcPr>
            <w:tcW w:w="0" w:type="auto"/>
            <w:gridSpan w:val="2"/>
            <w:shd w:val="clear" w:color="auto" w:fill="BDD7EE"/>
            <w:vAlign w:val="center"/>
            <w:hideMark/>
          </w:tcPr>
          <w:p w14:paraId="50B4B2D1" w14:textId="77777777" w:rsidR="003B5F50" w:rsidRDefault="000D2D85">
            <w:pPr>
              <w:pStyle w:val="P68B1DB1-Normal13"/>
              <w:spacing w:after="0"/>
              <w:jc w:val="center"/>
              <w:rPr>
                <w:rFonts w:eastAsia="Times New Roman"/>
                <w:noProof/>
                <w:szCs w:val="20"/>
              </w:rPr>
            </w:pPr>
            <w:r>
              <w:rPr>
                <w:noProof/>
              </w:rPr>
              <w:t xml:space="preserve">Calendrier indicatif d'achèvement </w:t>
            </w:r>
          </w:p>
        </w:tc>
        <w:tc>
          <w:tcPr>
            <w:tcW w:w="0" w:type="auto"/>
            <w:vMerge w:val="restart"/>
            <w:shd w:val="clear" w:color="auto" w:fill="BDD7EE"/>
            <w:vAlign w:val="center"/>
            <w:hideMark/>
          </w:tcPr>
          <w:p w14:paraId="50B4B2D2" w14:textId="77777777" w:rsidR="003B5F50" w:rsidRDefault="000D2D85">
            <w:pPr>
              <w:pStyle w:val="P68B1DB1-Normal13"/>
              <w:spacing w:after="0"/>
              <w:jc w:val="center"/>
              <w:rPr>
                <w:rFonts w:eastAsia="Times New Roman"/>
                <w:noProof/>
                <w:szCs w:val="20"/>
              </w:rPr>
            </w:pPr>
            <w:r>
              <w:rPr>
                <w:noProof/>
              </w:rPr>
              <w:t>Description et définition claire de chaque jalon et cible</w:t>
            </w:r>
          </w:p>
          <w:p w14:paraId="50B4B2D3" w14:textId="77777777" w:rsidR="003B5F50" w:rsidRDefault="000D2D85">
            <w:pPr>
              <w:pStyle w:val="P68B1DB1-Normal16"/>
              <w:spacing w:after="0"/>
              <w:rPr>
                <w:rFonts w:eastAsia="Times New Roman"/>
                <w:b/>
                <w:noProof/>
                <w:szCs w:val="20"/>
              </w:rPr>
            </w:pPr>
            <w:r>
              <w:rPr>
                <w:noProof/>
              </w:rPr>
              <w:t> </w:t>
            </w:r>
          </w:p>
        </w:tc>
      </w:tr>
      <w:tr w:rsidR="003B5F50" w14:paraId="50B4B2E0" w14:textId="77777777">
        <w:trPr>
          <w:trHeight w:val="541"/>
          <w:tblHeader/>
        </w:trPr>
        <w:tc>
          <w:tcPr>
            <w:tcW w:w="0" w:type="auto"/>
            <w:vMerge/>
            <w:vAlign w:val="center"/>
            <w:hideMark/>
          </w:tcPr>
          <w:p w14:paraId="50B4B2D5" w14:textId="77777777" w:rsidR="003B5F50" w:rsidRDefault="003B5F50">
            <w:pPr>
              <w:spacing w:after="0"/>
              <w:jc w:val="center"/>
              <w:rPr>
                <w:rFonts w:ascii="Times New Roman" w:eastAsia="Times New Roman" w:hAnsi="Times New Roman"/>
                <w:b/>
                <w:noProof/>
                <w:sz w:val="20"/>
                <w:szCs w:val="20"/>
              </w:rPr>
            </w:pPr>
          </w:p>
        </w:tc>
        <w:tc>
          <w:tcPr>
            <w:tcW w:w="0" w:type="auto"/>
            <w:vMerge/>
            <w:vAlign w:val="center"/>
            <w:hideMark/>
          </w:tcPr>
          <w:p w14:paraId="50B4B2D6" w14:textId="77777777" w:rsidR="003B5F50" w:rsidRDefault="003B5F50">
            <w:pPr>
              <w:spacing w:after="0"/>
              <w:jc w:val="center"/>
              <w:rPr>
                <w:rFonts w:ascii="Times New Roman" w:eastAsia="Times New Roman" w:hAnsi="Times New Roman"/>
                <w:b/>
                <w:noProof/>
                <w:sz w:val="20"/>
                <w:szCs w:val="20"/>
              </w:rPr>
            </w:pPr>
          </w:p>
        </w:tc>
        <w:tc>
          <w:tcPr>
            <w:tcW w:w="0" w:type="auto"/>
            <w:vMerge/>
            <w:vAlign w:val="center"/>
            <w:hideMark/>
          </w:tcPr>
          <w:p w14:paraId="50B4B2D7" w14:textId="77777777" w:rsidR="003B5F50" w:rsidRDefault="003B5F50">
            <w:pPr>
              <w:spacing w:after="0"/>
              <w:jc w:val="center"/>
              <w:rPr>
                <w:rFonts w:ascii="Times New Roman" w:eastAsia="Times New Roman" w:hAnsi="Times New Roman"/>
                <w:b/>
                <w:noProof/>
                <w:sz w:val="20"/>
                <w:szCs w:val="20"/>
              </w:rPr>
            </w:pPr>
          </w:p>
        </w:tc>
        <w:tc>
          <w:tcPr>
            <w:tcW w:w="0" w:type="auto"/>
            <w:vMerge/>
            <w:vAlign w:val="center"/>
            <w:hideMark/>
          </w:tcPr>
          <w:p w14:paraId="50B4B2D8" w14:textId="77777777" w:rsidR="003B5F50" w:rsidRDefault="003B5F50">
            <w:pPr>
              <w:spacing w:after="0"/>
              <w:jc w:val="center"/>
              <w:rPr>
                <w:rFonts w:ascii="Times New Roman" w:eastAsia="Times New Roman" w:hAnsi="Times New Roman"/>
                <w:b/>
                <w:noProof/>
                <w:sz w:val="20"/>
                <w:szCs w:val="20"/>
              </w:rPr>
            </w:pPr>
          </w:p>
        </w:tc>
        <w:tc>
          <w:tcPr>
            <w:tcW w:w="0" w:type="auto"/>
            <w:vMerge/>
            <w:vAlign w:val="center"/>
            <w:hideMark/>
          </w:tcPr>
          <w:p w14:paraId="50B4B2D9" w14:textId="77777777" w:rsidR="003B5F50" w:rsidRDefault="003B5F50">
            <w:pPr>
              <w:spacing w:after="0"/>
              <w:jc w:val="center"/>
              <w:rPr>
                <w:rFonts w:ascii="Times New Roman" w:eastAsia="Times New Roman" w:hAnsi="Times New Roman"/>
                <w:b/>
                <w:noProof/>
                <w:sz w:val="20"/>
                <w:szCs w:val="20"/>
              </w:rPr>
            </w:pPr>
          </w:p>
        </w:tc>
        <w:tc>
          <w:tcPr>
            <w:tcW w:w="0" w:type="auto"/>
            <w:shd w:val="clear" w:color="auto" w:fill="BDD7EE"/>
            <w:vAlign w:val="center"/>
            <w:hideMark/>
          </w:tcPr>
          <w:p w14:paraId="50B4B2DA" w14:textId="77777777" w:rsidR="003B5F50" w:rsidRDefault="000D2D85">
            <w:pPr>
              <w:pStyle w:val="P68B1DB1-Normal13"/>
              <w:spacing w:after="0"/>
              <w:jc w:val="center"/>
              <w:rPr>
                <w:rFonts w:eastAsia="Times New Roman"/>
                <w:noProof/>
                <w:szCs w:val="20"/>
              </w:rPr>
            </w:pPr>
            <w:r>
              <w:rPr>
                <w:noProof/>
              </w:rPr>
              <w:t>Unité de mesure</w:t>
            </w:r>
          </w:p>
        </w:tc>
        <w:tc>
          <w:tcPr>
            <w:tcW w:w="0" w:type="auto"/>
            <w:shd w:val="clear" w:color="auto" w:fill="BDD7EE"/>
            <w:vAlign w:val="center"/>
            <w:hideMark/>
          </w:tcPr>
          <w:p w14:paraId="50B4B2DB" w14:textId="77777777" w:rsidR="003B5F50" w:rsidRDefault="000D2D85">
            <w:pPr>
              <w:pStyle w:val="P68B1DB1-Normal13"/>
              <w:spacing w:after="0"/>
              <w:jc w:val="center"/>
              <w:rPr>
                <w:rFonts w:eastAsia="Times New Roman"/>
                <w:noProof/>
                <w:szCs w:val="20"/>
              </w:rPr>
            </w:pPr>
            <w:r>
              <w:rPr>
                <w:noProof/>
              </w:rPr>
              <w:t>Données de référence</w:t>
            </w:r>
          </w:p>
        </w:tc>
        <w:tc>
          <w:tcPr>
            <w:tcW w:w="0" w:type="auto"/>
            <w:shd w:val="clear" w:color="auto" w:fill="BDD7EE"/>
            <w:vAlign w:val="center"/>
            <w:hideMark/>
          </w:tcPr>
          <w:p w14:paraId="50B4B2DC" w14:textId="77777777" w:rsidR="003B5F50" w:rsidRDefault="000D2D85">
            <w:pPr>
              <w:pStyle w:val="P68B1DB1-Normal13"/>
              <w:spacing w:after="0"/>
              <w:jc w:val="center"/>
              <w:rPr>
                <w:rFonts w:eastAsia="Times New Roman"/>
                <w:noProof/>
                <w:szCs w:val="20"/>
              </w:rPr>
            </w:pPr>
            <w:r>
              <w:rPr>
                <w:noProof/>
              </w:rPr>
              <w:t>Objectif</w:t>
            </w:r>
          </w:p>
        </w:tc>
        <w:tc>
          <w:tcPr>
            <w:tcW w:w="0" w:type="auto"/>
            <w:shd w:val="clear" w:color="auto" w:fill="BDD7EE"/>
            <w:vAlign w:val="center"/>
            <w:hideMark/>
          </w:tcPr>
          <w:p w14:paraId="50B4B2DD" w14:textId="77777777" w:rsidR="003B5F50" w:rsidRDefault="000D2D85">
            <w:pPr>
              <w:pStyle w:val="P68B1DB1-Normal13"/>
              <w:spacing w:after="0"/>
              <w:jc w:val="center"/>
              <w:rPr>
                <w:rFonts w:eastAsia="Times New Roman"/>
                <w:noProof/>
                <w:szCs w:val="20"/>
              </w:rPr>
            </w:pPr>
            <w:r>
              <w:rPr>
                <w:noProof/>
              </w:rPr>
              <w:t>Trimestre</w:t>
            </w:r>
          </w:p>
        </w:tc>
        <w:tc>
          <w:tcPr>
            <w:tcW w:w="0" w:type="auto"/>
            <w:shd w:val="clear" w:color="auto" w:fill="BDD7EE"/>
            <w:vAlign w:val="center"/>
            <w:hideMark/>
          </w:tcPr>
          <w:p w14:paraId="50B4B2DE" w14:textId="77777777" w:rsidR="003B5F50" w:rsidRDefault="000D2D85">
            <w:pPr>
              <w:pStyle w:val="P68B1DB1-Normal13"/>
              <w:spacing w:after="0"/>
              <w:jc w:val="center"/>
              <w:rPr>
                <w:rFonts w:eastAsia="Times New Roman"/>
                <w:noProof/>
                <w:szCs w:val="20"/>
              </w:rPr>
            </w:pPr>
            <w:r>
              <w:rPr>
                <w:noProof/>
              </w:rPr>
              <w:t>Année</w:t>
            </w:r>
          </w:p>
        </w:tc>
        <w:tc>
          <w:tcPr>
            <w:tcW w:w="0" w:type="auto"/>
            <w:vMerge/>
            <w:vAlign w:val="center"/>
            <w:hideMark/>
          </w:tcPr>
          <w:p w14:paraId="50B4B2DF" w14:textId="77777777" w:rsidR="003B5F50" w:rsidRDefault="003B5F50">
            <w:pPr>
              <w:spacing w:after="0"/>
              <w:rPr>
                <w:rFonts w:ascii="Times New Roman" w:eastAsia="Times New Roman" w:hAnsi="Times New Roman"/>
                <w:noProof/>
                <w:sz w:val="20"/>
                <w:szCs w:val="20"/>
              </w:rPr>
            </w:pPr>
          </w:p>
        </w:tc>
      </w:tr>
      <w:tr w:rsidR="003B5F50" w14:paraId="50B4B2EC" w14:textId="77777777">
        <w:trPr>
          <w:trHeight w:val="882"/>
        </w:trPr>
        <w:tc>
          <w:tcPr>
            <w:tcW w:w="0" w:type="auto"/>
            <w:shd w:val="clear" w:color="auto" w:fill="C6EFCE"/>
            <w:noWrap/>
            <w:hideMark/>
          </w:tcPr>
          <w:p w14:paraId="50B4B2E1" w14:textId="77777777" w:rsidR="003B5F50" w:rsidRDefault="000D2D85">
            <w:pPr>
              <w:pStyle w:val="P68B1DB1-Normal14"/>
              <w:spacing w:after="0"/>
              <w:jc w:val="center"/>
              <w:rPr>
                <w:rFonts w:eastAsia="Times New Roman"/>
                <w:noProof/>
                <w:szCs w:val="20"/>
              </w:rPr>
            </w:pPr>
            <w:r>
              <w:rPr>
                <w:noProof/>
              </w:rPr>
              <w:t>1</w:t>
            </w:r>
          </w:p>
        </w:tc>
        <w:tc>
          <w:tcPr>
            <w:tcW w:w="0" w:type="auto"/>
            <w:shd w:val="clear" w:color="auto" w:fill="C6EFCE"/>
            <w:hideMark/>
          </w:tcPr>
          <w:p w14:paraId="50B4B2E2" w14:textId="77777777" w:rsidR="003B5F50" w:rsidRDefault="000D2D85">
            <w:pPr>
              <w:pStyle w:val="P68B1DB1-Normal14"/>
              <w:spacing w:after="0"/>
              <w:rPr>
                <w:rFonts w:eastAsia="Times New Roman"/>
                <w:noProof/>
                <w:szCs w:val="20"/>
              </w:rPr>
            </w:pPr>
            <w:r>
              <w:rPr>
                <w:noProof/>
              </w:rPr>
              <w:t>10 – Attirer et retenir les talents - Réforme 1: Réforme de la législation en matière de résidence et de travail</w:t>
            </w:r>
          </w:p>
        </w:tc>
        <w:tc>
          <w:tcPr>
            <w:tcW w:w="0" w:type="auto"/>
            <w:shd w:val="clear" w:color="auto" w:fill="C6EFCE"/>
            <w:noWrap/>
            <w:hideMark/>
          </w:tcPr>
          <w:p w14:paraId="50B4B2E3" w14:textId="77777777" w:rsidR="003B5F50" w:rsidRDefault="000D2D85">
            <w:pPr>
              <w:pStyle w:val="P68B1DB1-Normal14"/>
              <w:spacing w:after="0"/>
              <w:rPr>
                <w:rFonts w:eastAsia="Times New Roman"/>
                <w:noProof/>
                <w:szCs w:val="20"/>
              </w:rPr>
            </w:pPr>
            <w:r>
              <w:rPr>
                <w:noProof/>
              </w:rPr>
              <w:t>Étape</w:t>
            </w:r>
          </w:p>
        </w:tc>
        <w:tc>
          <w:tcPr>
            <w:tcW w:w="0" w:type="auto"/>
            <w:shd w:val="clear" w:color="auto" w:fill="C6EFCE"/>
            <w:hideMark/>
          </w:tcPr>
          <w:p w14:paraId="50B4B2E4" w14:textId="77777777" w:rsidR="003B5F50" w:rsidRDefault="000D2D85">
            <w:pPr>
              <w:pStyle w:val="P68B1DB1-Normal14"/>
              <w:spacing w:after="0"/>
              <w:rPr>
                <w:rFonts w:eastAsia="Times New Roman"/>
                <w:noProof/>
                <w:szCs w:val="20"/>
              </w:rPr>
            </w:pPr>
            <w:r>
              <w:rPr>
                <w:noProof/>
              </w:rPr>
              <w:t>Régime définissant une nouvelle catégorie de demandeurs de visa national (D).</w:t>
            </w:r>
          </w:p>
        </w:tc>
        <w:tc>
          <w:tcPr>
            <w:tcW w:w="0" w:type="auto"/>
            <w:shd w:val="clear" w:color="auto" w:fill="C6EFCE"/>
            <w:hideMark/>
          </w:tcPr>
          <w:p w14:paraId="50B4B2E5" w14:textId="77777777" w:rsidR="003B5F50" w:rsidRDefault="000D2D85">
            <w:pPr>
              <w:pStyle w:val="P68B1DB1-Normal14"/>
              <w:spacing w:after="0"/>
              <w:rPr>
                <w:rFonts w:eastAsia="Times New Roman"/>
                <w:noProof/>
                <w:szCs w:val="20"/>
              </w:rPr>
            </w:pPr>
            <w:r>
              <w:rPr>
                <w:noProof/>
              </w:rPr>
              <w:t>Adoption du régime par une résolution du gouvernement et entrée en vigueur.</w:t>
            </w:r>
          </w:p>
        </w:tc>
        <w:tc>
          <w:tcPr>
            <w:tcW w:w="0" w:type="auto"/>
            <w:shd w:val="clear" w:color="auto" w:fill="C6EFCE"/>
            <w:noWrap/>
            <w:hideMark/>
          </w:tcPr>
          <w:p w14:paraId="50B4B2E6"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2E7"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2E8"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2E9" w14:textId="77777777" w:rsidR="003B5F50" w:rsidRDefault="000D2D85">
            <w:pPr>
              <w:pStyle w:val="P68B1DB1-Normal14"/>
              <w:spacing w:after="0"/>
              <w:jc w:val="center"/>
              <w:rPr>
                <w:rFonts w:eastAsia="Times New Roman"/>
                <w:noProof/>
                <w:szCs w:val="20"/>
              </w:rPr>
            </w:pPr>
            <w:r>
              <w:rPr>
                <w:noProof/>
              </w:rPr>
              <w:t>T1</w:t>
            </w:r>
          </w:p>
        </w:tc>
        <w:tc>
          <w:tcPr>
            <w:tcW w:w="0" w:type="auto"/>
            <w:shd w:val="clear" w:color="auto" w:fill="C6EFCE"/>
            <w:noWrap/>
            <w:hideMark/>
          </w:tcPr>
          <w:p w14:paraId="50B4B2EA" w14:textId="77777777" w:rsidR="003B5F50" w:rsidRDefault="000D2D85">
            <w:pPr>
              <w:pStyle w:val="P68B1DB1-Normal14"/>
              <w:spacing w:after="0"/>
              <w:jc w:val="center"/>
              <w:rPr>
                <w:rFonts w:eastAsia="Times New Roman"/>
                <w:noProof/>
                <w:szCs w:val="20"/>
              </w:rPr>
            </w:pPr>
            <w:r>
              <w:rPr>
                <w:noProof/>
              </w:rPr>
              <w:t>2022</w:t>
            </w:r>
          </w:p>
        </w:tc>
        <w:tc>
          <w:tcPr>
            <w:tcW w:w="0" w:type="auto"/>
            <w:shd w:val="clear" w:color="auto" w:fill="C6EFCE"/>
            <w:hideMark/>
          </w:tcPr>
          <w:p w14:paraId="50B4B2EB" w14:textId="77777777" w:rsidR="003B5F50" w:rsidRDefault="000D2D85">
            <w:pPr>
              <w:pStyle w:val="P68B1DB1-Normal14"/>
              <w:spacing w:after="0"/>
              <w:rPr>
                <w:rFonts w:eastAsia="Times New Roman"/>
                <w:noProof/>
                <w:szCs w:val="20"/>
              </w:rPr>
            </w:pPr>
            <w:r>
              <w:rPr>
                <w:noProof/>
              </w:rPr>
              <w:t>Adoption d'un régime définissant la catégorie de demandeurs de visa national (D) dans l'intérêt de la République slovaque La nouvelle catégorie de visas qui couvre les ressortissants de pays tiers hautement qualifiés à la recherche d'un emploi exemptés de la nécessité de prouver un emploi garanti avant d'entrer en Slovaquie est introduite. Les personnes doivent être en mesure de commencer à travailler sur un visa national (D) immédiatement. La mesure concernera des catégories telles que les diplômés d’universités de premier plan au niveau mondial (quel que soit le domaine concerné); diplômés de troisième niveau des principales universités et institutions de recherche du monde (quel que soit le domaine); d’autres groupes sélectionnés en fonction des intérêts économiques de la Slovaquie (par exemple, des experts en informatique, des experts dans des secteurs à forte valeur ajoutée, des médecins).</w:t>
            </w:r>
          </w:p>
        </w:tc>
      </w:tr>
      <w:tr w:rsidR="003B5F50" w14:paraId="50B4B2F9" w14:textId="77777777">
        <w:trPr>
          <w:trHeight w:val="1062"/>
        </w:trPr>
        <w:tc>
          <w:tcPr>
            <w:tcW w:w="0" w:type="auto"/>
            <w:shd w:val="clear" w:color="auto" w:fill="C6EFCE"/>
            <w:noWrap/>
            <w:hideMark/>
          </w:tcPr>
          <w:p w14:paraId="50B4B2ED" w14:textId="77777777" w:rsidR="003B5F50" w:rsidRDefault="000D2D85">
            <w:pPr>
              <w:pStyle w:val="P68B1DB1-Normal14"/>
              <w:spacing w:after="0"/>
              <w:jc w:val="center"/>
              <w:rPr>
                <w:rFonts w:eastAsia="Times New Roman"/>
                <w:noProof/>
                <w:szCs w:val="20"/>
              </w:rPr>
            </w:pPr>
            <w:r>
              <w:rPr>
                <w:noProof/>
              </w:rPr>
              <w:t>2</w:t>
            </w:r>
          </w:p>
        </w:tc>
        <w:tc>
          <w:tcPr>
            <w:tcW w:w="0" w:type="auto"/>
            <w:shd w:val="clear" w:color="auto" w:fill="C6EFCE"/>
            <w:hideMark/>
          </w:tcPr>
          <w:p w14:paraId="50B4B2EE" w14:textId="77777777" w:rsidR="003B5F50" w:rsidRDefault="000D2D85">
            <w:pPr>
              <w:pStyle w:val="P68B1DB1-Normal14"/>
              <w:spacing w:after="0"/>
              <w:rPr>
                <w:rFonts w:eastAsia="Times New Roman"/>
                <w:noProof/>
                <w:szCs w:val="20"/>
              </w:rPr>
            </w:pPr>
            <w:r>
              <w:rPr>
                <w:noProof/>
              </w:rPr>
              <w:t>10 – Attirer et retenir les talents - Réforme 1: Réforme de la législation en matière de résidence et de travail</w:t>
            </w:r>
          </w:p>
        </w:tc>
        <w:tc>
          <w:tcPr>
            <w:tcW w:w="0" w:type="auto"/>
            <w:shd w:val="clear" w:color="auto" w:fill="C6EFCE"/>
            <w:noWrap/>
            <w:hideMark/>
          </w:tcPr>
          <w:p w14:paraId="50B4B2EF" w14:textId="77777777" w:rsidR="003B5F50" w:rsidRDefault="000D2D85">
            <w:pPr>
              <w:pStyle w:val="P68B1DB1-Normal14"/>
              <w:spacing w:after="0"/>
              <w:rPr>
                <w:rFonts w:eastAsia="Times New Roman"/>
                <w:noProof/>
                <w:szCs w:val="20"/>
              </w:rPr>
            </w:pPr>
            <w:r>
              <w:rPr>
                <w:noProof/>
              </w:rPr>
              <w:t>Étape</w:t>
            </w:r>
          </w:p>
        </w:tc>
        <w:tc>
          <w:tcPr>
            <w:tcW w:w="0" w:type="auto"/>
            <w:shd w:val="clear" w:color="auto" w:fill="C6EFCE"/>
            <w:hideMark/>
          </w:tcPr>
          <w:p w14:paraId="50B4B2F0" w14:textId="77777777" w:rsidR="003B5F50" w:rsidRDefault="000D2D85">
            <w:pPr>
              <w:pStyle w:val="P68B1DB1-Normal14"/>
              <w:spacing w:after="0"/>
              <w:rPr>
                <w:rFonts w:eastAsia="Times New Roman"/>
                <w:noProof/>
                <w:szCs w:val="20"/>
              </w:rPr>
            </w:pPr>
            <w:r>
              <w:rPr>
                <w:noProof/>
              </w:rPr>
              <w:t>Facilitation du retour dans le pays et augmentation de l'attractivité du pays pour les étrangers ayant des liens familiaux</w:t>
            </w:r>
          </w:p>
        </w:tc>
        <w:tc>
          <w:tcPr>
            <w:tcW w:w="0" w:type="auto"/>
            <w:shd w:val="clear" w:color="auto" w:fill="C6EFCE"/>
            <w:hideMark/>
          </w:tcPr>
          <w:p w14:paraId="50B4B2F1" w14:textId="77777777" w:rsidR="003B5F50" w:rsidRDefault="000D2D85">
            <w:pPr>
              <w:pStyle w:val="P68B1DB1-Normal14"/>
              <w:spacing w:after="0"/>
              <w:rPr>
                <w:rFonts w:eastAsia="Times New Roman"/>
                <w:noProof/>
                <w:szCs w:val="20"/>
              </w:rPr>
            </w:pPr>
            <w:r>
              <w:rPr>
                <w:noProof/>
              </w:rPr>
              <w:t xml:space="preserve">Adoption par le Parlement et entrée en vigueur </w:t>
            </w:r>
          </w:p>
        </w:tc>
        <w:tc>
          <w:tcPr>
            <w:tcW w:w="0" w:type="auto"/>
            <w:shd w:val="clear" w:color="auto" w:fill="C6EFCE"/>
            <w:noWrap/>
            <w:hideMark/>
          </w:tcPr>
          <w:p w14:paraId="50B4B2F2"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2F3"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2F4"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2F5" w14:textId="77777777" w:rsidR="003B5F50" w:rsidRDefault="000D2D85">
            <w:pPr>
              <w:pStyle w:val="P68B1DB1-Normal14"/>
              <w:spacing w:after="0"/>
              <w:jc w:val="center"/>
              <w:rPr>
                <w:rFonts w:eastAsia="Times New Roman"/>
                <w:noProof/>
                <w:szCs w:val="20"/>
              </w:rPr>
            </w:pPr>
            <w:r>
              <w:rPr>
                <w:noProof/>
              </w:rPr>
              <w:t>T1</w:t>
            </w:r>
          </w:p>
        </w:tc>
        <w:tc>
          <w:tcPr>
            <w:tcW w:w="0" w:type="auto"/>
            <w:shd w:val="clear" w:color="auto" w:fill="C6EFCE"/>
            <w:noWrap/>
            <w:hideMark/>
          </w:tcPr>
          <w:p w14:paraId="50B4B2F6" w14:textId="77777777" w:rsidR="003B5F50" w:rsidRDefault="000D2D85">
            <w:pPr>
              <w:pStyle w:val="P68B1DB1-Normal14"/>
              <w:spacing w:after="0"/>
              <w:jc w:val="center"/>
              <w:rPr>
                <w:rFonts w:eastAsia="Times New Roman"/>
                <w:noProof/>
                <w:szCs w:val="20"/>
              </w:rPr>
            </w:pPr>
            <w:r>
              <w:rPr>
                <w:noProof/>
              </w:rPr>
              <w:t>2022</w:t>
            </w:r>
          </w:p>
        </w:tc>
        <w:tc>
          <w:tcPr>
            <w:tcW w:w="0" w:type="auto"/>
            <w:shd w:val="clear" w:color="auto" w:fill="C6EFCE"/>
            <w:hideMark/>
          </w:tcPr>
          <w:p w14:paraId="50B4B2F8" w14:textId="59747CB0" w:rsidR="003B5F50" w:rsidRDefault="000D2D85">
            <w:pPr>
              <w:pStyle w:val="P68B1DB1-Normal14"/>
              <w:spacing w:after="0"/>
              <w:rPr>
                <w:rFonts w:eastAsia="Times New Roman"/>
                <w:noProof/>
                <w:szCs w:val="20"/>
              </w:rPr>
            </w:pPr>
            <w:r>
              <w:rPr>
                <w:noProof/>
              </w:rPr>
              <w:t xml:space="preserve">Modification de la loi no 40/1993 sur la citoyenneté slovaque, qui facilitera le retour dans le pays et renforcera l’attrait du pays pour les étrangers ayant des liens familiaux avec la Slovaquie. La modification introduit un régime simplifié pour l'obtention de la citoyenneté en supprimant l'exigence d'une période minimale de résidence en Slovaquie. </w:t>
            </w:r>
          </w:p>
        </w:tc>
      </w:tr>
      <w:tr w:rsidR="003B5F50" w14:paraId="50B4B30B" w14:textId="77777777">
        <w:trPr>
          <w:trHeight w:val="77"/>
        </w:trPr>
        <w:tc>
          <w:tcPr>
            <w:tcW w:w="0" w:type="auto"/>
            <w:shd w:val="clear" w:color="auto" w:fill="C6EFCE"/>
            <w:noWrap/>
            <w:hideMark/>
          </w:tcPr>
          <w:p w14:paraId="50B4B2FA" w14:textId="77777777" w:rsidR="003B5F50" w:rsidRDefault="000D2D85">
            <w:pPr>
              <w:pStyle w:val="P68B1DB1-Normal14"/>
              <w:spacing w:after="0"/>
              <w:jc w:val="center"/>
              <w:rPr>
                <w:rFonts w:eastAsia="Times New Roman"/>
                <w:noProof/>
                <w:szCs w:val="20"/>
              </w:rPr>
            </w:pPr>
            <w:r>
              <w:rPr>
                <w:noProof/>
              </w:rPr>
              <w:t>3</w:t>
            </w:r>
          </w:p>
        </w:tc>
        <w:tc>
          <w:tcPr>
            <w:tcW w:w="0" w:type="auto"/>
            <w:shd w:val="clear" w:color="auto" w:fill="C6EFCE"/>
            <w:hideMark/>
          </w:tcPr>
          <w:p w14:paraId="50B4B2FB" w14:textId="77777777" w:rsidR="003B5F50" w:rsidRDefault="000D2D85">
            <w:pPr>
              <w:pStyle w:val="P68B1DB1-Normal14"/>
              <w:spacing w:after="0"/>
              <w:rPr>
                <w:rFonts w:eastAsia="Times New Roman"/>
                <w:noProof/>
                <w:szCs w:val="20"/>
              </w:rPr>
            </w:pPr>
            <w:r>
              <w:rPr>
                <w:noProof/>
              </w:rPr>
              <w:t>10 – Attirer et retenir les talents - Réforme 2: Simplification du régime de reconnaissance des qualifications et des qualifications professionnelles pour l'exercice de professions réglementées</w:t>
            </w:r>
          </w:p>
        </w:tc>
        <w:tc>
          <w:tcPr>
            <w:tcW w:w="0" w:type="auto"/>
            <w:shd w:val="clear" w:color="auto" w:fill="C6EFCE"/>
            <w:noWrap/>
            <w:hideMark/>
          </w:tcPr>
          <w:p w14:paraId="50B4B2FC" w14:textId="77777777" w:rsidR="003B5F50" w:rsidRDefault="000D2D85">
            <w:pPr>
              <w:pStyle w:val="P68B1DB1-Normal14"/>
              <w:spacing w:after="0"/>
              <w:rPr>
                <w:rFonts w:eastAsia="Times New Roman"/>
                <w:noProof/>
                <w:szCs w:val="20"/>
              </w:rPr>
            </w:pPr>
            <w:r>
              <w:rPr>
                <w:noProof/>
              </w:rPr>
              <w:t>Étape</w:t>
            </w:r>
          </w:p>
        </w:tc>
        <w:tc>
          <w:tcPr>
            <w:tcW w:w="0" w:type="auto"/>
            <w:shd w:val="clear" w:color="auto" w:fill="C6EFCE"/>
            <w:hideMark/>
          </w:tcPr>
          <w:p w14:paraId="50B4B2FD" w14:textId="77777777" w:rsidR="003B5F50" w:rsidRDefault="000D2D85">
            <w:pPr>
              <w:pStyle w:val="P68B1DB1-Normal14"/>
              <w:spacing w:after="0"/>
              <w:rPr>
                <w:rFonts w:eastAsia="Times New Roman"/>
                <w:noProof/>
                <w:szCs w:val="20"/>
              </w:rPr>
            </w:pPr>
            <w:r>
              <w:rPr>
                <w:noProof/>
              </w:rPr>
              <w:t xml:space="preserve">Simplification de la reconnaissance des diplômes et des qualifications professionnelles </w:t>
            </w:r>
          </w:p>
        </w:tc>
        <w:tc>
          <w:tcPr>
            <w:tcW w:w="0" w:type="auto"/>
            <w:shd w:val="clear" w:color="auto" w:fill="C6EFCE"/>
            <w:hideMark/>
          </w:tcPr>
          <w:p w14:paraId="50B4B2FE" w14:textId="77777777" w:rsidR="003B5F50" w:rsidRDefault="000D2D85">
            <w:pPr>
              <w:pStyle w:val="P68B1DB1-Normal14"/>
              <w:spacing w:after="0"/>
              <w:rPr>
                <w:rFonts w:eastAsia="Times New Roman"/>
                <w:noProof/>
                <w:szCs w:val="20"/>
              </w:rPr>
            </w:pPr>
            <w:r>
              <w:rPr>
                <w:noProof/>
              </w:rPr>
              <w:t xml:space="preserve">Adoption par le Parlement et entrée en vigueur </w:t>
            </w:r>
          </w:p>
        </w:tc>
        <w:tc>
          <w:tcPr>
            <w:tcW w:w="0" w:type="auto"/>
            <w:shd w:val="clear" w:color="auto" w:fill="C6EFCE"/>
            <w:noWrap/>
            <w:hideMark/>
          </w:tcPr>
          <w:p w14:paraId="50B4B2FF"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300"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301"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302" w14:textId="77777777" w:rsidR="003B5F50" w:rsidRDefault="000D2D85">
            <w:pPr>
              <w:pStyle w:val="P68B1DB1-Normal14"/>
              <w:spacing w:after="0"/>
              <w:jc w:val="center"/>
              <w:rPr>
                <w:rFonts w:eastAsia="Times New Roman"/>
                <w:noProof/>
                <w:szCs w:val="20"/>
              </w:rPr>
            </w:pPr>
            <w:r>
              <w:rPr>
                <w:noProof/>
              </w:rPr>
              <w:t>T1</w:t>
            </w:r>
          </w:p>
        </w:tc>
        <w:tc>
          <w:tcPr>
            <w:tcW w:w="0" w:type="auto"/>
            <w:shd w:val="clear" w:color="auto" w:fill="C6EFCE"/>
            <w:noWrap/>
            <w:hideMark/>
          </w:tcPr>
          <w:p w14:paraId="50B4B303" w14:textId="77777777" w:rsidR="003B5F50" w:rsidRDefault="000D2D85">
            <w:pPr>
              <w:pStyle w:val="P68B1DB1-Normal14"/>
              <w:spacing w:after="0"/>
              <w:jc w:val="center"/>
              <w:rPr>
                <w:rFonts w:eastAsia="Times New Roman"/>
                <w:noProof/>
                <w:szCs w:val="20"/>
              </w:rPr>
            </w:pPr>
            <w:r>
              <w:rPr>
                <w:noProof/>
              </w:rPr>
              <w:t>2022</w:t>
            </w:r>
          </w:p>
        </w:tc>
        <w:tc>
          <w:tcPr>
            <w:tcW w:w="0" w:type="auto"/>
            <w:shd w:val="clear" w:color="auto" w:fill="C6EFCE"/>
            <w:hideMark/>
          </w:tcPr>
          <w:p w14:paraId="50B4B304" w14:textId="77777777" w:rsidR="003B5F50" w:rsidRDefault="000D2D85">
            <w:pPr>
              <w:pStyle w:val="P68B1DB1-Normal14"/>
              <w:spacing w:after="0"/>
              <w:rPr>
                <w:rFonts w:eastAsia="Times New Roman"/>
                <w:noProof/>
                <w:szCs w:val="20"/>
              </w:rPr>
            </w:pPr>
            <w:r>
              <w:rPr>
                <w:noProof/>
              </w:rPr>
              <w:t>La modification de la loi no 422/2015 relative à la reconnaissance des titres de formation et à la reconnaissance des qualifications professionnelles doit permettre:</w:t>
            </w:r>
          </w:p>
          <w:p w14:paraId="50B4B305" w14:textId="77777777" w:rsidR="003B5F50" w:rsidRDefault="000D2D85">
            <w:pPr>
              <w:pStyle w:val="P68B1DB1-Normal14"/>
              <w:spacing w:after="0"/>
              <w:rPr>
                <w:rFonts w:eastAsia="Times New Roman"/>
                <w:noProof/>
                <w:szCs w:val="20"/>
              </w:rPr>
            </w:pPr>
            <w:r>
              <w:rPr>
                <w:noProof/>
              </w:rPr>
              <w:t>• faciliter la reconnaissance des diplômes/documents de formation pour les pays avec lesquels la Slovaquie a conclu des accords bilatéraux dans le domaine de la reconnaissance des diplômes/documents de formation, en réduisant les documents requis du demandeur (par exemple, les certificats universitaires de compétence pour dispenser l’enseignement concerné);</w:t>
            </w:r>
          </w:p>
          <w:p w14:paraId="50B4B306" w14:textId="77777777" w:rsidR="003B5F50" w:rsidRDefault="000D2D85">
            <w:pPr>
              <w:pStyle w:val="P68B1DB1-Normal14"/>
              <w:spacing w:after="0"/>
              <w:rPr>
                <w:rFonts w:eastAsia="Times New Roman"/>
                <w:noProof/>
                <w:szCs w:val="20"/>
              </w:rPr>
            </w:pPr>
            <w:r>
              <w:rPr>
                <w:noProof/>
              </w:rPr>
              <w:t>• Renforcer les compétences du Centre pour la reconnaissance des qualifications (SUDV) pour la reconnaissance des documents de validation du niveau d’enseignement supérieur également pour les pays ne faisant pas partie de l’Espace européen de l’enseignement supérieur (EEES) sans accord bilatéral, ce qui accélérera et simplifiera considérablement le processus par rapport à la situation actuelle où les seules institutions éligibles sont les universités afin de faciliter la reconnaissance des diplômes/documents pour les pays avec lesquels la Slovaquie a conclu des accords bilatéraux sur la reconnaissance des diplômes/documents de formation.</w:t>
            </w:r>
          </w:p>
          <w:p w14:paraId="50B4B307" w14:textId="77777777" w:rsidR="003B5F50" w:rsidRDefault="003B5F50">
            <w:pPr>
              <w:spacing w:after="0"/>
              <w:rPr>
                <w:rFonts w:ascii="Times New Roman" w:eastAsia="Times New Roman" w:hAnsi="Times New Roman"/>
                <w:noProof/>
                <w:color w:val="006100"/>
                <w:sz w:val="20"/>
                <w:szCs w:val="20"/>
              </w:rPr>
            </w:pPr>
          </w:p>
          <w:p w14:paraId="50B4B308" w14:textId="77777777" w:rsidR="003B5F50" w:rsidRDefault="000D2D85">
            <w:pPr>
              <w:pStyle w:val="P68B1DB1-Normal14"/>
              <w:spacing w:after="0"/>
              <w:rPr>
                <w:rFonts w:eastAsia="Times New Roman"/>
                <w:noProof/>
                <w:szCs w:val="20"/>
              </w:rPr>
            </w:pPr>
            <w:r>
              <w:rPr>
                <w:noProof/>
              </w:rPr>
              <w:t>La modification de la loi no 578/2004 sur les prestataires de soins de santé, les professionnels de la santé et les organisations professionnelles du secteur de la santé doit permettre:</w:t>
            </w:r>
          </w:p>
          <w:p w14:paraId="50B4B309" w14:textId="77777777" w:rsidR="003B5F50" w:rsidRDefault="000D2D85">
            <w:pPr>
              <w:pStyle w:val="P68B1DB1-Normal14"/>
              <w:spacing w:after="0"/>
              <w:rPr>
                <w:rFonts w:eastAsia="Times New Roman"/>
                <w:noProof/>
                <w:szCs w:val="20"/>
              </w:rPr>
            </w:pPr>
            <w:r>
              <w:rPr>
                <w:noProof/>
              </w:rPr>
              <w:t>• raccourcir le délai de reconnaissance des documents de formation continue pour les professionnels de la santé hautement qualifiés;</w:t>
            </w:r>
          </w:p>
          <w:p w14:paraId="50B4B30A" w14:textId="77777777" w:rsidR="003B5F50" w:rsidRDefault="000D2D85">
            <w:pPr>
              <w:pStyle w:val="P68B1DB1-Normal14"/>
              <w:spacing w:after="0"/>
              <w:rPr>
                <w:rFonts w:eastAsia="Times New Roman"/>
                <w:noProof/>
                <w:szCs w:val="20"/>
              </w:rPr>
            </w:pPr>
            <w:r>
              <w:rPr>
                <w:noProof/>
              </w:rPr>
              <w:t>• Prolongation du stage temporaire pour les médecins au-delà de la pandémie</w:t>
            </w:r>
          </w:p>
        </w:tc>
      </w:tr>
      <w:tr w:rsidR="003B5F50" w14:paraId="50B4B318" w14:textId="77777777">
        <w:trPr>
          <w:trHeight w:val="1500"/>
        </w:trPr>
        <w:tc>
          <w:tcPr>
            <w:tcW w:w="0" w:type="auto"/>
            <w:shd w:val="clear" w:color="auto" w:fill="C6EFCE"/>
            <w:noWrap/>
            <w:hideMark/>
          </w:tcPr>
          <w:p w14:paraId="50B4B30C" w14:textId="77777777" w:rsidR="003B5F50" w:rsidRDefault="000D2D85">
            <w:pPr>
              <w:pStyle w:val="P68B1DB1-Normal14"/>
              <w:spacing w:after="0"/>
              <w:jc w:val="center"/>
              <w:rPr>
                <w:rFonts w:eastAsia="Times New Roman"/>
                <w:noProof/>
                <w:szCs w:val="20"/>
              </w:rPr>
            </w:pPr>
            <w:r>
              <w:rPr>
                <w:noProof/>
              </w:rPr>
              <w:t>4</w:t>
            </w:r>
          </w:p>
        </w:tc>
        <w:tc>
          <w:tcPr>
            <w:tcW w:w="0" w:type="auto"/>
            <w:shd w:val="clear" w:color="auto" w:fill="C6EFCE"/>
            <w:hideMark/>
          </w:tcPr>
          <w:p w14:paraId="50B4B30D" w14:textId="77777777" w:rsidR="003B5F50" w:rsidRDefault="000D2D85">
            <w:pPr>
              <w:pStyle w:val="P68B1DB1-Normal14"/>
              <w:spacing w:after="0"/>
              <w:rPr>
                <w:rFonts w:eastAsia="Times New Roman"/>
                <w:noProof/>
                <w:szCs w:val="20"/>
              </w:rPr>
            </w:pPr>
            <w:r>
              <w:rPr>
                <w:noProof/>
              </w:rPr>
              <w:t xml:space="preserve">10 – Attirer et retenir les talents – Investissement 1: Outils de soutien et d'assistance pour des groupes cibles spécifiques </w:t>
            </w:r>
          </w:p>
        </w:tc>
        <w:tc>
          <w:tcPr>
            <w:tcW w:w="0" w:type="auto"/>
            <w:shd w:val="clear" w:color="auto" w:fill="C6EFCE"/>
            <w:noWrap/>
            <w:hideMark/>
          </w:tcPr>
          <w:p w14:paraId="50B4B30E" w14:textId="77777777" w:rsidR="003B5F50" w:rsidRDefault="000D2D85">
            <w:pPr>
              <w:pStyle w:val="P68B1DB1-Normal14"/>
              <w:spacing w:after="0"/>
              <w:rPr>
                <w:rFonts w:eastAsia="Times New Roman"/>
                <w:noProof/>
                <w:szCs w:val="20"/>
              </w:rPr>
            </w:pPr>
            <w:r>
              <w:rPr>
                <w:noProof/>
              </w:rPr>
              <w:t>Objectif</w:t>
            </w:r>
          </w:p>
        </w:tc>
        <w:tc>
          <w:tcPr>
            <w:tcW w:w="0" w:type="auto"/>
            <w:shd w:val="clear" w:color="auto" w:fill="C6EFCE"/>
            <w:hideMark/>
          </w:tcPr>
          <w:p w14:paraId="50B4B30F" w14:textId="77777777" w:rsidR="003B5F50" w:rsidRDefault="000D2D85">
            <w:pPr>
              <w:pStyle w:val="P68B1DB1-Normal14"/>
              <w:spacing w:after="0"/>
              <w:rPr>
                <w:rFonts w:eastAsia="Times New Roman"/>
                <w:noProof/>
                <w:szCs w:val="20"/>
              </w:rPr>
            </w:pPr>
            <w:r>
              <w:rPr>
                <w:noProof/>
              </w:rPr>
              <w:t>Nombre de guichets uniques pour l’intégration en Slovaquie</w:t>
            </w:r>
          </w:p>
        </w:tc>
        <w:tc>
          <w:tcPr>
            <w:tcW w:w="0" w:type="auto"/>
            <w:shd w:val="clear" w:color="auto" w:fill="C6EFCE"/>
            <w:hideMark/>
          </w:tcPr>
          <w:p w14:paraId="50B4B310" w14:textId="77777777" w:rsidR="003B5F50" w:rsidRDefault="003B5F50">
            <w:pPr>
              <w:spacing w:after="0"/>
              <w:rPr>
                <w:rFonts w:ascii="Times New Roman" w:eastAsia="Times New Roman" w:hAnsi="Times New Roman"/>
                <w:noProof/>
                <w:color w:val="006100"/>
                <w:sz w:val="20"/>
                <w:szCs w:val="20"/>
              </w:rPr>
            </w:pPr>
          </w:p>
        </w:tc>
        <w:tc>
          <w:tcPr>
            <w:tcW w:w="0" w:type="auto"/>
            <w:shd w:val="clear" w:color="auto" w:fill="C6EFCE"/>
            <w:noWrap/>
            <w:hideMark/>
          </w:tcPr>
          <w:p w14:paraId="50B4B311" w14:textId="77777777" w:rsidR="003B5F50" w:rsidRDefault="000D2D85">
            <w:pPr>
              <w:pStyle w:val="P68B1DB1-Normal14"/>
              <w:spacing w:after="0"/>
              <w:rPr>
                <w:rFonts w:eastAsia="Times New Roman"/>
                <w:noProof/>
                <w:szCs w:val="20"/>
              </w:rPr>
            </w:pPr>
            <w:r>
              <w:rPr>
                <w:noProof/>
              </w:rPr>
              <w:t>Numéro</w:t>
            </w:r>
          </w:p>
        </w:tc>
        <w:tc>
          <w:tcPr>
            <w:tcW w:w="0" w:type="auto"/>
            <w:shd w:val="clear" w:color="auto" w:fill="C6EFCE"/>
            <w:noWrap/>
            <w:hideMark/>
          </w:tcPr>
          <w:p w14:paraId="50B4B312" w14:textId="77777777" w:rsidR="003B5F50" w:rsidRDefault="000D2D85">
            <w:pPr>
              <w:pStyle w:val="P68B1DB1-Normal14"/>
              <w:spacing w:after="0"/>
              <w:rPr>
                <w:rFonts w:eastAsia="Times New Roman"/>
                <w:noProof/>
                <w:szCs w:val="20"/>
              </w:rPr>
            </w:pPr>
            <w:r>
              <w:rPr>
                <w:noProof/>
              </w:rPr>
              <w:t>0</w:t>
            </w:r>
          </w:p>
        </w:tc>
        <w:tc>
          <w:tcPr>
            <w:tcW w:w="0" w:type="auto"/>
            <w:shd w:val="clear" w:color="auto" w:fill="C6EFCE"/>
            <w:noWrap/>
            <w:hideMark/>
          </w:tcPr>
          <w:p w14:paraId="50B4B313" w14:textId="77777777" w:rsidR="003B5F50" w:rsidRDefault="000D2D85">
            <w:pPr>
              <w:pStyle w:val="P68B1DB1-Normal14"/>
              <w:spacing w:after="0"/>
              <w:rPr>
                <w:rFonts w:eastAsia="Times New Roman"/>
                <w:noProof/>
                <w:szCs w:val="20"/>
              </w:rPr>
            </w:pPr>
            <w:r>
              <w:rPr>
                <w:noProof/>
              </w:rPr>
              <w:t>3</w:t>
            </w:r>
          </w:p>
        </w:tc>
        <w:tc>
          <w:tcPr>
            <w:tcW w:w="0" w:type="auto"/>
            <w:shd w:val="clear" w:color="auto" w:fill="C6EFCE"/>
            <w:noWrap/>
            <w:hideMark/>
          </w:tcPr>
          <w:p w14:paraId="50B4B314" w14:textId="77777777" w:rsidR="003B5F50" w:rsidRDefault="000D2D85">
            <w:pPr>
              <w:pStyle w:val="P68B1DB1-Normal14"/>
              <w:spacing w:after="0"/>
              <w:jc w:val="center"/>
              <w:rPr>
                <w:rFonts w:eastAsia="Times New Roman"/>
                <w:noProof/>
                <w:szCs w:val="20"/>
              </w:rPr>
            </w:pPr>
            <w:r>
              <w:rPr>
                <w:noProof/>
              </w:rPr>
              <w:t>T4</w:t>
            </w:r>
          </w:p>
        </w:tc>
        <w:tc>
          <w:tcPr>
            <w:tcW w:w="0" w:type="auto"/>
            <w:shd w:val="clear" w:color="auto" w:fill="C6EFCE"/>
            <w:noWrap/>
            <w:hideMark/>
          </w:tcPr>
          <w:p w14:paraId="50B4B315" w14:textId="77777777" w:rsidR="003B5F50" w:rsidRDefault="000D2D85">
            <w:pPr>
              <w:pStyle w:val="P68B1DB1-Normal14"/>
              <w:spacing w:after="0"/>
              <w:jc w:val="center"/>
              <w:rPr>
                <w:rFonts w:eastAsia="Times New Roman"/>
                <w:noProof/>
                <w:szCs w:val="20"/>
              </w:rPr>
            </w:pPr>
            <w:r>
              <w:rPr>
                <w:noProof/>
              </w:rPr>
              <w:t>2024</w:t>
            </w:r>
          </w:p>
        </w:tc>
        <w:tc>
          <w:tcPr>
            <w:tcW w:w="0" w:type="auto"/>
            <w:shd w:val="clear" w:color="auto" w:fill="C6EFCE"/>
            <w:hideMark/>
          </w:tcPr>
          <w:p w14:paraId="50B4B317" w14:textId="2418B752" w:rsidR="003B5F50" w:rsidRDefault="000D2D85">
            <w:pPr>
              <w:pStyle w:val="P68B1DB1-Normal15"/>
              <w:spacing w:after="0"/>
              <w:rPr>
                <w:rFonts w:eastAsia="Times New Roman"/>
                <w:noProof/>
              </w:rPr>
            </w:pPr>
            <w:r>
              <w:rPr>
                <w:noProof/>
              </w:rPr>
              <w:t xml:space="preserve">Mise en place de trois guichets uniques fournissant des services visant à faciliter l’établissement en Slovaquie. Un document conceptuel pour la mise en place de guichets uniques est élaboré. </w:t>
            </w:r>
          </w:p>
        </w:tc>
      </w:tr>
      <w:tr w:rsidR="003B5F50" w14:paraId="50B4B325" w14:textId="77777777">
        <w:trPr>
          <w:trHeight w:val="77"/>
        </w:trPr>
        <w:tc>
          <w:tcPr>
            <w:tcW w:w="0" w:type="auto"/>
            <w:shd w:val="clear" w:color="auto" w:fill="C6EFCE"/>
            <w:noWrap/>
            <w:hideMark/>
          </w:tcPr>
          <w:p w14:paraId="50B4B319" w14:textId="77777777" w:rsidR="003B5F50" w:rsidRDefault="000D2D85">
            <w:pPr>
              <w:pStyle w:val="P68B1DB1-Normal14"/>
              <w:spacing w:after="0"/>
              <w:jc w:val="center"/>
              <w:rPr>
                <w:rFonts w:eastAsia="Times New Roman"/>
                <w:noProof/>
                <w:szCs w:val="20"/>
              </w:rPr>
            </w:pPr>
            <w:r>
              <w:rPr>
                <w:noProof/>
              </w:rPr>
              <w:t>5</w:t>
            </w:r>
          </w:p>
        </w:tc>
        <w:tc>
          <w:tcPr>
            <w:tcW w:w="0" w:type="auto"/>
            <w:shd w:val="clear" w:color="auto" w:fill="C6EFCE"/>
            <w:hideMark/>
          </w:tcPr>
          <w:p w14:paraId="50B4B31A" w14:textId="77777777" w:rsidR="003B5F50" w:rsidRDefault="000D2D85">
            <w:pPr>
              <w:pStyle w:val="P68B1DB1-Normal14"/>
              <w:spacing w:after="0"/>
              <w:rPr>
                <w:rFonts w:eastAsia="Times New Roman"/>
                <w:noProof/>
                <w:szCs w:val="20"/>
              </w:rPr>
            </w:pPr>
            <w:r>
              <w:rPr>
                <w:noProof/>
              </w:rPr>
              <w:t xml:space="preserve">10 – Attirer et retenir les talents – Investissement 1: Outils de soutien et d'assistance pour des groupes cibles spécifiques </w:t>
            </w:r>
          </w:p>
        </w:tc>
        <w:tc>
          <w:tcPr>
            <w:tcW w:w="0" w:type="auto"/>
            <w:shd w:val="clear" w:color="auto" w:fill="C6EFCE"/>
            <w:noWrap/>
            <w:hideMark/>
          </w:tcPr>
          <w:p w14:paraId="50B4B31B" w14:textId="77777777" w:rsidR="003B5F50" w:rsidRDefault="000D2D85">
            <w:pPr>
              <w:pStyle w:val="P68B1DB1-Normal14"/>
              <w:spacing w:after="0"/>
              <w:rPr>
                <w:rFonts w:eastAsia="Times New Roman"/>
                <w:noProof/>
                <w:szCs w:val="20"/>
              </w:rPr>
            </w:pPr>
            <w:r>
              <w:rPr>
                <w:noProof/>
              </w:rPr>
              <w:t>Objectif</w:t>
            </w:r>
          </w:p>
        </w:tc>
        <w:tc>
          <w:tcPr>
            <w:tcW w:w="0" w:type="auto"/>
            <w:shd w:val="clear" w:color="auto" w:fill="C6EFCE"/>
            <w:hideMark/>
          </w:tcPr>
          <w:p w14:paraId="50B4B31C" w14:textId="77777777" w:rsidR="003B5F50" w:rsidRDefault="000D2D85">
            <w:pPr>
              <w:pStyle w:val="P68B1DB1-Normal15"/>
              <w:spacing w:after="0"/>
              <w:rPr>
                <w:rFonts w:eastAsia="Times New Roman"/>
                <w:noProof/>
              </w:rPr>
            </w:pPr>
            <w:r>
              <w:rPr>
                <w:noProof/>
              </w:rPr>
              <w:t>Nombre de bénéficiaires utilisant les services du Centre d'information sur la migration de l'OIM</w:t>
            </w:r>
          </w:p>
        </w:tc>
        <w:tc>
          <w:tcPr>
            <w:tcW w:w="0" w:type="auto"/>
            <w:shd w:val="clear" w:color="auto" w:fill="C6EFCE"/>
            <w:hideMark/>
          </w:tcPr>
          <w:p w14:paraId="50B4B31D" w14:textId="77777777" w:rsidR="003B5F50" w:rsidRDefault="003B5F50">
            <w:pPr>
              <w:spacing w:after="0"/>
              <w:rPr>
                <w:rFonts w:ascii="Times New Roman" w:eastAsia="Times New Roman" w:hAnsi="Times New Roman"/>
                <w:noProof/>
                <w:color w:val="006100"/>
                <w:sz w:val="20"/>
                <w:szCs w:val="20"/>
              </w:rPr>
            </w:pPr>
          </w:p>
        </w:tc>
        <w:tc>
          <w:tcPr>
            <w:tcW w:w="0" w:type="auto"/>
            <w:shd w:val="clear" w:color="auto" w:fill="C6EFCE"/>
            <w:noWrap/>
            <w:hideMark/>
          </w:tcPr>
          <w:p w14:paraId="50B4B31E" w14:textId="77777777" w:rsidR="003B5F50" w:rsidRDefault="000D2D85">
            <w:pPr>
              <w:pStyle w:val="P68B1DB1-Normal14"/>
              <w:spacing w:after="0"/>
              <w:rPr>
                <w:rFonts w:eastAsia="Times New Roman"/>
                <w:noProof/>
                <w:szCs w:val="20"/>
              </w:rPr>
            </w:pPr>
            <w:r>
              <w:rPr>
                <w:noProof/>
              </w:rPr>
              <w:t>Numéro</w:t>
            </w:r>
          </w:p>
        </w:tc>
        <w:tc>
          <w:tcPr>
            <w:tcW w:w="0" w:type="auto"/>
            <w:shd w:val="clear" w:color="auto" w:fill="C6EFCE"/>
            <w:noWrap/>
            <w:hideMark/>
          </w:tcPr>
          <w:p w14:paraId="50B4B31F" w14:textId="77777777" w:rsidR="003B5F50" w:rsidRDefault="000D2D85">
            <w:pPr>
              <w:pStyle w:val="P68B1DB1-Normal14"/>
              <w:spacing w:after="0"/>
              <w:jc w:val="right"/>
              <w:rPr>
                <w:rFonts w:eastAsia="Times New Roman"/>
                <w:noProof/>
                <w:szCs w:val="20"/>
              </w:rPr>
            </w:pPr>
            <w:r>
              <w:rPr>
                <w:noProof/>
              </w:rPr>
              <w:t>0</w:t>
            </w:r>
          </w:p>
        </w:tc>
        <w:tc>
          <w:tcPr>
            <w:tcW w:w="0" w:type="auto"/>
            <w:shd w:val="clear" w:color="auto" w:fill="C6EFCE"/>
            <w:noWrap/>
            <w:hideMark/>
          </w:tcPr>
          <w:p w14:paraId="50B4B320" w14:textId="77777777" w:rsidR="003B5F50" w:rsidRDefault="000D2D85">
            <w:pPr>
              <w:pStyle w:val="P68B1DB1-Normal14"/>
              <w:spacing w:after="0"/>
              <w:jc w:val="right"/>
              <w:rPr>
                <w:rFonts w:eastAsia="Times New Roman"/>
                <w:noProof/>
                <w:szCs w:val="20"/>
              </w:rPr>
            </w:pPr>
            <w:r>
              <w:rPr>
                <w:noProof/>
              </w:rPr>
              <w:t>7 000</w:t>
            </w:r>
          </w:p>
        </w:tc>
        <w:tc>
          <w:tcPr>
            <w:tcW w:w="0" w:type="auto"/>
            <w:shd w:val="clear" w:color="auto" w:fill="C6EFCE"/>
            <w:noWrap/>
            <w:hideMark/>
          </w:tcPr>
          <w:p w14:paraId="50B4B321" w14:textId="77777777" w:rsidR="003B5F50" w:rsidRDefault="000D2D85">
            <w:pPr>
              <w:pStyle w:val="P68B1DB1-Normal14"/>
              <w:spacing w:after="0"/>
              <w:jc w:val="center"/>
              <w:rPr>
                <w:rFonts w:eastAsia="Times New Roman"/>
                <w:noProof/>
                <w:szCs w:val="20"/>
              </w:rPr>
            </w:pPr>
            <w:r>
              <w:rPr>
                <w:noProof/>
              </w:rPr>
              <w:t>T4</w:t>
            </w:r>
          </w:p>
        </w:tc>
        <w:tc>
          <w:tcPr>
            <w:tcW w:w="0" w:type="auto"/>
            <w:shd w:val="clear" w:color="auto" w:fill="C6EFCE"/>
            <w:noWrap/>
            <w:hideMark/>
          </w:tcPr>
          <w:p w14:paraId="50B4B322" w14:textId="77777777" w:rsidR="003B5F50" w:rsidRDefault="000D2D85">
            <w:pPr>
              <w:pStyle w:val="P68B1DB1-Normal14"/>
              <w:spacing w:after="0"/>
              <w:jc w:val="center"/>
              <w:rPr>
                <w:rFonts w:eastAsia="Times New Roman"/>
                <w:noProof/>
                <w:szCs w:val="20"/>
              </w:rPr>
            </w:pPr>
            <w:r>
              <w:rPr>
                <w:noProof/>
              </w:rPr>
              <w:t>2024</w:t>
            </w:r>
          </w:p>
        </w:tc>
        <w:tc>
          <w:tcPr>
            <w:tcW w:w="0" w:type="auto"/>
            <w:shd w:val="clear" w:color="auto" w:fill="C6EFCE"/>
            <w:hideMark/>
          </w:tcPr>
          <w:p w14:paraId="50B4B324" w14:textId="09CDC162" w:rsidR="003B5F50" w:rsidRDefault="000D2D85">
            <w:pPr>
              <w:pStyle w:val="P68B1DB1-Normal15"/>
              <w:spacing w:after="0"/>
              <w:rPr>
                <w:rFonts w:eastAsia="Times New Roman"/>
                <w:noProof/>
              </w:rPr>
            </w:pPr>
            <w:r>
              <w:rPr>
                <w:noProof/>
              </w:rPr>
              <w:t>Au cours de la période 2022-2024, au moins 7 000 bénéficiaires bénéficieront des services du centre d’information de l’OIM sur la migration. Les bénéficiaires appartiennent à l’un des groupes cibles spécifiques suivants: les travailleurs étrangers hautement qualifiés, les étudiants étrangers de l’enseignement supérieur, les bénéficiaires appartenant aux groupes sélectionnés définis dans la résolution de la réforme 1 ou les membres de la famille de ces groupes cibles.</w:t>
            </w:r>
          </w:p>
        </w:tc>
      </w:tr>
      <w:tr w:rsidR="003B5F50" w14:paraId="50B4B337" w14:textId="77777777">
        <w:trPr>
          <w:trHeight w:val="409"/>
        </w:trPr>
        <w:tc>
          <w:tcPr>
            <w:tcW w:w="0" w:type="auto"/>
            <w:shd w:val="clear" w:color="auto" w:fill="C6EFCE"/>
            <w:noWrap/>
            <w:hideMark/>
          </w:tcPr>
          <w:p w14:paraId="50B4B326" w14:textId="77777777" w:rsidR="003B5F50" w:rsidRDefault="000D2D85">
            <w:pPr>
              <w:pStyle w:val="P68B1DB1-Normal14"/>
              <w:spacing w:after="0"/>
              <w:jc w:val="center"/>
              <w:rPr>
                <w:rFonts w:eastAsia="Times New Roman"/>
                <w:noProof/>
                <w:szCs w:val="20"/>
              </w:rPr>
            </w:pPr>
            <w:r>
              <w:rPr>
                <w:noProof/>
              </w:rPr>
              <w:t>6</w:t>
            </w:r>
          </w:p>
        </w:tc>
        <w:tc>
          <w:tcPr>
            <w:tcW w:w="0" w:type="auto"/>
            <w:shd w:val="clear" w:color="auto" w:fill="C6EFCE"/>
            <w:hideMark/>
          </w:tcPr>
          <w:p w14:paraId="50B4B327" w14:textId="078B4B4E" w:rsidR="003B5F50" w:rsidRDefault="000D2D85">
            <w:pPr>
              <w:pStyle w:val="P68B1DB1-Normal14"/>
              <w:spacing w:after="0"/>
              <w:rPr>
                <w:rFonts w:eastAsia="Times New Roman"/>
                <w:noProof/>
                <w:szCs w:val="20"/>
              </w:rPr>
            </w:pPr>
            <w:r>
              <w:rPr>
                <w:noProof/>
              </w:rPr>
              <w:t>10 – Attirer et retenir les talents – Investissement 2: Renforcer les relations avec la diaspora</w:t>
            </w:r>
          </w:p>
        </w:tc>
        <w:tc>
          <w:tcPr>
            <w:tcW w:w="0" w:type="auto"/>
            <w:shd w:val="clear" w:color="auto" w:fill="C6EFCE"/>
            <w:noWrap/>
            <w:hideMark/>
          </w:tcPr>
          <w:p w14:paraId="50B4B328" w14:textId="77777777" w:rsidR="003B5F50" w:rsidRDefault="000D2D85">
            <w:pPr>
              <w:pStyle w:val="P68B1DB1-Normal14"/>
              <w:spacing w:after="0"/>
              <w:rPr>
                <w:rFonts w:eastAsia="Times New Roman"/>
                <w:noProof/>
                <w:szCs w:val="20"/>
              </w:rPr>
            </w:pPr>
            <w:r>
              <w:rPr>
                <w:noProof/>
              </w:rPr>
              <w:t>Objectif</w:t>
            </w:r>
          </w:p>
        </w:tc>
        <w:tc>
          <w:tcPr>
            <w:tcW w:w="0" w:type="auto"/>
            <w:shd w:val="clear" w:color="auto" w:fill="C6EFCE"/>
            <w:hideMark/>
          </w:tcPr>
          <w:p w14:paraId="50B4B329" w14:textId="34CA20EB" w:rsidR="003B5F50" w:rsidRDefault="000D2D85">
            <w:pPr>
              <w:pStyle w:val="P68B1DB1-Normal14"/>
              <w:spacing w:after="0"/>
              <w:rPr>
                <w:rFonts w:eastAsia="Times New Roman"/>
                <w:noProof/>
                <w:szCs w:val="20"/>
              </w:rPr>
            </w:pPr>
            <w:r>
              <w:rPr>
                <w:noProof/>
              </w:rPr>
              <w:t>Nombre d'événements renforçant les relations avec la diaspora</w:t>
            </w:r>
          </w:p>
        </w:tc>
        <w:tc>
          <w:tcPr>
            <w:tcW w:w="0" w:type="auto"/>
            <w:shd w:val="clear" w:color="auto" w:fill="C6EFCE"/>
            <w:hideMark/>
          </w:tcPr>
          <w:p w14:paraId="50B4B32A" w14:textId="77777777" w:rsidR="003B5F50" w:rsidRDefault="003B5F50">
            <w:pPr>
              <w:spacing w:after="0"/>
              <w:rPr>
                <w:rFonts w:ascii="Times New Roman" w:eastAsia="Times New Roman" w:hAnsi="Times New Roman"/>
                <w:noProof/>
                <w:color w:val="006100"/>
                <w:sz w:val="20"/>
                <w:szCs w:val="20"/>
              </w:rPr>
            </w:pPr>
          </w:p>
        </w:tc>
        <w:tc>
          <w:tcPr>
            <w:tcW w:w="0" w:type="auto"/>
            <w:shd w:val="clear" w:color="auto" w:fill="C6EFCE"/>
            <w:noWrap/>
            <w:hideMark/>
          </w:tcPr>
          <w:p w14:paraId="50B4B32B" w14:textId="77777777" w:rsidR="003B5F50" w:rsidRDefault="000D2D85">
            <w:pPr>
              <w:pStyle w:val="P68B1DB1-Normal14"/>
              <w:spacing w:after="0"/>
              <w:rPr>
                <w:rFonts w:eastAsia="Times New Roman"/>
                <w:noProof/>
                <w:szCs w:val="20"/>
              </w:rPr>
            </w:pPr>
            <w:r>
              <w:rPr>
                <w:noProof/>
              </w:rPr>
              <w:t>Numéro</w:t>
            </w:r>
          </w:p>
        </w:tc>
        <w:tc>
          <w:tcPr>
            <w:tcW w:w="0" w:type="auto"/>
            <w:shd w:val="clear" w:color="auto" w:fill="C6EFCE"/>
            <w:noWrap/>
            <w:hideMark/>
          </w:tcPr>
          <w:p w14:paraId="50B4B32C" w14:textId="77777777" w:rsidR="003B5F50" w:rsidRDefault="000D2D85">
            <w:pPr>
              <w:pStyle w:val="P68B1DB1-Normal14"/>
              <w:spacing w:after="0"/>
              <w:jc w:val="right"/>
              <w:rPr>
                <w:rFonts w:eastAsia="Times New Roman"/>
                <w:noProof/>
                <w:szCs w:val="20"/>
              </w:rPr>
            </w:pPr>
            <w:r>
              <w:rPr>
                <w:noProof/>
              </w:rPr>
              <w:t>0</w:t>
            </w:r>
          </w:p>
        </w:tc>
        <w:tc>
          <w:tcPr>
            <w:tcW w:w="0" w:type="auto"/>
            <w:shd w:val="clear" w:color="auto" w:fill="C6EFCE"/>
            <w:noWrap/>
            <w:hideMark/>
          </w:tcPr>
          <w:p w14:paraId="50B4B32D" w14:textId="77777777" w:rsidR="003B5F50" w:rsidRDefault="000D2D85">
            <w:pPr>
              <w:pStyle w:val="P68B1DB1-Normal14"/>
              <w:spacing w:after="0"/>
              <w:jc w:val="right"/>
              <w:rPr>
                <w:rFonts w:eastAsia="Times New Roman"/>
                <w:noProof/>
                <w:szCs w:val="20"/>
              </w:rPr>
            </w:pPr>
            <w:r>
              <w:rPr>
                <w:noProof/>
              </w:rPr>
              <w:t>200</w:t>
            </w:r>
          </w:p>
        </w:tc>
        <w:tc>
          <w:tcPr>
            <w:tcW w:w="0" w:type="auto"/>
            <w:shd w:val="clear" w:color="auto" w:fill="C6EFCE"/>
            <w:noWrap/>
            <w:hideMark/>
          </w:tcPr>
          <w:p w14:paraId="50B4B32E" w14:textId="77777777" w:rsidR="003B5F50" w:rsidRDefault="000D2D85">
            <w:pPr>
              <w:pStyle w:val="P68B1DB1-Normal14"/>
              <w:spacing w:after="0"/>
              <w:jc w:val="center"/>
              <w:rPr>
                <w:rFonts w:eastAsia="Times New Roman"/>
                <w:noProof/>
                <w:szCs w:val="20"/>
              </w:rPr>
            </w:pPr>
            <w:r>
              <w:rPr>
                <w:noProof/>
              </w:rPr>
              <w:t>T1</w:t>
            </w:r>
          </w:p>
        </w:tc>
        <w:tc>
          <w:tcPr>
            <w:tcW w:w="0" w:type="auto"/>
            <w:shd w:val="clear" w:color="auto" w:fill="C6EFCE"/>
            <w:noWrap/>
            <w:hideMark/>
          </w:tcPr>
          <w:p w14:paraId="50B4B32F" w14:textId="77777777" w:rsidR="003B5F50" w:rsidRDefault="000D2D85">
            <w:pPr>
              <w:pStyle w:val="P68B1DB1-Normal14"/>
              <w:spacing w:after="0"/>
              <w:jc w:val="center"/>
              <w:rPr>
                <w:rFonts w:eastAsia="Times New Roman"/>
                <w:noProof/>
                <w:szCs w:val="20"/>
              </w:rPr>
            </w:pPr>
            <w:r>
              <w:rPr>
                <w:noProof/>
              </w:rPr>
              <w:t>2026</w:t>
            </w:r>
          </w:p>
        </w:tc>
        <w:tc>
          <w:tcPr>
            <w:tcW w:w="0" w:type="auto"/>
            <w:shd w:val="clear" w:color="auto" w:fill="C6EFCE"/>
            <w:hideMark/>
          </w:tcPr>
          <w:p w14:paraId="50B4B330" w14:textId="77777777" w:rsidR="003B5F50" w:rsidRDefault="000D2D85">
            <w:pPr>
              <w:pStyle w:val="P68B1DB1-Normal15"/>
              <w:spacing w:after="0"/>
              <w:rPr>
                <w:noProof/>
              </w:rPr>
            </w:pPr>
            <w:r>
              <w:rPr>
                <w:noProof/>
              </w:rPr>
              <w:t>Organisez 200 événements avec des Slovaques à l'étranger.</w:t>
            </w:r>
          </w:p>
          <w:p w14:paraId="50B4B331" w14:textId="77777777" w:rsidR="003B5F50" w:rsidRDefault="000D2D85">
            <w:pPr>
              <w:pStyle w:val="P68B1DB1-Normal15"/>
              <w:spacing w:after="0"/>
              <w:rPr>
                <w:noProof/>
              </w:rPr>
            </w:pPr>
            <w:r>
              <w:rPr>
                <w:noProof/>
              </w:rPr>
              <w:t xml:space="preserve">Chaque manifestation couvre au moins un des thèmes suivants: </w:t>
            </w:r>
          </w:p>
          <w:p w14:paraId="50B4B332" w14:textId="77777777" w:rsidR="003B5F50" w:rsidRDefault="000D2D85">
            <w:pPr>
              <w:pStyle w:val="P68B1DB1-Normal15"/>
              <w:spacing w:after="0"/>
              <w:rPr>
                <w:noProof/>
              </w:rPr>
            </w:pPr>
            <w:r>
              <w:rPr>
                <w:noProof/>
              </w:rPr>
              <w:t>- la législation sur le séjour et la citoyenneté en Slovaquie;</w:t>
            </w:r>
          </w:p>
          <w:p w14:paraId="50B4B333" w14:textId="4B4F36F0" w:rsidR="003B5F50" w:rsidRDefault="000D2D85">
            <w:pPr>
              <w:pStyle w:val="P68B1DB1-Normal15"/>
              <w:spacing w:after="0"/>
              <w:rPr>
                <w:noProof/>
              </w:rPr>
            </w:pPr>
            <w:r>
              <w:rPr>
                <w:noProof/>
              </w:rPr>
              <w:t>- l'internationalisation des établissements d'enseignement supérieur ou de recherche;</w:t>
            </w:r>
          </w:p>
          <w:p w14:paraId="50B4B334" w14:textId="3D419C6E" w:rsidR="003B5F50" w:rsidRDefault="000D2D85">
            <w:pPr>
              <w:pStyle w:val="P68B1DB1-Normal15"/>
              <w:spacing w:after="0"/>
              <w:rPr>
                <w:noProof/>
              </w:rPr>
            </w:pPr>
            <w:r>
              <w:rPr>
                <w:noProof/>
              </w:rPr>
              <w:t xml:space="preserve">- la coopération entre les instituts de recherche nationaux et internationaux; </w:t>
            </w:r>
          </w:p>
          <w:p w14:paraId="50B4B336" w14:textId="35808B9E" w:rsidR="003B5F50" w:rsidRDefault="000D2D85">
            <w:pPr>
              <w:pStyle w:val="P68B1DB1-Normal15"/>
              <w:spacing w:after="0"/>
              <w:rPr>
                <w:rFonts w:eastAsia="Times New Roman"/>
                <w:noProof/>
              </w:rPr>
            </w:pPr>
            <w:r>
              <w:rPr>
                <w:noProof/>
              </w:rPr>
              <w:t>- promotion des possibilités de carrière en Slovaquie.</w:t>
            </w:r>
          </w:p>
        </w:tc>
      </w:tr>
      <w:tr w:rsidR="003B5F50" w14:paraId="50B4B34A" w14:textId="77777777">
        <w:trPr>
          <w:trHeight w:val="570"/>
        </w:trPr>
        <w:tc>
          <w:tcPr>
            <w:tcW w:w="0" w:type="auto"/>
            <w:shd w:val="clear" w:color="auto" w:fill="C6EFCE"/>
            <w:noWrap/>
            <w:hideMark/>
          </w:tcPr>
          <w:p w14:paraId="50B4B338" w14:textId="77777777" w:rsidR="003B5F50" w:rsidRDefault="000D2D85">
            <w:pPr>
              <w:pStyle w:val="P68B1DB1-Normal14"/>
              <w:spacing w:after="0"/>
              <w:jc w:val="center"/>
              <w:rPr>
                <w:rFonts w:eastAsia="Times New Roman"/>
                <w:noProof/>
                <w:szCs w:val="20"/>
              </w:rPr>
            </w:pPr>
            <w:r>
              <w:rPr>
                <w:noProof/>
              </w:rPr>
              <w:t>7</w:t>
            </w:r>
          </w:p>
        </w:tc>
        <w:tc>
          <w:tcPr>
            <w:tcW w:w="0" w:type="auto"/>
            <w:shd w:val="clear" w:color="auto" w:fill="C6EFCE"/>
            <w:hideMark/>
          </w:tcPr>
          <w:p w14:paraId="50B4B339" w14:textId="77777777" w:rsidR="003B5F50" w:rsidRDefault="000D2D85">
            <w:pPr>
              <w:pStyle w:val="P68B1DB1-Normal14"/>
              <w:spacing w:after="0"/>
              <w:rPr>
                <w:rFonts w:eastAsia="Times New Roman"/>
                <w:noProof/>
                <w:szCs w:val="20"/>
              </w:rPr>
            </w:pPr>
            <w:r>
              <w:rPr>
                <w:noProof/>
              </w:rPr>
              <w:t>10 – Attirer et retenir les talents – Investissement 3: Bourses d'études pour les étudiants talentueux nationaux et étrangers</w:t>
            </w:r>
          </w:p>
        </w:tc>
        <w:tc>
          <w:tcPr>
            <w:tcW w:w="0" w:type="auto"/>
            <w:shd w:val="clear" w:color="auto" w:fill="C6EFCE"/>
            <w:noWrap/>
            <w:hideMark/>
          </w:tcPr>
          <w:p w14:paraId="50B4B33A" w14:textId="77777777" w:rsidR="003B5F50" w:rsidRDefault="000D2D85">
            <w:pPr>
              <w:pStyle w:val="P68B1DB1-Normal14"/>
              <w:spacing w:after="0"/>
              <w:rPr>
                <w:rFonts w:eastAsia="Times New Roman"/>
                <w:noProof/>
                <w:szCs w:val="20"/>
              </w:rPr>
            </w:pPr>
            <w:r>
              <w:rPr>
                <w:noProof/>
              </w:rPr>
              <w:t>Objectif</w:t>
            </w:r>
          </w:p>
        </w:tc>
        <w:tc>
          <w:tcPr>
            <w:tcW w:w="0" w:type="auto"/>
            <w:shd w:val="clear" w:color="auto" w:fill="C6EFCE"/>
            <w:hideMark/>
          </w:tcPr>
          <w:p w14:paraId="50B4B33B" w14:textId="77777777" w:rsidR="003B5F50" w:rsidRDefault="000D2D85">
            <w:pPr>
              <w:pStyle w:val="P68B1DB1-Normal14"/>
              <w:spacing w:after="0"/>
              <w:rPr>
                <w:rFonts w:eastAsia="Times New Roman"/>
                <w:noProof/>
                <w:szCs w:val="20"/>
              </w:rPr>
            </w:pPr>
            <w:r>
              <w:rPr>
                <w:noProof/>
              </w:rPr>
              <w:t>Nombre de bourses attribuées à des étudiants talentueux</w:t>
            </w:r>
          </w:p>
        </w:tc>
        <w:tc>
          <w:tcPr>
            <w:tcW w:w="0" w:type="auto"/>
            <w:shd w:val="clear" w:color="auto" w:fill="C6EFCE"/>
            <w:hideMark/>
          </w:tcPr>
          <w:p w14:paraId="50B4B33C" w14:textId="77777777" w:rsidR="003B5F50" w:rsidRDefault="003B5F50">
            <w:pPr>
              <w:spacing w:after="0"/>
              <w:rPr>
                <w:rFonts w:ascii="Times New Roman" w:eastAsia="Times New Roman" w:hAnsi="Times New Roman"/>
                <w:noProof/>
                <w:color w:val="006100"/>
                <w:sz w:val="20"/>
                <w:szCs w:val="20"/>
              </w:rPr>
            </w:pPr>
          </w:p>
        </w:tc>
        <w:tc>
          <w:tcPr>
            <w:tcW w:w="0" w:type="auto"/>
            <w:shd w:val="clear" w:color="auto" w:fill="C6EFCE"/>
            <w:noWrap/>
            <w:hideMark/>
          </w:tcPr>
          <w:p w14:paraId="50B4B33D" w14:textId="77777777" w:rsidR="003B5F50" w:rsidRDefault="000D2D85">
            <w:pPr>
              <w:pStyle w:val="P68B1DB1-Normal14"/>
              <w:spacing w:after="0"/>
              <w:rPr>
                <w:rFonts w:eastAsia="Times New Roman"/>
                <w:noProof/>
                <w:szCs w:val="20"/>
              </w:rPr>
            </w:pPr>
            <w:r>
              <w:rPr>
                <w:noProof/>
              </w:rPr>
              <w:t>Numéro</w:t>
            </w:r>
          </w:p>
        </w:tc>
        <w:tc>
          <w:tcPr>
            <w:tcW w:w="0" w:type="auto"/>
            <w:shd w:val="clear" w:color="auto" w:fill="C6EFCE"/>
            <w:noWrap/>
            <w:hideMark/>
          </w:tcPr>
          <w:p w14:paraId="50B4B33E" w14:textId="77777777" w:rsidR="003B5F50" w:rsidRDefault="000D2D85">
            <w:pPr>
              <w:pStyle w:val="P68B1DB1-Normal14"/>
              <w:spacing w:after="0"/>
              <w:jc w:val="right"/>
              <w:rPr>
                <w:rFonts w:eastAsia="Times New Roman"/>
                <w:noProof/>
                <w:szCs w:val="20"/>
              </w:rPr>
            </w:pPr>
            <w:r>
              <w:rPr>
                <w:noProof/>
              </w:rPr>
              <w:t>0</w:t>
            </w:r>
          </w:p>
        </w:tc>
        <w:tc>
          <w:tcPr>
            <w:tcW w:w="0" w:type="auto"/>
            <w:shd w:val="clear" w:color="auto" w:fill="C6EFCE"/>
            <w:noWrap/>
            <w:hideMark/>
          </w:tcPr>
          <w:p w14:paraId="50B4B33F" w14:textId="77777777" w:rsidR="003B5F50" w:rsidRDefault="000D2D85">
            <w:pPr>
              <w:pStyle w:val="P68B1DB1-Normal14"/>
              <w:spacing w:after="0"/>
              <w:jc w:val="right"/>
              <w:rPr>
                <w:rFonts w:eastAsia="Times New Roman"/>
                <w:noProof/>
                <w:szCs w:val="20"/>
              </w:rPr>
            </w:pPr>
            <w:r>
              <w:rPr>
                <w:noProof/>
              </w:rPr>
              <w:t>4 226</w:t>
            </w:r>
          </w:p>
        </w:tc>
        <w:tc>
          <w:tcPr>
            <w:tcW w:w="0" w:type="auto"/>
            <w:shd w:val="clear" w:color="auto" w:fill="C6EFCE"/>
            <w:noWrap/>
            <w:hideMark/>
          </w:tcPr>
          <w:p w14:paraId="50B4B340" w14:textId="77777777" w:rsidR="003B5F50" w:rsidRDefault="000D2D85">
            <w:pPr>
              <w:pStyle w:val="P68B1DB1-Normal14"/>
              <w:spacing w:after="0"/>
              <w:jc w:val="center"/>
              <w:rPr>
                <w:rFonts w:eastAsia="Times New Roman"/>
                <w:noProof/>
                <w:szCs w:val="20"/>
              </w:rPr>
            </w:pPr>
            <w:r>
              <w:rPr>
                <w:noProof/>
              </w:rPr>
              <w:t>T4</w:t>
            </w:r>
          </w:p>
        </w:tc>
        <w:tc>
          <w:tcPr>
            <w:tcW w:w="0" w:type="auto"/>
            <w:shd w:val="clear" w:color="auto" w:fill="C6EFCE"/>
            <w:noWrap/>
            <w:hideMark/>
          </w:tcPr>
          <w:p w14:paraId="50B4B341" w14:textId="77777777" w:rsidR="003B5F50" w:rsidRDefault="000D2D85">
            <w:pPr>
              <w:pStyle w:val="P68B1DB1-Normal14"/>
              <w:spacing w:after="0"/>
              <w:jc w:val="center"/>
              <w:rPr>
                <w:rFonts w:eastAsia="Times New Roman"/>
                <w:noProof/>
                <w:szCs w:val="20"/>
              </w:rPr>
            </w:pPr>
            <w:r>
              <w:rPr>
                <w:noProof/>
              </w:rPr>
              <w:t>2024</w:t>
            </w:r>
          </w:p>
        </w:tc>
        <w:tc>
          <w:tcPr>
            <w:tcW w:w="0" w:type="auto"/>
            <w:shd w:val="clear" w:color="auto" w:fill="C6EFCE"/>
            <w:hideMark/>
          </w:tcPr>
          <w:p w14:paraId="50B4B342" w14:textId="77777777" w:rsidR="003B5F50" w:rsidRDefault="000D2D85">
            <w:pPr>
              <w:pStyle w:val="P68B1DB1-Normal15"/>
              <w:spacing w:after="0"/>
              <w:rPr>
                <w:noProof/>
              </w:rPr>
            </w:pPr>
            <w:r>
              <w:rPr>
                <w:noProof/>
              </w:rPr>
              <w:t xml:space="preserve">Attribuer au moins 4 226 bourses pour: </w:t>
            </w:r>
          </w:p>
          <w:p w14:paraId="50B4B343" w14:textId="77777777" w:rsidR="003B5F50" w:rsidRDefault="000D2D85">
            <w:pPr>
              <w:pStyle w:val="P68B1DB1-ListParagraph30"/>
              <w:numPr>
                <w:ilvl w:val="0"/>
                <w:numId w:val="36"/>
              </w:numPr>
              <w:spacing w:after="0" w:line="279" w:lineRule="auto"/>
              <w:rPr>
                <w:noProof/>
              </w:rPr>
            </w:pPr>
            <w:r>
              <w:rPr>
                <w:noProof/>
              </w:rPr>
              <w:t xml:space="preserve">les étudiants domestiques les plus talentueux, compte tenu de leur diplôme d’études secondaires; </w:t>
            </w:r>
          </w:p>
          <w:p w14:paraId="50B4B344" w14:textId="77777777" w:rsidR="003B5F50" w:rsidRDefault="000D2D85">
            <w:pPr>
              <w:pStyle w:val="P68B1DB1-ListParagraph30"/>
              <w:numPr>
                <w:ilvl w:val="0"/>
                <w:numId w:val="36"/>
              </w:numPr>
              <w:spacing w:after="0" w:line="279" w:lineRule="auto"/>
              <w:rPr>
                <w:noProof/>
              </w:rPr>
            </w:pPr>
            <w:r>
              <w:rPr>
                <w:noProof/>
              </w:rPr>
              <w:t>les meilleurs talents de l’étranger – mesurés par des tests internationaux normalisés; et</w:t>
            </w:r>
          </w:p>
          <w:p w14:paraId="50B4B345" w14:textId="77777777" w:rsidR="003B5F50" w:rsidRDefault="000D2D85">
            <w:pPr>
              <w:pStyle w:val="P68B1DB1-ListParagraph30"/>
              <w:numPr>
                <w:ilvl w:val="0"/>
                <w:numId w:val="36"/>
              </w:numPr>
              <w:spacing w:after="0" w:line="279" w:lineRule="auto"/>
              <w:rPr>
                <w:noProof/>
              </w:rPr>
            </w:pPr>
            <w:r>
              <w:rPr>
                <w:noProof/>
              </w:rPr>
              <w:t xml:space="preserve">étudiants talentueux socialement défavorisés, compte tenu de leur diplôme d’études secondaires. </w:t>
            </w:r>
          </w:p>
          <w:p w14:paraId="50B4B346" w14:textId="77777777" w:rsidR="003B5F50" w:rsidRDefault="003B5F50">
            <w:pPr>
              <w:spacing w:after="0"/>
              <w:rPr>
                <w:rFonts w:ascii="Times New Roman" w:eastAsia="Times New Roman" w:hAnsi="Times New Roman"/>
                <w:noProof/>
                <w:color w:val="006100"/>
                <w:sz w:val="20"/>
                <w:szCs w:val="20"/>
              </w:rPr>
            </w:pPr>
          </w:p>
          <w:p w14:paraId="50B4B347" w14:textId="77777777" w:rsidR="003B5F50" w:rsidRDefault="000D2D85">
            <w:pPr>
              <w:pStyle w:val="P68B1DB1-Normal47"/>
              <w:spacing w:after="0"/>
              <w:rPr>
                <w:noProof/>
              </w:rPr>
            </w:pPr>
            <w:r>
              <w:rPr>
                <w:noProof/>
              </w:rPr>
              <w:t>La FRR soutient les étudiants qui entrent dans un établissement d’enseignement supérieur entre 2022 et 2024.</w:t>
            </w:r>
          </w:p>
          <w:p w14:paraId="50B4B349" w14:textId="1F78FD06" w:rsidR="003B5F50" w:rsidRDefault="000D2D85">
            <w:pPr>
              <w:pStyle w:val="P68B1DB1-Normal47"/>
              <w:spacing w:after="0"/>
              <w:rPr>
                <w:noProof/>
              </w:rPr>
            </w:pPr>
            <w:r>
              <w:rPr>
                <w:noProof/>
              </w:rPr>
              <w:t>Le programme prévoit des bourses pour les étudiants sélectionnés pendant trois années d'études supérieures. Les contrats doivent être signés pour offrir une incitation financière aux universités qui accueillent les étudiants.</w:t>
            </w:r>
          </w:p>
        </w:tc>
      </w:tr>
      <w:tr w:rsidR="003B5F50" w14:paraId="50B4B356" w14:textId="77777777">
        <w:trPr>
          <w:trHeight w:val="171"/>
        </w:trPr>
        <w:tc>
          <w:tcPr>
            <w:tcW w:w="0" w:type="auto"/>
            <w:shd w:val="clear" w:color="auto" w:fill="C6EFCE"/>
            <w:noWrap/>
            <w:hideMark/>
          </w:tcPr>
          <w:p w14:paraId="50B4B34B" w14:textId="77777777" w:rsidR="003B5F50" w:rsidRDefault="000D2D85">
            <w:pPr>
              <w:pStyle w:val="P68B1DB1-Normal14"/>
              <w:spacing w:after="0"/>
              <w:jc w:val="center"/>
              <w:rPr>
                <w:rFonts w:eastAsia="Times New Roman"/>
                <w:noProof/>
                <w:szCs w:val="20"/>
              </w:rPr>
            </w:pPr>
            <w:r>
              <w:rPr>
                <w:noProof/>
              </w:rPr>
              <w:t>8</w:t>
            </w:r>
          </w:p>
        </w:tc>
        <w:tc>
          <w:tcPr>
            <w:tcW w:w="0" w:type="auto"/>
            <w:shd w:val="clear" w:color="auto" w:fill="C6EFCE"/>
            <w:hideMark/>
          </w:tcPr>
          <w:p w14:paraId="50B4B34C" w14:textId="2AE63A3C" w:rsidR="003B5F50" w:rsidRDefault="000D2D85">
            <w:pPr>
              <w:pStyle w:val="P68B1DB1-Normal14"/>
              <w:spacing w:after="0"/>
              <w:rPr>
                <w:rFonts w:eastAsia="Times New Roman"/>
                <w:noProof/>
                <w:szCs w:val="20"/>
              </w:rPr>
            </w:pPr>
            <w:r>
              <w:rPr>
                <w:noProof/>
              </w:rPr>
              <w:t>10 – Attirer et retenir les talents – Investissement 4: Promouvoir l'internationalisation dans le milieu universitaire</w:t>
            </w:r>
          </w:p>
        </w:tc>
        <w:tc>
          <w:tcPr>
            <w:tcW w:w="0" w:type="auto"/>
            <w:shd w:val="clear" w:color="auto" w:fill="C6EFCE"/>
            <w:noWrap/>
            <w:hideMark/>
          </w:tcPr>
          <w:p w14:paraId="50B4B34D" w14:textId="77777777" w:rsidR="003B5F50" w:rsidRDefault="000D2D85">
            <w:pPr>
              <w:pStyle w:val="P68B1DB1-Normal14"/>
              <w:spacing w:after="0"/>
              <w:rPr>
                <w:rFonts w:eastAsia="Times New Roman"/>
                <w:noProof/>
                <w:szCs w:val="20"/>
              </w:rPr>
            </w:pPr>
            <w:r>
              <w:rPr>
                <w:noProof/>
              </w:rPr>
              <w:t>Étape</w:t>
            </w:r>
          </w:p>
        </w:tc>
        <w:tc>
          <w:tcPr>
            <w:tcW w:w="0" w:type="auto"/>
            <w:shd w:val="clear" w:color="auto" w:fill="C6EFCE"/>
            <w:hideMark/>
          </w:tcPr>
          <w:p w14:paraId="50B4B34E" w14:textId="77777777" w:rsidR="003B5F50" w:rsidRDefault="000D2D85">
            <w:pPr>
              <w:pStyle w:val="P68B1DB1-Normal14"/>
              <w:spacing w:after="0"/>
              <w:rPr>
                <w:rFonts w:eastAsia="Times New Roman"/>
                <w:noProof/>
                <w:szCs w:val="20"/>
              </w:rPr>
            </w:pPr>
            <w:r>
              <w:rPr>
                <w:noProof/>
              </w:rPr>
              <w:t>Stratégie d'internationalisation des universités</w:t>
            </w:r>
          </w:p>
        </w:tc>
        <w:tc>
          <w:tcPr>
            <w:tcW w:w="0" w:type="auto"/>
            <w:shd w:val="clear" w:color="auto" w:fill="C6EFCE"/>
            <w:hideMark/>
          </w:tcPr>
          <w:p w14:paraId="50B4B34F" w14:textId="77777777" w:rsidR="003B5F50" w:rsidRDefault="000D2D85">
            <w:pPr>
              <w:pStyle w:val="P68B1DB1-Normal14"/>
              <w:spacing w:after="0"/>
              <w:rPr>
                <w:rFonts w:eastAsia="Times New Roman"/>
                <w:noProof/>
                <w:szCs w:val="20"/>
              </w:rPr>
            </w:pPr>
            <w:r>
              <w:rPr>
                <w:noProof/>
              </w:rPr>
              <w:t>Adoption de la stratégie par le gouvernement</w:t>
            </w:r>
          </w:p>
        </w:tc>
        <w:tc>
          <w:tcPr>
            <w:tcW w:w="0" w:type="auto"/>
            <w:shd w:val="clear" w:color="auto" w:fill="C6EFCE"/>
            <w:noWrap/>
            <w:hideMark/>
          </w:tcPr>
          <w:p w14:paraId="50B4B350"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351"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352" w14:textId="77777777" w:rsidR="003B5F50" w:rsidRDefault="000D2D85">
            <w:pPr>
              <w:pStyle w:val="P68B1DB1-Normal14"/>
              <w:spacing w:after="0"/>
              <w:rPr>
                <w:rFonts w:eastAsia="Times New Roman"/>
                <w:noProof/>
                <w:szCs w:val="20"/>
              </w:rPr>
            </w:pPr>
            <w:r>
              <w:rPr>
                <w:noProof/>
              </w:rPr>
              <w:t> </w:t>
            </w:r>
          </w:p>
        </w:tc>
        <w:tc>
          <w:tcPr>
            <w:tcW w:w="0" w:type="auto"/>
            <w:shd w:val="clear" w:color="auto" w:fill="C6EFCE"/>
            <w:noWrap/>
            <w:hideMark/>
          </w:tcPr>
          <w:p w14:paraId="50B4B353" w14:textId="77777777" w:rsidR="003B5F50" w:rsidRDefault="000D2D85">
            <w:pPr>
              <w:pStyle w:val="P68B1DB1-Normal14"/>
              <w:spacing w:after="0"/>
              <w:jc w:val="center"/>
              <w:rPr>
                <w:rFonts w:eastAsia="Times New Roman"/>
                <w:noProof/>
                <w:szCs w:val="20"/>
              </w:rPr>
            </w:pPr>
            <w:r>
              <w:rPr>
                <w:noProof/>
              </w:rPr>
              <w:t>T4</w:t>
            </w:r>
          </w:p>
        </w:tc>
        <w:tc>
          <w:tcPr>
            <w:tcW w:w="0" w:type="auto"/>
            <w:shd w:val="clear" w:color="auto" w:fill="C6EFCE"/>
            <w:noWrap/>
            <w:hideMark/>
          </w:tcPr>
          <w:p w14:paraId="50B4B354" w14:textId="77777777" w:rsidR="003B5F50" w:rsidRDefault="000D2D85">
            <w:pPr>
              <w:pStyle w:val="P68B1DB1-Normal14"/>
              <w:spacing w:after="0"/>
              <w:jc w:val="center"/>
              <w:rPr>
                <w:rFonts w:eastAsia="Times New Roman"/>
                <w:noProof/>
                <w:szCs w:val="20"/>
              </w:rPr>
            </w:pPr>
            <w:r>
              <w:rPr>
                <w:noProof/>
              </w:rPr>
              <w:t>2021</w:t>
            </w:r>
          </w:p>
        </w:tc>
        <w:tc>
          <w:tcPr>
            <w:tcW w:w="0" w:type="auto"/>
            <w:shd w:val="clear" w:color="auto" w:fill="C6EFCE"/>
            <w:hideMark/>
          </w:tcPr>
          <w:p w14:paraId="50B4B355" w14:textId="77777777" w:rsidR="003B5F50" w:rsidRDefault="000D2D85">
            <w:pPr>
              <w:pStyle w:val="P68B1DB1-Normal14"/>
              <w:spacing w:after="0"/>
              <w:rPr>
                <w:rFonts w:eastAsia="Times New Roman"/>
                <w:noProof/>
                <w:szCs w:val="20"/>
              </w:rPr>
            </w:pPr>
            <w:r>
              <w:rPr>
                <w:noProof/>
              </w:rPr>
              <w:t>Adoption d'une stratégie d'internationalisation pour les universités, visant à proposer des mesures visant à soutenir la préparation de programmes d'études communs, à attirer des étudiants et des universitaires étrangers ou à mettre en œuvre des changements institutionnels systémiques dans les universités slovaques.</w:t>
            </w:r>
          </w:p>
        </w:tc>
      </w:tr>
      <w:tr w:rsidR="003B5F50" w14:paraId="50B4B367" w14:textId="77777777">
        <w:trPr>
          <w:trHeight w:val="2120"/>
        </w:trPr>
        <w:tc>
          <w:tcPr>
            <w:tcW w:w="0" w:type="auto"/>
            <w:shd w:val="clear" w:color="auto" w:fill="C6EFCE"/>
            <w:noWrap/>
            <w:hideMark/>
          </w:tcPr>
          <w:p w14:paraId="50B4B357" w14:textId="77777777" w:rsidR="003B5F50" w:rsidRDefault="000D2D85">
            <w:pPr>
              <w:pStyle w:val="P68B1DB1-Normal14"/>
              <w:spacing w:after="0"/>
              <w:jc w:val="center"/>
              <w:rPr>
                <w:rFonts w:eastAsia="Times New Roman"/>
                <w:noProof/>
                <w:szCs w:val="20"/>
              </w:rPr>
            </w:pPr>
            <w:r>
              <w:rPr>
                <w:noProof/>
              </w:rPr>
              <w:t>9</w:t>
            </w:r>
          </w:p>
        </w:tc>
        <w:tc>
          <w:tcPr>
            <w:tcW w:w="0" w:type="auto"/>
            <w:shd w:val="clear" w:color="auto" w:fill="C6EFCE"/>
            <w:hideMark/>
          </w:tcPr>
          <w:p w14:paraId="50B4B358" w14:textId="77777777" w:rsidR="003B5F50" w:rsidRDefault="000D2D85">
            <w:pPr>
              <w:pStyle w:val="P68B1DB1-Normal14"/>
              <w:spacing w:after="0"/>
              <w:rPr>
                <w:rFonts w:eastAsia="Times New Roman"/>
                <w:noProof/>
                <w:szCs w:val="20"/>
              </w:rPr>
            </w:pPr>
            <w:r>
              <w:rPr>
                <w:noProof/>
              </w:rPr>
              <w:t>10 – Attirer et retenir les talents – Investissement 4: Promouvoir l'internationalisation dans l'environnement académique</w:t>
            </w:r>
          </w:p>
        </w:tc>
        <w:tc>
          <w:tcPr>
            <w:tcW w:w="0" w:type="auto"/>
            <w:shd w:val="clear" w:color="auto" w:fill="C6EFCE"/>
            <w:noWrap/>
            <w:hideMark/>
          </w:tcPr>
          <w:p w14:paraId="50B4B359" w14:textId="77777777" w:rsidR="003B5F50" w:rsidRDefault="000D2D85">
            <w:pPr>
              <w:pStyle w:val="P68B1DB1-Normal14"/>
              <w:spacing w:after="0"/>
              <w:rPr>
                <w:rFonts w:eastAsia="Times New Roman"/>
                <w:noProof/>
                <w:szCs w:val="20"/>
              </w:rPr>
            </w:pPr>
            <w:r>
              <w:rPr>
                <w:noProof/>
              </w:rPr>
              <w:t>Objectif</w:t>
            </w:r>
          </w:p>
        </w:tc>
        <w:tc>
          <w:tcPr>
            <w:tcW w:w="0" w:type="auto"/>
            <w:shd w:val="clear" w:color="auto" w:fill="C6EFCE"/>
            <w:hideMark/>
          </w:tcPr>
          <w:p w14:paraId="50B4B35A" w14:textId="77777777" w:rsidR="003B5F50" w:rsidRDefault="000D2D85">
            <w:pPr>
              <w:pStyle w:val="P68B1DB1-Normal14"/>
              <w:spacing w:after="0"/>
              <w:rPr>
                <w:rFonts w:eastAsia="Times New Roman"/>
                <w:noProof/>
                <w:szCs w:val="20"/>
              </w:rPr>
            </w:pPr>
            <w:r>
              <w:rPr>
                <w:noProof/>
              </w:rPr>
              <w:t>Nombre de projets visant à internationaliser les établissements d’enseignement supérieur ou de recherche slovaques</w:t>
            </w:r>
          </w:p>
        </w:tc>
        <w:tc>
          <w:tcPr>
            <w:tcW w:w="0" w:type="auto"/>
            <w:shd w:val="clear" w:color="auto" w:fill="C6EFCE"/>
            <w:hideMark/>
          </w:tcPr>
          <w:p w14:paraId="50B4B35B" w14:textId="77777777" w:rsidR="003B5F50" w:rsidRDefault="003B5F50">
            <w:pPr>
              <w:spacing w:after="0"/>
              <w:rPr>
                <w:rFonts w:ascii="Times New Roman" w:eastAsia="Times New Roman" w:hAnsi="Times New Roman"/>
                <w:noProof/>
                <w:color w:val="006100"/>
                <w:sz w:val="20"/>
                <w:szCs w:val="20"/>
              </w:rPr>
            </w:pPr>
          </w:p>
        </w:tc>
        <w:tc>
          <w:tcPr>
            <w:tcW w:w="0" w:type="auto"/>
            <w:shd w:val="clear" w:color="auto" w:fill="C6EFCE"/>
            <w:noWrap/>
            <w:hideMark/>
          </w:tcPr>
          <w:p w14:paraId="50B4B35C" w14:textId="77777777" w:rsidR="003B5F50" w:rsidRDefault="000D2D85">
            <w:pPr>
              <w:pStyle w:val="P68B1DB1-Normal14"/>
              <w:spacing w:after="0"/>
              <w:rPr>
                <w:rFonts w:eastAsia="Times New Roman"/>
                <w:noProof/>
                <w:szCs w:val="20"/>
              </w:rPr>
            </w:pPr>
            <w:r>
              <w:rPr>
                <w:noProof/>
              </w:rPr>
              <w:t>Numéro</w:t>
            </w:r>
          </w:p>
        </w:tc>
        <w:tc>
          <w:tcPr>
            <w:tcW w:w="0" w:type="auto"/>
            <w:shd w:val="clear" w:color="auto" w:fill="C6EFCE"/>
            <w:noWrap/>
            <w:hideMark/>
          </w:tcPr>
          <w:p w14:paraId="50B4B35D" w14:textId="77777777" w:rsidR="003B5F50" w:rsidRDefault="000D2D85">
            <w:pPr>
              <w:pStyle w:val="P68B1DB1-Normal14"/>
              <w:spacing w:after="0"/>
              <w:jc w:val="right"/>
              <w:rPr>
                <w:rFonts w:eastAsia="Times New Roman"/>
                <w:noProof/>
                <w:szCs w:val="20"/>
              </w:rPr>
            </w:pPr>
            <w:r>
              <w:rPr>
                <w:noProof/>
              </w:rPr>
              <w:t>0</w:t>
            </w:r>
          </w:p>
        </w:tc>
        <w:tc>
          <w:tcPr>
            <w:tcW w:w="0" w:type="auto"/>
            <w:shd w:val="clear" w:color="auto" w:fill="C6EFCE"/>
            <w:noWrap/>
            <w:hideMark/>
          </w:tcPr>
          <w:p w14:paraId="50B4B35E" w14:textId="77777777" w:rsidR="003B5F50" w:rsidRDefault="000D2D85">
            <w:pPr>
              <w:pStyle w:val="P68B1DB1-Normal14"/>
              <w:spacing w:after="0"/>
              <w:jc w:val="right"/>
              <w:rPr>
                <w:rFonts w:eastAsia="Times New Roman"/>
                <w:noProof/>
                <w:szCs w:val="20"/>
              </w:rPr>
            </w:pPr>
            <w:r>
              <w:rPr>
                <w:noProof/>
              </w:rPr>
              <w:t>28</w:t>
            </w:r>
          </w:p>
        </w:tc>
        <w:tc>
          <w:tcPr>
            <w:tcW w:w="0" w:type="auto"/>
            <w:shd w:val="clear" w:color="auto" w:fill="C6EFCE"/>
            <w:noWrap/>
            <w:hideMark/>
          </w:tcPr>
          <w:p w14:paraId="50B4B35F" w14:textId="77777777" w:rsidR="003B5F50" w:rsidRDefault="000D2D85">
            <w:pPr>
              <w:pStyle w:val="P68B1DB1-Normal14"/>
              <w:spacing w:after="0"/>
              <w:jc w:val="center"/>
              <w:rPr>
                <w:rFonts w:eastAsia="Times New Roman"/>
                <w:noProof/>
                <w:szCs w:val="20"/>
              </w:rPr>
            </w:pPr>
            <w:r>
              <w:rPr>
                <w:noProof/>
              </w:rPr>
              <w:t>T4</w:t>
            </w:r>
          </w:p>
        </w:tc>
        <w:tc>
          <w:tcPr>
            <w:tcW w:w="0" w:type="auto"/>
            <w:shd w:val="clear" w:color="auto" w:fill="C6EFCE"/>
            <w:noWrap/>
            <w:hideMark/>
          </w:tcPr>
          <w:p w14:paraId="50B4B360" w14:textId="77777777" w:rsidR="003B5F50" w:rsidRDefault="000D2D85">
            <w:pPr>
              <w:pStyle w:val="P68B1DB1-Normal14"/>
              <w:spacing w:after="0"/>
              <w:jc w:val="center"/>
              <w:rPr>
                <w:rFonts w:eastAsia="Times New Roman"/>
                <w:noProof/>
                <w:szCs w:val="20"/>
              </w:rPr>
            </w:pPr>
            <w:r>
              <w:rPr>
                <w:noProof/>
              </w:rPr>
              <w:t>2025</w:t>
            </w:r>
          </w:p>
        </w:tc>
        <w:tc>
          <w:tcPr>
            <w:tcW w:w="0" w:type="auto"/>
            <w:shd w:val="clear" w:color="auto" w:fill="C6EFCE"/>
            <w:hideMark/>
          </w:tcPr>
          <w:p w14:paraId="50B4B363" w14:textId="16E4BE74" w:rsidR="003B5F50" w:rsidRDefault="000D2D85">
            <w:pPr>
              <w:pStyle w:val="P68B1DB1-Normal15"/>
              <w:spacing w:after="0"/>
              <w:rPr>
                <w:rFonts w:eastAsia="Times New Roman"/>
                <w:noProof/>
              </w:rPr>
            </w:pPr>
            <w:r>
              <w:rPr>
                <w:noProof/>
              </w:rPr>
              <w:t>Au moins 28 projets visant à l'internationalisation d'établissements d'enseignement supérieur ou de recherche slovaques aboutissent:</w:t>
            </w:r>
          </w:p>
          <w:p w14:paraId="6533DE31" w14:textId="09D579A4" w:rsidR="003B5F50" w:rsidRDefault="000D2D85">
            <w:pPr>
              <w:pStyle w:val="P68B1DB1-Normal15"/>
              <w:spacing w:after="0"/>
              <w:rPr>
                <w:noProof/>
              </w:rPr>
            </w:pPr>
            <w:r>
              <w:rPr>
                <w:noProof/>
              </w:rPr>
              <w:t>a) l'adoption d'un plan d'action fondé sur l'évaluation des activités d'internationalisation au niveau des établissements d'enseignement supérieur ou de recherche; ou</w:t>
            </w:r>
          </w:p>
          <w:p w14:paraId="50B4B364" w14:textId="41B47921" w:rsidR="003B5F50" w:rsidRDefault="000D2D85">
            <w:pPr>
              <w:pStyle w:val="P68B1DB1-Normal15"/>
              <w:spacing w:after="0"/>
              <w:rPr>
                <w:noProof/>
              </w:rPr>
            </w:pPr>
            <w:r>
              <w:rPr>
                <w:noProof/>
              </w:rPr>
              <w:t>b) l'introduction de certaines mesures à court terme recommandées dans le plan d'action élaboré au point a); ou</w:t>
            </w:r>
          </w:p>
          <w:p w14:paraId="50B4B366" w14:textId="7F8F93BC" w:rsidR="003B5F50" w:rsidRDefault="000D2D85">
            <w:pPr>
              <w:pStyle w:val="P68B1DB1-Normal15"/>
              <w:spacing w:after="0"/>
              <w:rPr>
                <w:rFonts w:eastAsia="Times New Roman"/>
                <w:noProof/>
              </w:rPr>
            </w:pPr>
            <w:r>
              <w:rPr>
                <w:noProof/>
              </w:rPr>
              <w:t>c) la participation d'établissements d'enseignement supérieur slovaques à des foires ou événements internationaux et à des événements de recrutement d'étudiants à l'étranger.</w:t>
            </w:r>
          </w:p>
        </w:tc>
      </w:tr>
    </w:tbl>
    <w:p w14:paraId="50B4B368" w14:textId="77777777" w:rsidR="003B5F50" w:rsidRDefault="003B5F50">
      <w:pPr>
        <w:rPr>
          <w:noProof/>
        </w:rPr>
        <w:sectPr w:rsidR="003B5F50" w:rsidSect="003E3DD3">
          <w:headerReference w:type="even" r:id="rId131"/>
          <w:headerReference w:type="default" r:id="rId132"/>
          <w:footerReference w:type="even" r:id="rId133"/>
          <w:footerReference w:type="default" r:id="rId134"/>
          <w:headerReference w:type="first" r:id="rId135"/>
          <w:footerReference w:type="first" r:id="rId136"/>
          <w:pgSz w:w="15840" w:h="12240" w:orient="landscape"/>
          <w:pgMar w:top="1134" w:right="1134" w:bottom="1134" w:left="1134" w:header="567" w:footer="567" w:gutter="0"/>
          <w:cols w:space="720"/>
          <w:docGrid w:linePitch="360"/>
        </w:sectPr>
      </w:pPr>
    </w:p>
    <w:p w14:paraId="50B4B369" w14:textId="77777777" w:rsidR="003B5F50" w:rsidRDefault="000D2D85">
      <w:pPr>
        <w:pStyle w:val="P68B1DB1-Heading218"/>
        <w:rPr>
          <w:noProof/>
        </w:rPr>
      </w:pPr>
      <w:r>
        <w:rPr>
          <w:noProof/>
        </w:rPr>
        <w:t>Élément 11: Des soins de santé modernes et accessibles</w:t>
      </w:r>
    </w:p>
    <w:p w14:paraId="50B4B36A" w14:textId="77777777" w:rsidR="003B5F50" w:rsidRDefault="000D2D85">
      <w:pPr>
        <w:pStyle w:val="NormalWeb"/>
        <w:tabs>
          <w:tab w:val="left" w:pos="851"/>
        </w:tabs>
        <w:rPr>
          <w:noProof/>
        </w:rPr>
      </w:pPr>
      <w:r>
        <w:rPr>
          <w:noProof/>
        </w:rPr>
        <w:t xml:space="preserve">L’objectif de ce volet du plan slovaque pour la reprise et la résilience est de créer un réseau hospitalier moderne, accessible et efficace qui fournisse des soins de santé de qualité, un environnement attrayant pour le personnel, des processus efficaces et une gestion saine. L’objectif est également d’accroître la disponibilité des services de santé d’urgence, en s’appuyant sur les besoins du nouveau réseau hospitalier, et de renforcer les soins primaires, qui se veulent un point d’intégration essentiel pour les soins aux patients. </w:t>
      </w:r>
    </w:p>
    <w:p w14:paraId="50B4B36B" w14:textId="77777777" w:rsidR="003B5F50" w:rsidRDefault="000D2D85">
      <w:pPr>
        <w:pStyle w:val="NormalWeb"/>
        <w:tabs>
          <w:tab w:val="left" w:pos="851"/>
        </w:tabs>
        <w:rPr>
          <w:noProof/>
        </w:rPr>
      </w:pPr>
      <w:r>
        <w:rPr>
          <w:noProof/>
        </w:rPr>
        <w:t>Ce volet comprend cinq réformes et quatre investissements.</w:t>
      </w:r>
    </w:p>
    <w:p w14:paraId="50B4B36C" w14:textId="240F8C7D" w:rsidR="003B5F50" w:rsidRDefault="000D2D85">
      <w:pPr>
        <w:pStyle w:val="NormalWeb"/>
        <w:tabs>
          <w:tab w:val="left" w:pos="851"/>
        </w:tabs>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B36D" w14:textId="77777777" w:rsidR="003B5F50" w:rsidRDefault="000D2D85">
      <w:pPr>
        <w:pStyle w:val="NormalWeb"/>
        <w:tabs>
          <w:tab w:val="left" w:pos="851"/>
        </w:tabs>
        <w:rPr>
          <w:b/>
          <w:i/>
          <w:noProof/>
        </w:rPr>
      </w:pPr>
      <w:r>
        <w:rPr>
          <w:noProof/>
        </w:rPr>
        <w:t>Ce volet répond à la recommandation par pays no 1 de 2020, qui fait référence au renforcement de la résilience du système de santé dans les domaines du personnel de santé, des produits médicaux critiques et des infrastructures; et l’amélioration de la fourniture de soins primaires et de la coordination entre les types de soins.</w:t>
      </w:r>
    </w:p>
    <w:p w14:paraId="50B4B36E" w14:textId="77777777" w:rsidR="003B5F50" w:rsidRDefault="000D2D85">
      <w:pPr>
        <w:pStyle w:val="P68B1DB1-Normal44"/>
        <w:tabs>
          <w:tab w:val="left" w:pos="851"/>
        </w:tabs>
        <w:spacing w:before="120" w:after="120" w:line="240" w:lineRule="auto"/>
        <w:jc w:val="both"/>
        <w:rPr>
          <w:i/>
          <w:noProof/>
        </w:rPr>
      </w:pPr>
      <w:r>
        <w:rPr>
          <w:noProof/>
        </w:rPr>
        <w:t xml:space="preserve">A.1. </w:t>
      </w:r>
      <w:r>
        <w:rPr>
          <w:noProof/>
        </w:rPr>
        <w:tab/>
        <w:t>Description des réformes et des investissements pour le soutien financier non remboursable</w:t>
      </w:r>
    </w:p>
    <w:p w14:paraId="50B4B36F" w14:textId="77777777" w:rsidR="003B5F50" w:rsidRDefault="000D2D85">
      <w:pPr>
        <w:pStyle w:val="P68B1DB1-Normal19"/>
        <w:tabs>
          <w:tab w:val="left" w:pos="851"/>
        </w:tabs>
        <w:spacing w:before="120" w:after="120" w:line="240" w:lineRule="auto"/>
        <w:jc w:val="both"/>
        <w:rPr>
          <w:noProof/>
        </w:rPr>
      </w:pPr>
      <w:r>
        <w:rPr>
          <w:noProof/>
        </w:rPr>
        <w:t>Réforme 1: Optimisation du réseau hospitalier</w:t>
      </w:r>
    </w:p>
    <w:p w14:paraId="50B4B370" w14:textId="77777777" w:rsidR="003B5F50" w:rsidRDefault="000D2D85">
      <w:pPr>
        <w:pStyle w:val="NormalWeb"/>
        <w:tabs>
          <w:tab w:val="left" w:pos="851"/>
        </w:tabs>
        <w:rPr>
          <w:noProof/>
        </w:rPr>
      </w:pPr>
      <w:r>
        <w:rPr>
          <w:noProof/>
        </w:rPr>
        <w:t xml:space="preserve">L’objectif de la réforme est d’améliorer la qualité et l’efficacité des soins hospitaliers grâce à la définition de la typologie et de la hiérarchie des soins hospitaliers, ainsi qu’à la définition de conditions minimales pour la fourniture de services médicaux. </w:t>
      </w:r>
    </w:p>
    <w:p w14:paraId="50B4B371" w14:textId="77777777" w:rsidR="003B5F50" w:rsidRDefault="000D2D85">
      <w:pPr>
        <w:pStyle w:val="NormalWeb"/>
        <w:tabs>
          <w:tab w:val="left" w:pos="851"/>
        </w:tabs>
        <w:rPr>
          <w:noProof/>
        </w:rPr>
      </w:pPr>
      <w:r>
        <w:rPr>
          <w:noProof/>
        </w:rPr>
        <w:t>La mesure consiste à définir des profils d'hôpitaux. Un profil signifie un ensemble de services obligatoires et d'autres exigences qu'un fournisseur à un certain niveau doit respecter. Après modification du profil, certains hôpitaux seront tenus de couvrir plusieurs services regroupés sous le profil spécifié. Certains élargiront le champ d’activité, d’autres devraient transformer les services des lits d’urgence en services de soins de longue durée.</w:t>
      </w:r>
    </w:p>
    <w:p w14:paraId="50B4B372" w14:textId="77777777" w:rsidR="003B5F50" w:rsidRDefault="000D2D85">
      <w:pPr>
        <w:pStyle w:val="P68B1DB1-Normal19"/>
        <w:tabs>
          <w:tab w:val="left" w:pos="851"/>
        </w:tabs>
        <w:spacing w:before="120" w:after="120" w:line="240" w:lineRule="auto"/>
        <w:jc w:val="both"/>
        <w:rPr>
          <w:bCs/>
          <w:noProof/>
        </w:rPr>
      </w:pPr>
      <w:r>
        <w:rPr>
          <w:noProof/>
        </w:rPr>
        <w:t>Réforme 2: Réforme de la préparation des projets d'investissement dans la santé</w:t>
      </w:r>
    </w:p>
    <w:p w14:paraId="50B4B373" w14:textId="77777777" w:rsidR="003B5F50" w:rsidRDefault="000D2D85">
      <w:pPr>
        <w:pStyle w:val="NormalWeb"/>
        <w:tabs>
          <w:tab w:val="left" w:pos="851"/>
        </w:tabs>
        <w:rPr>
          <w:noProof/>
        </w:rPr>
      </w:pPr>
      <w:r>
        <w:rPr>
          <w:noProof/>
        </w:rPr>
        <w:t>Le ministère de la santé, en étroite coopération avec le ministère des finances, adopte le plan pour tous les projets d’investissement dans la santé. Le plan est accompagné de la méthode d’évaluation des investissements dans le domaine de la santé, qui détermine des critères de prise de décision fondés sur les avantages financiers, médicaux, sociétaux et socio-économiques.</w:t>
      </w:r>
    </w:p>
    <w:p w14:paraId="50B4B374" w14:textId="77777777" w:rsidR="003B5F50" w:rsidRDefault="000D2D85">
      <w:pPr>
        <w:pStyle w:val="NormalWeb"/>
        <w:tabs>
          <w:tab w:val="left" w:pos="851"/>
        </w:tabs>
        <w:rPr>
          <w:noProof/>
        </w:rPr>
      </w:pPr>
      <w:r>
        <w:rPr>
          <w:noProof/>
        </w:rPr>
        <w:t xml:space="preserve">La mise en œuvre de la réforme est achevée au plus tard le 30 juin 2022. </w:t>
      </w:r>
    </w:p>
    <w:p w14:paraId="50B4B375" w14:textId="77777777" w:rsidR="003B5F50" w:rsidRDefault="000D2D85">
      <w:pPr>
        <w:pStyle w:val="P68B1DB1-Normal19"/>
        <w:tabs>
          <w:tab w:val="left" w:pos="851"/>
        </w:tabs>
        <w:spacing w:before="120" w:after="120" w:line="240" w:lineRule="auto"/>
        <w:jc w:val="both"/>
        <w:rPr>
          <w:rFonts w:eastAsia="Times New Roman" w:cs="Times New Roman"/>
          <w:noProof/>
        </w:rPr>
      </w:pPr>
      <w:r>
        <w:rPr>
          <w:noProof/>
        </w:rPr>
        <w:t>Réforme 3: Centralisation de la gestion des plus grands hôpitaux</w:t>
      </w:r>
    </w:p>
    <w:p w14:paraId="50B4B376" w14:textId="77777777" w:rsidR="003B5F50" w:rsidRDefault="000D2D85">
      <w:pPr>
        <w:pStyle w:val="P68B1DB1-Normal4"/>
        <w:spacing w:before="240" w:after="240" w:line="257" w:lineRule="auto"/>
        <w:jc w:val="both"/>
        <w:rPr>
          <w:noProof/>
        </w:rPr>
      </w:pPr>
      <w:r>
        <w:rPr>
          <w:noProof/>
        </w:rPr>
        <w:t xml:space="preserve">L’objectif de cette mesure est d’améliorer la coordination et l’efficacité des hôpitaux publics au moyen d’un système de gestion central. </w:t>
      </w:r>
    </w:p>
    <w:p w14:paraId="50B4B377" w14:textId="77777777" w:rsidR="003B5F50" w:rsidRDefault="000D2D85">
      <w:pPr>
        <w:pStyle w:val="P68B1DB1-Normal4"/>
        <w:tabs>
          <w:tab w:val="left" w:pos="851"/>
        </w:tabs>
        <w:spacing w:before="120" w:after="120" w:line="240" w:lineRule="auto"/>
        <w:jc w:val="both"/>
        <w:rPr>
          <w:noProof/>
        </w:rPr>
      </w:pPr>
      <w:r>
        <w:rPr>
          <w:noProof/>
        </w:rPr>
        <w:t>Cette mesure consiste à mettre en place un organe central de gestion hospitalière et à lancer un projet pilote associant les 19 hôpitaux, dont 1) le contrôle central, la budgétisation, la planification et le suivi des performances; 2) les processus d'achat centralisé de médicaments, de matériel médical et d'équipements; 3) centralisation des services de soutien; 4) la gestion des ressources humaines.</w:t>
      </w:r>
    </w:p>
    <w:p w14:paraId="50B4B378" w14:textId="77777777" w:rsidR="003B5F50" w:rsidRDefault="003B5F50">
      <w:pPr>
        <w:tabs>
          <w:tab w:val="left" w:pos="851"/>
        </w:tabs>
        <w:spacing w:before="120" w:after="120" w:line="240" w:lineRule="auto"/>
        <w:jc w:val="both"/>
        <w:rPr>
          <w:rFonts w:ascii="Times New Roman" w:hAnsi="Times New Roman"/>
          <w:noProof/>
        </w:rPr>
      </w:pPr>
    </w:p>
    <w:p w14:paraId="50B4B379" w14:textId="77777777" w:rsidR="003B5F50" w:rsidRDefault="000D2D85">
      <w:pPr>
        <w:pStyle w:val="P68B1DB1-Normal19"/>
        <w:tabs>
          <w:tab w:val="left" w:pos="851"/>
        </w:tabs>
        <w:spacing w:before="120" w:after="120" w:line="240" w:lineRule="auto"/>
        <w:jc w:val="both"/>
        <w:rPr>
          <w:bCs/>
          <w:noProof/>
        </w:rPr>
      </w:pPr>
      <w:r>
        <w:rPr>
          <w:noProof/>
        </w:rPr>
        <w:t>Réforme 4: Optimiser le réseau de soins d'urgence et la nouvelle définition des soins d'urgence</w:t>
      </w:r>
    </w:p>
    <w:p w14:paraId="50B4B37A" w14:textId="77777777" w:rsidR="003B5F50" w:rsidRDefault="000D2D85">
      <w:pPr>
        <w:pStyle w:val="NormalWeb"/>
        <w:tabs>
          <w:tab w:val="left" w:pos="851"/>
        </w:tabs>
        <w:rPr>
          <w:noProof/>
        </w:rPr>
      </w:pPr>
      <w:r>
        <w:rPr>
          <w:noProof/>
        </w:rPr>
        <w:t xml:space="preserve">La réforme porte sur les modifications juridiques nécessaires pour accroître la disponibilité universelle des ambulances dans un délai de 15 minutes pour les besoins de plus de 90 % de la population du pays. La modification de la loi prévoit une répartition géographique équitable des postes d'ambulance. Le réseau de soins d’urgence est fondé sur la demande d’interventions en fonction du diagnostic et des régions, la répartition géographique des stations d’ambulance, en tenant compte du réseau routier et des infrastructures, la disponibilité de types appropriés d’installations hospitalières, tout en utilisant des modélisations mathématiques et des simulations à partir de données réelles (telles que le modèle p-médiane). </w:t>
      </w:r>
    </w:p>
    <w:p w14:paraId="50B4B37B" w14:textId="77777777" w:rsidR="003B5F50" w:rsidRDefault="000D2D85">
      <w:pPr>
        <w:pStyle w:val="NormalWeb"/>
        <w:tabs>
          <w:tab w:val="left" w:pos="851"/>
        </w:tabs>
        <w:rPr>
          <w:noProof/>
        </w:rPr>
      </w:pPr>
      <w:r>
        <w:rPr>
          <w:noProof/>
        </w:rPr>
        <w:t xml:space="preserve">La nouvelle définition des soins d’urgence est introduite afin d’identifier le nombre d’utilisateurs autorisés des services d’ambulance et la manière de répondre à la demande de ces utilisateurs. </w:t>
      </w:r>
    </w:p>
    <w:p w14:paraId="50B4B37C" w14:textId="77777777" w:rsidR="003B5F50" w:rsidRDefault="000D2D85">
      <w:pPr>
        <w:pStyle w:val="NormalWeb"/>
        <w:tabs>
          <w:tab w:val="left" w:pos="851"/>
        </w:tabs>
        <w:rPr>
          <w:noProof/>
        </w:rPr>
      </w:pPr>
      <w:r>
        <w:rPr>
          <w:noProof/>
        </w:rPr>
        <w:t>La mise en œuvre de cette réforme est achevée au plus tard le 31 mars 2023.</w:t>
      </w:r>
    </w:p>
    <w:p w14:paraId="50B4B37D" w14:textId="77777777" w:rsidR="003B5F50" w:rsidRDefault="000D2D85">
      <w:pPr>
        <w:pStyle w:val="P68B1DB1-Normal19"/>
        <w:tabs>
          <w:tab w:val="left" w:pos="851"/>
        </w:tabs>
        <w:spacing w:before="120" w:after="120" w:line="240" w:lineRule="auto"/>
        <w:jc w:val="both"/>
        <w:rPr>
          <w:bCs/>
          <w:noProof/>
        </w:rPr>
      </w:pPr>
      <w:r>
        <w:rPr>
          <w:noProof/>
        </w:rPr>
        <w:t xml:space="preserve">Réforme n° 5: Réforme de la prestation de soins primaires aux adultes, aux enfants et aux jeunes </w:t>
      </w:r>
    </w:p>
    <w:p w14:paraId="50B4B37E" w14:textId="77777777" w:rsidR="003B5F50" w:rsidRDefault="000D2D85">
      <w:pPr>
        <w:tabs>
          <w:tab w:val="left" w:pos="851"/>
        </w:tabs>
        <w:spacing w:before="120" w:after="120" w:line="240" w:lineRule="auto"/>
        <w:jc w:val="both"/>
        <w:rPr>
          <w:rFonts w:ascii="Times New Roman" w:hAnsi="Times New Roman"/>
          <w:noProof/>
        </w:rPr>
      </w:pPr>
      <w:r>
        <w:rPr>
          <w:rFonts w:ascii="Times New Roman" w:hAnsi="Times New Roman"/>
          <w:noProof/>
        </w:rPr>
        <w:t>L’objectif de la réforme est de garantir l’accès aux services de soins primaires dans les régions qui souffrent d’un déficit de médecins généralistes et de pédiatres en exercice. La législation appropriée définit les exigences relatives au nombre et à l’emplacement optimaux des médecins généralistes et des pédiatres sur une distance maximale (nombre optimal de médecins défini par la population du comté et la structure par âge), ainsi qu’à l’introduction de critères de zonage</w:t>
      </w:r>
      <w:r>
        <w:rPr>
          <w:noProof/>
        </w:rPr>
        <w:t xml:space="preserve"> </w:t>
      </w:r>
      <w:r>
        <w:rPr>
          <w:rFonts w:ascii="Times New Roman" w:hAnsi="Times New Roman"/>
          <w:noProof/>
        </w:rPr>
        <w:t xml:space="preserve">et au processus d’évaluation annuelle. L'objectif du zonage est de classer les territoires en fonction de la gravité des pénuries de GP identifiées. Cette carte détaillée des lacunes dans la prestation des soins primaires permet de mieux cibler les mesures correctives, y compris la modulation des incitations pour les médecins à ouvrir de nouvelles pratiques dans les zones mal desservies. Ceux-ci devraient ensuite avoir accès à un soutien à la médecine générale, notamment sous la forme de subventions financières pour la mise en place et l’équipement de cabinets de médecins généralistes ou de paiements compensatoires lors de l’ouverture d’une nouvelle pratique dans les zones mal desservies (liées à l’investissement 1). </w:t>
      </w:r>
    </w:p>
    <w:p w14:paraId="50B4B37F" w14:textId="77777777" w:rsidR="003B5F50" w:rsidRDefault="000D2D85">
      <w:pPr>
        <w:pStyle w:val="NormalWeb"/>
        <w:tabs>
          <w:tab w:val="left" w:pos="851"/>
        </w:tabs>
        <w:rPr>
          <w:noProof/>
        </w:rPr>
      </w:pPr>
      <w:r>
        <w:rPr>
          <w:noProof/>
        </w:rPr>
        <w:t>La mise en œuvre de cette réforme est achevée au plus tard le 30 juin 2022.</w:t>
      </w:r>
    </w:p>
    <w:p w14:paraId="50B4B380" w14:textId="77777777" w:rsidR="003B5F50" w:rsidRDefault="000D2D85">
      <w:pPr>
        <w:pStyle w:val="P68B1DB1-Normal19"/>
        <w:tabs>
          <w:tab w:val="left" w:pos="851"/>
        </w:tabs>
        <w:spacing w:before="120" w:after="120" w:line="240" w:lineRule="auto"/>
        <w:jc w:val="both"/>
        <w:rPr>
          <w:bCs/>
          <w:noProof/>
        </w:rPr>
      </w:pPr>
      <w:r>
        <w:rPr>
          <w:noProof/>
        </w:rPr>
        <w:t xml:space="preserve">Investissement 1: Soutenir l'ouverture de nouvelles pratiques de soins primaires dans les zones mal desservies </w:t>
      </w:r>
    </w:p>
    <w:p w14:paraId="50B4B381" w14:textId="77777777" w:rsidR="003B5F50" w:rsidRDefault="000D2D85">
      <w:pPr>
        <w:pStyle w:val="NormalWeb"/>
        <w:tabs>
          <w:tab w:val="left" w:pos="851"/>
        </w:tabs>
        <w:rPr>
          <w:noProof/>
        </w:rPr>
      </w:pPr>
      <w:r>
        <w:rPr>
          <w:noProof/>
        </w:rPr>
        <w:t>L’objectif de cette mesure est d’assurer une couverture de soins de santé adéquate dans les régions mal desservies en soutenant la mise en place de nouvelles pratiques ambulatoires dans les zones confrontées à une pénurie de médecins généralistes tant pour les adultes que pour les enfants.</w:t>
      </w:r>
    </w:p>
    <w:p w14:paraId="50B4B382" w14:textId="77777777" w:rsidR="003B5F50" w:rsidRDefault="000D2D85">
      <w:pPr>
        <w:pStyle w:val="NormalWeb"/>
        <w:tabs>
          <w:tab w:val="left" w:pos="851"/>
        </w:tabs>
        <w:rPr>
          <w:noProof/>
        </w:rPr>
      </w:pPr>
      <w:r>
        <w:rPr>
          <w:noProof/>
        </w:rPr>
        <w:t>La mesure consiste à fournir un soutien financier temporaire aux médecins qui mettent en place de nouveaux cabinets ambulatoires, couvrant soit les coûts de fonctionnement de la première année, soit les dépenses d’investissement initial.</w:t>
      </w:r>
    </w:p>
    <w:p w14:paraId="50B4B383" w14:textId="77777777" w:rsidR="003B5F50" w:rsidRDefault="000D2D85">
      <w:pPr>
        <w:pStyle w:val="P68B1DB1-Normal19"/>
        <w:tabs>
          <w:tab w:val="left" w:pos="851"/>
        </w:tabs>
        <w:spacing w:before="120" w:after="120" w:line="240" w:lineRule="auto"/>
        <w:jc w:val="both"/>
        <w:rPr>
          <w:rFonts w:eastAsia="Times New Roman" w:cs="Times New Roman"/>
          <w:bCs/>
          <w:noProof/>
        </w:rPr>
      </w:pPr>
      <w:r>
        <w:rPr>
          <w:noProof/>
        </w:rPr>
        <w:t>Investissement 2: Nouveau réseau hospitalier – construction, reconstruction et équipement</w:t>
      </w:r>
    </w:p>
    <w:p w14:paraId="50B4B384" w14:textId="2C3E777B" w:rsidR="003B5F50" w:rsidRDefault="000D2D85">
      <w:pPr>
        <w:pStyle w:val="NormalWeb"/>
        <w:tabs>
          <w:tab w:val="left" w:pos="851"/>
        </w:tabs>
        <w:rPr>
          <w:noProof/>
        </w:rPr>
      </w:pPr>
      <w:r>
        <w:rPr>
          <w:noProof/>
        </w:rPr>
        <w:t xml:space="preserve">L’objectif de la mesure est de moderniser les infrastructures hospitalières existantes et de construire de nouvelles installations adaptées aux besoins d’un système de soins de santé moderne. </w:t>
      </w:r>
    </w:p>
    <w:p w14:paraId="50B4B385" w14:textId="77777777" w:rsidR="003B5F50" w:rsidRDefault="000D2D85">
      <w:pPr>
        <w:pStyle w:val="NormalWeb"/>
        <w:tabs>
          <w:tab w:val="left" w:pos="851"/>
        </w:tabs>
        <w:rPr>
          <w:noProof/>
        </w:rPr>
      </w:pPr>
      <w:r>
        <w:rPr>
          <w:noProof/>
        </w:rPr>
        <w:t>Cette mesure consiste en la construction ou la reconstruction d'installations hospitalières exprimées en capacité de lits d'hôpitaux.</w:t>
      </w:r>
    </w:p>
    <w:p w14:paraId="50B4B386" w14:textId="77777777" w:rsidR="003B5F50" w:rsidRDefault="000D2D85">
      <w:pPr>
        <w:pStyle w:val="P68B1DB1-Normal19"/>
        <w:spacing w:before="240" w:after="240"/>
        <w:jc w:val="both"/>
        <w:rPr>
          <w:rFonts w:eastAsia="Times New Roman" w:cs="Times New Roman"/>
          <w:noProof/>
        </w:rPr>
      </w:pPr>
      <w:r>
        <w:rPr>
          <w:noProof/>
        </w:rPr>
        <w:t>Investissement 3: Numérisation dans le domaine de la santé</w:t>
      </w:r>
    </w:p>
    <w:p w14:paraId="50B4B387" w14:textId="77777777" w:rsidR="003B5F50" w:rsidRDefault="000D2D85">
      <w:pPr>
        <w:pStyle w:val="NormalWeb"/>
        <w:tabs>
          <w:tab w:val="left" w:pos="851"/>
        </w:tabs>
        <w:rPr>
          <w:noProof/>
        </w:rPr>
      </w:pPr>
      <w:r>
        <w:rPr>
          <w:noProof/>
        </w:rPr>
        <w:t xml:space="preserve">L’objectif de cette mesure est de soutenir la mise en œuvre de la réforme 3 au titre de ce volet, qui met l’accent sur la centralisation des plus grands hôpitaux. - </w:t>
      </w:r>
      <w:r>
        <w:rPr>
          <w:i/>
          <w:noProof/>
        </w:rPr>
        <w:t>Centralisation de la gestion du plus grand hôpital.</w:t>
      </w:r>
      <w:r>
        <w:rPr>
          <w:b/>
          <w:noProof/>
        </w:rPr>
        <w:t xml:space="preserve"> </w:t>
      </w:r>
    </w:p>
    <w:p w14:paraId="50B4B388" w14:textId="3D738498" w:rsidR="003B5F50" w:rsidRDefault="000D2D85">
      <w:pPr>
        <w:pStyle w:val="NormalWeb"/>
        <w:tabs>
          <w:tab w:val="left" w:pos="851"/>
        </w:tabs>
        <w:rPr>
          <w:noProof/>
        </w:rPr>
      </w:pPr>
      <w:r>
        <w:rPr>
          <w:noProof/>
        </w:rPr>
        <w:t>Cette mesure consiste en l'acquisition de la plateforme centrale d'intégration (CIP) pour 19 hôpitaux sous la responsabilité du ministère de la santé , et en l'acquisition et l'installation de technologies médicales dans trois instituts cardiovasculaires afin de permettre la réalisation de chirurgies de fibrillation auriculaire.</w:t>
      </w:r>
    </w:p>
    <w:p w14:paraId="50B4B389" w14:textId="13B2955C" w:rsidR="003B5F50" w:rsidRDefault="000D2D85">
      <w:pPr>
        <w:pStyle w:val="P68B1DB1-Normal19"/>
        <w:tabs>
          <w:tab w:val="left" w:pos="851"/>
        </w:tabs>
        <w:spacing w:before="120" w:after="120" w:line="240" w:lineRule="auto"/>
        <w:jc w:val="both"/>
        <w:rPr>
          <w:bCs/>
          <w:noProof/>
        </w:rPr>
      </w:pPr>
      <w:r>
        <w:rPr>
          <w:noProof/>
        </w:rPr>
        <w:t>Investissement 4: Construction de postes d'ambulance</w:t>
      </w:r>
    </w:p>
    <w:p w14:paraId="50B4B38A" w14:textId="77777777" w:rsidR="003B5F50" w:rsidRDefault="000D2D85">
      <w:pPr>
        <w:pStyle w:val="P68B1DB1-Normal4"/>
        <w:spacing w:before="240" w:after="240"/>
        <w:jc w:val="both"/>
        <w:rPr>
          <w:noProof/>
        </w:rPr>
      </w:pPr>
      <w:r>
        <w:rPr>
          <w:noProof/>
        </w:rPr>
        <w:t>L’objectif de cette mesure est de soutenir la mise en œuvre des réformes 1 et 4, visant à optimiser les réseaux hospitaliers et de soins d’urgence, y compris la réorganisation des postes d’ambulance.</w:t>
      </w:r>
    </w:p>
    <w:p w14:paraId="50B4B38B" w14:textId="5F625036" w:rsidR="003B5F50" w:rsidRDefault="000D2D85">
      <w:pPr>
        <w:pStyle w:val="P68B1DB1-Normal4"/>
        <w:spacing w:before="240" w:after="240" w:line="240" w:lineRule="auto"/>
        <w:jc w:val="both"/>
        <w:rPr>
          <w:i/>
          <w:iCs/>
          <w:noProof/>
        </w:rPr>
      </w:pPr>
      <w:r>
        <w:rPr>
          <w:noProof/>
        </w:rPr>
        <w:t>Cette mesure consiste à construire des stations d'ambulance, en veillant à ce qu'elles répondent aux normes d'efficacité énergétique et de répartition géographique équitable.</w:t>
      </w:r>
    </w:p>
    <w:p w14:paraId="50B4B38C" w14:textId="77777777" w:rsidR="003B5F50" w:rsidRDefault="003B5F50">
      <w:pPr>
        <w:spacing w:before="120" w:after="120" w:line="240" w:lineRule="auto"/>
        <w:jc w:val="both"/>
        <w:rPr>
          <w:rFonts w:ascii="Times New Roman" w:hAnsi="Times New Roman"/>
          <w:b/>
          <w:noProof/>
          <w:u w:val="single"/>
        </w:rPr>
        <w:sectPr w:rsidR="003B5F50" w:rsidSect="003E3DD3">
          <w:headerReference w:type="even" r:id="rId137"/>
          <w:headerReference w:type="default" r:id="rId138"/>
          <w:footerReference w:type="even" r:id="rId139"/>
          <w:footerReference w:type="default" r:id="rId140"/>
          <w:headerReference w:type="first" r:id="rId141"/>
          <w:footerReference w:type="first" r:id="rId142"/>
          <w:pgSz w:w="12240" w:h="15840"/>
          <w:pgMar w:top="1134" w:right="1134" w:bottom="1134" w:left="1134" w:header="567" w:footer="567" w:gutter="0"/>
          <w:cols w:space="720"/>
          <w:docGrid w:linePitch="360"/>
        </w:sectPr>
      </w:pPr>
    </w:p>
    <w:p w14:paraId="50B4B38D" w14:textId="77777777" w:rsidR="003B5F50" w:rsidRDefault="000D2D85">
      <w:pPr>
        <w:pStyle w:val="P68B1DB1-Normal44"/>
        <w:spacing w:before="120" w:after="120" w:line="240" w:lineRule="auto"/>
        <w:ind w:left="850"/>
        <w:jc w:val="both"/>
        <w:rPr>
          <w:noProof/>
        </w:rPr>
      </w:pPr>
      <w:r>
        <w:rPr>
          <w:noProof/>
        </w:rPr>
        <w:t xml:space="preserve">A.2. </w:t>
      </w:r>
      <w:r>
        <w:rPr>
          <w:noProof/>
        </w:rPr>
        <w:tab/>
        <w:t>Étapes, cibles, indicateurs et calendrier pour le suivi et la mise en œuvre du soutien financier non remboursable</w:t>
      </w:r>
    </w:p>
    <w:tbl>
      <w:tblPr>
        <w:tblW w:w="14112"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1559"/>
        <w:gridCol w:w="1276"/>
        <w:gridCol w:w="992"/>
        <w:gridCol w:w="1701"/>
        <w:gridCol w:w="1134"/>
        <w:gridCol w:w="1276"/>
        <w:gridCol w:w="992"/>
        <w:gridCol w:w="1134"/>
        <w:gridCol w:w="851"/>
        <w:gridCol w:w="2344"/>
      </w:tblGrid>
      <w:tr w:rsidR="003B5F50" w14:paraId="50B4B39C" w14:textId="77777777" w:rsidTr="00F133D4">
        <w:trPr>
          <w:trHeight w:val="630"/>
          <w:tblHeader/>
        </w:trPr>
        <w:tc>
          <w:tcPr>
            <w:tcW w:w="853" w:type="dxa"/>
            <w:vMerge w:val="restart"/>
            <w:shd w:val="clear" w:color="auto" w:fill="BDD7EE"/>
            <w:vAlign w:val="center"/>
            <w:hideMark/>
          </w:tcPr>
          <w:p w14:paraId="50B4B38F" w14:textId="77777777" w:rsidR="003B5F50" w:rsidRDefault="000D2D85">
            <w:pPr>
              <w:pStyle w:val="P68B1DB1-Normal13"/>
              <w:spacing w:after="0" w:line="240" w:lineRule="auto"/>
              <w:jc w:val="center"/>
              <w:rPr>
                <w:rFonts w:eastAsia="Times New Roman"/>
                <w:noProof/>
                <w:szCs w:val="20"/>
              </w:rPr>
            </w:pPr>
            <w:r>
              <w:rPr>
                <w:noProof/>
              </w:rPr>
              <w:t>Seq. Num.</w:t>
            </w:r>
          </w:p>
          <w:p w14:paraId="50B4B390" w14:textId="77777777" w:rsidR="003B5F50" w:rsidRDefault="000D2D85">
            <w:pPr>
              <w:pStyle w:val="P68B1DB1-Normal13"/>
              <w:spacing w:after="0" w:line="240" w:lineRule="auto"/>
              <w:jc w:val="center"/>
              <w:rPr>
                <w:rFonts w:eastAsia="Times New Roman"/>
                <w:noProof/>
                <w:szCs w:val="20"/>
              </w:rPr>
            </w:pPr>
            <w:r>
              <w:rPr>
                <w:noProof/>
              </w:rPr>
              <w:t> </w:t>
            </w:r>
          </w:p>
        </w:tc>
        <w:tc>
          <w:tcPr>
            <w:tcW w:w="1559" w:type="dxa"/>
            <w:vMerge w:val="restart"/>
            <w:shd w:val="clear" w:color="auto" w:fill="BDD7EE"/>
            <w:vAlign w:val="center"/>
            <w:hideMark/>
          </w:tcPr>
          <w:p w14:paraId="50B4B391" w14:textId="77777777" w:rsidR="003B5F50" w:rsidRDefault="000D2D85">
            <w:pPr>
              <w:pStyle w:val="P68B1DB1-Normal13"/>
              <w:spacing w:after="0" w:line="240" w:lineRule="auto"/>
              <w:jc w:val="center"/>
              <w:rPr>
                <w:rFonts w:eastAsia="Times New Roman"/>
                <w:noProof/>
                <w:szCs w:val="20"/>
              </w:rPr>
            </w:pPr>
            <w:r>
              <w:rPr>
                <w:noProof/>
              </w:rPr>
              <w:t>Mesure connexe (réforme ou investissement)</w:t>
            </w:r>
          </w:p>
          <w:p w14:paraId="50B4B392" w14:textId="77777777" w:rsidR="003B5F50" w:rsidRDefault="000D2D85">
            <w:pPr>
              <w:pStyle w:val="P68B1DB1-Normal13"/>
              <w:spacing w:after="0" w:line="240" w:lineRule="auto"/>
              <w:jc w:val="center"/>
              <w:rPr>
                <w:rFonts w:eastAsia="Times New Roman"/>
                <w:noProof/>
                <w:szCs w:val="20"/>
              </w:rPr>
            </w:pPr>
            <w:r>
              <w:rPr>
                <w:noProof/>
              </w:rPr>
              <w:t> </w:t>
            </w:r>
          </w:p>
        </w:tc>
        <w:tc>
          <w:tcPr>
            <w:tcW w:w="1276" w:type="dxa"/>
            <w:vMerge w:val="restart"/>
            <w:shd w:val="clear" w:color="auto" w:fill="BDD7EE"/>
            <w:vAlign w:val="center"/>
            <w:hideMark/>
          </w:tcPr>
          <w:p w14:paraId="50B4B393" w14:textId="77777777" w:rsidR="003B5F50" w:rsidRDefault="000D2D85">
            <w:pPr>
              <w:pStyle w:val="P68B1DB1-Normal13"/>
              <w:spacing w:after="0" w:line="240" w:lineRule="auto"/>
              <w:jc w:val="center"/>
              <w:rPr>
                <w:rFonts w:eastAsia="Times New Roman"/>
                <w:noProof/>
                <w:szCs w:val="20"/>
              </w:rPr>
            </w:pPr>
            <w:r>
              <w:rPr>
                <w:noProof/>
              </w:rPr>
              <w:t>Étape/cible</w:t>
            </w:r>
          </w:p>
          <w:p w14:paraId="50B4B394" w14:textId="77777777" w:rsidR="003B5F50" w:rsidRDefault="000D2D85">
            <w:pPr>
              <w:pStyle w:val="P68B1DB1-Normal13"/>
              <w:spacing w:after="0" w:line="240" w:lineRule="auto"/>
              <w:jc w:val="center"/>
              <w:rPr>
                <w:rFonts w:eastAsia="Times New Roman"/>
                <w:noProof/>
                <w:szCs w:val="20"/>
              </w:rPr>
            </w:pPr>
            <w:r>
              <w:rPr>
                <w:noProof/>
              </w:rPr>
              <w:t> </w:t>
            </w:r>
          </w:p>
        </w:tc>
        <w:tc>
          <w:tcPr>
            <w:tcW w:w="992" w:type="dxa"/>
            <w:vMerge w:val="restart"/>
            <w:shd w:val="clear" w:color="auto" w:fill="BDD7EE"/>
            <w:vAlign w:val="center"/>
            <w:hideMark/>
          </w:tcPr>
          <w:p w14:paraId="50B4B395" w14:textId="77777777" w:rsidR="003B5F50" w:rsidRDefault="000D2D85">
            <w:pPr>
              <w:pStyle w:val="P68B1DB1-Normal13"/>
              <w:spacing w:after="0" w:line="240" w:lineRule="auto"/>
              <w:jc w:val="center"/>
              <w:rPr>
                <w:rFonts w:eastAsia="Times New Roman"/>
                <w:noProof/>
                <w:szCs w:val="20"/>
              </w:rPr>
            </w:pPr>
            <w:r>
              <w:rPr>
                <w:noProof/>
              </w:rPr>
              <w:t>Nom</w:t>
            </w:r>
          </w:p>
          <w:p w14:paraId="50B4B396" w14:textId="77777777" w:rsidR="003B5F50" w:rsidRDefault="000D2D85">
            <w:pPr>
              <w:pStyle w:val="P68B1DB1-Normal13"/>
              <w:spacing w:after="0" w:line="240" w:lineRule="auto"/>
              <w:jc w:val="center"/>
              <w:rPr>
                <w:rFonts w:eastAsia="Times New Roman"/>
                <w:noProof/>
                <w:szCs w:val="20"/>
              </w:rPr>
            </w:pPr>
            <w:r>
              <w:rPr>
                <w:noProof/>
              </w:rPr>
              <w:t> </w:t>
            </w:r>
          </w:p>
        </w:tc>
        <w:tc>
          <w:tcPr>
            <w:tcW w:w="1701" w:type="dxa"/>
            <w:vMerge w:val="restart"/>
            <w:shd w:val="clear" w:color="auto" w:fill="BDD7EE"/>
            <w:vAlign w:val="center"/>
            <w:hideMark/>
          </w:tcPr>
          <w:p w14:paraId="50B4B397" w14:textId="77777777" w:rsidR="003B5F50" w:rsidRDefault="000D2D85">
            <w:pPr>
              <w:pStyle w:val="P68B1DB1-Normal13"/>
              <w:spacing w:after="0" w:line="240" w:lineRule="auto"/>
              <w:jc w:val="center"/>
              <w:rPr>
                <w:rFonts w:eastAsia="Times New Roman"/>
                <w:noProof/>
                <w:szCs w:val="20"/>
              </w:rPr>
            </w:pPr>
            <w:r>
              <w:rPr>
                <w:noProof/>
              </w:rPr>
              <w:t>Indicateurs qualitatifs (pour les jalons)</w:t>
            </w:r>
          </w:p>
          <w:p w14:paraId="50B4B398" w14:textId="77777777" w:rsidR="003B5F50" w:rsidRDefault="000D2D85">
            <w:pPr>
              <w:pStyle w:val="P68B1DB1-Normal13"/>
              <w:spacing w:after="0" w:line="240" w:lineRule="auto"/>
              <w:jc w:val="center"/>
              <w:rPr>
                <w:rFonts w:eastAsia="Times New Roman"/>
                <w:noProof/>
                <w:szCs w:val="20"/>
              </w:rPr>
            </w:pPr>
            <w:r>
              <w:rPr>
                <w:noProof/>
              </w:rPr>
              <w:t> </w:t>
            </w:r>
          </w:p>
        </w:tc>
        <w:tc>
          <w:tcPr>
            <w:tcW w:w="3402" w:type="dxa"/>
            <w:gridSpan w:val="3"/>
            <w:shd w:val="clear" w:color="auto" w:fill="BDD7EE"/>
            <w:vAlign w:val="center"/>
            <w:hideMark/>
          </w:tcPr>
          <w:p w14:paraId="50B4B399" w14:textId="77777777" w:rsidR="003B5F50" w:rsidRDefault="000D2D85">
            <w:pPr>
              <w:pStyle w:val="P68B1DB1-Normal13"/>
              <w:spacing w:after="0" w:line="240" w:lineRule="auto"/>
              <w:jc w:val="center"/>
              <w:rPr>
                <w:rFonts w:eastAsia="Times New Roman"/>
                <w:noProof/>
                <w:szCs w:val="20"/>
              </w:rPr>
            </w:pPr>
            <w:r>
              <w:rPr>
                <w:noProof/>
              </w:rPr>
              <w:t>Indicateurs quantitatifs (pour les objectifs)</w:t>
            </w:r>
          </w:p>
        </w:tc>
        <w:tc>
          <w:tcPr>
            <w:tcW w:w="1985" w:type="dxa"/>
            <w:gridSpan w:val="2"/>
            <w:shd w:val="clear" w:color="auto" w:fill="BDD7EE"/>
            <w:vAlign w:val="center"/>
            <w:hideMark/>
          </w:tcPr>
          <w:p w14:paraId="50B4B39A" w14:textId="77777777" w:rsidR="003B5F50" w:rsidRDefault="000D2D85">
            <w:pPr>
              <w:pStyle w:val="P68B1DB1-Normal13"/>
              <w:spacing w:after="0" w:line="240" w:lineRule="auto"/>
              <w:jc w:val="center"/>
              <w:rPr>
                <w:rFonts w:eastAsia="Times New Roman"/>
                <w:noProof/>
                <w:szCs w:val="20"/>
              </w:rPr>
            </w:pPr>
            <w:r>
              <w:rPr>
                <w:noProof/>
              </w:rPr>
              <w:t xml:space="preserve">Calendrier indicatif d'achèvement </w:t>
            </w:r>
          </w:p>
        </w:tc>
        <w:tc>
          <w:tcPr>
            <w:tcW w:w="2344" w:type="dxa"/>
            <w:vMerge w:val="restart"/>
            <w:shd w:val="clear" w:color="auto" w:fill="BDD7EE"/>
            <w:vAlign w:val="center"/>
            <w:hideMark/>
          </w:tcPr>
          <w:p w14:paraId="50B4B39B" w14:textId="77777777" w:rsidR="003B5F50" w:rsidRDefault="000D2D85">
            <w:pPr>
              <w:pStyle w:val="P68B1DB1-Normal13"/>
              <w:spacing w:after="0" w:line="240" w:lineRule="auto"/>
              <w:jc w:val="center"/>
              <w:rPr>
                <w:rFonts w:eastAsia="Times New Roman"/>
                <w:noProof/>
                <w:szCs w:val="20"/>
              </w:rPr>
            </w:pPr>
            <w:r>
              <w:rPr>
                <w:noProof/>
              </w:rPr>
              <w:t>Description et définition claire de chaque jalon et cible</w:t>
            </w:r>
          </w:p>
        </w:tc>
      </w:tr>
      <w:tr w:rsidR="003B5F50" w14:paraId="50B4B3A8" w14:textId="77777777" w:rsidTr="00F133D4">
        <w:trPr>
          <w:trHeight w:val="453"/>
          <w:tblHeader/>
        </w:trPr>
        <w:tc>
          <w:tcPr>
            <w:tcW w:w="853" w:type="dxa"/>
            <w:vMerge/>
            <w:vAlign w:val="center"/>
            <w:hideMark/>
          </w:tcPr>
          <w:p w14:paraId="50B4B39D" w14:textId="77777777" w:rsidR="003B5F50" w:rsidRDefault="003B5F50">
            <w:pPr>
              <w:spacing w:after="0" w:line="240" w:lineRule="auto"/>
              <w:jc w:val="center"/>
              <w:rPr>
                <w:rFonts w:ascii="Times New Roman" w:eastAsia="Times New Roman" w:hAnsi="Times New Roman"/>
                <w:b/>
                <w:noProof/>
                <w:sz w:val="20"/>
                <w:szCs w:val="20"/>
              </w:rPr>
            </w:pPr>
          </w:p>
        </w:tc>
        <w:tc>
          <w:tcPr>
            <w:tcW w:w="1559" w:type="dxa"/>
            <w:vMerge/>
            <w:vAlign w:val="center"/>
            <w:hideMark/>
          </w:tcPr>
          <w:p w14:paraId="50B4B39E" w14:textId="77777777" w:rsidR="003B5F50" w:rsidRDefault="003B5F50">
            <w:pPr>
              <w:spacing w:after="0" w:line="240" w:lineRule="auto"/>
              <w:jc w:val="center"/>
              <w:rPr>
                <w:rFonts w:ascii="Times New Roman" w:eastAsia="Times New Roman" w:hAnsi="Times New Roman"/>
                <w:b/>
                <w:noProof/>
                <w:sz w:val="20"/>
                <w:szCs w:val="20"/>
              </w:rPr>
            </w:pPr>
          </w:p>
        </w:tc>
        <w:tc>
          <w:tcPr>
            <w:tcW w:w="1276" w:type="dxa"/>
            <w:vMerge/>
            <w:vAlign w:val="center"/>
            <w:hideMark/>
          </w:tcPr>
          <w:p w14:paraId="50B4B39F" w14:textId="77777777" w:rsidR="003B5F50" w:rsidRDefault="003B5F50">
            <w:pPr>
              <w:spacing w:after="0" w:line="240" w:lineRule="auto"/>
              <w:jc w:val="center"/>
              <w:rPr>
                <w:rFonts w:ascii="Times New Roman" w:eastAsia="Times New Roman" w:hAnsi="Times New Roman"/>
                <w:b/>
                <w:noProof/>
                <w:sz w:val="20"/>
                <w:szCs w:val="20"/>
              </w:rPr>
            </w:pPr>
          </w:p>
        </w:tc>
        <w:tc>
          <w:tcPr>
            <w:tcW w:w="992" w:type="dxa"/>
            <w:vMerge/>
            <w:vAlign w:val="center"/>
            <w:hideMark/>
          </w:tcPr>
          <w:p w14:paraId="50B4B3A0" w14:textId="77777777" w:rsidR="003B5F50" w:rsidRDefault="003B5F50">
            <w:pPr>
              <w:spacing w:after="0" w:line="240" w:lineRule="auto"/>
              <w:jc w:val="center"/>
              <w:rPr>
                <w:rFonts w:ascii="Times New Roman" w:eastAsia="Times New Roman" w:hAnsi="Times New Roman"/>
                <w:b/>
                <w:noProof/>
                <w:sz w:val="20"/>
                <w:szCs w:val="20"/>
              </w:rPr>
            </w:pPr>
          </w:p>
        </w:tc>
        <w:tc>
          <w:tcPr>
            <w:tcW w:w="1701" w:type="dxa"/>
            <w:vMerge/>
            <w:vAlign w:val="center"/>
            <w:hideMark/>
          </w:tcPr>
          <w:p w14:paraId="50B4B3A1" w14:textId="77777777" w:rsidR="003B5F50" w:rsidRDefault="003B5F50">
            <w:pPr>
              <w:spacing w:after="0" w:line="240" w:lineRule="auto"/>
              <w:jc w:val="center"/>
              <w:rPr>
                <w:rFonts w:ascii="Times New Roman" w:eastAsia="Times New Roman" w:hAnsi="Times New Roman"/>
                <w:b/>
                <w:noProof/>
                <w:sz w:val="20"/>
                <w:szCs w:val="20"/>
              </w:rPr>
            </w:pPr>
          </w:p>
        </w:tc>
        <w:tc>
          <w:tcPr>
            <w:tcW w:w="1134" w:type="dxa"/>
            <w:shd w:val="clear" w:color="auto" w:fill="BDD7EE"/>
            <w:vAlign w:val="center"/>
            <w:hideMark/>
          </w:tcPr>
          <w:p w14:paraId="50B4B3A2" w14:textId="77777777" w:rsidR="003B5F50" w:rsidRDefault="000D2D85">
            <w:pPr>
              <w:pStyle w:val="P68B1DB1-Normal13"/>
              <w:spacing w:after="0" w:line="240" w:lineRule="auto"/>
              <w:jc w:val="center"/>
              <w:rPr>
                <w:rFonts w:eastAsia="Times New Roman"/>
                <w:noProof/>
                <w:szCs w:val="20"/>
              </w:rPr>
            </w:pPr>
            <w:r>
              <w:rPr>
                <w:noProof/>
              </w:rPr>
              <w:t>Unité de mesure</w:t>
            </w:r>
          </w:p>
        </w:tc>
        <w:tc>
          <w:tcPr>
            <w:tcW w:w="1276" w:type="dxa"/>
            <w:shd w:val="clear" w:color="auto" w:fill="BDD7EE"/>
            <w:vAlign w:val="center"/>
            <w:hideMark/>
          </w:tcPr>
          <w:p w14:paraId="50B4B3A3" w14:textId="77777777" w:rsidR="003B5F50" w:rsidRDefault="000D2D85">
            <w:pPr>
              <w:pStyle w:val="P68B1DB1-Normal13"/>
              <w:spacing w:after="0" w:line="240" w:lineRule="auto"/>
              <w:jc w:val="center"/>
              <w:rPr>
                <w:rFonts w:eastAsia="Times New Roman"/>
                <w:noProof/>
                <w:szCs w:val="20"/>
              </w:rPr>
            </w:pPr>
            <w:r>
              <w:rPr>
                <w:noProof/>
              </w:rPr>
              <w:t>Données de référence</w:t>
            </w:r>
          </w:p>
        </w:tc>
        <w:tc>
          <w:tcPr>
            <w:tcW w:w="992" w:type="dxa"/>
            <w:shd w:val="clear" w:color="auto" w:fill="BDD7EE"/>
            <w:vAlign w:val="center"/>
            <w:hideMark/>
          </w:tcPr>
          <w:p w14:paraId="50B4B3A4" w14:textId="77777777" w:rsidR="003B5F50" w:rsidRDefault="000D2D85">
            <w:pPr>
              <w:pStyle w:val="P68B1DB1-Normal13"/>
              <w:spacing w:after="0" w:line="240" w:lineRule="auto"/>
              <w:jc w:val="center"/>
              <w:rPr>
                <w:rFonts w:eastAsia="Times New Roman"/>
                <w:noProof/>
                <w:szCs w:val="20"/>
              </w:rPr>
            </w:pPr>
            <w:r>
              <w:rPr>
                <w:noProof/>
              </w:rPr>
              <w:t>Objectif</w:t>
            </w:r>
          </w:p>
        </w:tc>
        <w:tc>
          <w:tcPr>
            <w:tcW w:w="1134" w:type="dxa"/>
            <w:shd w:val="clear" w:color="auto" w:fill="BDD7EE"/>
            <w:vAlign w:val="center"/>
            <w:hideMark/>
          </w:tcPr>
          <w:p w14:paraId="50B4B3A5" w14:textId="77777777" w:rsidR="003B5F50" w:rsidRDefault="000D2D85">
            <w:pPr>
              <w:pStyle w:val="P68B1DB1-Normal13"/>
              <w:spacing w:after="0" w:line="240" w:lineRule="auto"/>
              <w:jc w:val="center"/>
              <w:rPr>
                <w:rFonts w:eastAsia="Times New Roman"/>
                <w:noProof/>
                <w:szCs w:val="20"/>
              </w:rPr>
            </w:pPr>
            <w:r>
              <w:rPr>
                <w:noProof/>
              </w:rPr>
              <w:t>Trimestre</w:t>
            </w:r>
          </w:p>
        </w:tc>
        <w:tc>
          <w:tcPr>
            <w:tcW w:w="851" w:type="dxa"/>
            <w:shd w:val="clear" w:color="auto" w:fill="BDD7EE"/>
            <w:vAlign w:val="center"/>
            <w:hideMark/>
          </w:tcPr>
          <w:p w14:paraId="50B4B3A6" w14:textId="77777777" w:rsidR="003B5F50" w:rsidRDefault="000D2D85">
            <w:pPr>
              <w:pStyle w:val="P68B1DB1-Normal13"/>
              <w:spacing w:after="0" w:line="240" w:lineRule="auto"/>
              <w:jc w:val="center"/>
              <w:rPr>
                <w:rFonts w:eastAsia="Times New Roman"/>
                <w:noProof/>
                <w:szCs w:val="20"/>
              </w:rPr>
            </w:pPr>
            <w:r>
              <w:rPr>
                <w:noProof/>
              </w:rPr>
              <w:t>Année</w:t>
            </w:r>
          </w:p>
        </w:tc>
        <w:tc>
          <w:tcPr>
            <w:tcW w:w="2344" w:type="dxa"/>
            <w:vMerge/>
            <w:vAlign w:val="center"/>
            <w:hideMark/>
          </w:tcPr>
          <w:p w14:paraId="50B4B3A7" w14:textId="77777777" w:rsidR="003B5F50" w:rsidRDefault="003B5F50">
            <w:pPr>
              <w:spacing w:after="0" w:line="240" w:lineRule="auto"/>
              <w:rPr>
                <w:rFonts w:ascii="Times New Roman" w:eastAsia="Times New Roman" w:hAnsi="Times New Roman"/>
                <w:b/>
                <w:noProof/>
                <w:sz w:val="20"/>
                <w:szCs w:val="20"/>
              </w:rPr>
            </w:pPr>
          </w:p>
        </w:tc>
      </w:tr>
      <w:tr w:rsidR="003B5F50" w14:paraId="50B4B3B8" w14:textId="77777777" w:rsidTr="00F133D4">
        <w:trPr>
          <w:trHeight w:val="1155"/>
        </w:trPr>
        <w:tc>
          <w:tcPr>
            <w:tcW w:w="853" w:type="dxa"/>
            <w:shd w:val="clear" w:color="auto" w:fill="C6EFCE"/>
            <w:hideMark/>
          </w:tcPr>
          <w:p w14:paraId="50B4B3A9" w14:textId="77777777" w:rsidR="003B5F50" w:rsidRDefault="000D2D85">
            <w:pPr>
              <w:pStyle w:val="P68B1DB1-Normal14"/>
              <w:spacing w:after="0" w:line="240" w:lineRule="auto"/>
              <w:rPr>
                <w:rFonts w:eastAsia="Times New Roman"/>
                <w:noProof/>
                <w:szCs w:val="20"/>
              </w:rPr>
            </w:pPr>
            <w:r>
              <w:rPr>
                <w:noProof/>
              </w:rPr>
              <w:t>1</w:t>
            </w:r>
          </w:p>
        </w:tc>
        <w:tc>
          <w:tcPr>
            <w:tcW w:w="1559" w:type="dxa"/>
            <w:shd w:val="clear" w:color="auto" w:fill="C6EFCE"/>
            <w:hideMark/>
          </w:tcPr>
          <w:p w14:paraId="50B4B3AA" w14:textId="77777777" w:rsidR="003B5F50" w:rsidRDefault="000D2D85">
            <w:pPr>
              <w:pStyle w:val="P68B1DB1-Normal14"/>
              <w:spacing w:after="0" w:line="240" w:lineRule="auto"/>
              <w:rPr>
                <w:rFonts w:eastAsia="Times New Roman"/>
                <w:noProof/>
                <w:szCs w:val="20"/>
              </w:rPr>
            </w:pPr>
            <w:r>
              <w:rPr>
                <w:noProof/>
              </w:rPr>
              <w:t>11 – Des soins de santé modernes et accessibles – Réforme 1 Optimisation du réseau hospitalier (ONU)</w:t>
            </w:r>
          </w:p>
        </w:tc>
        <w:tc>
          <w:tcPr>
            <w:tcW w:w="1276" w:type="dxa"/>
            <w:shd w:val="clear" w:color="auto" w:fill="C6EFCE"/>
            <w:hideMark/>
          </w:tcPr>
          <w:p w14:paraId="50B4B3AB" w14:textId="77777777" w:rsidR="003B5F50" w:rsidRDefault="000D2D85">
            <w:pPr>
              <w:pStyle w:val="P68B1DB1-Normal14"/>
              <w:spacing w:after="0" w:line="240" w:lineRule="auto"/>
              <w:rPr>
                <w:rFonts w:eastAsia="Times New Roman"/>
                <w:noProof/>
                <w:szCs w:val="20"/>
              </w:rPr>
            </w:pPr>
            <w:r>
              <w:rPr>
                <w:noProof/>
              </w:rPr>
              <w:t>Étape</w:t>
            </w:r>
          </w:p>
        </w:tc>
        <w:tc>
          <w:tcPr>
            <w:tcW w:w="992" w:type="dxa"/>
            <w:shd w:val="clear" w:color="auto" w:fill="C6EFCE"/>
            <w:hideMark/>
          </w:tcPr>
          <w:p w14:paraId="50B4B3AC" w14:textId="77777777" w:rsidR="003B5F50" w:rsidRDefault="000D2D85">
            <w:pPr>
              <w:pStyle w:val="P68B1DB1-Normal14"/>
              <w:spacing w:after="0" w:line="240" w:lineRule="auto"/>
              <w:rPr>
                <w:rFonts w:eastAsia="Times New Roman"/>
                <w:noProof/>
                <w:szCs w:val="20"/>
              </w:rPr>
            </w:pPr>
            <w:r>
              <w:rPr>
                <w:noProof/>
              </w:rPr>
              <w:t xml:space="preserve">Introduction du réseau hospitalier </w:t>
            </w:r>
          </w:p>
          <w:p w14:paraId="50B4B3AD" w14:textId="77777777" w:rsidR="003B5F50" w:rsidRDefault="003B5F50">
            <w:pPr>
              <w:spacing w:after="0" w:line="240" w:lineRule="auto"/>
              <w:rPr>
                <w:rFonts w:ascii="Times New Roman" w:eastAsia="Times New Roman" w:hAnsi="Times New Roman"/>
                <w:noProof/>
                <w:color w:val="006100"/>
                <w:sz w:val="20"/>
                <w:szCs w:val="20"/>
              </w:rPr>
            </w:pPr>
          </w:p>
        </w:tc>
        <w:tc>
          <w:tcPr>
            <w:tcW w:w="1701" w:type="dxa"/>
            <w:shd w:val="clear" w:color="auto" w:fill="C6EFCE"/>
            <w:hideMark/>
          </w:tcPr>
          <w:p w14:paraId="50B4B3AE" w14:textId="77777777" w:rsidR="003B5F50" w:rsidRDefault="000D2D85">
            <w:pPr>
              <w:pStyle w:val="P68B1DB1-Normal14"/>
              <w:spacing w:after="0" w:line="240" w:lineRule="auto"/>
              <w:rPr>
                <w:rFonts w:eastAsia="Times New Roman"/>
                <w:noProof/>
                <w:szCs w:val="20"/>
              </w:rPr>
            </w:pPr>
            <w:r>
              <w:rPr>
                <w:noProof/>
              </w:rPr>
              <w:t xml:space="preserve">Entrée en vigueur de la modification législative </w:t>
            </w:r>
          </w:p>
        </w:tc>
        <w:tc>
          <w:tcPr>
            <w:tcW w:w="1134" w:type="dxa"/>
            <w:shd w:val="clear" w:color="auto" w:fill="C6EFCE"/>
            <w:hideMark/>
          </w:tcPr>
          <w:p w14:paraId="50B4B3AF" w14:textId="77777777" w:rsidR="003B5F50" w:rsidRDefault="003B5F50">
            <w:pPr>
              <w:spacing w:after="0" w:line="240" w:lineRule="auto"/>
              <w:rPr>
                <w:rFonts w:ascii="Times New Roman" w:eastAsia="Times New Roman" w:hAnsi="Times New Roman"/>
                <w:noProof/>
                <w:color w:val="006100"/>
                <w:sz w:val="20"/>
                <w:szCs w:val="20"/>
              </w:rPr>
            </w:pPr>
          </w:p>
        </w:tc>
        <w:tc>
          <w:tcPr>
            <w:tcW w:w="1276" w:type="dxa"/>
            <w:shd w:val="clear" w:color="auto" w:fill="C6EFCE"/>
            <w:hideMark/>
          </w:tcPr>
          <w:p w14:paraId="50B4B3B0" w14:textId="77777777" w:rsidR="003B5F50" w:rsidRDefault="003B5F50">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3B1" w14:textId="77777777" w:rsidR="003B5F50" w:rsidRDefault="003B5F50">
            <w:pPr>
              <w:spacing w:after="0" w:line="240" w:lineRule="auto"/>
              <w:rPr>
                <w:rFonts w:ascii="Times New Roman" w:eastAsia="Times New Roman" w:hAnsi="Times New Roman"/>
                <w:noProof/>
                <w:color w:val="006100"/>
                <w:sz w:val="20"/>
                <w:szCs w:val="20"/>
              </w:rPr>
            </w:pPr>
          </w:p>
        </w:tc>
        <w:tc>
          <w:tcPr>
            <w:tcW w:w="1134" w:type="dxa"/>
            <w:shd w:val="clear" w:color="auto" w:fill="C6EFCE"/>
            <w:hideMark/>
          </w:tcPr>
          <w:p w14:paraId="50B4B3B2" w14:textId="77777777" w:rsidR="003B5F50" w:rsidRDefault="000D2D85">
            <w:pPr>
              <w:pStyle w:val="P68B1DB1-Normal14"/>
              <w:spacing w:after="0" w:line="240" w:lineRule="auto"/>
              <w:rPr>
                <w:rFonts w:eastAsia="Times New Roman"/>
                <w:noProof/>
                <w:szCs w:val="20"/>
              </w:rPr>
            </w:pPr>
            <w:r>
              <w:rPr>
                <w:noProof/>
              </w:rPr>
              <w:t>T1</w:t>
            </w:r>
          </w:p>
        </w:tc>
        <w:tc>
          <w:tcPr>
            <w:tcW w:w="851" w:type="dxa"/>
            <w:shd w:val="clear" w:color="auto" w:fill="C6EFCE"/>
            <w:hideMark/>
          </w:tcPr>
          <w:p w14:paraId="50B4B3B3" w14:textId="77777777" w:rsidR="003B5F50" w:rsidRDefault="000D2D85">
            <w:pPr>
              <w:pStyle w:val="P68B1DB1-Normal14"/>
              <w:spacing w:after="0" w:line="240" w:lineRule="auto"/>
              <w:rPr>
                <w:rFonts w:eastAsia="Times New Roman"/>
                <w:noProof/>
                <w:szCs w:val="20"/>
              </w:rPr>
            </w:pPr>
            <w:r>
              <w:rPr>
                <w:noProof/>
              </w:rPr>
              <w:t>2022</w:t>
            </w:r>
          </w:p>
        </w:tc>
        <w:tc>
          <w:tcPr>
            <w:tcW w:w="2344" w:type="dxa"/>
            <w:shd w:val="clear" w:color="auto" w:fill="C6EFCE"/>
            <w:hideMark/>
          </w:tcPr>
          <w:p w14:paraId="50B4B3B4" w14:textId="77777777" w:rsidR="003B5F50" w:rsidRDefault="000D2D85">
            <w:pPr>
              <w:pStyle w:val="P68B1DB1-Normal14"/>
              <w:spacing w:after="0" w:line="240" w:lineRule="auto"/>
              <w:rPr>
                <w:rFonts w:eastAsia="Times New Roman"/>
                <w:noProof/>
                <w:szCs w:val="20"/>
              </w:rPr>
            </w:pPr>
            <w:r>
              <w:rPr>
                <w:noProof/>
              </w:rPr>
              <w:t xml:space="preserve">Modifications législatives apportées aux lois et aux actes juridiques connexes (lois notamment: 576/2004, 577/2004, 578/2004, 579/2004, 581/2004) introduisant l'optimisation du réseau hospitalier définit la hiérarchie des prestataires de soins hospitaliers en fonction de la complexité des soins fournis, de l'étendue des services et de l'accessibilité du temps. </w:t>
            </w:r>
          </w:p>
          <w:p w14:paraId="50B4B3B5" w14:textId="77777777" w:rsidR="003B5F50" w:rsidRDefault="003B5F50">
            <w:pPr>
              <w:spacing w:after="0" w:line="240" w:lineRule="auto"/>
              <w:rPr>
                <w:rFonts w:ascii="Times New Roman" w:eastAsia="Times New Roman" w:hAnsi="Times New Roman"/>
                <w:noProof/>
                <w:color w:val="006100"/>
                <w:sz w:val="20"/>
                <w:szCs w:val="20"/>
              </w:rPr>
            </w:pPr>
          </w:p>
          <w:p w14:paraId="50B4B3B7" w14:textId="42239B38" w:rsidR="003B5F50" w:rsidRDefault="000D2D85">
            <w:pPr>
              <w:pStyle w:val="P68B1DB1-Normal14"/>
              <w:spacing w:after="0" w:line="240" w:lineRule="auto"/>
              <w:rPr>
                <w:rFonts w:eastAsia="Times New Roman"/>
                <w:noProof/>
                <w:szCs w:val="20"/>
              </w:rPr>
            </w:pPr>
            <w:r>
              <w:rPr>
                <w:noProof/>
              </w:rPr>
              <w:t xml:space="preserve">Il y aura 5 niveaux de fournisseurs de soins hospitaliers. La loi fixe les services obligatoires que les prestataires sont tenus de fournir à chaque niveau. En outre, il définit les indicateurs de qualité, les exigences en matière d'équipement technique, les capacités du personnel et les temps d'attente pour certains services. </w:t>
            </w:r>
          </w:p>
        </w:tc>
      </w:tr>
      <w:tr w:rsidR="003B5F50" w14:paraId="50B4B3C5" w14:textId="77777777" w:rsidTr="00F133D4">
        <w:trPr>
          <w:trHeight w:val="77"/>
        </w:trPr>
        <w:tc>
          <w:tcPr>
            <w:tcW w:w="853" w:type="dxa"/>
            <w:tcBorders>
              <w:top w:val="single" w:sz="4" w:space="0" w:color="auto"/>
              <w:left w:val="single" w:sz="4" w:space="0" w:color="auto"/>
              <w:bottom w:val="single" w:sz="4" w:space="0" w:color="auto"/>
              <w:right w:val="single" w:sz="4" w:space="0" w:color="auto"/>
            </w:tcBorders>
            <w:shd w:val="clear" w:color="auto" w:fill="C6EFCE"/>
            <w:hideMark/>
          </w:tcPr>
          <w:p w14:paraId="50B4B3B9" w14:textId="77777777" w:rsidR="003B5F50" w:rsidRDefault="000D2D85">
            <w:pPr>
              <w:pStyle w:val="P68B1DB1-Normal14"/>
              <w:spacing w:after="0" w:line="240" w:lineRule="auto"/>
              <w:rPr>
                <w:rFonts w:eastAsia="Times New Roman"/>
                <w:noProof/>
                <w:szCs w:val="20"/>
              </w:rPr>
            </w:pPr>
            <w:r>
              <w:rPr>
                <w:noProof/>
              </w:rPr>
              <w:t>2</w:t>
            </w:r>
          </w:p>
        </w:tc>
        <w:tc>
          <w:tcPr>
            <w:tcW w:w="1559" w:type="dxa"/>
            <w:tcBorders>
              <w:top w:val="single" w:sz="4" w:space="0" w:color="auto"/>
              <w:left w:val="single" w:sz="4" w:space="0" w:color="auto"/>
              <w:bottom w:val="single" w:sz="4" w:space="0" w:color="auto"/>
              <w:right w:val="single" w:sz="4" w:space="0" w:color="auto"/>
            </w:tcBorders>
            <w:shd w:val="clear" w:color="auto" w:fill="C6EFCE"/>
            <w:hideMark/>
          </w:tcPr>
          <w:p w14:paraId="50B4B3BA" w14:textId="59AC1DB4" w:rsidR="003B5F50" w:rsidRDefault="000D2D85">
            <w:pPr>
              <w:pStyle w:val="P68B1DB1-Normal47"/>
              <w:spacing w:after="0" w:line="240" w:lineRule="auto"/>
              <w:rPr>
                <w:noProof/>
              </w:rPr>
            </w:pPr>
            <w:r>
              <w:rPr>
                <w:noProof/>
              </w:rPr>
              <w:t xml:space="preserve">11 – Des soins de santé modernes et accessibles – Réforme 1 Optimisation du réseau hospitalier </w:t>
            </w:r>
          </w:p>
        </w:tc>
        <w:tc>
          <w:tcPr>
            <w:tcW w:w="1276" w:type="dxa"/>
            <w:tcBorders>
              <w:top w:val="single" w:sz="4" w:space="0" w:color="auto"/>
              <w:left w:val="single" w:sz="4" w:space="0" w:color="auto"/>
              <w:bottom w:val="single" w:sz="4" w:space="0" w:color="auto"/>
              <w:right w:val="single" w:sz="4" w:space="0" w:color="auto"/>
            </w:tcBorders>
            <w:shd w:val="clear" w:color="auto" w:fill="C6EFCE"/>
            <w:hideMark/>
          </w:tcPr>
          <w:p w14:paraId="50B4B3BB" w14:textId="77777777" w:rsidR="003B5F50" w:rsidRDefault="000D2D85">
            <w:pPr>
              <w:pStyle w:val="P68B1DB1-Normal47"/>
              <w:spacing w:after="0" w:line="240" w:lineRule="auto"/>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50B4B3BC" w14:textId="216591CF" w:rsidR="003B5F50" w:rsidRDefault="000D2D85">
            <w:pPr>
              <w:pStyle w:val="P68B1DB1-Normal47"/>
              <w:spacing w:after="0" w:line="240" w:lineRule="auto"/>
              <w:rPr>
                <w:noProof/>
              </w:rPr>
            </w:pPr>
            <w:r>
              <w:rPr>
                <w:noProof/>
              </w:rPr>
              <w:t>Hôpitaux reprofilés dans le cadre du nouveau réseau hospitalier</w:t>
            </w:r>
          </w:p>
        </w:tc>
        <w:tc>
          <w:tcPr>
            <w:tcW w:w="1701" w:type="dxa"/>
            <w:tcBorders>
              <w:top w:val="single" w:sz="4" w:space="0" w:color="auto"/>
              <w:left w:val="single" w:sz="4" w:space="0" w:color="auto"/>
              <w:bottom w:val="single" w:sz="4" w:space="0" w:color="auto"/>
              <w:right w:val="single" w:sz="4" w:space="0" w:color="auto"/>
            </w:tcBorders>
            <w:shd w:val="clear" w:color="auto" w:fill="C6EFCE"/>
            <w:hideMark/>
          </w:tcPr>
          <w:p w14:paraId="50B4B3BD" w14:textId="77777777" w:rsidR="003B5F50" w:rsidRDefault="003B5F50">
            <w:pPr>
              <w:spacing w:after="0" w:line="240" w:lineRule="auto"/>
              <w:rPr>
                <w:rFonts w:ascii="Times New Roman" w:eastAsia="Times New Roman" w:hAnsi="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50B4B3BE" w14:textId="4D164A80" w:rsidR="003B5F50" w:rsidRDefault="000D2D85">
            <w:pPr>
              <w:pStyle w:val="P68B1DB1-Normal15"/>
              <w:spacing w:after="0" w:line="240" w:lineRule="auto"/>
              <w:rPr>
                <w:noProof/>
              </w:rPr>
            </w:pPr>
            <w:r>
              <w:rPr>
                <w:noProof/>
              </w:rPr>
              <w:t>nombre d'hôpitaux</w:t>
            </w:r>
          </w:p>
        </w:tc>
        <w:tc>
          <w:tcPr>
            <w:tcW w:w="1276" w:type="dxa"/>
            <w:tcBorders>
              <w:top w:val="single" w:sz="4" w:space="0" w:color="auto"/>
              <w:left w:val="single" w:sz="4" w:space="0" w:color="auto"/>
              <w:bottom w:val="single" w:sz="4" w:space="0" w:color="auto"/>
              <w:right w:val="single" w:sz="4" w:space="0" w:color="auto"/>
            </w:tcBorders>
            <w:shd w:val="clear" w:color="auto" w:fill="C6EFCE"/>
            <w:hideMark/>
          </w:tcPr>
          <w:p w14:paraId="50B4B3BF" w14:textId="4FC4047A" w:rsidR="003B5F50" w:rsidRDefault="000D2D85">
            <w:pPr>
              <w:pStyle w:val="P68B1DB1-Normal15"/>
              <w:spacing w:after="0" w:line="240" w:lineRule="auto"/>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50B4B3C0" w14:textId="37FEDDF1" w:rsidR="003B5F50" w:rsidRDefault="000D2D85">
            <w:pPr>
              <w:pStyle w:val="P68B1DB1-Normal15"/>
              <w:spacing w:after="0" w:line="240" w:lineRule="auto"/>
              <w:rPr>
                <w:rFonts w:eastAsia="Times New Roman"/>
                <w:noProof/>
              </w:rPr>
            </w:pPr>
            <w:r>
              <w:rPr>
                <w:noProof/>
              </w:rPr>
              <w:t>37</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50B4B3C1" w14:textId="66272831" w:rsidR="003B5F50" w:rsidRDefault="000D2D85">
            <w:pPr>
              <w:pStyle w:val="P68B1DB1-Normal15"/>
              <w:spacing w:after="0" w:line="240" w:lineRule="auto"/>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50B4B3C2" w14:textId="77777777" w:rsidR="003B5F50" w:rsidRDefault="000D2D85">
            <w:pPr>
              <w:pStyle w:val="P68B1DB1-Normal14"/>
              <w:spacing w:after="0" w:line="240" w:lineRule="auto"/>
              <w:rPr>
                <w:rFonts w:eastAsia="Times New Roman"/>
                <w:noProof/>
                <w:szCs w:val="20"/>
              </w:rPr>
            </w:pPr>
            <w:r>
              <w:rPr>
                <w:noProof/>
              </w:rPr>
              <w:t>2025</w:t>
            </w:r>
          </w:p>
        </w:tc>
        <w:tc>
          <w:tcPr>
            <w:tcW w:w="2344" w:type="dxa"/>
            <w:tcBorders>
              <w:top w:val="single" w:sz="4" w:space="0" w:color="auto"/>
              <w:left w:val="single" w:sz="4" w:space="0" w:color="auto"/>
              <w:bottom w:val="single" w:sz="4" w:space="0" w:color="auto"/>
              <w:right w:val="single" w:sz="4" w:space="0" w:color="auto"/>
            </w:tcBorders>
            <w:shd w:val="clear" w:color="auto" w:fill="C6EFCE"/>
            <w:hideMark/>
          </w:tcPr>
          <w:p w14:paraId="55AC1648" w14:textId="51D3D783" w:rsidR="003B5F50" w:rsidRDefault="003B5F50">
            <w:pPr>
              <w:spacing w:after="0" w:line="240" w:lineRule="auto"/>
              <w:rPr>
                <w:rFonts w:ascii="Times New Roman" w:hAnsi="Times New Roman"/>
                <w:noProof/>
                <w:color w:val="006100"/>
                <w:sz w:val="20"/>
                <w:szCs w:val="20"/>
              </w:rPr>
            </w:pPr>
          </w:p>
          <w:p w14:paraId="50B4B3C4" w14:textId="4294FC5B" w:rsidR="003B5F50" w:rsidRDefault="000D2D85">
            <w:pPr>
              <w:pStyle w:val="P68B1DB1-Normal15"/>
              <w:spacing w:after="0"/>
              <w:rPr>
                <w:rFonts w:eastAsia="Times New Roman" w:cs="Times New Roman"/>
                <w:noProof/>
              </w:rPr>
            </w:pPr>
            <w:r>
              <w:rPr>
                <w:noProof/>
              </w:rPr>
              <w:t>Une liste publiée d’au moins 37 hôpitaux faisant l’objet d’une décision finale relative au profil de service est mise à disposition, montrant que ces hôpitaux ont été reprofilés conformément aux exigences déjà fixées dans la réforme 1 au titre de ce volet.</w:t>
            </w:r>
          </w:p>
        </w:tc>
      </w:tr>
      <w:tr w:rsidR="003B5F50" w14:paraId="50B4B3D3" w14:textId="77777777" w:rsidTr="00F133D4">
        <w:trPr>
          <w:trHeight w:val="77"/>
        </w:trPr>
        <w:tc>
          <w:tcPr>
            <w:tcW w:w="853" w:type="dxa"/>
            <w:shd w:val="clear" w:color="auto" w:fill="C6EFCE"/>
            <w:hideMark/>
          </w:tcPr>
          <w:p w14:paraId="50B4B3C6" w14:textId="77777777" w:rsidR="003B5F50" w:rsidRDefault="000D2D85">
            <w:pPr>
              <w:pStyle w:val="P68B1DB1-Normal14"/>
              <w:spacing w:after="0" w:line="240" w:lineRule="auto"/>
              <w:rPr>
                <w:rFonts w:eastAsia="Times New Roman"/>
                <w:noProof/>
                <w:szCs w:val="20"/>
              </w:rPr>
            </w:pPr>
            <w:r>
              <w:rPr>
                <w:noProof/>
              </w:rPr>
              <w:t>3</w:t>
            </w:r>
          </w:p>
        </w:tc>
        <w:tc>
          <w:tcPr>
            <w:tcW w:w="1559" w:type="dxa"/>
            <w:shd w:val="clear" w:color="auto" w:fill="C6EFCE"/>
            <w:hideMark/>
          </w:tcPr>
          <w:p w14:paraId="50B4B3C7" w14:textId="77777777" w:rsidR="003B5F50" w:rsidRDefault="000D2D85">
            <w:pPr>
              <w:pStyle w:val="P68B1DB1-Normal14"/>
              <w:spacing w:after="0" w:line="240" w:lineRule="auto"/>
              <w:rPr>
                <w:rFonts w:eastAsia="Times New Roman"/>
                <w:noProof/>
                <w:szCs w:val="20"/>
              </w:rPr>
            </w:pPr>
            <w:r>
              <w:rPr>
                <w:noProof/>
              </w:rPr>
              <w:t>11 – Des soins de santé modernes et accessibles – Réforme 2 Réforme de l’élaboration des plans d’investissement dans le domaine de la santé</w:t>
            </w:r>
          </w:p>
        </w:tc>
        <w:tc>
          <w:tcPr>
            <w:tcW w:w="1276" w:type="dxa"/>
            <w:shd w:val="clear" w:color="auto" w:fill="C6EFCE"/>
            <w:hideMark/>
          </w:tcPr>
          <w:p w14:paraId="50B4B3C8" w14:textId="77777777" w:rsidR="003B5F50" w:rsidRDefault="000D2D85">
            <w:pPr>
              <w:pStyle w:val="P68B1DB1-Normal14"/>
              <w:spacing w:after="0" w:line="240" w:lineRule="auto"/>
              <w:rPr>
                <w:rFonts w:eastAsia="Times New Roman"/>
                <w:noProof/>
                <w:szCs w:val="20"/>
              </w:rPr>
            </w:pPr>
            <w:r>
              <w:rPr>
                <w:noProof/>
              </w:rPr>
              <w:t>Étape</w:t>
            </w:r>
          </w:p>
        </w:tc>
        <w:tc>
          <w:tcPr>
            <w:tcW w:w="992" w:type="dxa"/>
            <w:shd w:val="clear" w:color="auto" w:fill="C6EFCE"/>
            <w:hideMark/>
          </w:tcPr>
          <w:p w14:paraId="50B4B3C9" w14:textId="77777777" w:rsidR="003B5F50" w:rsidRDefault="000D2D85">
            <w:pPr>
              <w:pStyle w:val="P68B1DB1-Normal14"/>
              <w:spacing w:after="0" w:line="240" w:lineRule="auto"/>
              <w:rPr>
                <w:rFonts w:eastAsia="Times New Roman"/>
                <w:noProof/>
                <w:szCs w:val="20"/>
              </w:rPr>
            </w:pPr>
            <w:r>
              <w:rPr>
                <w:noProof/>
              </w:rPr>
              <w:t xml:space="preserve">Un plan d'investissement prioritaire selon la méthodologie d'évaluation des investissements adoptée par le ministère de la Santé </w:t>
            </w:r>
          </w:p>
        </w:tc>
        <w:tc>
          <w:tcPr>
            <w:tcW w:w="1701" w:type="dxa"/>
            <w:shd w:val="clear" w:color="auto" w:fill="C6EFCE"/>
            <w:hideMark/>
          </w:tcPr>
          <w:p w14:paraId="50B4B3CA" w14:textId="6141D852" w:rsidR="003B5F50" w:rsidRDefault="000D2D85">
            <w:pPr>
              <w:pStyle w:val="P68B1DB1-Normal14"/>
              <w:spacing w:after="0" w:line="240" w:lineRule="auto"/>
              <w:rPr>
                <w:rFonts w:eastAsia="Times New Roman"/>
                <w:noProof/>
                <w:szCs w:val="20"/>
              </w:rPr>
            </w:pPr>
            <w:r>
              <w:rPr>
                <w:noProof/>
              </w:rPr>
              <w:t xml:space="preserve">plan d’investissement prioritaire publié sur le site web du ministère de la santé </w:t>
            </w:r>
          </w:p>
        </w:tc>
        <w:tc>
          <w:tcPr>
            <w:tcW w:w="1134" w:type="dxa"/>
            <w:shd w:val="clear" w:color="auto" w:fill="C6EFCE"/>
            <w:hideMark/>
          </w:tcPr>
          <w:p w14:paraId="50B4B3CB" w14:textId="77777777" w:rsidR="003B5F50" w:rsidRDefault="003B5F50">
            <w:pPr>
              <w:spacing w:after="0" w:line="240" w:lineRule="auto"/>
              <w:rPr>
                <w:rFonts w:ascii="Times New Roman" w:eastAsia="Times New Roman" w:hAnsi="Times New Roman"/>
                <w:noProof/>
                <w:color w:val="006100"/>
                <w:sz w:val="20"/>
                <w:szCs w:val="20"/>
              </w:rPr>
            </w:pPr>
          </w:p>
        </w:tc>
        <w:tc>
          <w:tcPr>
            <w:tcW w:w="1276" w:type="dxa"/>
            <w:shd w:val="clear" w:color="auto" w:fill="C6EFCE"/>
            <w:hideMark/>
          </w:tcPr>
          <w:p w14:paraId="50B4B3CC" w14:textId="77777777" w:rsidR="003B5F50" w:rsidRDefault="003B5F50">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3CD" w14:textId="77777777" w:rsidR="003B5F50" w:rsidRDefault="003B5F50">
            <w:pPr>
              <w:spacing w:after="0" w:line="240" w:lineRule="auto"/>
              <w:rPr>
                <w:rFonts w:ascii="Times New Roman" w:eastAsia="Times New Roman" w:hAnsi="Times New Roman"/>
                <w:noProof/>
                <w:color w:val="006100"/>
                <w:sz w:val="20"/>
                <w:szCs w:val="20"/>
              </w:rPr>
            </w:pPr>
          </w:p>
        </w:tc>
        <w:tc>
          <w:tcPr>
            <w:tcW w:w="1134" w:type="dxa"/>
            <w:shd w:val="clear" w:color="auto" w:fill="C6EFCE"/>
            <w:hideMark/>
          </w:tcPr>
          <w:p w14:paraId="50B4B3CE" w14:textId="77777777" w:rsidR="003B5F50" w:rsidRDefault="000D2D85">
            <w:pPr>
              <w:pStyle w:val="P68B1DB1-Normal14"/>
              <w:spacing w:after="0" w:line="240" w:lineRule="auto"/>
              <w:rPr>
                <w:rFonts w:eastAsia="Times New Roman"/>
                <w:noProof/>
                <w:szCs w:val="20"/>
              </w:rPr>
            </w:pPr>
            <w:r>
              <w:rPr>
                <w:noProof/>
              </w:rPr>
              <w:t>T2</w:t>
            </w:r>
          </w:p>
        </w:tc>
        <w:tc>
          <w:tcPr>
            <w:tcW w:w="851" w:type="dxa"/>
            <w:shd w:val="clear" w:color="auto" w:fill="C6EFCE"/>
            <w:hideMark/>
          </w:tcPr>
          <w:p w14:paraId="50B4B3CF" w14:textId="77777777" w:rsidR="003B5F50" w:rsidRDefault="000D2D85">
            <w:pPr>
              <w:pStyle w:val="P68B1DB1-Normal14"/>
              <w:spacing w:after="0" w:line="240" w:lineRule="auto"/>
              <w:rPr>
                <w:rFonts w:eastAsia="Times New Roman"/>
                <w:noProof/>
                <w:szCs w:val="20"/>
              </w:rPr>
            </w:pPr>
            <w:r>
              <w:rPr>
                <w:noProof/>
              </w:rPr>
              <w:t>2022</w:t>
            </w:r>
          </w:p>
        </w:tc>
        <w:tc>
          <w:tcPr>
            <w:tcW w:w="2344" w:type="dxa"/>
            <w:shd w:val="clear" w:color="auto" w:fill="C6EFCE"/>
            <w:hideMark/>
          </w:tcPr>
          <w:p w14:paraId="50B4B3D0" w14:textId="77777777" w:rsidR="003B5F50" w:rsidRDefault="000D2D85">
            <w:pPr>
              <w:pStyle w:val="P68B1DB1-Normal14"/>
              <w:spacing w:before="120" w:after="120" w:line="240" w:lineRule="auto"/>
              <w:rPr>
                <w:rFonts w:eastAsia="Times New Roman"/>
                <w:noProof/>
                <w:szCs w:val="20"/>
              </w:rPr>
            </w:pPr>
            <w:r>
              <w:rPr>
                <w:noProof/>
              </w:rPr>
              <w:t>Le plan comprend tous les investissements à financer au titre du plan pour la reprise et la résilience et des Fonds structurels de l’UE et commence à préparer ces projets en priorité pour leur mise en œuvre (liés aux investissements 1, 2 et 3).</w:t>
            </w:r>
          </w:p>
          <w:p w14:paraId="50B4B3D2" w14:textId="68A20586" w:rsidR="003B5F50" w:rsidRDefault="000D2D85">
            <w:pPr>
              <w:pStyle w:val="P68B1DB1-Normal14"/>
              <w:spacing w:after="0" w:line="240" w:lineRule="auto"/>
              <w:rPr>
                <w:rFonts w:eastAsia="Times New Roman"/>
                <w:noProof/>
                <w:szCs w:val="20"/>
              </w:rPr>
            </w:pPr>
            <w:r>
              <w:rPr>
                <w:noProof/>
              </w:rPr>
              <w:t xml:space="preserve">Il convient d’élaborer une méthode d’évaluation des investissements dans le domaine de la santé, qui déterminera les critères de prise de décision sur la base des avantages financiers, médicaux mais aussi indirects, y compris les avantages sociétaux et socio-économiques. Un modèle de prise de décision sur l’efficacité économique d’un investissement dans le secteur de la santé doit être établi, en tenant compte non seulement des avantages financiers directs de l’investissement, mais aussi de tous les avantages indirects (par exemple, un plus grand confort du patient). </w:t>
            </w:r>
          </w:p>
        </w:tc>
      </w:tr>
      <w:tr w:rsidR="003B5F50" w14:paraId="50B4B3DF" w14:textId="77777777" w:rsidTr="00F133D4">
        <w:trPr>
          <w:trHeight w:val="77"/>
        </w:trPr>
        <w:tc>
          <w:tcPr>
            <w:tcW w:w="853" w:type="dxa"/>
            <w:shd w:val="clear" w:color="auto" w:fill="C6EFCE"/>
          </w:tcPr>
          <w:p w14:paraId="50B4B3D4" w14:textId="77777777" w:rsidR="003B5F50" w:rsidRDefault="000D2D85">
            <w:pPr>
              <w:pStyle w:val="P68B1DB1-Normal14"/>
              <w:spacing w:after="0" w:line="240" w:lineRule="auto"/>
              <w:rPr>
                <w:rFonts w:eastAsia="Times New Roman"/>
                <w:noProof/>
                <w:szCs w:val="20"/>
              </w:rPr>
            </w:pPr>
            <w:r>
              <w:rPr>
                <w:noProof/>
              </w:rPr>
              <w:t>4</w:t>
            </w:r>
          </w:p>
        </w:tc>
        <w:tc>
          <w:tcPr>
            <w:tcW w:w="1559" w:type="dxa"/>
            <w:shd w:val="clear" w:color="auto" w:fill="C6EFCE"/>
          </w:tcPr>
          <w:p w14:paraId="50B4B3D5" w14:textId="77777777" w:rsidR="003B5F50" w:rsidRDefault="000D2D85">
            <w:pPr>
              <w:pStyle w:val="P68B1DB1-Normal14"/>
              <w:spacing w:after="0" w:line="240" w:lineRule="auto"/>
              <w:rPr>
                <w:rFonts w:eastAsia="Times New Roman"/>
                <w:noProof/>
                <w:szCs w:val="20"/>
              </w:rPr>
            </w:pPr>
            <w:r>
              <w:rPr>
                <w:noProof/>
              </w:rPr>
              <w:t>11 – Des soins de santé modernes et accessibles – Réforme 3 Centralisation de la gestion des plus grands hôpitaux</w:t>
            </w:r>
          </w:p>
        </w:tc>
        <w:tc>
          <w:tcPr>
            <w:tcW w:w="1276" w:type="dxa"/>
            <w:shd w:val="clear" w:color="auto" w:fill="C6EFCE"/>
          </w:tcPr>
          <w:p w14:paraId="50B4B3D6" w14:textId="77777777" w:rsidR="003B5F50" w:rsidRDefault="000D2D85">
            <w:pPr>
              <w:pStyle w:val="P68B1DB1-Normal14"/>
              <w:spacing w:after="0" w:line="240" w:lineRule="auto"/>
              <w:rPr>
                <w:rFonts w:eastAsia="Times New Roman"/>
                <w:noProof/>
                <w:szCs w:val="20"/>
              </w:rPr>
            </w:pPr>
            <w:r>
              <w:rPr>
                <w:noProof/>
              </w:rPr>
              <w:t>Étape</w:t>
            </w:r>
          </w:p>
        </w:tc>
        <w:tc>
          <w:tcPr>
            <w:tcW w:w="992" w:type="dxa"/>
            <w:shd w:val="clear" w:color="auto" w:fill="C6EFCE"/>
          </w:tcPr>
          <w:p w14:paraId="50B4B3D7" w14:textId="77777777" w:rsidR="003B5F50" w:rsidRDefault="000D2D85">
            <w:pPr>
              <w:pStyle w:val="P68B1DB1-Normal14"/>
              <w:spacing w:after="0" w:line="240" w:lineRule="auto"/>
              <w:rPr>
                <w:rFonts w:eastAsia="Times New Roman"/>
                <w:noProof/>
                <w:szCs w:val="20"/>
              </w:rPr>
            </w:pPr>
            <w:r>
              <w:rPr>
                <w:noProof/>
              </w:rPr>
              <w:t>Mise en place d'un organe central de gestion hospitalière d'un point de vue organisationnel, opérationnel et économique</w:t>
            </w:r>
          </w:p>
        </w:tc>
        <w:tc>
          <w:tcPr>
            <w:tcW w:w="1701" w:type="dxa"/>
            <w:shd w:val="clear" w:color="auto" w:fill="C6EFCE"/>
          </w:tcPr>
          <w:p w14:paraId="50B4B3D8" w14:textId="77777777" w:rsidR="003B5F50" w:rsidRDefault="000D2D85">
            <w:pPr>
              <w:pStyle w:val="P68B1DB1-Normal14"/>
              <w:spacing w:after="0" w:line="240" w:lineRule="auto"/>
              <w:rPr>
                <w:rFonts w:eastAsia="Times New Roman"/>
                <w:noProof/>
                <w:szCs w:val="20"/>
              </w:rPr>
            </w:pPr>
            <w:r>
              <w:rPr>
                <w:noProof/>
              </w:rPr>
              <w:t>Autorité centrale de gestion des hôpitaux agréée par le ministère de la santé et pleinement opérationnelle</w:t>
            </w:r>
          </w:p>
        </w:tc>
        <w:tc>
          <w:tcPr>
            <w:tcW w:w="1134" w:type="dxa"/>
            <w:shd w:val="clear" w:color="auto" w:fill="C6EFCE"/>
          </w:tcPr>
          <w:p w14:paraId="50B4B3D9" w14:textId="77777777" w:rsidR="003B5F50" w:rsidRDefault="003B5F50">
            <w:pPr>
              <w:spacing w:after="0" w:line="240" w:lineRule="auto"/>
              <w:rPr>
                <w:rFonts w:ascii="Times New Roman" w:eastAsia="Times New Roman" w:hAnsi="Times New Roman"/>
                <w:noProof/>
                <w:color w:val="006100"/>
                <w:sz w:val="20"/>
                <w:szCs w:val="20"/>
              </w:rPr>
            </w:pPr>
          </w:p>
        </w:tc>
        <w:tc>
          <w:tcPr>
            <w:tcW w:w="1276" w:type="dxa"/>
            <w:shd w:val="clear" w:color="auto" w:fill="C6EFCE"/>
          </w:tcPr>
          <w:p w14:paraId="50B4B3DA" w14:textId="77777777" w:rsidR="003B5F50" w:rsidRDefault="003B5F50">
            <w:pPr>
              <w:spacing w:after="0" w:line="240" w:lineRule="auto"/>
              <w:rPr>
                <w:rFonts w:ascii="Times New Roman" w:eastAsia="Times New Roman" w:hAnsi="Times New Roman"/>
                <w:noProof/>
                <w:color w:val="006100"/>
                <w:sz w:val="20"/>
                <w:szCs w:val="20"/>
              </w:rPr>
            </w:pPr>
          </w:p>
        </w:tc>
        <w:tc>
          <w:tcPr>
            <w:tcW w:w="992" w:type="dxa"/>
            <w:shd w:val="clear" w:color="auto" w:fill="C6EFCE"/>
          </w:tcPr>
          <w:p w14:paraId="50B4B3DB" w14:textId="77777777" w:rsidR="003B5F50" w:rsidRDefault="003B5F50">
            <w:pPr>
              <w:spacing w:after="0" w:line="240" w:lineRule="auto"/>
              <w:rPr>
                <w:rFonts w:ascii="Times New Roman" w:eastAsia="Times New Roman" w:hAnsi="Times New Roman"/>
                <w:noProof/>
                <w:color w:val="006100"/>
                <w:sz w:val="20"/>
                <w:szCs w:val="20"/>
              </w:rPr>
            </w:pPr>
          </w:p>
        </w:tc>
        <w:tc>
          <w:tcPr>
            <w:tcW w:w="1134" w:type="dxa"/>
            <w:shd w:val="clear" w:color="auto" w:fill="C6EFCE"/>
          </w:tcPr>
          <w:p w14:paraId="50B4B3DC" w14:textId="77777777" w:rsidR="003B5F50" w:rsidRDefault="000D2D85">
            <w:pPr>
              <w:pStyle w:val="P68B1DB1-Normal14"/>
              <w:spacing w:after="0" w:line="240" w:lineRule="auto"/>
              <w:rPr>
                <w:rFonts w:eastAsia="Times New Roman"/>
                <w:noProof/>
                <w:szCs w:val="20"/>
              </w:rPr>
            </w:pPr>
            <w:r>
              <w:rPr>
                <w:noProof/>
              </w:rPr>
              <w:t>T4</w:t>
            </w:r>
          </w:p>
        </w:tc>
        <w:tc>
          <w:tcPr>
            <w:tcW w:w="851" w:type="dxa"/>
            <w:shd w:val="clear" w:color="auto" w:fill="C6EFCE"/>
          </w:tcPr>
          <w:p w14:paraId="50B4B3DD" w14:textId="77777777" w:rsidR="003B5F50" w:rsidRDefault="000D2D85">
            <w:pPr>
              <w:pStyle w:val="P68B1DB1-Normal14"/>
              <w:spacing w:after="0" w:line="240" w:lineRule="auto"/>
              <w:rPr>
                <w:rFonts w:eastAsia="Times New Roman"/>
                <w:noProof/>
                <w:szCs w:val="20"/>
              </w:rPr>
            </w:pPr>
            <w:r>
              <w:rPr>
                <w:noProof/>
              </w:rPr>
              <w:t>2023</w:t>
            </w:r>
          </w:p>
        </w:tc>
        <w:tc>
          <w:tcPr>
            <w:tcW w:w="2344" w:type="dxa"/>
            <w:shd w:val="clear" w:color="auto" w:fill="C6EFCE"/>
          </w:tcPr>
          <w:p w14:paraId="50B4B3DE" w14:textId="77777777" w:rsidR="003B5F50" w:rsidRDefault="000D2D85">
            <w:pPr>
              <w:pStyle w:val="P68B1DB1-Normal14"/>
              <w:spacing w:after="240" w:line="240" w:lineRule="auto"/>
              <w:rPr>
                <w:rFonts w:eastAsia="Times New Roman"/>
                <w:noProof/>
                <w:szCs w:val="20"/>
              </w:rPr>
            </w:pPr>
            <w:r>
              <w:rPr>
                <w:noProof/>
              </w:rPr>
              <w:t>Cette autorité fournira effectivement la structure de gouvernance pour les 19 hôpitaux qui comprendront le réseau hospitalier en phase pilote (voir la cible ci-dessous). Cela signifie qu'il: gérer, guider et évaluer la planification et les performances des hôpitaux, telles que le contrôle financier, le contrôle de la conformité, les ressources humaines, la qualité et la gestion des risques, en lien avec les processus cliniques. Il formule également des recommandations pour l'optimisation des dépenses et des inventaires de médicaments et de dispositifs médicaux.</w:t>
            </w:r>
          </w:p>
        </w:tc>
      </w:tr>
      <w:tr w:rsidR="003B5F50" w14:paraId="50B4B3EB" w14:textId="77777777" w:rsidTr="00F133D4">
        <w:trPr>
          <w:trHeight w:val="77"/>
        </w:trPr>
        <w:tc>
          <w:tcPr>
            <w:tcW w:w="853" w:type="dxa"/>
            <w:shd w:val="clear" w:color="auto" w:fill="C6EFCE"/>
          </w:tcPr>
          <w:p w14:paraId="50B4B3E0" w14:textId="77777777" w:rsidR="003B5F50" w:rsidRDefault="000D2D85">
            <w:pPr>
              <w:pStyle w:val="P68B1DB1-Normal14"/>
              <w:spacing w:after="0" w:line="240" w:lineRule="auto"/>
              <w:rPr>
                <w:rFonts w:eastAsia="Times New Roman"/>
                <w:noProof/>
                <w:szCs w:val="20"/>
              </w:rPr>
            </w:pPr>
            <w:r>
              <w:rPr>
                <w:noProof/>
              </w:rPr>
              <w:t>5</w:t>
            </w:r>
          </w:p>
        </w:tc>
        <w:tc>
          <w:tcPr>
            <w:tcW w:w="1559" w:type="dxa"/>
            <w:shd w:val="clear" w:color="auto" w:fill="C6EFCE"/>
          </w:tcPr>
          <w:p w14:paraId="50B4B3E1" w14:textId="77777777" w:rsidR="003B5F50" w:rsidRDefault="000D2D85">
            <w:pPr>
              <w:pStyle w:val="P68B1DB1-Normal14"/>
              <w:spacing w:after="0" w:line="240" w:lineRule="auto"/>
              <w:rPr>
                <w:rFonts w:eastAsia="Times New Roman"/>
                <w:noProof/>
                <w:szCs w:val="20"/>
              </w:rPr>
            </w:pPr>
            <w:r>
              <w:rPr>
                <w:noProof/>
              </w:rPr>
              <w:t>11 – Des soins de santé modernes et accessibles – Réforme 3 Centralisation de la gestion des plus grands hôpitaux</w:t>
            </w:r>
          </w:p>
        </w:tc>
        <w:tc>
          <w:tcPr>
            <w:tcW w:w="1276" w:type="dxa"/>
            <w:shd w:val="clear" w:color="auto" w:fill="C6EFCE"/>
          </w:tcPr>
          <w:p w14:paraId="50B4B3E2" w14:textId="77777777" w:rsidR="003B5F50" w:rsidRDefault="000D2D85">
            <w:pPr>
              <w:pStyle w:val="P68B1DB1-Normal14"/>
              <w:spacing w:after="0" w:line="240" w:lineRule="auto"/>
              <w:rPr>
                <w:rFonts w:eastAsia="Times New Roman"/>
                <w:noProof/>
                <w:szCs w:val="20"/>
              </w:rPr>
            </w:pPr>
            <w:r>
              <w:rPr>
                <w:noProof/>
              </w:rPr>
              <w:t>Objectif</w:t>
            </w:r>
          </w:p>
        </w:tc>
        <w:tc>
          <w:tcPr>
            <w:tcW w:w="992" w:type="dxa"/>
            <w:shd w:val="clear" w:color="auto" w:fill="C6EFCE"/>
          </w:tcPr>
          <w:p w14:paraId="50B4B3E3" w14:textId="77777777" w:rsidR="003B5F50" w:rsidRDefault="000D2D85">
            <w:pPr>
              <w:pStyle w:val="P68B1DB1-Normal14"/>
              <w:spacing w:after="0" w:line="240" w:lineRule="auto"/>
              <w:rPr>
                <w:rFonts w:eastAsia="Times New Roman"/>
                <w:noProof/>
                <w:szCs w:val="20"/>
              </w:rPr>
            </w:pPr>
            <w:r>
              <w:rPr>
                <w:noProof/>
              </w:rPr>
              <w:t>Nombre d'hôpitaux participant au système central de gestion</w:t>
            </w:r>
          </w:p>
        </w:tc>
        <w:tc>
          <w:tcPr>
            <w:tcW w:w="1701" w:type="dxa"/>
            <w:shd w:val="clear" w:color="auto" w:fill="C6EFCE"/>
          </w:tcPr>
          <w:p w14:paraId="50B4B3E4" w14:textId="77777777" w:rsidR="003B5F50" w:rsidRDefault="003B5F50">
            <w:pPr>
              <w:spacing w:after="0" w:line="240" w:lineRule="auto"/>
              <w:rPr>
                <w:rFonts w:ascii="Times New Roman" w:eastAsia="Times New Roman" w:hAnsi="Times New Roman"/>
                <w:noProof/>
                <w:color w:val="006100"/>
                <w:sz w:val="20"/>
                <w:szCs w:val="20"/>
              </w:rPr>
            </w:pPr>
          </w:p>
        </w:tc>
        <w:tc>
          <w:tcPr>
            <w:tcW w:w="1134" w:type="dxa"/>
            <w:shd w:val="clear" w:color="auto" w:fill="C6EFCE"/>
          </w:tcPr>
          <w:p w14:paraId="50B4B3E5" w14:textId="77777777" w:rsidR="003B5F50" w:rsidRDefault="000D2D85">
            <w:pPr>
              <w:pStyle w:val="P68B1DB1-Normal14"/>
              <w:spacing w:after="0" w:line="240" w:lineRule="auto"/>
              <w:rPr>
                <w:rFonts w:eastAsia="Times New Roman"/>
                <w:noProof/>
                <w:szCs w:val="20"/>
              </w:rPr>
            </w:pPr>
            <w:r>
              <w:rPr>
                <w:noProof/>
              </w:rPr>
              <w:t>Numéro</w:t>
            </w:r>
          </w:p>
        </w:tc>
        <w:tc>
          <w:tcPr>
            <w:tcW w:w="1276" w:type="dxa"/>
            <w:shd w:val="clear" w:color="auto" w:fill="C6EFCE"/>
          </w:tcPr>
          <w:p w14:paraId="50B4B3E6" w14:textId="77777777" w:rsidR="003B5F50" w:rsidRDefault="000D2D85">
            <w:pPr>
              <w:pStyle w:val="P68B1DB1-Normal14"/>
              <w:spacing w:after="0" w:line="240" w:lineRule="auto"/>
              <w:rPr>
                <w:rFonts w:eastAsia="Times New Roman"/>
                <w:noProof/>
                <w:szCs w:val="20"/>
              </w:rPr>
            </w:pPr>
            <w:r>
              <w:rPr>
                <w:noProof/>
              </w:rPr>
              <w:t>0</w:t>
            </w:r>
          </w:p>
        </w:tc>
        <w:tc>
          <w:tcPr>
            <w:tcW w:w="992" w:type="dxa"/>
            <w:shd w:val="clear" w:color="auto" w:fill="C6EFCE"/>
          </w:tcPr>
          <w:p w14:paraId="50B4B3E7" w14:textId="77777777" w:rsidR="003B5F50" w:rsidRDefault="000D2D85">
            <w:pPr>
              <w:pStyle w:val="P68B1DB1-Normal14"/>
              <w:spacing w:after="0" w:line="240" w:lineRule="auto"/>
              <w:rPr>
                <w:rFonts w:eastAsia="Times New Roman"/>
                <w:noProof/>
                <w:szCs w:val="20"/>
              </w:rPr>
            </w:pPr>
            <w:r>
              <w:rPr>
                <w:noProof/>
              </w:rPr>
              <w:t>19</w:t>
            </w:r>
          </w:p>
        </w:tc>
        <w:tc>
          <w:tcPr>
            <w:tcW w:w="1134" w:type="dxa"/>
            <w:shd w:val="clear" w:color="auto" w:fill="C6EFCE"/>
          </w:tcPr>
          <w:p w14:paraId="50B4B3E8" w14:textId="77777777" w:rsidR="003B5F50" w:rsidRDefault="000D2D85">
            <w:pPr>
              <w:pStyle w:val="P68B1DB1-Normal14"/>
              <w:spacing w:after="0" w:line="240" w:lineRule="auto"/>
              <w:rPr>
                <w:rFonts w:eastAsia="Times New Roman"/>
                <w:noProof/>
                <w:szCs w:val="20"/>
              </w:rPr>
            </w:pPr>
            <w:r>
              <w:rPr>
                <w:noProof/>
              </w:rPr>
              <w:t>T2</w:t>
            </w:r>
          </w:p>
        </w:tc>
        <w:tc>
          <w:tcPr>
            <w:tcW w:w="851" w:type="dxa"/>
            <w:shd w:val="clear" w:color="auto" w:fill="C6EFCE"/>
          </w:tcPr>
          <w:p w14:paraId="50B4B3E9" w14:textId="77777777" w:rsidR="003B5F50" w:rsidRDefault="000D2D85">
            <w:pPr>
              <w:pStyle w:val="P68B1DB1-Normal14"/>
              <w:spacing w:after="0" w:line="240" w:lineRule="auto"/>
              <w:rPr>
                <w:rFonts w:eastAsia="Times New Roman"/>
                <w:noProof/>
                <w:szCs w:val="20"/>
              </w:rPr>
            </w:pPr>
            <w:r>
              <w:rPr>
                <w:noProof/>
              </w:rPr>
              <w:t>2025</w:t>
            </w:r>
          </w:p>
        </w:tc>
        <w:tc>
          <w:tcPr>
            <w:tcW w:w="2344" w:type="dxa"/>
            <w:shd w:val="clear" w:color="auto" w:fill="C6EFCE"/>
          </w:tcPr>
          <w:p w14:paraId="50B4B3EA" w14:textId="77777777" w:rsidR="003B5F50" w:rsidRDefault="000D2D85">
            <w:pPr>
              <w:pStyle w:val="P68B1DB1-Normal48"/>
              <w:spacing w:before="240" w:after="240" w:line="240" w:lineRule="auto"/>
              <w:rPr>
                <w:noProof/>
              </w:rPr>
            </w:pPr>
            <w:r>
              <w:rPr>
                <w:noProof/>
              </w:rPr>
              <w:t>Le système de gestion central englobera 19 hôpitaux contrôlés par l'État au cours de la phase pilote.</w:t>
            </w:r>
          </w:p>
        </w:tc>
      </w:tr>
      <w:tr w:rsidR="003B5F50" w14:paraId="50B4B3F7" w14:textId="77777777" w:rsidTr="00F133D4">
        <w:trPr>
          <w:trHeight w:val="20"/>
        </w:trPr>
        <w:tc>
          <w:tcPr>
            <w:tcW w:w="853" w:type="dxa"/>
            <w:shd w:val="clear" w:color="auto" w:fill="C6EFCE"/>
          </w:tcPr>
          <w:p w14:paraId="50B4B3EC" w14:textId="77777777" w:rsidR="003B5F50" w:rsidRDefault="000D2D85">
            <w:pPr>
              <w:pStyle w:val="P68B1DB1-Normal14"/>
              <w:spacing w:after="0" w:line="240" w:lineRule="auto"/>
              <w:rPr>
                <w:rFonts w:eastAsia="Times New Roman"/>
                <w:noProof/>
                <w:szCs w:val="20"/>
              </w:rPr>
            </w:pPr>
            <w:r>
              <w:rPr>
                <w:noProof/>
              </w:rPr>
              <w:t>6</w:t>
            </w:r>
          </w:p>
        </w:tc>
        <w:tc>
          <w:tcPr>
            <w:tcW w:w="1559" w:type="dxa"/>
            <w:shd w:val="clear" w:color="auto" w:fill="C6EFCE"/>
          </w:tcPr>
          <w:p w14:paraId="50B4B3ED" w14:textId="77777777" w:rsidR="003B5F50" w:rsidRDefault="000D2D85">
            <w:pPr>
              <w:pStyle w:val="P68B1DB1-Normal14"/>
              <w:spacing w:after="0" w:line="240" w:lineRule="auto"/>
              <w:rPr>
                <w:rFonts w:eastAsia="Times New Roman"/>
                <w:noProof/>
                <w:szCs w:val="20"/>
              </w:rPr>
            </w:pPr>
            <w:r>
              <w:rPr>
                <w:noProof/>
              </w:rPr>
              <w:t>11 – Des soins de santé modernes et accessibles – Réforme 4 Optimisation du réseau de soins d’urgence et nouvelle définition des soins d’urgence</w:t>
            </w:r>
          </w:p>
        </w:tc>
        <w:tc>
          <w:tcPr>
            <w:tcW w:w="1276" w:type="dxa"/>
            <w:shd w:val="clear" w:color="auto" w:fill="C6EFCE"/>
          </w:tcPr>
          <w:p w14:paraId="50B4B3EE" w14:textId="77777777" w:rsidR="003B5F50" w:rsidRDefault="000D2D85">
            <w:pPr>
              <w:pStyle w:val="P68B1DB1-Normal14"/>
              <w:spacing w:after="0" w:line="240" w:lineRule="auto"/>
              <w:rPr>
                <w:rFonts w:eastAsia="Times New Roman"/>
                <w:noProof/>
                <w:szCs w:val="20"/>
              </w:rPr>
            </w:pPr>
            <w:r>
              <w:rPr>
                <w:noProof/>
              </w:rPr>
              <w:t>Étape</w:t>
            </w:r>
          </w:p>
        </w:tc>
        <w:tc>
          <w:tcPr>
            <w:tcW w:w="992" w:type="dxa"/>
            <w:shd w:val="clear" w:color="auto" w:fill="C6EFCE"/>
          </w:tcPr>
          <w:p w14:paraId="50B4B3EF" w14:textId="77777777" w:rsidR="003B5F50" w:rsidRDefault="000D2D85">
            <w:pPr>
              <w:pStyle w:val="P68B1DB1-Normal16"/>
              <w:spacing w:after="0" w:line="240" w:lineRule="auto"/>
              <w:rPr>
                <w:rFonts w:eastAsia="Times New Roman"/>
                <w:noProof/>
                <w:color w:val="006100"/>
                <w:szCs w:val="20"/>
              </w:rPr>
            </w:pPr>
            <w:r>
              <w:rPr>
                <w:noProof/>
                <w:color w:val="006100"/>
              </w:rPr>
              <w:t>Modification de la loi sur le réseau optimal de soins d'urgence</w:t>
            </w:r>
            <w:r>
              <w:rPr>
                <w:noProof/>
              </w:rPr>
              <w:t xml:space="preserve"> </w:t>
            </w:r>
            <w:r>
              <w:rPr>
                <w:noProof/>
                <w:color w:val="006100"/>
              </w:rPr>
              <w:t>et nouvelle définition des soins d'urgence</w:t>
            </w:r>
          </w:p>
        </w:tc>
        <w:tc>
          <w:tcPr>
            <w:tcW w:w="1701" w:type="dxa"/>
            <w:shd w:val="clear" w:color="auto" w:fill="C6EFCE"/>
          </w:tcPr>
          <w:p w14:paraId="50B4B3F0" w14:textId="77777777" w:rsidR="003B5F50" w:rsidRDefault="000D2D85">
            <w:pPr>
              <w:pStyle w:val="P68B1DB1-Normal14"/>
              <w:spacing w:after="0" w:line="240" w:lineRule="auto"/>
              <w:rPr>
                <w:rFonts w:eastAsia="Times New Roman"/>
                <w:noProof/>
                <w:szCs w:val="20"/>
              </w:rPr>
            </w:pPr>
            <w:r>
              <w:rPr>
                <w:noProof/>
              </w:rPr>
              <w:t xml:space="preserve">La législation sur le nouveau réseau optimal de soins d'urgence entre en vigueur. </w:t>
            </w:r>
          </w:p>
        </w:tc>
        <w:tc>
          <w:tcPr>
            <w:tcW w:w="1134" w:type="dxa"/>
            <w:shd w:val="clear" w:color="auto" w:fill="C6EFCE"/>
          </w:tcPr>
          <w:p w14:paraId="50B4B3F1" w14:textId="77777777" w:rsidR="003B5F50" w:rsidRDefault="003B5F50">
            <w:pPr>
              <w:spacing w:after="0" w:line="240" w:lineRule="auto"/>
              <w:rPr>
                <w:rFonts w:ascii="Times New Roman" w:eastAsia="Times New Roman" w:hAnsi="Times New Roman"/>
                <w:noProof/>
                <w:color w:val="006100"/>
                <w:sz w:val="20"/>
                <w:szCs w:val="20"/>
              </w:rPr>
            </w:pPr>
          </w:p>
        </w:tc>
        <w:tc>
          <w:tcPr>
            <w:tcW w:w="1276" w:type="dxa"/>
            <w:shd w:val="clear" w:color="auto" w:fill="C6EFCE"/>
          </w:tcPr>
          <w:p w14:paraId="50B4B3F2" w14:textId="77777777" w:rsidR="003B5F50" w:rsidRDefault="003B5F50">
            <w:pPr>
              <w:spacing w:after="0" w:line="240" w:lineRule="auto"/>
              <w:rPr>
                <w:rFonts w:ascii="Times New Roman" w:eastAsia="Times New Roman" w:hAnsi="Times New Roman"/>
                <w:noProof/>
                <w:color w:val="006100"/>
                <w:sz w:val="20"/>
                <w:szCs w:val="20"/>
              </w:rPr>
            </w:pPr>
          </w:p>
        </w:tc>
        <w:tc>
          <w:tcPr>
            <w:tcW w:w="992" w:type="dxa"/>
            <w:shd w:val="clear" w:color="auto" w:fill="C6EFCE"/>
          </w:tcPr>
          <w:p w14:paraId="50B4B3F3" w14:textId="77777777" w:rsidR="003B5F50" w:rsidRDefault="003B5F50">
            <w:pPr>
              <w:spacing w:after="0" w:line="240" w:lineRule="auto"/>
              <w:rPr>
                <w:rFonts w:ascii="Times New Roman" w:eastAsia="Times New Roman" w:hAnsi="Times New Roman"/>
                <w:noProof/>
                <w:color w:val="006100"/>
                <w:sz w:val="20"/>
                <w:szCs w:val="20"/>
              </w:rPr>
            </w:pPr>
          </w:p>
        </w:tc>
        <w:tc>
          <w:tcPr>
            <w:tcW w:w="1134" w:type="dxa"/>
            <w:shd w:val="clear" w:color="auto" w:fill="C6EFCE"/>
          </w:tcPr>
          <w:p w14:paraId="50B4B3F4" w14:textId="77777777" w:rsidR="003B5F50" w:rsidRDefault="000D2D85">
            <w:pPr>
              <w:pStyle w:val="P68B1DB1-Normal14"/>
              <w:spacing w:after="0" w:line="240" w:lineRule="auto"/>
              <w:rPr>
                <w:rFonts w:eastAsia="Times New Roman"/>
                <w:noProof/>
                <w:szCs w:val="20"/>
              </w:rPr>
            </w:pPr>
            <w:r>
              <w:rPr>
                <w:noProof/>
              </w:rPr>
              <w:t>T1</w:t>
            </w:r>
          </w:p>
        </w:tc>
        <w:tc>
          <w:tcPr>
            <w:tcW w:w="851" w:type="dxa"/>
            <w:shd w:val="clear" w:color="auto" w:fill="C6EFCE"/>
          </w:tcPr>
          <w:p w14:paraId="50B4B3F5" w14:textId="77777777" w:rsidR="003B5F50" w:rsidRDefault="000D2D85">
            <w:pPr>
              <w:pStyle w:val="P68B1DB1-Normal14"/>
              <w:spacing w:after="0" w:line="240" w:lineRule="auto"/>
              <w:rPr>
                <w:rFonts w:eastAsia="Times New Roman"/>
                <w:noProof/>
                <w:szCs w:val="20"/>
              </w:rPr>
            </w:pPr>
            <w:r>
              <w:rPr>
                <w:noProof/>
              </w:rPr>
              <w:t>2023</w:t>
            </w:r>
          </w:p>
        </w:tc>
        <w:tc>
          <w:tcPr>
            <w:tcW w:w="2344" w:type="dxa"/>
            <w:shd w:val="clear" w:color="auto" w:fill="C6EFCE"/>
          </w:tcPr>
          <w:p w14:paraId="50B4B3F6" w14:textId="30CA2A78" w:rsidR="003B5F50" w:rsidRDefault="000D2D85">
            <w:pPr>
              <w:pStyle w:val="P68B1DB1-Normal14"/>
              <w:spacing w:after="0" w:line="240" w:lineRule="auto"/>
              <w:rPr>
                <w:rFonts w:eastAsia="Times New Roman"/>
                <w:noProof/>
                <w:szCs w:val="20"/>
              </w:rPr>
            </w:pPr>
            <w:r>
              <w:rPr>
                <w:noProof/>
              </w:rPr>
              <w:t xml:space="preserve">Les modifications législatives introduiront un nouveau réseau de postes d'ambulance et une nouvelle définition des soins d'urgence. Le nouveau réseau garantit la disponibilité des services d'urgence dans un délai de 15 minutes pour 90 % de la population. Elle est liée géographiquement et procéduralement au nouveau réseau hospitalier. La nouvelle définition des soins d'urgence détermine le nombre d'utilisateurs autorisés des services ambulanciers et la façon de répondre à la demande de ces utilisateurs. </w:t>
            </w:r>
          </w:p>
        </w:tc>
      </w:tr>
      <w:tr w:rsidR="003B5F50" w14:paraId="50B4B405" w14:textId="77777777" w:rsidTr="00F133D4">
        <w:trPr>
          <w:trHeight w:val="77"/>
        </w:trPr>
        <w:tc>
          <w:tcPr>
            <w:tcW w:w="853" w:type="dxa"/>
            <w:shd w:val="clear" w:color="auto" w:fill="C6EFCE"/>
            <w:hideMark/>
          </w:tcPr>
          <w:p w14:paraId="50B4B3F8" w14:textId="77777777" w:rsidR="003B5F50" w:rsidRDefault="000D2D85">
            <w:pPr>
              <w:pStyle w:val="P68B1DB1-Normal14"/>
              <w:spacing w:after="0" w:line="240" w:lineRule="auto"/>
              <w:rPr>
                <w:rFonts w:eastAsia="Times New Roman"/>
                <w:noProof/>
                <w:szCs w:val="20"/>
              </w:rPr>
            </w:pPr>
            <w:r>
              <w:rPr>
                <w:noProof/>
              </w:rPr>
              <w:t>7</w:t>
            </w:r>
          </w:p>
        </w:tc>
        <w:tc>
          <w:tcPr>
            <w:tcW w:w="1559" w:type="dxa"/>
            <w:shd w:val="clear" w:color="auto" w:fill="C6EFCE"/>
            <w:hideMark/>
          </w:tcPr>
          <w:p w14:paraId="50B4B3F9" w14:textId="77777777" w:rsidR="003B5F50" w:rsidRDefault="000D2D85">
            <w:pPr>
              <w:pStyle w:val="P68B1DB1-Normal14"/>
              <w:spacing w:after="0" w:line="240" w:lineRule="auto"/>
              <w:rPr>
                <w:rFonts w:eastAsia="Times New Roman"/>
                <w:noProof/>
                <w:szCs w:val="20"/>
              </w:rPr>
            </w:pPr>
            <w:r>
              <w:rPr>
                <w:noProof/>
              </w:rPr>
              <w:t>11 – Des soins de santé modernes et accessibles – Réforme 5 Réforme de la fourniture de soins primaires aux adultes, aux enfants et aux jeunes</w:t>
            </w:r>
          </w:p>
        </w:tc>
        <w:tc>
          <w:tcPr>
            <w:tcW w:w="1276" w:type="dxa"/>
            <w:shd w:val="clear" w:color="auto" w:fill="C6EFCE"/>
            <w:hideMark/>
          </w:tcPr>
          <w:p w14:paraId="50B4B3FA" w14:textId="77777777" w:rsidR="003B5F50" w:rsidRDefault="000D2D85">
            <w:pPr>
              <w:pStyle w:val="P68B1DB1-Normal14"/>
              <w:spacing w:after="0" w:line="240" w:lineRule="auto"/>
              <w:rPr>
                <w:rFonts w:eastAsia="Times New Roman"/>
                <w:noProof/>
                <w:szCs w:val="20"/>
              </w:rPr>
            </w:pPr>
            <w:r>
              <w:rPr>
                <w:noProof/>
              </w:rPr>
              <w:t>Étape</w:t>
            </w:r>
          </w:p>
        </w:tc>
        <w:tc>
          <w:tcPr>
            <w:tcW w:w="992" w:type="dxa"/>
            <w:shd w:val="clear" w:color="auto" w:fill="C6EFCE"/>
            <w:hideMark/>
          </w:tcPr>
          <w:p w14:paraId="50B4B3FB" w14:textId="77777777" w:rsidR="003B5F50" w:rsidRDefault="000D2D85">
            <w:pPr>
              <w:pStyle w:val="P68B1DB1-Normal14"/>
              <w:spacing w:after="0" w:line="240" w:lineRule="auto"/>
              <w:rPr>
                <w:rFonts w:eastAsia="Times New Roman"/>
                <w:noProof/>
                <w:szCs w:val="20"/>
              </w:rPr>
            </w:pPr>
            <w:r>
              <w:rPr>
                <w:noProof/>
              </w:rPr>
              <w:t>La nouvelle loi sur la mise en place du réseau des prestataires de soins généraux et l'introduction du zonage</w:t>
            </w:r>
          </w:p>
        </w:tc>
        <w:tc>
          <w:tcPr>
            <w:tcW w:w="1701" w:type="dxa"/>
            <w:shd w:val="clear" w:color="auto" w:fill="C6EFCE"/>
            <w:hideMark/>
          </w:tcPr>
          <w:p w14:paraId="50B4B3FC" w14:textId="77777777" w:rsidR="003B5F50" w:rsidRDefault="000D2D85">
            <w:pPr>
              <w:pStyle w:val="P68B1DB1-Normal14"/>
              <w:spacing w:after="0" w:line="240" w:lineRule="auto"/>
              <w:rPr>
                <w:rFonts w:eastAsia="Times New Roman"/>
                <w:noProof/>
                <w:szCs w:val="20"/>
              </w:rPr>
            </w:pPr>
            <w:r>
              <w:rPr>
                <w:noProof/>
              </w:rPr>
              <w:t xml:space="preserve">Entrée en vigueur de l’acte législatif </w:t>
            </w:r>
          </w:p>
        </w:tc>
        <w:tc>
          <w:tcPr>
            <w:tcW w:w="1134" w:type="dxa"/>
            <w:shd w:val="clear" w:color="auto" w:fill="C6EFCE"/>
            <w:hideMark/>
          </w:tcPr>
          <w:p w14:paraId="50B4B3FD" w14:textId="77777777" w:rsidR="003B5F50" w:rsidRDefault="003B5F50">
            <w:pPr>
              <w:spacing w:after="0" w:line="240" w:lineRule="auto"/>
              <w:rPr>
                <w:rFonts w:ascii="Times New Roman" w:eastAsia="Times New Roman" w:hAnsi="Times New Roman"/>
                <w:noProof/>
                <w:color w:val="006100"/>
                <w:sz w:val="20"/>
                <w:szCs w:val="20"/>
              </w:rPr>
            </w:pPr>
          </w:p>
        </w:tc>
        <w:tc>
          <w:tcPr>
            <w:tcW w:w="1276" w:type="dxa"/>
            <w:shd w:val="clear" w:color="auto" w:fill="C6EFCE"/>
            <w:hideMark/>
          </w:tcPr>
          <w:p w14:paraId="50B4B3FE" w14:textId="77777777" w:rsidR="003B5F50" w:rsidRDefault="003B5F50">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3FF" w14:textId="77777777" w:rsidR="003B5F50" w:rsidRDefault="003B5F50">
            <w:pPr>
              <w:spacing w:after="0" w:line="240" w:lineRule="auto"/>
              <w:rPr>
                <w:rFonts w:ascii="Times New Roman" w:eastAsia="Times New Roman" w:hAnsi="Times New Roman"/>
                <w:noProof/>
                <w:color w:val="006100"/>
                <w:sz w:val="20"/>
                <w:szCs w:val="20"/>
              </w:rPr>
            </w:pPr>
          </w:p>
        </w:tc>
        <w:tc>
          <w:tcPr>
            <w:tcW w:w="1134" w:type="dxa"/>
            <w:shd w:val="clear" w:color="auto" w:fill="C6EFCE"/>
            <w:hideMark/>
          </w:tcPr>
          <w:p w14:paraId="50B4B400" w14:textId="77777777" w:rsidR="003B5F50" w:rsidRDefault="000D2D85">
            <w:pPr>
              <w:pStyle w:val="P68B1DB1-Normal14"/>
              <w:spacing w:after="0" w:line="240" w:lineRule="auto"/>
              <w:rPr>
                <w:rFonts w:eastAsia="Times New Roman"/>
                <w:noProof/>
                <w:szCs w:val="20"/>
              </w:rPr>
            </w:pPr>
            <w:r>
              <w:rPr>
                <w:noProof/>
              </w:rPr>
              <w:t>T2</w:t>
            </w:r>
          </w:p>
        </w:tc>
        <w:tc>
          <w:tcPr>
            <w:tcW w:w="851" w:type="dxa"/>
            <w:shd w:val="clear" w:color="auto" w:fill="C6EFCE"/>
            <w:hideMark/>
          </w:tcPr>
          <w:p w14:paraId="50B4B401" w14:textId="77777777" w:rsidR="003B5F50" w:rsidRDefault="000D2D85">
            <w:pPr>
              <w:pStyle w:val="P68B1DB1-Normal14"/>
              <w:spacing w:after="0" w:line="240" w:lineRule="auto"/>
              <w:rPr>
                <w:rFonts w:eastAsia="Times New Roman"/>
                <w:noProof/>
                <w:szCs w:val="20"/>
              </w:rPr>
            </w:pPr>
            <w:r>
              <w:rPr>
                <w:noProof/>
              </w:rPr>
              <w:t>2022</w:t>
            </w:r>
          </w:p>
        </w:tc>
        <w:tc>
          <w:tcPr>
            <w:tcW w:w="2344" w:type="dxa"/>
            <w:shd w:val="clear" w:color="auto" w:fill="C6EFCE"/>
            <w:hideMark/>
          </w:tcPr>
          <w:p w14:paraId="50B4B402" w14:textId="637DB011" w:rsidR="003B5F50" w:rsidRDefault="000D2D85">
            <w:pPr>
              <w:pStyle w:val="P68B1DB1-Normal14"/>
              <w:spacing w:after="0" w:line="240" w:lineRule="auto"/>
              <w:rPr>
                <w:noProof/>
              </w:rPr>
            </w:pPr>
            <w:r>
              <w:rPr>
                <w:noProof/>
              </w:rPr>
              <w:t xml:space="preserve">La nouvelle législation fixe les règles applicables au réseau de soins primaires afin de déterminer le nombre et la répartition des médecins généralistes sur la base: </w:t>
            </w:r>
          </w:p>
          <w:p w14:paraId="50B4B403" w14:textId="77777777" w:rsidR="003B5F50" w:rsidRDefault="000D2D85">
            <w:pPr>
              <w:pStyle w:val="P68B1DB1-Normal14"/>
              <w:numPr>
                <w:ilvl w:val="0"/>
                <w:numId w:val="37"/>
              </w:numPr>
              <w:spacing w:before="120" w:after="0" w:line="259" w:lineRule="auto"/>
              <w:contextualSpacing/>
              <w:rPr>
                <w:rFonts w:eastAsia="Times New Roman"/>
                <w:noProof/>
                <w:szCs w:val="20"/>
              </w:rPr>
            </w:pPr>
            <w:r>
              <w:rPr>
                <w:noProof/>
              </w:rPr>
              <w:t>disponibilité (durée maximale de déplacement par médecin);</w:t>
            </w:r>
          </w:p>
          <w:p w14:paraId="50B4B404" w14:textId="5FE50F8F" w:rsidR="003B5F50" w:rsidRDefault="000D2D85">
            <w:pPr>
              <w:pStyle w:val="P68B1DB1-Normal14"/>
              <w:numPr>
                <w:ilvl w:val="0"/>
                <w:numId w:val="37"/>
              </w:numPr>
              <w:spacing w:before="120" w:after="0" w:line="259" w:lineRule="auto"/>
              <w:contextualSpacing/>
              <w:rPr>
                <w:rFonts w:eastAsia="Times New Roman"/>
                <w:noProof/>
                <w:szCs w:val="20"/>
              </w:rPr>
            </w:pPr>
            <w:r>
              <w:rPr>
                <w:noProof/>
              </w:rPr>
              <w:t xml:space="preserve">les besoins de capacité (le nombre de médecins généralistes d’adultes et d’enfants nécessaires, en fonction de la taille et de la structure par âge de la population).   </w:t>
            </w:r>
          </w:p>
        </w:tc>
      </w:tr>
      <w:tr w:rsidR="003B5F50" w14:paraId="50B4B419" w14:textId="77777777" w:rsidTr="00F133D4">
        <w:trPr>
          <w:trHeight w:val="173"/>
        </w:trPr>
        <w:tc>
          <w:tcPr>
            <w:tcW w:w="853" w:type="dxa"/>
            <w:shd w:val="clear" w:color="auto" w:fill="C6EFCE"/>
            <w:hideMark/>
          </w:tcPr>
          <w:p w14:paraId="50B4B406" w14:textId="77777777" w:rsidR="003B5F50" w:rsidRDefault="000D2D85">
            <w:pPr>
              <w:pStyle w:val="P68B1DB1-Normal14"/>
              <w:spacing w:after="0" w:line="240" w:lineRule="auto"/>
              <w:rPr>
                <w:rFonts w:eastAsia="Times New Roman"/>
                <w:noProof/>
                <w:szCs w:val="20"/>
              </w:rPr>
            </w:pPr>
            <w:r>
              <w:rPr>
                <w:noProof/>
              </w:rPr>
              <w:t>8</w:t>
            </w:r>
          </w:p>
        </w:tc>
        <w:tc>
          <w:tcPr>
            <w:tcW w:w="1559" w:type="dxa"/>
            <w:shd w:val="clear" w:color="auto" w:fill="C6EFCE"/>
            <w:hideMark/>
          </w:tcPr>
          <w:p w14:paraId="50B4B407" w14:textId="77777777" w:rsidR="003B5F50" w:rsidRDefault="000D2D85">
            <w:pPr>
              <w:pStyle w:val="P68B1DB1-Normal14"/>
              <w:spacing w:after="0" w:line="240" w:lineRule="auto"/>
              <w:rPr>
                <w:rFonts w:eastAsia="Times New Roman"/>
                <w:noProof/>
                <w:szCs w:val="20"/>
              </w:rPr>
            </w:pPr>
            <w:r>
              <w:rPr>
                <w:noProof/>
              </w:rPr>
              <w:t xml:space="preserve">11 – Des soins de santé modernes et accessibles – Investissement 1 – Soutenir l’ouverture de nouveaux soins de santé primaires </w:t>
            </w:r>
          </w:p>
        </w:tc>
        <w:tc>
          <w:tcPr>
            <w:tcW w:w="1276" w:type="dxa"/>
            <w:shd w:val="clear" w:color="auto" w:fill="C6EFCE"/>
            <w:hideMark/>
          </w:tcPr>
          <w:p w14:paraId="50B4B408" w14:textId="77777777" w:rsidR="003B5F50" w:rsidRDefault="000D2D85">
            <w:pPr>
              <w:pStyle w:val="P68B1DB1-Normal14"/>
              <w:spacing w:after="0" w:line="240" w:lineRule="auto"/>
              <w:rPr>
                <w:rFonts w:eastAsia="Times New Roman"/>
                <w:noProof/>
                <w:szCs w:val="20"/>
              </w:rPr>
            </w:pPr>
            <w:r>
              <w:rPr>
                <w:noProof/>
              </w:rPr>
              <w:t>Étape</w:t>
            </w:r>
          </w:p>
        </w:tc>
        <w:tc>
          <w:tcPr>
            <w:tcW w:w="992" w:type="dxa"/>
            <w:shd w:val="clear" w:color="auto" w:fill="C6EFCE"/>
            <w:hideMark/>
          </w:tcPr>
          <w:p w14:paraId="50B4B409" w14:textId="77777777" w:rsidR="003B5F50" w:rsidRDefault="000D2D85">
            <w:pPr>
              <w:pStyle w:val="P68B1DB1-Normal14"/>
              <w:spacing w:after="0" w:line="240" w:lineRule="auto"/>
              <w:rPr>
                <w:rFonts w:eastAsia="Times New Roman"/>
                <w:noProof/>
                <w:szCs w:val="20"/>
              </w:rPr>
            </w:pPr>
            <w:r>
              <w:rPr>
                <w:noProof/>
              </w:rPr>
              <w:t xml:space="preserve">Appels publics pour la mise en place de nouvelles pratiques de soins primaires ambulatoires </w:t>
            </w:r>
          </w:p>
        </w:tc>
        <w:tc>
          <w:tcPr>
            <w:tcW w:w="1701" w:type="dxa"/>
            <w:shd w:val="clear" w:color="auto" w:fill="C6EFCE"/>
            <w:hideMark/>
          </w:tcPr>
          <w:p w14:paraId="50B4B40A" w14:textId="77777777" w:rsidR="003B5F50" w:rsidRDefault="000D2D85">
            <w:pPr>
              <w:pStyle w:val="P68B1DB1-Normal47"/>
              <w:spacing w:after="0" w:line="240" w:lineRule="auto"/>
              <w:rPr>
                <w:noProof/>
              </w:rPr>
            </w:pPr>
            <w:r>
              <w:rPr>
                <w:noProof/>
              </w:rPr>
              <w:t>Lancement d'appels publics</w:t>
            </w:r>
          </w:p>
        </w:tc>
        <w:tc>
          <w:tcPr>
            <w:tcW w:w="1134" w:type="dxa"/>
            <w:shd w:val="clear" w:color="auto" w:fill="C6EFCE"/>
            <w:hideMark/>
          </w:tcPr>
          <w:p w14:paraId="50B4B40B" w14:textId="77777777" w:rsidR="003B5F50" w:rsidRDefault="003B5F50">
            <w:pPr>
              <w:spacing w:after="0" w:line="240" w:lineRule="auto"/>
              <w:rPr>
                <w:rFonts w:ascii="Times New Roman" w:eastAsia="Times New Roman" w:hAnsi="Times New Roman"/>
                <w:noProof/>
                <w:color w:val="006100"/>
                <w:sz w:val="20"/>
                <w:szCs w:val="20"/>
              </w:rPr>
            </w:pPr>
          </w:p>
        </w:tc>
        <w:tc>
          <w:tcPr>
            <w:tcW w:w="1276" w:type="dxa"/>
            <w:shd w:val="clear" w:color="auto" w:fill="C6EFCE"/>
            <w:hideMark/>
          </w:tcPr>
          <w:p w14:paraId="50B4B40C" w14:textId="77777777" w:rsidR="003B5F50" w:rsidRDefault="003B5F50">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40D" w14:textId="77777777" w:rsidR="003B5F50" w:rsidRDefault="003B5F50">
            <w:pPr>
              <w:spacing w:after="0" w:line="240" w:lineRule="auto"/>
              <w:rPr>
                <w:rFonts w:ascii="Times New Roman" w:eastAsia="Times New Roman" w:hAnsi="Times New Roman"/>
                <w:noProof/>
                <w:color w:val="006100"/>
                <w:sz w:val="20"/>
                <w:szCs w:val="20"/>
              </w:rPr>
            </w:pPr>
          </w:p>
        </w:tc>
        <w:tc>
          <w:tcPr>
            <w:tcW w:w="1134" w:type="dxa"/>
            <w:shd w:val="clear" w:color="auto" w:fill="C6EFCE"/>
            <w:hideMark/>
          </w:tcPr>
          <w:p w14:paraId="50B4B40E" w14:textId="77777777" w:rsidR="003B5F50" w:rsidRDefault="000D2D85">
            <w:pPr>
              <w:pStyle w:val="P68B1DB1-Normal14"/>
              <w:spacing w:after="0" w:line="240" w:lineRule="auto"/>
              <w:rPr>
                <w:rFonts w:eastAsia="Times New Roman"/>
                <w:noProof/>
                <w:szCs w:val="20"/>
              </w:rPr>
            </w:pPr>
            <w:r>
              <w:rPr>
                <w:noProof/>
              </w:rPr>
              <w:t>T2</w:t>
            </w:r>
          </w:p>
        </w:tc>
        <w:tc>
          <w:tcPr>
            <w:tcW w:w="851" w:type="dxa"/>
            <w:shd w:val="clear" w:color="auto" w:fill="C6EFCE"/>
            <w:hideMark/>
          </w:tcPr>
          <w:p w14:paraId="50B4B40F" w14:textId="77777777" w:rsidR="003B5F50" w:rsidRDefault="000D2D85">
            <w:pPr>
              <w:pStyle w:val="P68B1DB1-Normal14"/>
              <w:spacing w:after="0" w:line="240" w:lineRule="auto"/>
              <w:rPr>
                <w:rFonts w:eastAsia="Times New Roman"/>
                <w:noProof/>
                <w:szCs w:val="20"/>
              </w:rPr>
            </w:pPr>
            <w:r>
              <w:rPr>
                <w:noProof/>
              </w:rPr>
              <w:t>2025</w:t>
            </w:r>
          </w:p>
        </w:tc>
        <w:tc>
          <w:tcPr>
            <w:tcW w:w="2344" w:type="dxa"/>
            <w:shd w:val="clear" w:color="auto" w:fill="C6EFCE"/>
            <w:hideMark/>
          </w:tcPr>
          <w:p w14:paraId="50B4B410" w14:textId="77777777" w:rsidR="003B5F50" w:rsidRDefault="000D2D85">
            <w:pPr>
              <w:pStyle w:val="P68B1DB1-Normal15"/>
              <w:spacing w:after="240" w:line="240" w:lineRule="auto"/>
              <w:rPr>
                <w:noProof/>
              </w:rPr>
            </w:pPr>
            <w:r>
              <w:rPr>
                <w:noProof/>
              </w:rPr>
              <w:t>Lancement d'appels publics pour la mise en place de nouvelles pratiques ambulatoires de soins primaires pour les médecins généralistes dans huit régions:</w:t>
            </w:r>
          </w:p>
          <w:p w14:paraId="50B4B411" w14:textId="77777777" w:rsidR="003B5F50" w:rsidRDefault="000D2D85">
            <w:pPr>
              <w:pStyle w:val="P68B1DB1-ListParagraph29"/>
              <w:numPr>
                <w:ilvl w:val="0"/>
                <w:numId w:val="37"/>
              </w:numPr>
              <w:spacing w:after="240" w:line="240" w:lineRule="auto"/>
              <w:rPr>
                <w:noProof/>
              </w:rPr>
            </w:pPr>
            <w:r>
              <w:rPr>
                <w:noProof/>
              </w:rPr>
              <w:t xml:space="preserve">Région de Bratislava, </w:t>
            </w:r>
          </w:p>
          <w:p w14:paraId="50B4B412" w14:textId="77777777" w:rsidR="003B5F50" w:rsidRDefault="000D2D85">
            <w:pPr>
              <w:pStyle w:val="P68B1DB1-ListParagraph29"/>
              <w:numPr>
                <w:ilvl w:val="0"/>
                <w:numId w:val="37"/>
              </w:numPr>
              <w:spacing w:after="240" w:line="240" w:lineRule="auto"/>
              <w:rPr>
                <w:noProof/>
              </w:rPr>
            </w:pPr>
            <w:r>
              <w:rPr>
                <w:noProof/>
              </w:rPr>
              <w:t xml:space="preserve">Région de Trnava, </w:t>
            </w:r>
          </w:p>
          <w:p w14:paraId="50B4B413" w14:textId="77777777" w:rsidR="003B5F50" w:rsidRDefault="000D2D85">
            <w:pPr>
              <w:pStyle w:val="P68B1DB1-ListParagraph29"/>
              <w:numPr>
                <w:ilvl w:val="0"/>
                <w:numId w:val="37"/>
              </w:numPr>
              <w:spacing w:after="240" w:line="240" w:lineRule="auto"/>
              <w:rPr>
                <w:noProof/>
              </w:rPr>
            </w:pPr>
            <w:r>
              <w:rPr>
                <w:noProof/>
              </w:rPr>
              <w:t>Région de Trenčín,</w:t>
            </w:r>
          </w:p>
          <w:p w14:paraId="50B4B414" w14:textId="77777777" w:rsidR="003B5F50" w:rsidRDefault="000D2D85">
            <w:pPr>
              <w:pStyle w:val="P68B1DB1-ListParagraph29"/>
              <w:numPr>
                <w:ilvl w:val="0"/>
                <w:numId w:val="37"/>
              </w:numPr>
              <w:spacing w:after="240" w:line="240" w:lineRule="auto"/>
              <w:rPr>
                <w:noProof/>
              </w:rPr>
            </w:pPr>
            <w:r>
              <w:rPr>
                <w:noProof/>
              </w:rPr>
              <w:t xml:space="preserve">Région de Nitra, </w:t>
            </w:r>
          </w:p>
          <w:p w14:paraId="50B4B415" w14:textId="77777777" w:rsidR="003B5F50" w:rsidRDefault="000D2D85">
            <w:pPr>
              <w:pStyle w:val="P68B1DB1-ListParagraph29"/>
              <w:numPr>
                <w:ilvl w:val="0"/>
                <w:numId w:val="37"/>
              </w:numPr>
              <w:spacing w:after="240" w:line="240" w:lineRule="auto"/>
              <w:rPr>
                <w:noProof/>
              </w:rPr>
            </w:pPr>
            <w:r>
              <w:rPr>
                <w:noProof/>
              </w:rPr>
              <w:t>Région de Žilina,</w:t>
            </w:r>
          </w:p>
          <w:p w14:paraId="50B4B416" w14:textId="77777777" w:rsidR="003B5F50" w:rsidRDefault="000D2D85">
            <w:pPr>
              <w:pStyle w:val="P68B1DB1-ListParagraph29"/>
              <w:numPr>
                <w:ilvl w:val="0"/>
                <w:numId w:val="37"/>
              </w:numPr>
              <w:spacing w:after="240" w:line="240" w:lineRule="auto"/>
              <w:rPr>
                <w:noProof/>
              </w:rPr>
            </w:pPr>
            <w:r>
              <w:rPr>
                <w:noProof/>
              </w:rPr>
              <w:t>Région de Banská Bystrica,</w:t>
            </w:r>
          </w:p>
          <w:p w14:paraId="50B4B417" w14:textId="77777777" w:rsidR="003B5F50" w:rsidRDefault="000D2D85">
            <w:pPr>
              <w:pStyle w:val="P68B1DB1-ListParagraph29"/>
              <w:numPr>
                <w:ilvl w:val="0"/>
                <w:numId w:val="37"/>
              </w:numPr>
              <w:spacing w:after="240" w:line="240" w:lineRule="auto"/>
              <w:rPr>
                <w:noProof/>
              </w:rPr>
            </w:pPr>
            <w:r>
              <w:rPr>
                <w:noProof/>
              </w:rPr>
              <w:t>Région de Prešov,</w:t>
            </w:r>
          </w:p>
          <w:p w14:paraId="50B4B418" w14:textId="77777777" w:rsidR="003B5F50" w:rsidRDefault="000D2D85">
            <w:pPr>
              <w:pStyle w:val="P68B1DB1-ListParagraph29"/>
              <w:numPr>
                <w:ilvl w:val="0"/>
                <w:numId w:val="37"/>
              </w:numPr>
              <w:spacing w:after="240" w:line="240" w:lineRule="auto"/>
              <w:rPr>
                <w:noProof/>
              </w:rPr>
            </w:pPr>
            <w:r>
              <w:rPr>
                <w:noProof/>
              </w:rPr>
              <w:t>Région de Košice,</w:t>
            </w:r>
          </w:p>
        </w:tc>
      </w:tr>
      <w:tr w:rsidR="003B5F50" w14:paraId="50B4B428" w14:textId="77777777" w:rsidTr="00F133D4">
        <w:trPr>
          <w:trHeight w:val="655"/>
        </w:trPr>
        <w:tc>
          <w:tcPr>
            <w:tcW w:w="853" w:type="dxa"/>
            <w:shd w:val="clear" w:color="auto" w:fill="C6EFCE"/>
            <w:hideMark/>
          </w:tcPr>
          <w:p w14:paraId="50B4B41A" w14:textId="77777777" w:rsidR="003B5F50" w:rsidRDefault="000D2D85">
            <w:pPr>
              <w:pStyle w:val="P68B1DB1-Normal15"/>
              <w:spacing w:after="0" w:line="240" w:lineRule="auto"/>
              <w:rPr>
                <w:rFonts w:eastAsia="Times New Roman"/>
                <w:noProof/>
              </w:rPr>
            </w:pPr>
            <w:r>
              <w:rPr>
                <w:noProof/>
              </w:rPr>
              <w:t>14</w:t>
            </w:r>
          </w:p>
        </w:tc>
        <w:tc>
          <w:tcPr>
            <w:tcW w:w="1559" w:type="dxa"/>
            <w:shd w:val="clear" w:color="auto" w:fill="C6EFCE"/>
            <w:hideMark/>
          </w:tcPr>
          <w:p w14:paraId="50B4B41B" w14:textId="77777777" w:rsidR="003B5F50" w:rsidRDefault="000D2D85">
            <w:pPr>
              <w:pStyle w:val="P68B1DB1-Normal15"/>
              <w:spacing w:after="0" w:line="240" w:lineRule="auto"/>
              <w:rPr>
                <w:rFonts w:eastAsia="Times New Roman"/>
                <w:noProof/>
              </w:rPr>
            </w:pPr>
            <w:r>
              <w:rPr>
                <w:noProof/>
              </w:rPr>
              <w:t>11 – Soins de santé modernes et accessibles – Investissement 2 Nouveau réseau hospitalier – construction, reconstruction et équipement</w:t>
            </w:r>
          </w:p>
          <w:p w14:paraId="50B4B41C" w14:textId="77777777" w:rsidR="003B5F50" w:rsidRDefault="003B5F50">
            <w:pPr>
              <w:spacing w:after="0" w:line="240" w:lineRule="auto"/>
              <w:rPr>
                <w:rFonts w:ascii="Times New Roman" w:eastAsia="Times New Roman" w:hAnsi="Times New Roman"/>
                <w:noProof/>
                <w:color w:val="006100"/>
                <w:sz w:val="20"/>
                <w:szCs w:val="20"/>
              </w:rPr>
            </w:pPr>
          </w:p>
        </w:tc>
        <w:tc>
          <w:tcPr>
            <w:tcW w:w="1276" w:type="dxa"/>
            <w:shd w:val="clear" w:color="auto" w:fill="C6EFCE"/>
            <w:hideMark/>
          </w:tcPr>
          <w:p w14:paraId="50B4B41D" w14:textId="77777777" w:rsidR="003B5F50" w:rsidRDefault="000D2D85">
            <w:pPr>
              <w:pStyle w:val="P68B1DB1-Normal15"/>
              <w:spacing w:after="0" w:line="240" w:lineRule="auto"/>
              <w:rPr>
                <w:rFonts w:eastAsia="Times New Roman"/>
                <w:noProof/>
              </w:rPr>
            </w:pPr>
            <w:r>
              <w:rPr>
                <w:noProof/>
              </w:rPr>
              <w:t>Objectif</w:t>
            </w:r>
          </w:p>
        </w:tc>
        <w:tc>
          <w:tcPr>
            <w:tcW w:w="992" w:type="dxa"/>
            <w:shd w:val="clear" w:color="auto" w:fill="C6EFCE"/>
            <w:hideMark/>
          </w:tcPr>
          <w:p w14:paraId="50B4B41E" w14:textId="77777777" w:rsidR="003B5F50" w:rsidRDefault="000D2D85">
            <w:pPr>
              <w:pStyle w:val="P68B1DB1-Normal9"/>
              <w:spacing w:after="0"/>
              <w:rPr>
                <w:noProof/>
              </w:rPr>
            </w:pPr>
            <w:r>
              <w:rPr>
                <w:noProof/>
              </w:rPr>
              <w:t>Capacité de lit d'hôpital disponible au niveau de la coquille et de la construction de base.</w:t>
            </w:r>
          </w:p>
          <w:p w14:paraId="50B4B41F" w14:textId="77777777" w:rsidR="003B5F50" w:rsidRDefault="003B5F50">
            <w:pPr>
              <w:spacing w:after="0" w:line="240" w:lineRule="auto"/>
              <w:rPr>
                <w:rFonts w:ascii="Times New Roman" w:eastAsia="Times New Roman" w:hAnsi="Times New Roman"/>
                <w:noProof/>
                <w:color w:val="006100"/>
                <w:sz w:val="20"/>
                <w:szCs w:val="20"/>
              </w:rPr>
            </w:pPr>
          </w:p>
        </w:tc>
        <w:tc>
          <w:tcPr>
            <w:tcW w:w="1701" w:type="dxa"/>
            <w:shd w:val="clear" w:color="auto" w:fill="C6EFCE"/>
            <w:hideMark/>
          </w:tcPr>
          <w:p w14:paraId="50B4B420" w14:textId="77777777" w:rsidR="003B5F50" w:rsidRDefault="000D2D85">
            <w:pPr>
              <w:pStyle w:val="P68B1DB1-Normal15"/>
              <w:spacing w:after="0" w:line="240" w:lineRule="auto"/>
              <w:rPr>
                <w:rFonts w:eastAsia="Times New Roman"/>
                <w:noProof/>
              </w:rPr>
            </w:pPr>
            <w:r>
              <w:rPr>
                <w:noProof/>
              </w:rPr>
              <w:t>Numéro</w:t>
            </w:r>
          </w:p>
        </w:tc>
        <w:tc>
          <w:tcPr>
            <w:tcW w:w="1134" w:type="dxa"/>
            <w:shd w:val="clear" w:color="auto" w:fill="C6EFCE"/>
            <w:hideMark/>
          </w:tcPr>
          <w:p w14:paraId="50B4B421" w14:textId="77777777" w:rsidR="003B5F50" w:rsidRDefault="003B5F50">
            <w:pPr>
              <w:spacing w:after="0" w:line="240" w:lineRule="auto"/>
              <w:rPr>
                <w:rFonts w:ascii="Times New Roman" w:eastAsia="Times New Roman" w:hAnsi="Times New Roman"/>
                <w:noProof/>
                <w:color w:val="006100"/>
                <w:sz w:val="20"/>
                <w:szCs w:val="20"/>
              </w:rPr>
            </w:pPr>
          </w:p>
        </w:tc>
        <w:tc>
          <w:tcPr>
            <w:tcW w:w="1276" w:type="dxa"/>
            <w:shd w:val="clear" w:color="auto" w:fill="C6EFCE"/>
            <w:hideMark/>
          </w:tcPr>
          <w:p w14:paraId="50B4B422" w14:textId="77777777" w:rsidR="003B5F50" w:rsidRDefault="003B5F50">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423" w14:textId="5CD8BA61" w:rsidR="003B5F50" w:rsidRDefault="000D2D85">
            <w:pPr>
              <w:pStyle w:val="P68B1DB1-Normal47"/>
              <w:spacing w:after="0" w:line="240" w:lineRule="auto"/>
              <w:rPr>
                <w:noProof/>
              </w:rPr>
            </w:pPr>
            <w:r>
              <w:rPr>
                <w:noProof/>
              </w:rPr>
              <w:t>1 431</w:t>
            </w:r>
          </w:p>
        </w:tc>
        <w:tc>
          <w:tcPr>
            <w:tcW w:w="1134" w:type="dxa"/>
            <w:shd w:val="clear" w:color="auto" w:fill="C6EFCE"/>
            <w:hideMark/>
          </w:tcPr>
          <w:p w14:paraId="50B4B424" w14:textId="77777777" w:rsidR="003B5F50" w:rsidRDefault="000D2D85">
            <w:pPr>
              <w:pStyle w:val="P68B1DB1-Normal15"/>
              <w:spacing w:after="0" w:line="240" w:lineRule="auto"/>
              <w:rPr>
                <w:rFonts w:eastAsia="Times New Roman"/>
                <w:noProof/>
              </w:rPr>
            </w:pPr>
            <w:r>
              <w:rPr>
                <w:noProof/>
              </w:rPr>
              <w:t>T2</w:t>
            </w:r>
          </w:p>
        </w:tc>
        <w:tc>
          <w:tcPr>
            <w:tcW w:w="851" w:type="dxa"/>
            <w:shd w:val="clear" w:color="auto" w:fill="C6EFCE"/>
            <w:hideMark/>
          </w:tcPr>
          <w:p w14:paraId="50B4B425" w14:textId="77777777" w:rsidR="003B5F50" w:rsidRDefault="000D2D85">
            <w:pPr>
              <w:pStyle w:val="P68B1DB1-Normal15"/>
              <w:spacing w:after="0" w:line="240" w:lineRule="auto"/>
              <w:rPr>
                <w:rFonts w:eastAsia="Times New Roman"/>
                <w:noProof/>
              </w:rPr>
            </w:pPr>
            <w:r>
              <w:rPr>
                <w:noProof/>
              </w:rPr>
              <w:t>2026</w:t>
            </w:r>
          </w:p>
        </w:tc>
        <w:tc>
          <w:tcPr>
            <w:tcW w:w="2344" w:type="dxa"/>
            <w:shd w:val="clear" w:color="auto" w:fill="C6EFCE"/>
            <w:hideMark/>
          </w:tcPr>
          <w:p w14:paraId="50B4B426" w14:textId="28F17C91" w:rsidR="003B5F50" w:rsidRDefault="000D2D85">
            <w:pPr>
              <w:pStyle w:val="P68B1DB1-Normal15"/>
              <w:spacing w:after="240" w:line="240" w:lineRule="auto"/>
              <w:rPr>
                <w:noProof/>
              </w:rPr>
            </w:pPr>
            <w:r>
              <w:rPr>
                <w:noProof/>
              </w:rPr>
              <w:t>Nouveaux hôpitaux d’une capacité d’au moins 1 431 lits construits au niveau «coque et cœur»*. Les nouveaux hôpitaux sont tenus d’avoir une demande estimée d’énergie primaire (DEP) inférieure d’au moins 20 % à l’exigence de consommation d’énergie quasi nulle (bâtiment à consommation d’énergie quasi nulle, directives nationales), comme le démontre l’évaluation préliminaire du BREEAM. Les marchés publics attribués pour la construction de chaque hôpital sont fournis.</w:t>
            </w:r>
          </w:p>
          <w:p w14:paraId="50B4B427" w14:textId="0B08370B" w:rsidR="003B5F50" w:rsidRDefault="000D2D85">
            <w:pPr>
              <w:pStyle w:val="P68B1DB1-Normal15"/>
              <w:spacing w:after="240" w:line="240" w:lineRule="auto"/>
              <w:rPr>
                <w:noProof/>
              </w:rPr>
            </w:pPr>
            <w:r>
              <w:rPr>
                <w:noProof/>
              </w:rPr>
              <w:t>*Coque et noyau – fondations, structures/constructions porteuses, tuyauteries – imperméabilisation verticale et horizontale principale, eaux usées externes, installations externes, sans machines, chauffage central, câblage, planchers, finitions finales et équipements.</w:t>
            </w:r>
          </w:p>
        </w:tc>
      </w:tr>
      <w:tr w:rsidR="003B5F50" w14:paraId="50B4B437" w14:textId="77777777" w:rsidTr="00F133D4">
        <w:trPr>
          <w:trHeight w:val="2286"/>
        </w:trPr>
        <w:tc>
          <w:tcPr>
            <w:tcW w:w="853" w:type="dxa"/>
            <w:shd w:val="clear" w:color="auto" w:fill="C6EFCE"/>
          </w:tcPr>
          <w:p w14:paraId="50B4B429" w14:textId="77777777" w:rsidR="003B5F50" w:rsidRDefault="000D2D85">
            <w:pPr>
              <w:pStyle w:val="P68B1DB1-Normal15"/>
              <w:spacing w:after="0" w:line="240" w:lineRule="auto"/>
              <w:rPr>
                <w:noProof/>
              </w:rPr>
            </w:pPr>
            <w:r>
              <w:rPr>
                <w:noProof/>
              </w:rPr>
              <w:t>10</w:t>
            </w:r>
          </w:p>
        </w:tc>
        <w:tc>
          <w:tcPr>
            <w:tcW w:w="1559" w:type="dxa"/>
            <w:shd w:val="clear" w:color="auto" w:fill="C6EFCE"/>
          </w:tcPr>
          <w:p w14:paraId="50B4B42A" w14:textId="77777777" w:rsidR="003B5F50" w:rsidRDefault="000D2D85">
            <w:pPr>
              <w:pStyle w:val="P68B1DB1-Normal14"/>
              <w:spacing w:after="0" w:line="240" w:lineRule="auto"/>
              <w:rPr>
                <w:noProof/>
                <w:szCs w:val="20"/>
              </w:rPr>
            </w:pPr>
            <w:r>
              <w:rPr>
                <w:noProof/>
              </w:rPr>
              <w:t>11 – Soins de santé modernes et accessibles – Investissement 2 Nouveau réseau hospitalier – construction, reconstruction et équipement</w:t>
            </w:r>
          </w:p>
        </w:tc>
        <w:tc>
          <w:tcPr>
            <w:tcW w:w="1276" w:type="dxa"/>
            <w:shd w:val="clear" w:color="auto" w:fill="C6EFCE"/>
          </w:tcPr>
          <w:p w14:paraId="50B4B42B" w14:textId="77777777" w:rsidR="003B5F50" w:rsidRDefault="000D2D85">
            <w:pPr>
              <w:pStyle w:val="P68B1DB1-Normal15"/>
              <w:spacing w:after="0" w:line="240" w:lineRule="auto"/>
              <w:rPr>
                <w:noProof/>
              </w:rPr>
            </w:pPr>
            <w:r>
              <w:rPr>
                <w:noProof/>
              </w:rPr>
              <w:t>Objectif</w:t>
            </w:r>
          </w:p>
        </w:tc>
        <w:tc>
          <w:tcPr>
            <w:tcW w:w="992" w:type="dxa"/>
            <w:shd w:val="clear" w:color="auto" w:fill="C6EFCE"/>
          </w:tcPr>
          <w:p w14:paraId="50B4B42C" w14:textId="77777777" w:rsidR="003B5F50" w:rsidRDefault="000D2D85">
            <w:pPr>
              <w:pStyle w:val="P68B1DB1-Normal14"/>
              <w:spacing w:after="0"/>
              <w:rPr>
                <w:noProof/>
              </w:rPr>
            </w:pPr>
            <w:r>
              <w:rPr>
                <w:noProof/>
              </w:rPr>
              <w:t>Capacité de lit d'hôpital</w:t>
            </w:r>
          </w:p>
          <w:p w14:paraId="50B4B42D" w14:textId="77777777" w:rsidR="003B5F50" w:rsidRDefault="000D2D85">
            <w:pPr>
              <w:pStyle w:val="P68B1DB1-Normal14"/>
              <w:spacing w:after="0"/>
              <w:rPr>
                <w:rFonts w:eastAsia="Times New Roman" w:cs="Times New Roman"/>
                <w:noProof/>
                <w:szCs w:val="20"/>
              </w:rPr>
            </w:pPr>
            <w:r>
              <w:rPr>
                <w:noProof/>
              </w:rPr>
              <w:t xml:space="preserve"> disponible dans les hôpitaux améliorés</w:t>
            </w:r>
          </w:p>
        </w:tc>
        <w:tc>
          <w:tcPr>
            <w:tcW w:w="1701" w:type="dxa"/>
            <w:shd w:val="clear" w:color="auto" w:fill="C6EFCE"/>
          </w:tcPr>
          <w:p w14:paraId="50B4B42E" w14:textId="77777777" w:rsidR="003B5F50" w:rsidRDefault="003B5F50">
            <w:pPr>
              <w:spacing w:after="0" w:line="240" w:lineRule="auto"/>
              <w:rPr>
                <w:rFonts w:ascii="Times New Roman" w:hAnsi="Times New Roman"/>
                <w:noProof/>
                <w:color w:val="006100"/>
                <w:sz w:val="20"/>
                <w:szCs w:val="20"/>
              </w:rPr>
            </w:pPr>
          </w:p>
        </w:tc>
        <w:tc>
          <w:tcPr>
            <w:tcW w:w="1134" w:type="dxa"/>
            <w:shd w:val="clear" w:color="auto" w:fill="C6EFCE"/>
          </w:tcPr>
          <w:p w14:paraId="50B4B42F" w14:textId="77777777" w:rsidR="003B5F50" w:rsidRDefault="000D2D85">
            <w:pPr>
              <w:pStyle w:val="P68B1DB1-Normal14"/>
              <w:spacing w:after="0" w:line="240" w:lineRule="auto"/>
              <w:rPr>
                <w:rFonts w:eastAsia="Times New Roman"/>
                <w:noProof/>
                <w:szCs w:val="20"/>
              </w:rPr>
            </w:pPr>
            <w:r>
              <w:rPr>
                <w:noProof/>
              </w:rPr>
              <w:t>Numéro</w:t>
            </w:r>
          </w:p>
        </w:tc>
        <w:tc>
          <w:tcPr>
            <w:tcW w:w="1276" w:type="dxa"/>
            <w:shd w:val="clear" w:color="auto" w:fill="C6EFCE"/>
          </w:tcPr>
          <w:p w14:paraId="50B4B430" w14:textId="77777777" w:rsidR="003B5F50" w:rsidRDefault="000D2D85">
            <w:pPr>
              <w:pStyle w:val="P68B1DB1-Normal14"/>
              <w:spacing w:after="0" w:line="240" w:lineRule="auto"/>
              <w:rPr>
                <w:rFonts w:eastAsia="Times New Roman"/>
                <w:noProof/>
                <w:szCs w:val="20"/>
              </w:rPr>
            </w:pPr>
            <w:r>
              <w:rPr>
                <w:noProof/>
              </w:rPr>
              <w:t>0</w:t>
            </w:r>
          </w:p>
        </w:tc>
        <w:tc>
          <w:tcPr>
            <w:tcW w:w="992" w:type="dxa"/>
            <w:shd w:val="clear" w:color="auto" w:fill="C6EFCE"/>
          </w:tcPr>
          <w:p w14:paraId="50B4B431" w14:textId="08F1B8EC" w:rsidR="003B5F50" w:rsidRDefault="000D2D85">
            <w:pPr>
              <w:pStyle w:val="P68B1DB1-Normal15"/>
              <w:spacing w:after="0" w:line="240" w:lineRule="auto"/>
              <w:rPr>
                <w:rFonts w:eastAsia="Times New Roman"/>
                <w:noProof/>
              </w:rPr>
            </w:pPr>
            <w:r>
              <w:rPr>
                <w:noProof/>
              </w:rPr>
              <w:t>1 190</w:t>
            </w:r>
          </w:p>
        </w:tc>
        <w:tc>
          <w:tcPr>
            <w:tcW w:w="1134" w:type="dxa"/>
            <w:shd w:val="clear" w:color="auto" w:fill="C6EFCE"/>
          </w:tcPr>
          <w:p w14:paraId="50B4B432" w14:textId="77777777" w:rsidR="003B5F50" w:rsidRDefault="000D2D85">
            <w:pPr>
              <w:pStyle w:val="P68B1DB1-Normal14"/>
              <w:spacing w:after="0" w:line="240" w:lineRule="auto"/>
              <w:rPr>
                <w:noProof/>
                <w:szCs w:val="20"/>
              </w:rPr>
            </w:pPr>
            <w:r>
              <w:rPr>
                <w:noProof/>
              </w:rPr>
              <w:t>T2</w:t>
            </w:r>
          </w:p>
        </w:tc>
        <w:tc>
          <w:tcPr>
            <w:tcW w:w="851" w:type="dxa"/>
            <w:shd w:val="clear" w:color="auto" w:fill="C6EFCE"/>
          </w:tcPr>
          <w:p w14:paraId="50B4B433" w14:textId="77777777" w:rsidR="003B5F50" w:rsidRDefault="000D2D85">
            <w:pPr>
              <w:pStyle w:val="P68B1DB1-Normal14"/>
              <w:spacing w:after="0" w:line="240" w:lineRule="auto"/>
              <w:rPr>
                <w:noProof/>
                <w:szCs w:val="20"/>
              </w:rPr>
            </w:pPr>
            <w:r>
              <w:rPr>
                <w:noProof/>
              </w:rPr>
              <w:t>2026</w:t>
            </w:r>
          </w:p>
        </w:tc>
        <w:tc>
          <w:tcPr>
            <w:tcW w:w="2344" w:type="dxa"/>
            <w:shd w:val="clear" w:color="auto" w:fill="C6EFCE"/>
          </w:tcPr>
          <w:p w14:paraId="50B4B434" w14:textId="77777777" w:rsidR="003B5F50" w:rsidRDefault="000D2D85">
            <w:pPr>
              <w:pStyle w:val="P68B1DB1-Normal27"/>
              <w:spacing w:after="240" w:line="240" w:lineRule="auto"/>
              <w:rPr>
                <w:rFonts w:ascii="Times New Roman" w:eastAsia="Times New Roman" w:hAnsi="Times New Roman"/>
                <w:noProof/>
                <w:szCs w:val="20"/>
              </w:rPr>
            </w:pPr>
            <w:r>
              <w:rPr>
                <w:rFonts w:ascii="Times New Roman" w:eastAsia="Times New Roman" w:hAnsi="Times New Roman"/>
                <w:noProof/>
                <w:szCs w:val="20"/>
              </w:rPr>
              <w:t>Hôpitaux modernisés d’une capacité de 1</w:t>
            </w:r>
            <w:r>
              <w:rPr>
                <w:rFonts w:ascii="Times New Roman" w:hAnsi="Times New Roman"/>
                <w:noProof/>
              </w:rPr>
              <w:t> </w:t>
            </w:r>
            <w:r>
              <w:rPr>
                <w:rFonts w:ascii="Times New Roman" w:eastAsia="Times New Roman" w:hAnsi="Times New Roman"/>
                <w:noProof/>
                <w:szCs w:val="20"/>
              </w:rPr>
              <w:t>190 lits au niveau « full fit out »*. Des marchés publics sont attribués pour la modernisation de chaque hôpital.</w:t>
            </w:r>
          </w:p>
          <w:p w14:paraId="50B4B436" w14:textId="52ADC23C" w:rsidR="003B5F50" w:rsidRDefault="000D2D85">
            <w:pPr>
              <w:pStyle w:val="P68B1DB1-Normal47"/>
              <w:spacing w:after="240" w:line="240" w:lineRule="auto"/>
              <w:rPr>
                <w:rFonts w:cs="Times New Roman"/>
                <w:noProof/>
              </w:rPr>
            </w:pPr>
            <w:r>
              <w:rPr>
                <w:noProof/>
              </w:rPr>
              <w:t>*L'aménagement complet est défini comme a) la rénovation, la construction, l'extension, l'achèvement ou la superstructure et toute autre conversion; et b) la fourniture d’équipements physiques et techniques, qu’ils soient nouvellement acquis ou existants.</w:t>
            </w:r>
          </w:p>
        </w:tc>
      </w:tr>
      <w:tr w:rsidR="003B5F50" w14:paraId="50B4B445" w14:textId="77777777" w:rsidTr="00F133D4">
        <w:trPr>
          <w:trHeight w:val="2286"/>
        </w:trPr>
        <w:tc>
          <w:tcPr>
            <w:tcW w:w="853" w:type="dxa"/>
            <w:shd w:val="clear" w:color="auto" w:fill="C6EFCE"/>
          </w:tcPr>
          <w:p w14:paraId="50B4B438" w14:textId="77777777" w:rsidR="003B5F50" w:rsidRDefault="000D2D85">
            <w:pPr>
              <w:pStyle w:val="P68B1DB1-Normal14"/>
              <w:spacing w:after="0" w:line="240" w:lineRule="auto"/>
              <w:rPr>
                <w:noProof/>
              </w:rPr>
            </w:pPr>
            <w:r>
              <w:rPr>
                <w:noProof/>
              </w:rPr>
              <w:t>11</w:t>
            </w:r>
          </w:p>
        </w:tc>
        <w:tc>
          <w:tcPr>
            <w:tcW w:w="1559" w:type="dxa"/>
            <w:shd w:val="clear" w:color="auto" w:fill="C6EFCE"/>
          </w:tcPr>
          <w:p w14:paraId="50B4B439" w14:textId="77777777" w:rsidR="003B5F50" w:rsidRDefault="000D2D85">
            <w:pPr>
              <w:pStyle w:val="P68B1DB1-Normal14"/>
              <w:spacing w:after="0" w:line="240" w:lineRule="auto"/>
              <w:rPr>
                <w:noProof/>
              </w:rPr>
            </w:pPr>
            <w:r>
              <w:rPr>
                <w:noProof/>
              </w:rPr>
              <w:t>11 – Soins de santé modernes et accessibles – Investissement 3 – Numérisation dans le domaine de la santé</w:t>
            </w:r>
          </w:p>
        </w:tc>
        <w:tc>
          <w:tcPr>
            <w:tcW w:w="1276" w:type="dxa"/>
            <w:shd w:val="clear" w:color="auto" w:fill="C6EFCE"/>
          </w:tcPr>
          <w:p w14:paraId="50B4B43A" w14:textId="77777777" w:rsidR="003B5F50" w:rsidRDefault="000D2D85">
            <w:pPr>
              <w:pStyle w:val="P68B1DB1-Normal14"/>
              <w:spacing w:after="0" w:line="240" w:lineRule="auto"/>
              <w:rPr>
                <w:noProof/>
              </w:rPr>
            </w:pPr>
            <w:r>
              <w:rPr>
                <w:noProof/>
              </w:rPr>
              <w:t>Objectif</w:t>
            </w:r>
          </w:p>
        </w:tc>
        <w:tc>
          <w:tcPr>
            <w:tcW w:w="992" w:type="dxa"/>
            <w:shd w:val="clear" w:color="auto" w:fill="C6EFCE"/>
          </w:tcPr>
          <w:p w14:paraId="50B4B43B" w14:textId="13F86D67" w:rsidR="003B5F50" w:rsidRDefault="000D2D85">
            <w:pPr>
              <w:pStyle w:val="P68B1DB1-Normal15"/>
              <w:spacing w:after="0"/>
              <w:rPr>
                <w:noProof/>
              </w:rPr>
            </w:pPr>
            <w:r>
              <w:rPr>
                <w:noProof/>
              </w:rPr>
              <w:t>Matériel et logiciels de la plate-forme centrale d'intégration (CIP) - achats pour 19 hôpitaux publics gérés de manière centralisée.</w:t>
            </w:r>
          </w:p>
        </w:tc>
        <w:tc>
          <w:tcPr>
            <w:tcW w:w="1701" w:type="dxa"/>
            <w:shd w:val="clear" w:color="auto" w:fill="C6EFCE"/>
          </w:tcPr>
          <w:p w14:paraId="50B4B43C" w14:textId="77777777" w:rsidR="003B5F50" w:rsidRDefault="003B5F50">
            <w:pPr>
              <w:spacing w:after="0" w:line="240" w:lineRule="auto"/>
              <w:rPr>
                <w:rFonts w:ascii="Times New Roman" w:hAnsi="Times New Roman"/>
                <w:noProof/>
                <w:color w:val="006100"/>
                <w:sz w:val="20"/>
                <w:szCs w:val="20"/>
              </w:rPr>
            </w:pPr>
          </w:p>
        </w:tc>
        <w:tc>
          <w:tcPr>
            <w:tcW w:w="1134" w:type="dxa"/>
            <w:shd w:val="clear" w:color="auto" w:fill="C6EFCE"/>
          </w:tcPr>
          <w:p w14:paraId="50B4B43D" w14:textId="77777777" w:rsidR="003B5F50" w:rsidRDefault="000D2D85">
            <w:pPr>
              <w:pStyle w:val="P68B1DB1-Normal14"/>
              <w:spacing w:after="0" w:line="240" w:lineRule="auto"/>
              <w:rPr>
                <w:noProof/>
              </w:rPr>
            </w:pPr>
            <w:r>
              <w:rPr>
                <w:noProof/>
              </w:rPr>
              <w:t>Numéro</w:t>
            </w:r>
          </w:p>
        </w:tc>
        <w:tc>
          <w:tcPr>
            <w:tcW w:w="1276" w:type="dxa"/>
            <w:shd w:val="clear" w:color="auto" w:fill="C6EFCE"/>
          </w:tcPr>
          <w:p w14:paraId="50B4B43E" w14:textId="77777777" w:rsidR="003B5F50" w:rsidRDefault="000D2D85">
            <w:pPr>
              <w:pStyle w:val="P68B1DB1-Normal14"/>
              <w:spacing w:after="0" w:line="240" w:lineRule="auto"/>
              <w:rPr>
                <w:noProof/>
              </w:rPr>
            </w:pPr>
            <w:r>
              <w:rPr>
                <w:noProof/>
              </w:rPr>
              <w:t>0</w:t>
            </w:r>
          </w:p>
        </w:tc>
        <w:tc>
          <w:tcPr>
            <w:tcW w:w="992" w:type="dxa"/>
            <w:shd w:val="clear" w:color="auto" w:fill="C6EFCE"/>
          </w:tcPr>
          <w:p w14:paraId="50B4B43F" w14:textId="77777777" w:rsidR="003B5F50" w:rsidRDefault="000D2D85">
            <w:pPr>
              <w:pStyle w:val="P68B1DB1-Normal14"/>
              <w:spacing w:after="0" w:line="240" w:lineRule="auto"/>
              <w:rPr>
                <w:noProof/>
                <w:szCs w:val="20"/>
              </w:rPr>
            </w:pPr>
            <w:r>
              <w:rPr>
                <w:noProof/>
              </w:rPr>
              <w:t>19</w:t>
            </w:r>
          </w:p>
        </w:tc>
        <w:tc>
          <w:tcPr>
            <w:tcW w:w="1134" w:type="dxa"/>
            <w:shd w:val="clear" w:color="auto" w:fill="C6EFCE"/>
          </w:tcPr>
          <w:p w14:paraId="50B4B440" w14:textId="77777777" w:rsidR="003B5F50" w:rsidRDefault="000D2D85">
            <w:pPr>
              <w:pStyle w:val="P68B1DB1-Normal14"/>
              <w:spacing w:after="0" w:line="240" w:lineRule="auto"/>
              <w:rPr>
                <w:noProof/>
              </w:rPr>
            </w:pPr>
            <w:r>
              <w:rPr>
                <w:noProof/>
              </w:rPr>
              <w:t>T4</w:t>
            </w:r>
          </w:p>
        </w:tc>
        <w:tc>
          <w:tcPr>
            <w:tcW w:w="851" w:type="dxa"/>
            <w:shd w:val="clear" w:color="auto" w:fill="C6EFCE"/>
          </w:tcPr>
          <w:p w14:paraId="50B4B441" w14:textId="77777777" w:rsidR="003B5F50" w:rsidRDefault="000D2D85">
            <w:pPr>
              <w:pStyle w:val="P68B1DB1-Normal14"/>
              <w:spacing w:after="0" w:line="240" w:lineRule="auto"/>
              <w:rPr>
                <w:noProof/>
              </w:rPr>
            </w:pPr>
            <w:r>
              <w:rPr>
                <w:noProof/>
              </w:rPr>
              <w:t>2025</w:t>
            </w:r>
          </w:p>
        </w:tc>
        <w:tc>
          <w:tcPr>
            <w:tcW w:w="2344" w:type="dxa"/>
            <w:shd w:val="clear" w:color="auto" w:fill="C6EFCE"/>
          </w:tcPr>
          <w:p w14:paraId="50B4B444" w14:textId="4FB90B42" w:rsidR="003B5F50" w:rsidRDefault="000D2D85">
            <w:pPr>
              <w:pStyle w:val="P68B1DB1-Normal15"/>
              <w:spacing w:after="0" w:line="240" w:lineRule="auto"/>
              <w:rPr>
                <w:rFonts w:eastAsia="Times New Roman"/>
                <w:noProof/>
              </w:rPr>
            </w:pPr>
            <w:r>
              <w:rPr>
                <w:noProof/>
              </w:rPr>
              <w:t>Notification de l'attribution d'un marché public pour la plate-forme centrale d'intégration (CIP) - matériel et logiciel - pour le contrôle centralisé et la gestion des processus.</w:t>
            </w:r>
          </w:p>
        </w:tc>
      </w:tr>
      <w:tr w:rsidR="003B5F50" w14:paraId="50B4B456" w14:textId="77777777" w:rsidTr="00F133D4">
        <w:trPr>
          <w:trHeight w:val="1366"/>
        </w:trPr>
        <w:tc>
          <w:tcPr>
            <w:tcW w:w="853" w:type="dxa"/>
            <w:shd w:val="clear" w:color="auto" w:fill="C6EFCE"/>
          </w:tcPr>
          <w:p w14:paraId="50B4B446" w14:textId="77777777" w:rsidR="003B5F50" w:rsidRDefault="000D2D85">
            <w:pPr>
              <w:pStyle w:val="P68B1DB1-Normal14"/>
              <w:spacing w:after="0" w:line="240" w:lineRule="auto"/>
              <w:rPr>
                <w:noProof/>
              </w:rPr>
            </w:pPr>
            <w:r>
              <w:rPr>
                <w:noProof/>
              </w:rPr>
              <w:t>12</w:t>
            </w:r>
          </w:p>
        </w:tc>
        <w:tc>
          <w:tcPr>
            <w:tcW w:w="1559" w:type="dxa"/>
            <w:shd w:val="clear" w:color="auto" w:fill="C6EFCE"/>
          </w:tcPr>
          <w:p w14:paraId="50B4B447" w14:textId="77777777" w:rsidR="003B5F50" w:rsidRDefault="000D2D85">
            <w:pPr>
              <w:pStyle w:val="P68B1DB1-Normal14"/>
              <w:spacing w:after="0" w:line="240" w:lineRule="auto"/>
              <w:rPr>
                <w:noProof/>
              </w:rPr>
            </w:pPr>
            <w:r>
              <w:rPr>
                <w:noProof/>
              </w:rPr>
              <w:t>11 – Soins de santé modernes et accessibles – Investissement 3 – Numérisation dans le domaine de la santé</w:t>
            </w:r>
          </w:p>
        </w:tc>
        <w:tc>
          <w:tcPr>
            <w:tcW w:w="1276" w:type="dxa"/>
            <w:shd w:val="clear" w:color="auto" w:fill="C6EFCE"/>
          </w:tcPr>
          <w:p w14:paraId="50B4B448" w14:textId="77777777" w:rsidR="003B5F50" w:rsidRDefault="000D2D85">
            <w:pPr>
              <w:pStyle w:val="P68B1DB1-Normal14"/>
              <w:spacing w:after="0" w:line="240" w:lineRule="auto"/>
              <w:rPr>
                <w:noProof/>
              </w:rPr>
            </w:pPr>
            <w:r>
              <w:rPr>
                <w:noProof/>
              </w:rPr>
              <w:t>Objectif</w:t>
            </w:r>
          </w:p>
        </w:tc>
        <w:tc>
          <w:tcPr>
            <w:tcW w:w="992" w:type="dxa"/>
            <w:shd w:val="clear" w:color="auto" w:fill="C6EFCE"/>
          </w:tcPr>
          <w:p w14:paraId="50B4B449" w14:textId="77777777" w:rsidR="003B5F50" w:rsidRDefault="000D2D85">
            <w:pPr>
              <w:pStyle w:val="P68B1DB1-Normal15"/>
              <w:spacing w:after="0" w:line="240" w:lineRule="auto"/>
              <w:rPr>
                <w:noProof/>
              </w:rPr>
            </w:pPr>
            <w:r>
              <w:rPr>
                <w:noProof/>
              </w:rPr>
              <w:t xml:space="preserve">Augmentation de la fourniture de chirurgies de fibrillation auriculaire </w:t>
            </w:r>
          </w:p>
        </w:tc>
        <w:tc>
          <w:tcPr>
            <w:tcW w:w="1701" w:type="dxa"/>
            <w:shd w:val="clear" w:color="auto" w:fill="C6EFCE"/>
          </w:tcPr>
          <w:p w14:paraId="50B4B44A" w14:textId="77777777" w:rsidR="003B5F50" w:rsidRDefault="003B5F50">
            <w:pPr>
              <w:spacing w:after="0" w:line="240" w:lineRule="auto"/>
              <w:rPr>
                <w:rFonts w:ascii="Times New Roman" w:hAnsi="Times New Roman"/>
                <w:noProof/>
                <w:color w:val="006100"/>
                <w:sz w:val="20"/>
                <w:szCs w:val="20"/>
              </w:rPr>
            </w:pPr>
          </w:p>
        </w:tc>
        <w:tc>
          <w:tcPr>
            <w:tcW w:w="1134" w:type="dxa"/>
            <w:shd w:val="clear" w:color="auto" w:fill="C6EFCE"/>
          </w:tcPr>
          <w:p w14:paraId="50B4B44B" w14:textId="77777777" w:rsidR="003B5F50" w:rsidRDefault="000D2D85">
            <w:pPr>
              <w:pStyle w:val="P68B1DB1-Normal14"/>
              <w:spacing w:after="0" w:line="240" w:lineRule="auto"/>
              <w:rPr>
                <w:noProof/>
              </w:rPr>
            </w:pPr>
            <w:r>
              <w:rPr>
                <w:noProof/>
              </w:rPr>
              <w:t>%</w:t>
            </w:r>
          </w:p>
        </w:tc>
        <w:tc>
          <w:tcPr>
            <w:tcW w:w="1276" w:type="dxa"/>
            <w:shd w:val="clear" w:color="auto" w:fill="C6EFCE"/>
          </w:tcPr>
          <w:p w14:paraId="50B4B44C" w14:textId="77777777" w:rsidR="003B5F50" w:rsidRDefault="000D2D85">
            <w:pPr>
              <w:pStyle w:val="P68B1DB1-Normal14"/>
              <w:spacing w:after="0" w:line="240" w:lineRule="auto"/>
              <w:rPr>
                <w:noProof/>
              </w:rPr>
            </w:pPr>
            <w:r>
              <w:rPr>
                <w:noProof/>
              </w:rPr>
              <w:t>0</w:t>
            </w:r>
          </w:p>
        </w:tc>
        <w:tc>
          <w:tcPr>
            <w:tcW w:w="992" w:type="dxa"/>
            <w:shd w:val="clear" w:color="auto" w:fill="C6EFCE"/>
          </w:tcPr>
          <w:p w14:paraId="50B4B44D" w14:textId="77777777" w:rsidR="003B5F50" w:rsidRDefault="000D2D85">
            <w:pPr>
              <w:pStyle w:val="P68B1DB1-Normal14"/>
              <w:spacing w:after="0" w:line="240" w:lineRule="auto"/>
              <w:rPr>
                <w:noProof/>
              </w:rPr>
            </w:pPr>
            <w:r>
              <w:rPr>
                <w:noProof/>
              </w:rPr>
              <w:t>20</w:t>
            </w:r>
          </w:p>
        </w:tc>
        <w:tc>
          <w:tcPr>
            <w:tcW w:w="1134" w:type="dxa"/>
            <w:shd w:val="clear" w:color="auto" w:fill="C6EFCE"/>
          </w:tcPr>
          <w:p w14:paraId="50B4B44E" w14:textId="77777777" w:rsidR="003B5F50" w:rsidRDefault="000D2D85">
            <w:pPr>
              <w:pStyle w:val="P68B1DB1-Normal14"/>
              <w:spacing w:after="0" w:line="240" w:lineRule="auto"/>
              <w:rPr>
                <w:noProof/>
              </w:rPr>
            </w:pPr>
            <w:r>
              <w:rPr>
                <w:noProof/>
              </w:rPr>
              <w:t>T4</w:t>
            </w:r>
          </w:p>
        </w:tc>
        <w:tc>
          <w:tcPr>
            <w:tcW w:w="851" w:type="dxa"/>
            <w:shd w:val="clear" w:color="auto" w:fill="C6EFCE"/>
          </w:tcPr>
          <w:p w14:paraId="50B4B44F" w14:textId="77777777" w:rsidR="003B5F50" w:rsidRDefault="000D2D85">
            <w:pPr>
              <w:pStyle w:val="P68B1DB1-Normal14"/>
              <w:spacing w:after="0" w:line="240" w:lineRule="auto"/>
              <w:rPr>
                <w:noProof/>
              </w:rPr>
            </w:pPr>
            <w:r>
              <w:rPr>
                <w:noProof/>
              </w:rPr>
              <w:t>2024</w:t>
            </w:r>
          </w:p>
        </w:tc>
        <w:tc>
          <w:tcPr>
            <w:tcW w:w="2344" w:type="dxa"/>
            <w:shd w:val="clear" w:color="auto" w:fill="C6EFCE"/>
          </w:tcPr>
          <w:p w14:paraId="50B4B450" w14:textId="77777777" w:rsidR="003B5F50" w:rsidRDefault="000D2D85">
            <w:pPr>
              <w:pStyle w:val="P68B1DB1-Normal15"/>
              <w:spacing w:after="0" w:line="240" w:lineRule="auto"/>
              <w:rPr>
                <w:rFonts w:eastAsia="Times New Roman"/>
                <w:noProof/>
              </w:rPr>
            </w:pPr>
            <w:r>
              <w:rPr>
                <w:noProof/>
              </w:rPr>
              <w:t>3 instituts de maladies cardiovasculaires sont équipés d’une technologie complexe (équipement de navigation intracardiaque et équipement d’ablation de champ électrique pulsé avec équipement médical complémentaire pertinent) pour effectuer une chirurgie de fibrillation auriculaire, qui:</w:t>
            </w:r>
          </w:p>
          <w:p w14:paraId="50B4B451" w14:textId="77777777" w:rsidR="003B5F50" w:rsidRDefault="000D2D85">
            <w:pPr>
              <w:pStyle w:val="P68B1DB1-ListParagraph29"/>
              <w:numPr>
                <w:ilvl w:val="0"/>
                <w:numId w:val="38"/>
              </w:numPr>
              <w:spacing w:after="0" w:line="240" w:lineRule="auto"/>
              <w:ind w:left="313" w:hanging="313"/>
              <w:rPr>
                <w:noProof/>
              </w:rPr>
            </w:pPr>
            <w:r>
              <w:rPr>
                <w:noProof/>
              </w:rPr>
              <w:t>réduire le temps moyen consacré à la chirurgie de fibrillation auriculaire d’au moins 30 % par rapport au niveau de référence de préinvestissement (c’est-à-dire le temps moyen par chirurgie de la période de préinvestissement de cinq ans de 2018-2022 par rapport à la période de 2024).</w:t>
            </w:r>
          </w:p>
          <w:p w14:paraId="50B4B452" w14:textId="77777777" w:rsidR="003B5F50" w:rsidRDefault="000D2D85">
            <w:pPr>
              <w:pStyle w:val="P68B1DB1-ListParagraph30"/>
              <w:spacing w:after="0" w:line="240" w:lineRule="auto"/>
              <w:ind w:left="773"/>
              <w:rPr>
                <w:rFonts w:eastAsia="Times New Roman"/>
                <w:noProof/>
                <w:szCs w:val="20"/>
              </w:rPr>
            </w:pPr>
            <w:r>
              <w:rPr>
                <w:noProof/>
              </w:rPr>
              <w:t xml:space="preserve"> </w:t>
            </w:r>
          </w:p>
          <w:p w14:paraId="50B4B455" w14:textId="1F7AB957" w:rsidR="003B5F50" w:rsidRDefault="000D2D85">
            <w:pPr>
              <w:pStyle w:val="P68B1DB1-ListParagraph29"/>
              <w:numPr>
                <w:ilvl w:val="0"/>
                <w:numId w:val="38"/>
              </w:numPr>
              <w:spacing w:after="0" w:line="240" w:lineRule="auto"/>
              <w:ind w:left="313" w:hanging="313"/>
              <w:rPr>
                <w:noProof/>
              </w:rPr>
            </w:pPr>
            <w:r>
              <w:rPr>
                <w:noProof/>
              </w:rPr>
              <w:t xml:space="preserve">augmenter le nombre de chirurgies d’ablation de la fibrillation auriculaire réussies d’au moins 20 % d’ici le quatrième trimestre de 2024, par rapport au niveau de référence de préinvestissement (c’est-à-dire le volume annuel moyen de la période de préinvestissement de cinq ans 2018-2022 par rapport à la période de 2024). </w:t>
            </w:r>
          </w:p>
        </w:tc>
      </w:tr>
      <w:tr w:rsidR="003B5F50" w14:paraId="50B4B463" w14:textId="77777777" w:rsidTr="00F133D4">
        <w:trPr>
          <w:trHeight w:val="1648"/>
        </w:trPr>
        <w:tc>
          <w:tcPr>
            <w:tcW w:w="853" w:type="dxa"/>
            <w:shd w:val="clear" w:color="auto" w:fill="C6EFCE"/>
          </w:tcPr>
          <w:p w14:paraId="50B4B457" w14:textId="77777777" w:rsidR="003B5F50" w:rsidRDefault="000D2D85">
            <w:pPr>
              <w:pStyle w:val="P68B1DB1-Normal14"/>
              <w:spacing w:after="0" w:line="240" w:lineRule="auto"/>
              <w:rPr>
                <w:noProof/>
              </w:rPr>
            </w:pPr>
            <w:r>
              <w:rPr>
                <w:noProof/>
              </w:rPr>
              <w:t>13</w:t>
            </w:r>
          </w:p>
        </w:tc>
        <w:tc>
          <w:tcPr>
            <w:tcW w:w="1559" w:type="dxa"/>
            <w:shd w:val="clear" w:color="auto" w:fill="C6EFCE"/>
          </w:tcPr>
          <w:p w14:paraId="50B4B458" w14:textId="1F595671" w:rsidR="003B5F50" w:rsidRDefault="000D2D85">
            <w:pPr>
              <w:pStyle w:val="P68B1DB1-Normal15"/>
              <w:spacing w:after="0" w:line="240" w:lineRule="auto"/>
              <w:rPr>
                <w:noProof/>
              </w:rPr>
            </w:pPr>
            <w:r>
              <w:rPr>
                <w:noProof/>
              </w:rPr>
              <w:t xml:space="preserve">11 – Soins de santé modernes et accessibles – Investissement 4 – Construction de postes d’ambulance </w:t>
            </w:r>
          </w:p>
        </w:tc>
        <w:tc>
          <w:tcPr>
            <w:tcW w:w="1276" w:type="dxa"/>
            <w:shd w:val="clear" w:color="auto" w:fill="C6EFCE"/>
          </w:tcPr>
          <w:p w14:paraId="50B4B459" w14:textId="77777777" w:rsidR="003B5F50" w:rsidRDefault="000D2D85">
            <w:pPr>
              <w:pStyle w:val="P68B1DB1-Normal14"/>
              <w:spacing w:after="0" w:line="240" w:lineRule="auto"/>
              <w:rPr>
                <w:noProof/>
              </w:rPr>
            </w:pPr>
            <w:r>
              <w:rPr>
                <w:noProof/>
              </w:rPr>
              <w:t>Objectif</w:t>
            </w:r>
          </w:p>
        </w:tc>
        <w:tc>
          <w:tcPr>
            <w:tcW w:w="992" w:type="dxa"/>
            <w:shd w:val="clear" w:color="auto" w:fill="C6EFCE"/>
          </w:tcPr>
          <w:p w14:paraId="50B4B45A" w14:textId="68D92DE1" w:rsidR="003B5F50" w:rsidRDefault="000D2D85">
            <w:pPr>
              <w:pStyle w:val="P68B1DB1-Normal15"/>
              <w:spacing w:after="0" w:line="240" w:lineRule="auto"/>
              <w:rPr>
                <w:noProof/>
              </w:rPr>
            </w:pPr>
            <w:r>
              <w:rPr>
                <w:noProof/>
              </w:rPr>
              <w:t>Nombre de postes d'ambulance construits</w:t>
            </w:r>
          </w:p>
        </w:tc>
        <w:tc>
          <w:tcPr>
            <w:tcW w:w="1701" w:type="dxa"/>
            <w:shd w:val="clear" w:color="auto" w:fill="C6EFCE"/>
          </w:tcPr>
          <w:p w14:paraId="50B4B45B" w14:textId="77777777" w:rsidR="003B5F50" w:rsidRDefault="003B5F50">
            <w:pPr>
              <w:spacing w:after="0" w:line="240" w:lineRule="auto"/>
              <w:rPr>
                <w:rFonts w:ascii="Times New Roman" w:hAnsi="Times New Roman"/>
                <w:noProof/>
                <w:color w:val="006100"/>
                <w:sz w:val="20"/>
                <w:szCs w:val="20"/>
              </w:rPr>
            </w:pPr>
          </w:p>
        </w:tc>
        <w:tc>
          <w:tcPr>
            <w:tcW w:w="1134" w:type="dxa"/>
            <w:shd w:val="clear" w:color="auto" w:fill="C6EFCE"/>
          </w:tcPr>
          <w:p w14:paraId="50B4B45C" w14:textId="77777777" w:rsidR="003B5F50" w:rsidRDefault="000D2D85">
            <w:pPr>
              <w:pStyle w:val="P68B1DB1-Normal14"/>
              <w:spacing w:after="0" w:line="240" w:lineRule="auto"/>
              <w:rPr>
                <w:noProof/>
              </w:rPr>
            </w:pPr>
            <w:r>
              <w:rPr>
                <w:noProof/>
              </w:rPr>
              <w:t>Numéro</w:t>
            </w:r>
          </w:p>
        </w:tc>
        <w:tc>
          <w:tcPr>
            <w:tcW w:w="1276" w:type="dxa"/>
            <w:shd w:val="clear" w:color="auto" w:fill="C6EFCE"/>
          </w:tcPr>
          <w:p w14:paraId="50B4B45D" w14:textId="77777777" w:rsidR="003B5F50" w:rsidRDefault="000D2D85">
            <w:pPr>
              <w:pStyle w:val="P68B1DB1-Normal14"/>
              <w:spacing w:after="0" w:line="240" w:lineRule="auto"/>
              <w:rPr>
                <w:noProof/>
              </w:rPr>
            </w:pPr>
            <w:r>
              <w:rPr>
                <w:noProof/>
              </w:rPr>
              <w:t>0</w:t>
            </w:r>
          </w:p>
        </w:tc>
        <w:tc>
          <w:tcPr>
            <w:tcW w:w="992" w:type="dxa"/>
            <w:shd w:val="clear" w:color="auto" w:fill="C6EFCE"/>
          </w:tcPr>
          <w:p w14:paraId="50B4B45E" w14:textId="77777777" w:rsidR="003B5F50" w:rsidRDefault="000D2D85">
            <w:pPr>
              <w:pStyle w:val="P68B1DB1-Normal15"/>
              <w:spacing w:after="0" w:line="240" w:lineRule="auto"/>
              <w:rPr>
                <w:noProof/>
              </w:rPr>
            </w:pPr>
            <w:r>
              <w:rPr>
                <w:noProof/>
              </w:rPr>
              <w:t>55</w:t>
            </w:r>
          </w:p>
        </w:tc>
        <w:tc>
          <w:tcPr>
            <w:tcW w:w="1134" w:type="dxa"/>
            <w:shd w:val="clear" w:color="auto" w:fill="C6EFCE"/>
          </w:tcPr>
          <w:p w14:paraId="71A17079" w14:textId="77777777" w:rsidR="003B5F50" w:rsidRDefault="000D2D85">
            <w:pPr>
              <w:pStyle w:val="P68B1DB1-Normal14"/>
              <w:spacing w:after="0" w:line="240" w:lineRule="auto"/>
              <w:rPr>
                <w:noProof/>
              </w:rPr>
            </w:pPr>
            <w:r>
              <w:rPr>
                <w:noProof/>
              </w:rPr>
              <w:t>T2</w:t>
            </w:r>
          </w:p>
          <w:p w14:paraId="097DDC10" w14:textId="77777777" w:rsidR="003B5F50" w:rsidRDefault="003B5F50">
            <w:pPr>
              <w:rPr>
                <w:rFonts w:ascii="Times New Roman" w:hAnsi="Times New Roman"/>
                <w:noProof/>
                <w:sz w:val="20"/>
              </w:rPr>
            </w:pPr>
          </w:p>
          <w:p w14:paraId="30345D4E" w14:textId="77777777" w:rsidR="003B5F50" w:rsidRDefault="003B5F50">
            <w:pPr>
              <w:rPr>
                <w:rFonts w:ascii="Times New Roman" w:hAnsi="Times New Roman"/>
                <w:noProof/>
                <w:sz w:val="20"/>
              </w:rPr>
            </w:pPr>
          </w:p>
          <w:p w14:paraId="7CD81029" w14:textId="77777777" w:rsidR="003B5F50" w:rsidRDefault="003B5F50">
            <w:pPr>
              <w:rPr>
                <w:rFonts w:ascii="Times New Roman" w:hAnsi="Times New Roman"/>
                <w:noProof/>
                <w:color w:val="006100"/>
                <w:sz w:val="20"/>
              </w:rPr>
            </w:pPr>
          </w:p>
          <w:p w14:paraId="50B4B45F" w14:textId="77777777" w:rsidR="003B5F50" w:rsidRDefault="003B5F50">
            <w:pPr>
              <w:rPr>
                <w:rFonts w:ascii="Times New Roman" w:hAnsi="Times New Roman"/>
                <w:noProof/>
                <w:sz w:val="20"/>
              </w:rPr>
            </w:pPr>
          </w:p>
        </w:tc>
        <w:tc>
          <w:tcPr>
            <w:tcW w:w="851" w:type="dxa"/>
            <w:shd w:val="clear" w:color="auto" w:fill="C6EFCE"/>
          </w:tcPr>
          <w:p w14:paraId="50B4B460" w14:textId="77777777" w:rsidR="003B5F50" w:rsidRDefault="000D2D85">
            <w:pPr>
              <w:pStyle w:val="P68B1DB1-Normal14"/>
              <w:spacing w:after="0" w:line="240" w:lineRule="auto"/>
              <w:rPr>
                <w:noProof/>
              </w:rPr>
            </w:pPr>
            <w:r>
              <w:rPr>
                <w:noProof/>
              </w:rPr>
              <w:t>2026</w:t>
            </w:r>
          </w:p>
        </w:tc>
        <w:tc>
          <w:tcPr>
            <w:tcW w:w="2344" w:type="dxa"/>
            <w:shd w:val="clear" w:color="auto" w:fill="C6EFCE"/>
          </w:tcPr>
          <w:p w14:paraId="50B4B461" w14:textId="36570169" w:rsidR="003B5F50" w:rsidRDefault="000D2D85">
            <w:pPr>
              <w:pStyle w:val="P68B1DB1-Normal15"/>
              <w:spacing w:after="0" w:line="240" w:lineRule="auto"/>
              <w:rPr>
                <w:rFonts w:eastAsia="Times New Roman"/>
                <w:noProof/>
              </w:rPr>
            </w:pPr>
            <w:r>
              <w:rPr>
                <w:noProof/>
              </w:rPr>
              <w:t>Construire des bâtiments de station d'ambulance d'urgence, qui seront placés dans le réseau des soins d'urgence. Les bâtiments nouvellement construits doivent être conformes à la classe d’efficacité énergétique A0 pour l’indicateur d’énergie primaire.</w:t>
            </w:r>
          </w:p>
          <w:p w14:paraId="50B4B462" w14:textId="77777777" w:rsidR="003B5F50" w:rsidRDefault="000D2D85">
            <w:pPr>
              <w:pStyle w:val="P68B1DB1-Normal15"/>
              <w:spacing w:after="0" w:line="240" w:lineRule="auto"/>
              <w:rPr>
                <w:noProof/>
              </w:rPr>
            </w:pPr>
            <w:r>
              <w:rPr>
                <w:noProof/>
              </w:rPr>
              <w:t xml:space="preserve">La répartition géographique équitable repose sur la législation relative à l'emplacement des gares et sur une étude de l'Université de Žilina. </w:t>
            </w:r>
          </w:p>
        </w:tc>
      </w:tr>
    </w:tbl>
    <w:p w14:paraId="50B4B464" w14:textId="77777777" w:rsidR="003B5F50" w:rsidRDefault="003B5F50">
      <w:pPr>
        <w:spacing w:before="120" w:after="120" w:line="240" w:lineRule="auto"/>
        <w:jc w:val="both"/>
        <w:rPr>
          <w:rFonts w:ascii="Times New Roman" w:hAnsi="Times New Roman"/>
          <w:noProof/>
        </w:rPr>
        <w:sectPr w:rsidR="003B5F50" w:rsidSect="003E3DD3">
          <w:headerReference w:type="even" r:id="rId143"/>
          <w:headerReference w:type="default" r:id="rId144"/>
          <w:footerReference w:type="even" r:id="rId145"/>
          <w:footerReference w:type="default" r:id="rId146"/>
          <w:headerReference w:type="first" r:id="rId147"/>
          <w:footerReference w:type="first" r:id="rId148"/>
          <w:pgSz w:w="16839" w:h="11907" w:orient="landscape"/>
          <w:pgMar w:top="1134" w:right="1134" w:bottom="1134" w:left="1134" w:header="567" w:footer="567" w:gutter="0"/>
          <w:cols w:space="720"/>
          <w:docGrid w:linePitch="360"/>
        </w:sectPr>
      </w:pPr>
    </w:p>
    <w:p w14:paraId="50B4B465" w14:textId="77777777" w:rsidR="003B5F50" w:rsidRDefault="000D2D85">
      <w:pPr>
        <w:pStyle w:val="P68B1DB1-Heading218"/>
        <w:rPr>
          <w:noProof/>
        </w:rPr>
      </w:pPr>
      <w:r>
        <w:rPr>
          <w:noProof/>
        </w:rPr>
        <w:t>COMPOSANT 12: Soins de santé mentale humains, modernes et accessibles</w:t>
      </w:r>
    </w:p>
    <w:p w14:paraId="50B4B466" w14:textId="77777777" w:rsidR="003B5F50" w:rsidRDefault="000D2D85">
      <w:pPr>
        <w:pStyle w:val="NormalWeb"/>
        <w:rPr>
          <w:noProof/>
        </w:rPr>
      </w:pPr>
      <w:r>
        <w:rPr>
          <w:noProof/>
        </w:rPr>
        <w:t>L’objectif du volet du plan slovaque pour la reprise et la résilience est de favoriser des améliorations systémiques des soins de santé mentale en Slovaquie, étayées par une coopération entre les différents secteurs de l’administration publique et les organisations professionnelles. Ces mesures visent à moderniser les soins sociomédicaux psychiatriques et psychologiques, à promouvoir la santé mentale et la prévention des troubles psychologiques dans la population en général, à renforcer les soins sociomédicaux et à accroître leur accessibilité.</w:t>
      </w:r>
    </w:p>
    <w:p w14:paraId="50B4B467" w14:textId="5843B945" w:rsidR="003B5F50" w:rsidRDefault="000D2D85">
      <w:pPr>
        <w:pStyle w:val="NormalWeb"/>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B468" w14:textId="77777777" w:rsidR="003B5F50" w:rsidRDefault="000D2D85">
      <w:pPr>
        <w:pStyle w:val="NormalWeb"/>
        <w:rPr>
          <w:noProof/>
        </w:rPr>
      </w:pPr>
      <w:r>
        <w:rPr>
          <w:noProof/>
        </w:rPr>
        <w:t>Les mesures relevant de ce volet contribuent à donner suite aux recommandations par pays adressées à la Slovaquie, en particulier en ce qui concerne la résilience du système de soins de santé et la coordination entre les types de soins (recommandation par pays 1, 2020) et les soins de longue durée (recommandation par pays 2, 2019).</w:t>
      </w:r>
    </w:p>
    <w:p w14:paraId="50B4B46A" w14:textId="77777777" w:rsidR="003B5F50" w:rsidRDefault="000D2D85">
      <w:pPr>
        <w:pStyle w:val="P68B1DB1-Normal44"/>
        <w:spacing w:before="120" w:after="120" w:line="240" w:lineRule="auto"/>
        <w:jc w:val="both"/>
        <w:rPr>
          <w:i/>
          <w:noProof/>
          <w:color w:val="4F81BD"/>
        </w:rPr>
      </w:pPr>
      <w:r>
        <w:rPr>
          <w:noProof/>
        </w:rPr>
        <w:t xml:space="preserve">A.1. </w:t>
      </w:r>
      <w:r>
        <w:rPr>
          <w:noProof/>
        </w:rPr>
        <w:tab/>
        <w:t>Description des réformes et des investissements pour le soutien financier non remboursable</w:t>
      </w:r>
    </w:p>
    <w:p w14:paraId="50B4B46B" w14:textId="77777777" w:rsidR="003B5F50" w:rsidRDefault="000D2D85">
      <w:pPr>
        <w:pStyle w:val="P68B1DB1-Normal19"/>
        <w:spacing w:before="120" w:after="120" w:line="240" w:lineRule="auto"/>
        <w:jc w:val="both"/>
        <w:rPr>
          <w:noProof/>
        </w:rPr>
      </w:pPr>
      <w:r>
        <w:rPr>
          <w:noProof/>
        </w:rPr>
        <w:t>Réforme 1: Coopération interministérielle coordonnée et réglementation</w:t>
      </w:r>
    </w:p>
    <w:p w14:paraId="50B4B46C" w14:textId="77777777" w:rsidR="003B5F50" w:rsidRDefault="000D2D85">
      <w:pPr>
        <w:pStyle w:val="NormalWeb"/>
        <w:rPr>
          <w:rFonts w:eastAsia="Calibri" w:cs="Times New Roman"/>
          <w:noProof/>
        </w:rPr>
      </w:pPr>
      <w:r>
        <w:rPr>
          <w:noProof/>
        </w:rPr>
        <w:t>L’objectif de cette réforme est d’améliorer la coordination des politiques dans le domaine de la santé mentale au sein de l’administration publique. Cette mesure comprend la création d'un conseil gouvernemental en tant qu'organe de coordination, l'élargissement des compétences d'une association de psychologues et la présentation d'une étude épidémiologique en vue d'une publication future.</w:t>
      </w:r>
    </w:p>
    <w:p w14:paraId="50B4B46D" w14:textId="77777777" w:rsidR="003B5F50" w:rsidRDefault="000D2D85">
      <w:pPr>
        <w:pStyle w:val="P68B1DB1-Normal19"/>
        <w:spacing w:before="120" w:after="120" w:line="240" w:lineRule="auto"/>
        <w:jc w:val="both"/>
        <w:rPr>
          <w:noProof/>
        </w:rPr>
      </w:pPr>
      <w:r>
        <w:rPr>
          <w:noProof/>
        </w:rPr>
        <w:t>Investissement 2: Création de centres de détention</w:t>
      </w:r>
    </w:p>
    <w:p w14:paraId="50B4B46E" w14:textId="46FEB942" w:rsidR="003B5F50" w:rsidRDefault="000D2D85">
      <w:pPr>
        <w:pStyle w:val="NormalWeb"/>
        <w:rPr>
          <w:noProof/>
        </w:rPr>
      </w:pPr>
      <w:r>
        <w:rPr>
          <w:noProof/>
        </w:rPr>
        <w:t>L'objectif de cet investissement est de fournir des soins aux patients psychiatriques qui ont commis des infractions criminelles graves. Cette mesure consiste à construire entièrement un centre de détention et à achever la construction en cours d'un deuxième centre de détention.</w:t>
      </w:r>
    </w:p>
    <w:p w14:paraId="50B4B46F" w14:textId="77777777" w:rsidR="003B5F50" w:rsidRDefault="000D2D85">
      <w:pPr>
        <w:pStyle w:val="P68B1DB1-Normal19"/>
        <w:spacing w:before="120" w:after="120" w:line="240" w:lineRule="auto"/>
        <w:jc w:val="both"/>
        <w:rPr>
          <w:noProof/>
        </w:rPr>
      </w:pPr>
      <w:r>
        <w:rPr>
          <w:noProof/>
        </w:rPr>
        <w:t>Investissement 3: Construire des centres de soins de santé mentale communautaires</w:t>
      </w:r>
    </w:p>
    <w:p w14:paraId="50B4B470" w14:textId="4A203E0B" w:rsidR="003B5F50" w:rsidRDefault="000D2D85">
      <w:pPr>
        <w:pStyle w:val="NormalWeb"/>
        <w:rPr>
          <w:noProof/>
        </w:rPr>
      </w:pPr>
      <w:r>
        <w:rPr>
          <w:noProof/>
        </w:rPr>
        <w:t>L'objectif de cet investissement est d'accroître la disponibilité des centres communautaires de soins de santé mentale. Cette mesure consiste à établir des centres psychosociaux, des centres psychiatriques fixes et des centres pour les troubles du spectre autistique.</w:t>
      </w:r>
    </w:p>
    <w:p w14:paraId="50B4B471" w14:textId="77777777" w:rsidR="003B5F50" w:rsidRDefault="000D2D85">
      <w:pPr>
        <w:pStyle w:val="P68B1DB1-Normal19"/>
        <w:spacing w:before="120" w:after="120" w:line="240" w:lineRule="auto"/>
        <w:jc w:val="both"/>
        <w:rPr>
          <w:noProof/>
        </w:rPr>
      </w:pPr>
      <w:r>
        <w:rPr>
          <w:noProof/>
        </w:rPr>
        <w:t xml:space="preserve">Investissement 7: Humanisation des soins psychiatriques institutionnels </w:t>
      </w:r>
    </w:p>
    <w:p w14:paraId="50B4B472" w14:textId="77777777" w:rsidR="003B5F50" w:rsidRDefault="000D2D85">
      <w:pPr>
        <w:pStyle w:val="NormalWeb"/>
        <w:rPr>
          <w:noProof/>
        </w:rPr>
      </w:pPr>
      <w:r>
        <w:rPr>
          <w:noProof/>
        </w:rPr>
        <w:t>L'objectif de cet investissement est d'améliorer les conditions d'hospitalisation dans les établissements psychiatriques. Cette mesure consiste en la reconstruction d'établissements de soins psychiatriques institutionnels.</w:t>
      </w:r>
    </w:p>
    <w:p w14:paraId="50B4B473" w14:textId="77777777" w:rsidR="003B5F50" w:rsidRDefault="000D2D85">
      <w:pPr>
        <w:pStyle w:val="P68B1DB1-Normal19"/>
        <w:spacing w:before="120" w:after="120" w:line="240" w:lineRule="auto"/>
        <w:jc w:val="both"/>
        <w:rPr>
          <w:noProof/>
        </w:rPr>
      </w:pPr>
      <w:r>
        <w:rPr>
          <w:noProof/>
        </w:rPr>
        <w:t>Investissement 8: Formation en santé mentale pour le personnel</w:t>
      </w:r>
    </w:p>
    <w:p w14:paraId="50B4B475" w14:textId="51AEDEC9" w:rsidR="003B5F50" w:rsidRDefault="000D2D85">
      <w:pPr>
        <w:pStyle w:val="NormalWeb"/>
        <w:rPr>
          <w:b/>
          <w:noProof/>
          <w:u w:val="single"/>
        </w:rPr>
      </w:pPr>
      <w:r>
        <w:rPr>
          <w:noProof/>
        </w:rPr>
        <w:t>L'objectif de cet investissement est d'augmenter la disponibilité et la qualité des soins de santé mentale. Cette mesure consiste en la formation de personnes travaillant dans le domaine des soins de santé mentale.</w:t>
      </w:r>
    </w:p>
    <w:p w14:paraId="28474856" w14:textId="77777777" w:rsidR="003B5F50" w:rsidRDefault="003B5F50">
      <w:pPr>
        <w:spacing w:before="120" w:after="120" w:line="240" w:lineRule="auto"/>
        <w:jc w:val="both"/>
        <w:rPr>
          <w:rFonts w:ascii="Times New Roman" w:hAnsi="Times New Roman"/>
          <w:b/>
          <w:noProof/>
          <w:u w:val="single"/>
        </w:rPr>
        <w:sectPr w:rsidR="003B5F50" w:rsidSect="003E3DD3">
          <w:headerReference w:type="even" r:id="rId149"/>
          <w:headerReference w:type="default" r:id="rId150"/>
          <w:footerReference w:type="even" r:id="rId151"/>
          <w:footerReference w:type="default" r:id="rId152"/>
          <w:headerReference w:type="first" r:id="rId153"/>
          <w:footerReference w:type="first" r:id="rId154"/>
          <w:pgSz w:w="12240" w:h="15840"/>
          <w:pgMar w:top="1134" w:right="1134" w:bottom="1134" w:left="1134" w:header="567" w:footer="567" w:gutter="0"/>
          <w:cols w:space="720"/>
          <w:docGrid w:linePitch="360"/>
        </w:sectPr>
      </w:pPr>
    </w:p>
    <w:p w14:paraId="50B4B477" w14:textId="77777777" w:rsidR="003B5F50" w:rsidRDefault="000D2D85">
      <w:pPr>
        <w:pStyle w:val="P68B1DB1-Normal44"/>
        <w:spacing w:before="120" w:after="120" w:line="240" w:lineRule="auto"/>
        <w:ind w:left="850"/>
        <w:jc w:val="both"/>
        <w:rPr>
          <w:noProof/>
        </w:rPr>
      </w:pPr>
      <w:r>
        <w:rPr>
          <w:noProof/>
        </w:rPr>
        <w:t xml:space="preserve">A.2. </w:t>
      </w:r>
      <w:r>
        <w:rPr>
          <w:noProof/>
        </w:rPr>
        <w:tab/>
        <w:t>Étapes, cibles, indicateurs et calendrier pour le suivi et la mise en œuvre du soutien financier non remboursable</w:t>
      </w:r>
    </w:p>
    <w:p w14:paraId="0EABAE6E" w14:textId="3C75163B" w:rsidR="003B5F50" w:rsidRDefault="003B5F50">
      <w:pPr>
        <w:tabs>
          <w:tab w:val="left" w:pos="2010"/>
        </w:tabs>
        <w:rPr>
          <w:rFonts w:ascii="Times New Roman" w:hAnsi="Times New Roman"/>
          <w:noProof/>
        </w:rPr>
      </w:pPr>
    </w:p>
    <w:tbl>
      <w:tblPr>
        <w:tblpPr w:leftFromText="180" w:rightFromText="180" w:vertAnchor="text" w:tblpX="-748" w:tblpY="1"/>
        <w:tblOverlap w:val="never"/>
        <w:tblW w:w="14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
        <w:gridCol w:w="1569"/>
        <w:gridCol w:w="856"/>
        <w:gridCol w:w="845"/>
        <w:gridCol w:w="1559"/>
        <w:gridCol w:w="992"/>
        <w:gridCol w:w="1282"/>
        <w:gridCol w:w="986"/>
        <w:gridCol w:w="1134"/>
        <w:gridCol w:w="851"/>
        <w:gridCol w:w="3266"/>
      </w:tblGrid>
      <w:tr w:rsidR="003B5F50" w14:paraId="50B4B486" w14:textId="77777777" w:rsidTr="00F133D4">
        <w:trPr>
          <w:trHeight w:val="900"/>
          <w:tblHeader/>
        </w:trPr>
        <w:tc>
          <w:tcPr>
            <w:tcW w:w="978" w:type="dxa"/>
            <w:vMerge w:val="restart"/>
            <w:shd w:val="clear" w:color="auto" w:fill="BDD7EE"/>
            <w:vAlign w:val="center"/>
            <w:hideMark/>
          </w:tcPr>
          <w:p w14:paraId="50B4B478" w14:textId="77777777" w:rsidR="003B5F50" w:rsidRDefault="000D2D85">
            <w:pPr>
              <w:pStyle w:val="P68B1DB1-Normal13"/>
              <w:spacing w:after="0"/>
              <w:jc w:val="center"/>
              <w:rPr>
                <w:rFonts w:eastAsia="Times New Roman"/>
                <w:noProof/>
                <w:szCs w:val="20"/>
              </w:rPr>
            </w:pPr>
            <w:r>
              <w:rPr>
                <w:noProof/>
              </w:rPr>
              <w:t>Seq. Num.</w:t>
            </w:r>
          </w:p>
          <w:p w14:paraId="50B4B479" w14:textId="77777777" w:rsidR="003B5F50" w:rsidRDefault="000D2D85">
            <w:pPr>
              <w:pStyle w:val="P68B1DB1-Normal13"/>
              <w:spacing w:after="0"/>
              <w:jc w:val="center"/>
              <w:rPr>
                <w:rFonts w:eastAsia="Times New Roman"/>
                <w:noProof/>
                <w:szCs w:val="20"/>
              </w:rPr>
            </w:pPr>
            <w:r>
              <w:rPr>
                <w:noProof/>
              </w:rPr>
              <w:t> </w:t>
            </w:r>
          </w:p>
        </w:tc>
        <w:tc>
          <w:tcPr>
            <w:tcW w:w="1569" w:type="dxa"/>
            <w:vMerge w:val="restart"/>
            <w:shd w:val="clear" w:color="auto" w:fill="BDD7EE"/>
            <w:vAlign w:val="center"/>
            <w:hideMark/>
          </w:tcPr>
          <w:p w14:paraId="50B4B47A" w14:textId="77777777" w:rsidR="003B5F50" w:rsidRDefault="000D2D85">
            <w:pPr>
              <w:pStyle w:val="P68B1DB1-Normal13"/>
              <w:spacing w:after="0"/>
              <w:jc w:val="center"/>
              <w:rPr>
                <w:rFonts w:eastAsia="Times New Roman"/>
                <w:noProof/>
                <w:szCs w:val="20"/>
              </w:rPr>
            </w:pPr>
            <w:r>
              <w:rPr>
                <w:noProof/>
              </w:rPr>
              <w:t>Mesure connexe (réforme ou investissement)</w:t>
            </w:r>
          </w:p>
          <w:p w14:paraId="50B4B47B" w14:textId="77777777" w:rsidR="003B5F50" w:rsidRDefault="000D2D85">
            <w:pPr>
              <w:pStyle w:val="P68B1DB1-Normal13"/>
              <w:spacing w:after="0"/>
              <w:jc w:val="center"/>
              <w:rPr>
                <w:rFonts w:eastAsia="Times New Roman"/>
                <w:noProof/>
                <w:szCs w:val="20"/>
              </w:rPr>
            </w:pPr>
            <w:r>
              <w:rPr>
                <w:noProof/>
              </w:rPr>
              <w:t> </w:t>
            </w:r>
          </w:p>
        </w:tc>
        <w:tc>
          <w:tcPr>
            <w:tcW w:w="856" w:type="dxa"/>
            <w:vMerge w:val="restart"/>
            <w:shd w:val="clear" w:color="auto" w:fill="BDD7EE"/>
            <w:vAlign w:val="center"/>
            <w:hideMark/>
          </w:tcPr>
          <w:p w14:paraId="50B4B47C" w14:textId="77777777" w:rsidR="003B5F50" w:rsidRDefault="000D2D85">
            <w:pPr>
              <w:pStyle w:val="P68B1DB1-Normal13"/>
              <w:spacing w:after="0"/>
              <w:jc w:val="center"/>
              <w:rPr>
                <w:rFonts w:eastAsia="Times New Roman"/>
                <w:noProof/>
                <w:szCs w:val="20"/>
              </w:rPr>
            </w:pPr>
            <w:r>
              <w:rPr>
                <w:noProof/>
              </w:rPr>
              <w:t>Étape/cible</w:t>
            </w:r>
          </w:p>
          <w:p w14:paraId="50B4B47D" w14:textId="77777777" w:rsidR="003B5F50" w:rsidRDefault="000D2D85">
            <w:pPr>
              <w:pStyle w:val="P68B1DB1-Normal13"/>
              <w:spacing w:after="0"/>
              <w:jc w:val="center"/>
              <w:rPr>
                <w:rFonts w:eastAsia="Times New Roman"/>
                <w:noProof/>
                <w:szCs w:val="20"/>
              </w:rPr>
            </w:pPr>
            <w:r>
              <w:rPr>
                <w:noProof/>
              </w:rPr>
              <w:t> </w:t>
            </w:r>
          </w:p>
        </w:tc>
        <w:tc>
          <w:tcPr>
            <w:tcW w:w="845" w:type="dxa"/>
            <w:vMerge w:val="restart"/>
            <w:shd w:val="clear" w:color="auto" w:fill="BDD7EE"/>
            <w:vAlign w:val="center"/>
            <w:hideMark/>
          </w:tcPr>
          <w:p w14:paraId="50B4B47E" w14:textId="77777777" w:rsidR="003B5F50" w:rsidRDefault="000D2D85">
            <w:pPr>
              <w:pStyle w:val="P68B1DB1-Normal13"/>
              <w:spacing w:after="0"/>
              <w:jc w:val="center"/>
              <w:rPr>
                <w:rFonts w:eastAsia="Times New Roman"/>
                <w:noProof/>
                <w:szCs w:val="20"/>
              </w:rPr>
            </w:pPr>
            <w:r>
              <w:rPr>
                <w:noProof/>
              </w:rPr>
              <w:t>Nom</w:t>
            </w:r>
          </w:p>
          <w:p w14:paraId="50B4B47F" w14:textId="77777777" w:rsidR="003B5F50" w:rsidRDefault="000D2D85">
            <w:pPr>
              <w:pStyle w:val="P68B1DB1-Normal13"/>
              <w:spacing w:after="0"/>
              <w:jc w:val="center"/>
              <w:rPr>
                <w:rFonts w:eastAsia="Times New Roman"/>
                <w:noProof/>
                <w:szCs w:val="20"/>
              </w:rPr>
            </w:pPr>
            <w:r>
              <w:rPr>
                <w:noProof/>
              </w:rPr>
              <w:t> </w:t>
            </w:r>
          </w:p>
        </w:tc>
        <w:tc>
          <w:tcPr>
            <w:tcW w:w="1559" w:type="dxa"/>
            <w:vMerge w:val="restart"/>
            <w:shd w:val="clear" w:color="auto" w:fill="BDD7EE"/>
            <w:vAlign w:val="center"/>
            <w:hideMark/>
          </w:tcPr>
          <w:p w14:paraId="50B4B480" w14:textId="77777777" w:rsidR="003B5F50" w:rsidRDefault="000D2D85">
            <w:pPr>
              <w:pStyle w:val="P68B1DB1-Normal13"/>
              <w:spacing w:after="0"/>
              <w:jc w:val="center"/>
              <w:rPr>
                <w:rFonts w:eastAsia="Times New Roman"/>
                <w:noProof/>
                <w:szCs w:val="20"/>
              </w:rPr>
            </w:pPr>
            <w:r>
              <w:rPr>
                <w:noProof/>
              </w:rPr>
              <w:t>Indicateurs qualitatifs (pour les jalons)</w:t>
            </w:r>
          </w:p>
          <w:p w14:paraId="50B4B481" w14:textId="77777777" w:rsidR="003B5F50" w:rsidRDefault="000D2D85">
            <w:pPr>
              <w:pStyle w:val="P68B1DB1-Normal13"/>
              <w:spacing w:after="0"/>
              <w:jc w:val="center"/>
              <w:rPr>
                <w:rFonts w:eastAsia="Times New Roman"/>
                <w:noProof/>
                <w:szCs w:val="20"/>
              </w:rPr>
            </w:pPr>
            <w:r>
              <w:rPr>
                <w:noProof/>
              </w:rPr>
              <w:t> </w:t>
            </w:r>
          </w:p>
        </w:tc>
        <w:tc>
          <w:tcPr>
            <w:tcW w:w="3260" w:type="dxa"/>
            <w:gridSpan w:val="3"/>
            <w:shd w:val="clear" w:color="auto" w:fill="BDD7EE"/>
            <w:vAlign w:val="center"/>
            <w:hideMark/>
          </w:tcPr>
          <w:p w14:paraId="50B4B482" w14:textId="77777777" w:rsidR="003B5F50" w:rsidRDefault="000D2D85">
            <w:pPr>
              <w:pStyle w:val="P68B1DB1-Normal13"/>
              <w:spacing w:after="0"/>
              <w:jc w:val="center"/>
              <w:rPr>
                <w:rFonts w:eastAsia="Times New Roman"/>
                <w:noProof/>
                <w:szCs w:val="20"/>
              </w:rPr>
            </w:pPr>
            <w:r>
              <w:rPr>
                <w:noProof/>
              </w:rPr>
              <w:t>Indicateurs quantitatifs (pour les objectifs)</w:t>
            </w:r>
          </w:p>
        </w:tc>
        <w:tc>
          <w:tcPr>
            <w:tcW w:w="1985" w:type="dxa"/>
            <w:gridSpan w:val="2"/>
            <w:shd w:val="clear" w:color="auto" w:fill="BDD7EE"/>
            <w:vAlign w:val="center"/>
            <w:hideMark/>
          </w:tcPr>
          <w:p w14:paraId="50B4B483" w14:textId="77777777" w:rsidR="003B5F50" w:rsidRDefault="000D2D85">
            <w:pPr>
              <w:pStyle w:val="P68B1DB1-Normal13"/>
              <w:spacing w:after="0"/>
              <w:jc w:val="center"/>
              <w:rPr>
                <w:rFonts w:eastAsia="Times New Roman"/>
                <w:noProof/>
                <w:szCs w:val="20"/>
              </w:rPr>
            </w:pPr>
            <w:r>
              <w:rPr>
                <w:noProof/>
              </w:rPr>
              <w:t xml:space="preserve">Calendrier indicatif d'achèvement </w:t>
            </w:r>
          </w:p>
        </w:tc>
        <w:tc>
          <w:tcPr>
            <w:tcW w:w="3266" w:type="dxa"/>
            <w:vMerge w:val="restart"/>
            <w:shd w:val="clear" w:color="auto" w:fill="BDD7EE"/>
            <w:vAlign w:val="center"/>
            <w:hideMark/>
          </w:tcPr>
          <w:p w14:paraId="50B4B484" w14:textId="77777777" w:rsidR="003B5F50" w:rsidRDefault="000D2D85">
            <w:pPr>
              <w:pStyle w:val="P68B1DB1-Normal13"/>
              <w:spacing w:after="0"/>
              <w:jc w:val="center"/>
              <w:rPr>
                <w:rFonts w:eastAsia="Times New Roman"/>
                <w:noProof/>
                <w:szCs w:val="20"/>
              </w:rPr>
            </w:pPr>
            <w:r>
              <w:rPr>
                <w:noProof/>
              </w:rPr>
              <w:t>Description et définition claire de chaque jalon et cible</w:t>
            </w:r>
          </w:p>
          <w:p w14:paraId="50B4B485" w14:textId="77777777" w:rsidR="003B5F50" w:rsidRDefault="000D2D85">
            <w:pPr>
              <w:pStyle w:val="P68B1DB1-Normal16"/>
              <w:spacing w:after="0"/>
              <w:rPr>
                <w:rFonts w:eastAsia="Times New Roman"/>
                <w:b/>
                <w:noProof/>
                <w:szCs w:val="20"/>
              </w:rPr>
            </w:pPr>
            <w:r>
              <w:rPr>
                <w:noProof/>
              </w:rPr>
              <w:t> </w:t>
            </w:r>
          </w:p>
        </w:tc>
      </w:tr>
      <w:tr w:rsidR="003B5F50" w14:paraId="50B4B492" w14:textId="77777777" w:rsidTr="00F133D4">
        <w:trPr>
          <w:trHeight w:val="983"/>
          <w:tblHeader/>
        </w:trPr>
        <w:tc>
          <w:tcPr>
            <w:tcW w:w="978" w:type="dxa"/>
            <w:vMerge/>
            <w:vAlign w:val="center"/>
            <w:hideMark/>
          </w:tcPr>
          <w:p w14:paraId="50B4B487" w14:textId="77777777" w:rsidR="003B5F50" w:rsidRDefault="003B5F50">
            <w:pPr>
              <w:spacing w:after="0"/>
              <w:jc w:val="center"/>
              <w:rPr>
                <w:rFonts w:ascii="Times New Roman" w:eastAsia="Times New Roman" w:hAnsi="Times New Roman"/>
                <w:b/>
                <w:noProof/>
                <w:sz w:val="20"/>
                <w:szCs w:val="20"/>
              </w:rPr>
            </w:pPr>
          </w:p>
        </w:tc>
        <w:tc>
          <w:tcPr>
            <w:tcW w:w="1569" w:type="dxa"/>
            <w:vMerge/>
            <w:vAlign w:val="center"/>
            <w:hideMark/>
          </w:tcPr>
          <w:p w14:paraId="50B4B488" w14:textId="77777777" w:rsidR="003B5F50" w:rsidRDefault="003B5F50">
            <w:pPr>
              <w:spacing w:after="0"/>
              <w:jc w:val="center"/>
              <w:rPr>
                <w:rFonts w:ascii="Times New Roman" w:eastAsia="Times New Roman" w:hAnsi="Times New Roman"/>
                <w:b/>
                <w:noProof/>
                <w:sz w:val="20"/>
                <w:szCs w:val="20"/>
              </w:rPr>
            </w:pPr>
          </w:p>
        </w:tc>
        <w:tc>
          <w:tcPr>
            <w:tcW w:w="856" w:type="dxa"/>
            <w:vMerge/>
            <w:vAlign w:val="center"/>
            <w:hideMark/>
          </w:tcPr>
          <w:p w14:paraId="50B4B489" w14:textId="77777777" w:rsidR="003B5F50" w:rsidRDefault="003B5F50">
            <w:pPr>
              <w:spacing w:after="0"/>
              <w:jc w:val="center"/>
              <w:rPr>
                <w:rFonts w:ascii="Times New Roman" w:eastAsia="Times New Roman" w:hAnsi="Times New Roman"/>
                <w:b/>
                <w:noProof/>
                <w:sz w:val="20"/>
                <w:szCs w:val="20"/>
              </w:rPr>
            </w:pPr>
          </w:p>
        </w:tc>
        <w:tc>
          <w:tcPr>
            <w:tcW w:w="845" w:type="dxa"/>
            <w:vMerge/>
            <w:vAlign w:val="center"/>
            <w:hideMark/>
          </w:tcPr>
          <w:p w14:paraId="50B4B48A" w14:textId="77777777" w:rsidR="003B5F50" w:rsidRDefault="003B5F50">
            <w:pPr>
              <w:spacing w:after="0"/>
              <w:jc w:val="center"/>
              <w:rPr>
                <w:rFonts w:ascii="Times New Roman" w:eastAsia="Times New Roman" w:hAnsi="Times New Roman"/>
                <w:b/>
                <w:noProof/>
                <w:sz w:val="20"/>
                <w:szCs w:val="20"/>
              </w:rPr>
            </w:pPr>
          </w:p>
        </w:tc>
        <w:tc>
          <w:tcPr>
            <w:tcW w:w="1559" w:type="dxa"/>
            <w:vMerge/>
            <w:vAlign w:val="center"/>
            <w:hideMark/>
          </w:tcPr>
          <w:p w14:paraId="50B4B48B" w14:textId="77777777" w:rsidR="003B5F50" w:rsidRDefault="003B5F50">
            <w:pPr>
              <w:spacing w:after="0"/>
              <w:jc w:val="center"/>
              <w:rPr>
                <w:rFonts w:ascii="Times New Roman" w:eastAsia="Times New Roman" w:hAnsi="Times New Roman"/>
                <w:b/>
                <w:noProof/>
                <w:sz w:val="20"/>
                <w:szCs w:val="20"/>
              </w:rPr>
            </w:pPr>
          </w:p>
        </w:tc>
        <w:tc>
          <w:tcPr>
            <w:tcW w:w="992" w:type="dxa"/>
            <w:shd w:val="clear" w:color="auto" w:fill="BDD7EE"/>
            <w:vAlign w:val="center"/>
            <w:hideMark/>
          </w:tcPr>
          <w:p w14:paraId="50B4B48C" w14:textId="77777777" w:rsidR="003B5F50" w:rsidRDefault="000D2D85">
            <w:pPr>
              <w:pStyle w:val="P68B1DB1-Normal13"/>
              <w:spacing w:after="0"/>
              <w:jc w:val="center"/>
              <w:rPr>
                <w:rFonts w:eastAsia="Times New Roman"/>
                <w:noProof/>
                <w:szCs w:val="20"/>
              </w:rPr>
            </w:pPr>
            <w:r>
              <w:rPr>
                <w:noProof/>
              </w:rPr>
              <w:t>Unité de mesure</w:t>
            </w:r>
          </w:p>
        </w:tc>
        <w:tc>
          <w:tcPr>
            <w:tcW w:w="1282" w:type="dxa"/>
            <w:shd w:val="clear" w:color="auto" w:fill="BDD7EE"/>
            <w:vAlign w:val="center"/>
            <w:hideMark/>
          </w:tcPr>
          <w:p w14:paraId="50B4B48D" w14:textId="77777777" w:rsidR="003B5F50" w:rsidRDefault="000D2D85">
            <w:pPr>
              <w:pStyle w:val="P68B1DB1-Normal13"/>
              <w:spacing w:after="0"/>
              <w:jc w:val="center"/>
              <w:rPr>
                <w:rFonts w:eastAsia="Times New Roman"/>
                <w:noProof/>
                <w:szCs w:val="20"/>
              </w:rPr>
            </w:pPr>
            <w:r>
              <w:rPr>
                <w:noProof/>
              </w:rPr>
              <w:t>Données de référence</w:t>
            </w:r>
          </w:p>
        </w:tc>
        <w:tc>
          <w:tcPr>
            <w:tcW w:w="986" w:type="dxa"/>
            <w:shd w:val="clear" w:color="auto" w:fill="BDD7EE"/>
            <w:vAlign w:val="center"/>
            <w:hideMark/>
          </w:tcPr>
          <w:p w14:paraId="50B4B48E" w14:textId="77777777" w:rsidR="003B5F50" w:rsidRDefault="000D2D85">
            <w:pPr>
              <w:pStyle w:val="P68B1DB1-Normal13"/>
              <w:spacing w:after="0"/>
              <w:jc w:val="center"/>
              <w:rPr>
                <w:rFonts w:eastAsia="Times New Roman"/>
                <w:noProof/>
                <w:szCs w:val="20"/>
              </w:rPr>
            </w:pPr>
            <w:r>
              <w:rPr>
                <w:noProof/>
              </w:rPr>
              <w:t>Objectif</w:t>
            </w:r>
          </w:p>
        </w:tc>
        <w:tc>
          <w:tcPr>
            <w:tcW w:w="1134" w:type="dxa"/>
            <w:shd w:val="clear" w:color="auto" w:fill="BDD7EE"/>
            <w:vAlign w:val="center"/>
            <w:hideMark/>
          </w:tcPr>
          <w:p w14:paraId="50B4B48F" w14:textId="77777777" w:rsidR="003B5F50" w:rsidRDefault="000D2D85">
            <w:pPr>
              <w:pStyle w:val="P68B1DB1-Normal13"/>
              <w:spacing w:after="0"/>
              <w:jc w:val="center"/>
              <w:rPr>
                <w:rFonts w:eastAsia="Times New Roman"/>
                <w:noProof/>
                <w:szCs w:val="20"/>
              </w:rPr>
            </w:pPr>
            <w:r>
              <w:rPr>
                <w:noProof/>
              </w:rPr>
              <w:t>Trimestre</w:t>
            </w:r>
          </w:p>
        </w:tc>
        <w:tc>
          <w:tcPr>
            <w:tcW w:w="851" w:type="dxa"/>
            <w:shd w:val="clear" w:color="auto" w:fill="BDD7EE"/>
            <w:vAlign w:val="center"/>
            <w:hideMark/>
          </w:tcPr>
          <w:p w14:paraId="50B4B490" w14:textId="77777777" w:rsidR="003B5F50" w:rsidRDefault="000D2D85">
            <w:pPr>
              <w:pStyle w:val="P68B1DB1-Normal13"/>
              <w:spacing w:after="0"/>
              <w:jc w:val="center"/>
              <w:rPr>
                <w:rFonts w:eastAsia="Times New Roman"/>
                <w:noProof/>
                <w:szCs w:val="20"/>
              </w:rPr>
            </w:pPr>
            <w:r>
              <w:rPr>
                <w:noProof/>
              </w:rPr>
              <w:t>Année</w:t>
            </w:r>
          </w:p>
        </w:tc>
        <w:tc>
          <w:tcPr>
            <w:tcW w:w="3266" w:type="dxa"/>
            <w:vMerge/>
            <w:vAlign w:val="center"/>
            <w:hideMark/>
          </w:tcPr>
          <w:p w14:paraId="50B4B491" w14:textId="77777777" w:rsidR="003B5F50" w:rsidRDefault="003B5F50">
            <w:pPr>
              <w:spacing w:after="0"/>
              <w:rPr>
                <w:rFonts w:ascii="Times New Roman" w:eastAsia="Times New Roman" w:hAnsi="Times New Roman"/>
                <w:noProof/>
                <w:sz w:val="20"/>
                <w:szCs w:val="20"/>
              </w:rPr>
            </w:pPr>
          </w:p>
        </w:tc>
      </w:tr>
      <w:tr w:rsidR="003B5F50" w14:paraId="50B4B4A2" w14:textId="77777777" w:rsidTr="00F133D4">
        <w:trPr>
          <w:trHeight w:val="2214"/>
        </w:trPr>
        <w:tc>
          <w:tcPr>
            <w:tcW w:w="978" w:type="dxa"/>
            <w:shd w:val="clear" w:color="auto" w:fill="C6EFCE"/>
            <w:noWrap/>
            <w:hideMark/>
          </w:tcPr>
          <w:p w14:paraId="50B4B493" w14:textId="77777777" w:rsidR="003B5F50" w:rsidRDefault="000D2D85">
            <w:pPr>
              <w:pStyle w:val="P68B1DB1-Normal14"/>
              <w:spacing w:after="0"/>
              <w:rPr>
                <w:rFonts w:eastAsia="Times New Roman"/>
                <w:noProof/>
                <w:szCs w:val="20"/>
              </w:rPr>
            </w:pPr>
            <w:r>
              <w:rPr>
                <w:noProof/>
              </w:rPr>
              <w:t>1</w:t>
            </w:r>
          </w:p>
        </w:tc>
        <w:tc>
          <w:tcPr>
            <w:tcW w:w="1569" w:type="dxa"/>
            <w:shd w:val="clear" w:color="auto" w:fill="C6EFCE"/>
            <w:hideMark/>
          </w:tcPr>
          <w:p w14:paraId="50B4B494" w14:textId="77777777" w:rsidR="003B5F50" w:rsidRDefault="000D2D85">
            <w:pPr>
              <w:pStyle w:val="P68B1DB1-Normal14"/>
              <w:spacing w:after="0"/>
              <w:rPr>
                <w:noProof/>
              </w:rPr>
            </w:pPr>
            <w:r>
              <w:rPr>
                <w:noProof/>
              </w:rPr>
              <w:t>12 – Soins de santé mentale humains, modernes et accessibles - Réforme 1: Coopération interministérielle coordonnée et réglementation</w:t>
            </w:r>
          </w:p>
        </w:tc>
        <w:tc>
          <w:tcPr>
            <w:tcW w:w="856" w:type="dxa"/>
            <w:shd w:val="clear" w:color="auto" w:fill="C6EFCE"/>
            <w:noWrap/>
            <w:hideMark/>
          </w:tcPr>
          <w:p w14:paraId="50B4B495" w14:textId="77777777" w:rsidR="003B5F50" w:rsidRDefault="000D2D85">
            <w:pPr>
              <w:pStyle w:val="P68B1DB1-Normal14"/>
              <w:spacing w:after="0"/>
              <w:rPr>
                <w:rFonts w:eastAsia="Times New Roman"/>
                <w:noProof/>
                <w:szCs w:val="20"/>
              </w:rPr>
            </w:pPr>
            <w:r>
              <w:rPr>
                <w:noProof/>
              </w:rPr>
              <w:t>Étape</w:t>
            </w:r>
          </w:p>
        </w:tc>
        <w:tc>
          <w:tcPr>
            <w:tcW w:w="845" w:type="dxa"/>
            <w:shd w:val="clear" w:color="auto" w:fill="C6EFCE"/>
            <w:hideMark/>
          </w:tcPr>
          <w:p w14:paraId="50B4B496" w14:textId="77777777" w:rsidR="003B5F50" w:rsidRDefault="000D2D85">
            <w:pPr>
              <w:pStyle w:val="P68B1DB1-Normal14"/>
              <w:spacing w:after="0"/>
              <w:rPr>
                <w:rFonts w:eastAsia="Times New Roman"/>
                <w:noProof/>
                <w:szCs w:val="20"/>
              </w:rPr>
            </w:pPr>
            <w:r>
              <w:rPr>
                <w:noProof/>
              </w:rPr>
              <w:t xml:space="preserve">Création d'une entité pour la santé mentale et élargissement des compétences d'une association de psychologues </w:t>
            </w:r>
          </w:p>
        </w:tc>
        <w:tc>
          <w:tcPr>
            <w:tcW w:w="1559" w:type="dxa"/>
            <w:shd w:val="clear" w:color="auto" w:fill="C6EFCE"/>
            <w:hideMark/>
          </w:tcPr>
          <w:p w14:paraId="50B4B497" w14:textId="77777777" w:rsidR="003B5F50" w:rsidRDefault="000D2D85">
            <w:pPr>
              <w:pStyle w:val="P68B1DB1-Normal14"/>
              <w:spacing w:after="0"/>
              <w:rPr>
                <w:rFonts w:eastAsia="Times New Roman"/>
                <w:noProof/>
                <w:szCs w:val="20"/>
              </w:rPr>
            </w:pPr>
            <w:r>
              <w:rPr>
                <w:noProof/>
              </w:rPr>
              <w:t>Création d'un conseil gouvernemental en tant qu'organe de coordination, élargissement des compétences d'une association de psychologues et soumission d'une étude épidémiologique</w:t>
            </w:r>
          </w:p>
        </w:tc>
        <w:tc>
          <w:tcPr>
            <w:tcW w:w="992" w:type="dxa"/>
            <w:shd w:val="clear" w:color="auto" w:fill="C6EFCE"/>
            <w:noWrap/>
            <w:hideMark/>
          </w:tcPr>
          <w:p w14:paraId="50B4B498" w14:textId="77777777" w:rsidR="003B5F50" w:rsidRDefault="003B5F50">
            <w:pPr>
              <w:spacing w:after="0"/>
              <w:rPr>
                <w:rFonts w:ascii="Times New Roman" w:eastAsia="Times New Roman" w:hAnsi="Times New Roman"/>
                <w:noProof/>
                <w:color w:val="006100"/>
                <w:sz w:val="20"/>
                <w:szCs w:val="20"/>
              </w:rPr>
            </w:pPr>
          </w:p>
        </w:tc>
        <w:tc>
          <w:tcPr>
            <w:tcW w:w="1282" w:type="dxa"/>
            <w:shd w:val="clear" w:color="auto" w:fill="C6EFCE"/>
            <w:noWrap/>
            <w:hideMark/>
          </w:tcPr>
          <w:p w14:paraId="50B4B499" w14:textId="77777777" w:rsidR="003B5F50" w:rsidRDefault="003B5F50">
            <w:pPr>
              <w:spacing w:after="0"/>
              <w:rPr>
                <w:rFonts w:ascii="Times New Roman" w:eastAsia="Times New Roman" w:hAnsi="Times New Roman"/>
                <w:noProof/>
                <w:color w:val="006100"/>
                <w:sz w:val="20"/>
                <w:szCs w:val="20"/>
              </w:rPr>
            </w:pPr>
          </w:p>
        </w:tc>
        <w:tc>
          <w:tcPr>
            <w:tcW w:w="986" w:type="dxa"/>
            <w:shd w:val="clear" w:color="auto" w:fill="C6EFCE"/>
            <w:noWrap/>
            <w:hideMark/>
          </w:tcPr>
          <w:p w14:paraId="50B4B49A" w14:textId="77777777" w:rsidR="003B5F50" w:rsidRDefault="003B5F50">
            <w:pPr>
              <w:spacing w:after="0"/>
              <w:rPr>
                <w:rFonts w:ascii="Times New Roman" w:eastAsia="Times New Roman" w:hAnsi="Times New Roman"/>
                <w:noProof/>
                <w:color w:val="006100"/>
                <w:sz w:val="20"/>
                <w:szCs w:val="20"/>
              </w:rPr>
            </w:pPr>
          </w:p>
        </w:tc>
        <w:tc>
          <w:tcPr>
            <w:tcW w:w="1134" w:type="dxa"/>
            <w:shd w:val="clear" w:color="auto" w:fill="C6EFCE"/>
            <w:noWrap/>
            <w:hideMark/>
          </w:tcPr>
          <w:p w14:paraId="50B4B49B" w14:textId="77777777" w:rsidR="003B5F50" w:rsidRDefault="000D2D85">
            <w:pPr>
              <w:pStyle w:val="P68B1DB1-Normal14"/>
              <w:spacing w:after="0"/>
              <w:rPr>
                <w:rFonts w:eastAsia="Times New Roman"/>
                <w:noProof/>
                <w:szCs w:val="20"/>
              </w:rPr>
            </w:pPr>
            <w:r>
              <w:rPr>
                <w:noProof/>
              </w:rPr>
              <w:t>T2</w:t>
            </w:r>
          </w:p>
        </w:tc>
        <w:tc>
          <w:tcPr>
            <w:tcW w:w="851" w:type="dxa"/>
            <w:shd w:val="clear" w:color="auto" w:fill="C6EFCE"/>
            <w:noWrap/>
            <w:hideMark/>
          </w:tcPr>
          <w:p w14:paraId="50B4B49C" w14:textId="77777777" w:rsidR="003B5F50" w:rsidRDefault="000D2D85">
            <w:pPr>
              <w:pStyle w:val="P68B1DB1-Normal14"/>
              <w:spacing w:after="0"/>
              <w:rPr>
                <w:rFonts w:eastAsia="Times New Roman"/>
                <w:noProof/>
                <w:szCs w:val="20"/>
              </w:rPr>
            </w:pPr>
            <w:r>
              <w:rPr>
                <w:noProof/>
              </w:rPr>
              <w:t>2025</w:t>
            </w:r>
          </w:p>
        </w:tc>
        <w:tc>
          <w:tcPr>
            <w:tcW w:w="3266" w:type="dxa"/>
            <w:shd w:val="clear" w:color="auto" w:fill="C6EFCE"/>
            <w:hideMark/>
          </w:tcPr>
          <w:p w14:paraId="50B4B49D" w14:textId="77777777" w:rsidR="003B5F50" w:rsidRDefault="000D2D85">
            <w:pPr>
              <w:pStyle w:val="P68B1DB1-Normal14"/>
              <w:spacing w:after="0"/>
              <w:rPr>
                <w:noProof/>
              </w:rPr>
            </w:pPr>
            <w:r>
              <w:rPr>
                <w:noProof/>
              </w:rPr>
              <w:t>Il est créé un conseil gouvernemental chargé de coordonner la politique en matière de santé mentale entre les ministères.</w:t>
            </w:r>
          </w:p>
          <w:p w14:paraId="50B4B49E" w14:textId="77777777" w:rsidR="003B5F50" w:rsidRDefault="003B5F50">
            <w:pPr>
              <w:spacing w:after="0"/>
              <w:rPr>
                <w:rFonts w:ascii="Times New Roman" w:hAnsi="Times New Roman"/>
                <w:noProof/>
                <w:color w:val="006100"/>
                <w:sz w:val="20"/>
              </w:rPr>
            </w:pPr>
          </w:p>
          <w:p w14:paraId="50B4B49F" w14:textId="77777777" w:rsidR="003B5F50" w:rsidRDefault="000D2D85">
            <w:pPr>
              <w:pStyle w:val="P68B1DB1-Normal14"/>
              <w:spacing w:after="0"/>
              <w:rPr>
                <w:noProof/>
              </w:rPr>
            </w:pPr>
            <w:bookmarkStart w:id="5" w:name="_Hlk207101493"/>
            <w:r>
              <w:rPr>
                <w:noProof/>
              </w:rPr>
              <w:t>L'association professionnelle des psychologues est chargée de tenir un registre des psychologues.</w:t>
            </w:r>
          </w:p>
          <w:p w14:paraId="50B4B4A0" w14:textId="77777777" w:rsidR="003B5F50" w:rsidRDefault="003B5F50">
            <w:pPr>
              <w:spacing w:after="0"/>
              <w:rPr>
                <w:rFonts w:ascii="Times New Roman" w:hAnsi="Times New Roman"/>
                <w:noProof/>
                <w:color w:val="006100"/>
                <w:sz w:val="20"/>
              </w:rPr>
            </w:pPr>
          </w:p>
          <w:bookmarkEnd w:id="5"/>
          <w:p w14:paraId="50B4B4A1" w14:textId="77777777" w:rsidR="003B5F50" w:rsidRDefault="000D2D85">
            <w:pPr>
              <w:pStyle w:val="P68B1DB1-Normal14"/>
              <w:spacing w:after="0"/>
              <w:rPr>
                <w:noProof/>
              </w:rPr>
            </w:pPr>
            <w:r>
              <w:rPr>
                <w:noProof/>
              </w:rPr>
              <w:t>Une étude recensant la situation épidémiologique des troubles mentaux en Slovaquie est soumise à un comité de lecture en vue d'une publication ultérieure.</w:t>
            </w:r>
          </w:p>
        </w:tc>
      </w:tr>
      <w:tr w:rsidR="003B5F50" w14:paraId="50B4B4AE" w14:textId="77777777" w:rsidTr="00F133D4">
        <w:trPr>
          <w:trHeight w:val="1065"/>
        </w:trPr>
        <w:tc>
          <w:tcPr>
            <w:tcW w:w="978" w:type="dxa"/>
            <w:shd w:val="clear" w:color="auto" w:fill="C6EFCE"/>
            <w:noWrap/>
            <w:hideMark/>
          </w:tcPr>
          <w:p w14:paraId="50B4B4A3" w14:textId="77777777" w:rsidR="003B5F50" w:rsidRDefault="000D2D85">
            <w:pPr>
              <w:pStyle w:val="P68B1DB1-Normal14"/>
              <w:spacing w:after="0"/>
              <w:rPr>
                <w:rFonts w:eastAsia="Times New Roman"/>
                <w:noProof/>
                <w:szCs w:val="20"/>
              </w:rPr>
            </w:pPr>
            <w:r>
              <w:rPr>
                <w:noProof/>
              </w:rPr>
              <w:t>2</w:t>
            </w:r>
          </w:p>
        </w:tc>
        <w:tc>
          <w:tcPr>
            <w:tcW w:w="1569" w:type="dxa"/>
            <w:shd w:val="clear" w:color="auto" w:fill="C6EFCE"/>
            <w:noWrap/>
            <w:hideMark/>
          </w:tcPr>
          <w:p w14:paraId="50B4B4A4" w14:textId="77777777" w:rsidR="003B5F50" w:rsidRDefault="000D2D85">
            <w:pPr>
              <w:pStyle w:val="P68B1DB1-Normal14"/>
              <w:spacing w:after="0"/>
              <w:rPr>
                <w:rFonts w:eastAsia="Times New Roman"/>
                <w:noProof/>
                <w:szCs w:val="20"/>
              </w:rPr>
            </w:pPr>
            <w:r>
              <w:rPr>
                <w:noProof/>
              </w:rPr>
              <w:t>12 – Soins de santé mentale humains, modernes et accessibles – Investissement 2: Création de centres de détention</w:t>
            </w:r>
          </w:p>
        </w:tc>
        <w:tc>
          <w:tcPr>
            <w:tcW w:w="856" w:type="dxa"/>
            <w:shd w:val="clear" w:color="auto" w:fill="C6EFCE"/>
            <w:noWrap/>
            <w:hideMark/>
          </w:tcPr>
          <w:p w14:paraId="50B4B4A5" w14:textId="77777777" w:rsidR="003B5F50" w:rsidRDefault="000D2D85">
            <w:pPr>
              <w:pStyle w:val="P68B1DB1-Normal14"/>
              <w:spacing w:after="0"/>
              <w:rPr>
                <w:rFonts w:eastAsia="Times New Roman"/>
                <w:noProof/>
                <w:szCs w:val="20"/>
              </w:rPr>
            </w:pPr>
            <w:r>
              <w:rPr>
                <w:noProof/>
              </w:rPr>
              <w:t xml:space="preserve"> Étape</w:t>
            </w:r>
          </w:p>
        </w:tc>
        <w:tc>
          <w:tcPr>
            <w:tcW w:w="845" w:type="dxa"/>
            <w:shd w:val="clear" w:color="auto" w:fill="C6EFCE"/>
            <w:hideMark/>
          </w:tcPr>
          <w:p w14:paraId="50B4B4A6" w14:textId="77777777" w:rsidR="003B5F50" w:rsidRDefault="000D2D85">
            <w:pPr>
              <w:pStyle w:val="P68B1DB1-Normal14"/>
              <w:spacing w:after="0"/>
              <w:rPr>
                <w:rFonts w:eastAsia="Times New Roman"/>
                <w:noProof/>
                <w:szCs w:val="20"/>
              </w:rPr>
            </w:pPr>
            <w:r>
              <w:rPr>
                <w:noProof/>
              </w:rPr>
              <w:t>Capacité des patients dans les centres de détention</w:t>
            </w:r>
          </w:p>
        </w:tc>
        <w:tc>
          <w:tcPr>
            <w:tcW w:w="1559" w:type="dxa"/>
            <w:shd w:val="clear" w:color="auto" w:fill="C6EFCE"/>
            <w:noWrap/>
            <w:hideMark/>
          </w:tcPr>
          <w:p w14:paraId="50B4B4A7" w14:textId="77777777" w:rsidR="003B5F50" w:rsidRDefault="000D2D85">
            <w:pPr>
              <w:pStyle w:val="P68B1DB1-Normal47"/>
              <w:spacing w:after="0"/>
              <w:rPr>
                <w:noProof/>
              </w:rPr>
            </w:pPr>
            <w:r>
              <w:rPr>
                <w:noProof/>
              </w:rPr>
              <w:t>Création de deux centres de détention</w:t>
            </w:r>
          </w:p>
        </w:tc>
        <w:tc>
          <w:tcPr>
            <w:tcW w:w="992" w:type="dxa"/>
            <w:shd w:val="clear" w:color="auto" w:fill="C6EFCE"/>
            <w:hideMark/>
          </w:tcPr>
          <w:p w14:paraId="50B4B4A8" w14:textId="77777777" w:rsidR="003B5F50" w:rsidRDefault="003B5F50">
            <w:pPr>
              <w:spacing w:after="0"/>
              <w:rPr>
                <w:rFonts w:ascii="Times New Roman" w:eastAsia="Times New Roman" w:hAnsi="Times New Roman"/>
                <w:noProof/>
                <w:color w:val="006100"/>
                <w:sz w:val="20"/>
                <w:szCs w:val="20"/>
              </w:rPr>
            </w:pPr>
          </w:p>
        </w:tc>
        <w:tc>
          <w:tcPr>
            <w:tcW w:w="1282" w:type="dxa"/>
            <w:shd w:val="clear" w:color="auto" w:fill="C6EFCE"/>
            <w:hideMark/>
          </w:tcPr>
          <w:p w14:paraId="50B4B4A9" w14:textId="77777777" w:rsidR="003B5F50" w:rsidRDefault="003B5F50">
            <w:pPr>
              <w:spacing w:after="0"/>
              <w:rPr>
                <w:rFonts w:ascii="Times New Roman" w:eastAsia="Times New Roman" w:hAnsi="Times New Roman"/>
                <w:noProof/>
                <w:color w:val="006100"/>
                <w:sz w:val="20"/>
                <w:szCs w:val="20"/>
              </w:rPr>
            </w:pPr>
          </w:p>
        </w:tc>
        <w:tc>
          <w:tcPr>
            <w:tcW w:w="986" w:type="dxa"/>
            <w:shd w:val="clear" w:color="auto" w:fill="C6EFCE"/>
            <w:hideMark/>
          </w:tcPr>
          <w:p w14:paraId="50B4B4AA" w14:textId="77777777" w:rsidR="003B5F50" w:rsidRDefault="003B5F50">
            <w:pPr>
              <w:spacing w:after="0"/>
              <w:rPr>
                <w:rFonts w:ascii="Times New Roman" w:eastAsia="Times New Roman" w:hAnsi="Times New Roman"/>
                <w:noProof/>
                <w:color w:val="006100"/>
                <w:sz w:val="20"/>
                <w:szCs w:val="20"/>
              </w:rPr>
            </w:pPr>
          </w:p>
        </w:tc>
        <w:tc>
          <w:tcPr>
            <w:tcW w:w="1134" w:type="dxa"/>
            <w:shd w:val="clear" w:color="auto" w:fill="C6EFCE"/>
            <w:noWrap/>
            <w:hideMark/>
          </w:tcPr>
          <w:p w14:paraId="50B4B4AB" w14:textId="77777777" w:rsidR="003B5F50" w:rsidRDefault="000D2D85">
            <w:pPr>
              <w:pStyle w:val="P68B1DB1-Normal14"/>
              <w:spacing w:after="0"/>
              <w:rPr>
                <w:rFonts w:eastAsia="Times New Roman"/>
                <w:noProof/>
                <w:szCs w:val="20"/>
              </w:rPr>
            </w:pPr>
            <w:r>
              <w:rPr>
                <w:noProof/>
              </w:rPr>
              <w:t>T4</w:t>
            </w:r>
          </w:p>
        </w:tc>
        <w:tc>
          <w:tcPr>
            <w:tcW w:w="851" w:type="dxa"/>
            <w:shd w:val="clear" w:color="auto" w:fill="C6EFCE"/>
            <w:noWrap/>
            <w:hideMark/>
          </w:tcPr>
          <w:p w14:paraId="50B4B4AC" w14:textId="77777777" w:rsidR="003B5F50" w:rsidRDefault="000D2D85">
            <w:pPr>
              <w:pStyle w:val="P68B1DB1-Normal14"/>
              <w:spacing w:after="0"/>
              <w:rPr>
                <w:rFonts w:eastAsia="Times New Roman"/>
                <w:noProof/>
                <w:szCs w:val="20"/>
              </w:rPr>
            </w:pPr>
            <w:r>
              <w:rPr>
                <w:noProof/>
              </w:rPr>
              <w:t>2025</w:t>
            </w:r>
          </w:p>
        </w:tc>
        <w:tc>
          <w:tcPr>
            <w:tcW w:w="3266" w:type="dxa"/>
            <w:shd w:val="clear" w:color="auto" w:fill="C6EFCE"/>
            <w:hideMark/>
          </w:tcPr>
          <w:p w14:paraId="50B4B4AD" w14:textId="77777777" w:rsidR="003B5F50" w:rsidRDefault="000D2D85">
            <w:pPr>
              <w:pStyle w:val="P68B1DB1-Normal14"/>
              <w:spacing w:after="0"/>
              <w:rPr>
                <w:rFonts w:eastAsia="Times New Roman"/>
                <w:noProof/>
                <w:szCs w:val="20"/>
              </w:rPr>
            </w:pPr>
            <w:r>
              <w:rPr>
                <w:noProof/>
              </w:rPr>
              <w:t>Deux centres de rétention doivent être mis en place et avoir une capacité d'au moins 75 lits chacun.</w:t>
            </w:r>
          </w:p>
        </w:tc>
      </w:tr>
      <w:tr w:rsidR="003B5F50" w14:paraId="50B4B4C0" w14:textId="77777777" w:rsidTr="00F133D4">
        <w:trPr>
          <w:trHeight w:val="1436"/>
        </w:trPr>
        <w:tc>
          <w:tcPr>
            <w:tcW w:w="978" w:type="dxa"/>
            <w:shd w:val="clear" w:color="auto" w:fill="C6EFCE"/>
            <w:noWrap/>
            <w:hideMark/>
          </w:tcPr>
          <w:p w14:paraId="50B4B4AF" w14:textId="77777777" w:rsidR="003B5F50" w:rsidRDefault="000D2D85">
            <w:pPr>
              <w:pStyle w:val="P68B1DB1-Normal14"/>
              <w:spacing w:after="0"/>
              <w:rPr>
                <w:rFonts w:eastAsia="Times New Roman"/>
                <w:noProof/>
                <w:szCs w:val="20"/>
              </w:rPr>
            </w:pPr>
            <w:r>
              <w:rPr>
                <w:noProof/>
              </w:rPr>
              <w:t>3</w:t>
            </w:r>
          </w:p>
        </w:tc>
        <w:tc>
          <w:tcPr>
            <w:tcW w:w="1569" w:type="dxa"/>
            <w:shd w:val="clear" w:color="auto" w:fill="C6EFCE"/>
            <w:noWrap/>
            <w:hideMark/>
          </w:tcPr>
          <w:p w14:paraId="50B4B4B1" w14:textId="53C3EFB5" w:rsidR="003B5F50" w:rsidRDefault="000D2D85">
            <w:pPr>
              <w:pStyle w:val="P68B1DB1-Normal14"/>
              <w:spacing w:after="0"/>
              <w:rPr>
                <w:rFonts w:eastAsia="Times New Roman"/>
                <w:noProof/>
                <w:szCs w:val="20"/>
              </w:rPr>
            </w:pPr>
            <w:r>
              <w:rPr>
                <w:noProof/>
              </w:rPr>
              <w:t>12 – Soins de santé mentale humains, modernes et accessibles – Investissement 3: Construire des</w:t>
            </w:r>
            <w:r>
              <w:rPr>
                <w:b/>
                <w:noProof/>
              </w:rPr>
              <w:t xml:space="preserve"> </w:t>
            </w:r>
            <w:r>
              <w:rPr>
                <w:noProof/>
              </w:rPr>
              <w:t xml:space="preserve">centres de soins de santé mentale communautaires </w:t>
            </w:r>
          </w:p>
        </w:tc>
        <w:tc>
          <w:tcPr>
            <w:tcW w:w="856" w:type="dxa"/>
            <w:shd w:val="clear" w:color="auto" w:fill="C6EFCE"/>
            <w:noWrap/>
            <w:hideMark/>
          </w:tcPr>
          <w:p w14:paraId="50B4B4B2" w14:textId="77777777" w:rsidR="003B5F50" w:rsidRDefault="000D2D85">
            <w:pPr>
              <w:pStyle w:val="P68B1DB1-Normal14"/>
              <w:spacing w:after="0"/>
              <w:rPr>
                <w:rFonts w:eastAsia="Times New Roman"/>
                <w:noProof/>
                <w:szCs w:val="20"/>
              </w:rPr>
            </w:pPr>
            <w:r>
              <w:rPr>
                <w:noProof/>
              </w:rPr>
              <w:t>Objectif</w:t>
            </w:r>
          </w:p>
        </w:tc>
        <w:tc>
          <w:tcPr>
            <w:tcW w:w="845" w:type="dxa"/>
            <w:shd w:val="clear" w:color="auto" w:fill="C6EFCE"/>
            <w:hideMark/>
          </w:tcPr>
          <w:p w14:paraId="50B4B4B3" w14:textId="3D5BDB33" w:rsidR="003B5F50" w:rsidRDefault="000D2D85">
            <w:pPr>
              <w:pStyle w:val="P68B1DB1-Normal15"/>
              <w:spacing w:after="0"/>
              <w:rPr>
                <w:rFonts w:eastAsia="Times New Roman"/>
                <w:noProof/>
              </w:rPr>
            </w:pPr>
            <w:r>
              <w:rPr>
                <w:noProof/>
              </w:rPr>
              <w:t>Nombre de centres communautaires de soins de santé mentale</w:t>
            </w:r>
          </w:p>
        </w:tc>
        <w:tc>
          <w:tcPr>
            <w:tcW w:w="1559" w:type="dxa"/>
            <w:shd w:val="clear" w:color="auto" w:fill="C6EFCE"/>
            <w:hideMark/>
          </w:tcPr>
          <w:p w14:paraId="50B4B4B4" w14:textId="77777777" w:rsidR="003B5F50" w:rsidRDefault="003B5F50">
            <w:pPr>
              <w:spacing w:after="0"/>
              <w:rPr>
                <w:rFonts w:ascii="Times New Roman" w:eastAsia="Times New Roman" w:hAnsi="Times New Roman"/>
                <w:noProof/>
                <w:color w:val="006100"/>
                <w:sz w:val="20"/>
                <w:szCs w:val="20"/>
              </w:rPr>
            </w:pPr>
          </w:p>
        </w:tc>
        <w:tc>
          <w:tcPr>
            <w:tcW w:w="992" w:type="dxa"/>
            <w:shd w:val="clear" w:color="auto" w:fill="C6EFCE"/>
            <w:hideMark/>
          </w:tcPr>
          <w:p w14:paraId="50B4B4B5" w14:textId="77777777" w:rsidR="003B5F50" w:rsidRDefault="000D2D85">
            <w:pPr>
              <w:pStyle w:val="P68B1DB1-Normal14"/>
              <w:spacing w:after="0"/>
              <w:rPr>
                <w:rFonts w:eastAsia="Times New Roman"/>
                <w:noProof/>
                <w:szCs w:val="20"/>
              </w:rPr>
            </w:pPr>
            <w:r>
              <w:rPr>
                <w:noProof/>
              </w:rPr>
              <w:t>Numéro</w:t>
            </w:r>
          </w:p>
        </w:tc>
        <w:tc>
          <w:tcPr>
            <w:tcW w:w="1282" w:type="dxa"/>
            <w:shd w:val="clear" w:color="auto" w:fill="C6EFCE"/>
            <w:hideMark/>
          </w:tcPr>
          <w:p w14:paraId="50B4B4B6" w14:textId="77777777" w:rsidR="003B5F50" w:rsidRDefault="000D2D85">
            <w:pPr>
              <w:pStyle w:val="P68B1DB1-Normal14"/>
              <w:spacing w:after="0"/>
              <w:rPr>
                <w:rFonts w:eastAsia="Times New Roman"/>
                <w:noProof/>
                <w:szCs w:val="20"/>
              </w:rPr>
            </w:pPr>
            <w:r>
              <w:rPr>
                <w:noProof/>
              </w:rPr>
              <w:t>0</w:t>
            </w:r>
          </w:p>
        </w:tc>
        <w:tc>
          <w:tcPr>
            <w:tcW w:w="986" w:type="dxa"/>
            <w:shd w:val="clear" w:color="auto" w:fill="C6EFCE"/>
            <w:hideMark/>
          </w:tcPr>
          <w:p w14:paraId="50B4B4B7" w14:textId="77777777" w:rsidR="003B5F50" w:rsidRDefault="000D2D85">
            <w:pPr>
              <w:pStyle w:val="P68B1DB1-Normal15"/>
              <w:spacing w:after="0"/>
              <w:rPr>
                <w:rFonts w:eastAsia="Times New Roman"/>
                <w:noProof/>
              </w:rPr>
            </w:pPr>
            <w:r>
              <w:rPr>
                <w:noProof/>
              </w:rPr>
              <w:t>27</w:t>
            </w:r>
          </w:p>
        </w:tc>
        <w:tc>
          <w:tcPr>
            <w:tcW w:w="1134" w:type="dxa"/>
            <w:shd w:val="clear" w:color="auto" w:fill="C6EFCE"/>
            <w:noWrap/>
            <w:hideMark/>
          </w:tcPr>
          <w:p w14:paraId="50B4B4B8" w14:textId="77777777" w:rsidR="003B5F50" w:rsidRDefault="000D2D85">
            <w:pPr>
              <w:pStyle w:val="P68B1DB1-Normal14"/>
              <w:spacing w:after="0"/>
              <w:rPr>
                <w:rFonts w:eastAsia="Times New Roman"/>
                <w:noProof/>
                <w:szCs w:val="20"/>
              </w:rPr>
            </w:pPr>
            <w:r>
              <w:rPr>
                <w:noProof/>
              </w:rPr>
              <w:t>T4</w:t>
            </w:r>
          </w:p>
        </w:tc>
        <w:tc>
          <w:tcPr>
            <w:tcW w:w="851" w:type="dxa"/>
            <w:shd w:val="clear" w:color="auto" w:fill="C6EFCE"/>
            <w:noWrap/>
            <w:hideMark/>
          </w:tcPr>
          <w:p w14:paraId="50B4B4B9" w14:textId="77777777" w:rsidR="003B5F50" w:rsidRDefault="000D2D85">
            <w:pPr>
              <w:pStyle w:val="P68B1DB1-Normal14"/>
              <w:spacing w:after="0"/>
              <w:rPr>
                <w:rFonts w:eastAsia="Times New Roman"/>
                <w:noProof/>
                <w:szCs w:val="20"/>
              </w:rPr>
            </w:pPr>
            <w:r>
              <w:rPr>
                <w:noProof/>
              </w:rPr>
              <w:t>2025</w:t>
            </w:r>
          </w:p>
        </w:tc>
        <w:tc>
          <w:tcPr>
            <w:tcW w:w="3266" w:type="dxa"/>
            <w:shd w:val="clear" w:color="auto" w:fill="C6EFCE"/>
            <w:hideMark/>
          </w:tcPr>
          <w:p w14:paraId="4B90C062" w14:textId="612B0881" w:rsidR="003B5F50" w:rsidRDefault="000D2D85">
            <w:pPr>
              <w:pStyle w:val="P68B1DB1-Normal15"/>
              <w:rPr>
                <w:noProof/>
              </w:rPr>
            </w:pPr>
            <w:r>
              <w:rPr>
                <w:noProof/>
              </w:rPr>
              <w:t xml:space="preserve">11 centres psychosociaux, 12 centres psychiatriques fixes et 4 centres pour troubles du spectre autistique seront créés, par la construction de nouveaux bâtiments ou la rénovation de bâtiments existants. </w:t>
            </w:r>
          </w:p>
          <w:p w14:paraId="50B4B4BF" w14:textId="58BFDE67" w:rsidR="003B5F50" w:rsidRDefault="000D2D85">
            <w:pPr>
              <w:pStyle w:val="P68B1DB1-Normal15"/>
              <w:rPr>
                <w:noProof/>
              </w:rPr>
            </w:pPr>
            <w:r>
              <w:rPr>
                <w:noProof/>
              </w:rPr>
              <w:t>Les bâtiments faisant l’objet d’une rénovation contribuent à la transition écologique en réalisant au moins 30 % d’économies d’énergie primaire en moyenne.</w:t>
            </w:r>
          </w:p>
        </w:tc>
      </w:tr>
      <w:tr w:rsidR="003B5F50" w14:paraId="50B4B4CE" w14:textId="77777777" w:rsidTr="00F133D4">
        <w:trPr>
          <w:trHeight w:val="927"/>
        </w:trPr>
        <w:tc>
          <w:tcPr>
            <w:tcW w:w="978" w:type="dxa"/>
            <w:shd w:val="clear" w:color="auto" w:fill="C6EFCE"/>
            <w:noWrap/>
            <w:hideMark/>
          </w:tcPr>
          <w:p w14:paraId="50B4B4C1" w14:textId="77777777" w:rsidR="003B5F50" w:rsidRDefault="000D2D85">
            <w:pPr>
              <w:pStyle w:val="P68B1DB1-Normal14"/>
              <w:spacing w:after="0"/>
              <w:rPr>
                <w:rFonts w:eastAsia="Times New Roman"/>
                <w:noProof/>
                <w:szCs w:val="20"/>
              </w:rPr>
            </w:pPr>
            <w:r>
              <w:rPr>
                <w:noProof/>
              </w:rPr>
              <w:t>5</w:t>
            </w:r>
          </w:p>
        </w:tc>
        <w:tc>
          <w:tcPr>
            <w:tcW w:w="1569" w:type="dxa"/>
            <w:shd w:val="clear" w:color="auto" w:fill="C6EFCE"/>
            <w:noWrap/>
            <w:hideMark/>
          </w:tcPr>
          <w:p w14:paraId="50B4B4C2" w14:textId="77777777" w:rsidR="003B5F50" w:rsidRDefault="000D2D85">
            <w:pPr>
              <w:pStyle w:val="P68B1DB1-Normal14"/>
              <w:spacing w:after="0"/>
              <w:rPr>
                <w:rFonts w:eastAsia="Times New Roman"/>
                <w:noProof/>
                <w:szCs w:val="20"/>
              </w:rPr>
            </w:pPr>
            <w:r>
              <w:rPr>
                <w:noProof/>
              </w:rPr>
              <w:t>12 – Soins de santé mentale humains, modernes et accessibles – Investissement 7: Humanisation des soins psychiatriques institutionnels</w:t>
            </w:r>
          </w:p>
        </w:tc>
        <w:tc>
          <w:tcPr>
            <w:tcW w:w="856" w:type="dxa"/>
            <w:shd w:val="clear" w:color="auto" w:fill="C6EFCE"/>
            <w:noWrap/>
            <w:hideMark/>
          </w:tcPr>
          <w:p w14:paraId="50B4B4C3" w14:textId="77777777" w:rsidR="003B5F50" w:rsidRDefault="000D2D85">
            <w:pPr>
              <w:pStyle w:val="P68B1DB1-Normal14"/>
              <w:spacing w:after="0"/>
              <w:rPr>
                <w:rFonts w:eastAsia="Times New Roman"/>
                <w:noProof/>
                <w:szCs w:val="20"/>
              </w:rPr>
            </w:pPr>
            <w:r>
              <w:rPr>
                <w:noProof/>
              </w:rPr>
              <w:t>Étape</w:t>
            </w:r>
          </w:p>
        </w:tc>
        <w:tc>
          <w:tcPr>
            <w:tcW w:w="845" w:type="dxa"/>
            <w:shd w:val="clear" w:color="auto" w:fill="C6EFCE"/>
            <w:hideMark/>
          </w:tcPr>
          <w:p w14:paraId="50B4B4C4" w14:textId="77777777" w:rsidR="003B5F50" w:rsidRDefault="000D2D85">
            <w:pPr>
              <w:pStyle w:val="P68B1DB1-Normal14"/>
              <w:spacing w:after="0"/>
              <w:rPr>
                <w:noProof/>
              </w:rPr>
            </w:pPr>
            <w:r>
              <w:rPr>
                <w:noProof/>
              </w:rPr>
              <w:t>Reconstru-</w:t>
            </w:r>
          </w:p>
          <w:p w14:paraId="50B4B4C5" w14:textId="77777777" w:rsidR="003B5F50" w:rsidRDefault="000D2D85">
            <w:pPr>
              <w:pStyle w:val="P68B1DB1-Normal14"/>
              <w:spacing w:after="0"/>
              <w:rPr>
                <w:rFonts w:eastAsia="Times New Roman"/>
                <w:noProof/>
                <w:szCs w:val="20"/>
              </w:rPr>
            </w:pPr>
            <w:r>
              <w:rPr>
                <w:noProof/>
              </w:rPr>
              <w:t>ction de soins psychiatriques institutionnels</w:t>
            </w:r>
          </w:p>
        </w:tc>
        <w:tc>
          <w:tcPr>
            <w:tcW w:w="1559" w:type="dxa"/>
            <w:shd w:val="clear" w:color="auto" w:fill="C6EFCE"/>
            <w:noWrap/>
          </w:tcPr>
          <w:p w14:paraId="50B4B4C6" w14:textId="77777777" w:rsidR="003B5F50" w:rsidRDefault="000D2D85">
            <w:pPr>
              <w:pStyle w:val="P68B1DB1-Normal14"/>
              <w:spacing w:after="0"/>
              <w:rPr>
                <w:rFonts w:eastAsia="Times New Roman"/>
                <w:noProof/>
                <w:szCs w:val="20"/>
              </w:rPr>
            </w:pPr>
            <w:r>
              <w:rPr>
                <w:noProof/>
              </w:rPr>
              <w:t>Établissements psychiatriques reconstruits</w:t>
            </w:r>
          </w:p>
        </w:tc>
        <w:tc>
          <w:tcPr>
            <w:tcW w:w="992" w:type="dxa"/>
            <w:shd w:val="clear" w:color="auto" w:fill="C6EFCE"/>
            <w:hideMark/>
          </w:tcPr>
          <w:p w14:paraId="50B4B4C7" w14:textId="77777777" w:rsidR="003B5F50" w:rsidRDefault="003B5F50">
            <w:pPr>
              <w:spacing w:after="0"/>
              <w:rPr>
                <w:rFonts w:ascii="Times New Roman" w:eastAsia="Times New Roman" w:hAnsi="Times New Roman"/>
                <w:noProof/>
                <w:color w:val="006100"/>
                <w:sz w:val="20"/>
                <w:szCs w:val="20"/>
              </w:rPr>
            </w:pPr>
          </w:p>
        </w:tc>
        <w:tc>
          <w:tcPr>
            <w:tcW w:w="1282" w:type="dxa"/>
            <w:shd w:val="clear" w:color="auto" w:fill="C6EFCE"/>
            <w:noWrap/>
            <w:hideMark/>
          </w:tcPr>
          <w:p w14:paraId="50B4B4C8" w14:textId="77777777" w:rsidR="003B5F50" w:rsidRDefault="003B5F50">
            <w:pPr>
              <w:spacing w:after="0"/>
              <w:rPr>
                <w:rFonts w:ascii="Times New Roman" w:eastAsia="Times New Roman" w:hAnsi="Times New Roman"/>
                <w:noProof/>
                <w:color w:val="006100"/>
                <w:sz w:val="20"/>
                <w:szCs w:val="20"/>
              </w:rPr>
            </w:pPr>
          </w:p>
        </w:tc>
        <w:tc>
          <w:tcPr>
            <w:tcW w:w="986" w:type="dxa"/>
            <w:shd w:val="clear" w:color="auto" w:fill="C6EFCE"/>
            <w:noWrap/>
            <w:hideMark/>
          </w:tcPr>
          <w:p w14:paraId="50B4B4C9" w14:textId="77777777" w:rsidR="003B5F50" w:rsidRDefault="003B5F50">
            <w:pPr>
              <w:spacing w:after="0"/>
              <w:rPr>
                <w:rFonts w:ascii="Times New Roman" w:eastAsia="Times New Roman" w:hAnsi="Times New Roman"/>
                <w:noProof/>
                <w:color w:val="006100"/>
                <w:sz w:val="20"/>
                <w:szCs w:val="20"/>
              </w:rPr>
            </w:pPr>
          </w:p>
        </w:tc>
        <w:tc>
          <w:tcPr>
            <w:tcW w:w="1134" w:type="dxa"/>
            <w:shd w:val="clear" w:color="auto" w:fill="C6EFCE"/>
            <w:noWrap/>
            <w:hideMark/>
          </w:tcPr>
          <w:p w14:paraId="50B4B4CA" w14:textId="77777777" w:rsidR="003B5F50" w:rsidRDefault="000D2D85">
            <w:pPr>
              <w:pStyle w:val="P68B1DB1-Normal14"/>
              <w:spacing w:after="0"/>
              <w:rPr>
                <w:rFonts w:eastAsia="Times New Roman"/>
                <w:noProof/>
                <w:szCs w:val="20"/>
              </w:rPr>
            </w:pPr>
            <w:r>
              <w:rPr>
                <w:noProof/>
              </w:rPr>
              <w:t>T4</w:t>
            </w:r>
          </w:p>
        </w:tc>
        <w:tc>
          <w:tcPr>
            <w:tcW w:w="851" w:type="dxa"/>
            <w:shd w:val="clear" w:color="auto" w:fill="C6EFCE"/>
            <w:noWrap/>
            <w:hideMark/>
          </w:tcPr>
          <w:p w14:paraId="50B4B4CB" w14:textId="77777777" w:rsidR="003B5F50" w:rsidRDefault="000D2D85">
            <w:pPr>
              <w:pStyle w:val="P68B1DB1-Normal14"/>
              <w:spacing w:after="0"/>
              <w:rPr>
                <w:rFonts w:eastAsia="Times New Roman"/>
                <w:noProof/>
                <w:szCs w:val="20"/>
              </w:rPr>
            </w:pPr>
            <w:r>
              <w:rPr>
                <w:noProof/>
              </w:rPr>
              <w:t>2025</w:t>
            </w:r>
          </w:p>
        </w:tc>
        <w:tc>
          <w:tcPr>
            <w:tcW w:w="3266" w:type="dxa"/>
            <w:shd w:val="clear" w:color="auto" w:fill="C6EFCE"/>
            <w:hideMark/>
          </w:tcPr>
          <w:p w14:paraId="50B4B4CD" w14:textId="37C243DA" w:rsidR="003B5F50" w:rsidRDefault="000D2D85">
            <w:pPr>
              <w:pStyle w:val="P68B1DB1-Normal17"/>
              <w:spacing w:after="0"/>
              <w:rPr>
                <w:rFonts w:ascii="Times New Roman" w:hAnsi="Times New Roman"/>
                <w:noProof/>
                <w:color w:val="006100"/>
              </w:rPr>
            </w:pPr>
            <w:bookmarkStart w:id="6" w:name="_Hlk207102515"/>
            <w:r>
              <w:rPr>
                <w:rFonts w:ascii="Times New Roman" w:hAnsi="Times New Roman"/>
                <w:noProof/>
                <w:color w:val="006100"/>
              </w:rPr>
              <w:t>Les installations psychiatriques doivent être construites ou reconstruites sur un total de 11 sites. Dans certains d'entre eux, des locaux d'isolement doivent être aménagés.</w:t>
            </w:r>
            <w:r>
              <w:rPr>
                <w:rFonts w:ascii="Aptos" w:eastAsia="Aptos" w:hAnsi="Aptos" w:cs="Aptos"/>
                <w:b/>
                <w:i/>
                <w:noProof/>
              </w:rPr>
              <w:t xml:space="preserve"> </w:t>
            </w:r>
            <w:bookmarkEnd w:id="6"/>
          </w:p>
        </w:tc>
      </w:tr>
      <w:tr w:rsidR="003B5F50" w14:paraId="50B4B4DC" w14:textId="77777777" w:rsidTr="00F133D4">
        <w:trPr>
          <w:trHeight w:val="2569"/>
        </w:trPr>
        <w:tc>
          <w:tcPr>
            <w:tcW w:w="978" w:type="dxa"/>
            <w:shd w:val="clear" w:color="auto" w:fill="C6EFCE"/>
            <w:noWrap/>
            <w:hideMark/>
          </w:tcPr>
          <w:p w14:paraId="50B4B4CF" w14:textId="77777777" w:rsidR="003B5F50" w:rsidRDefault="000D2D85">
            <w:pPr>
              <w:pStyle w:val="P68B1DB1-Normal14"/>
              <w:spacing w:after="0"/>
              <w:rPr>
                <w:rFonts w:eastAsia="Times New Roman"/>
                <w:noProof/>
                <w:szCs w:val="20"/>
              </w:rPr>
            </w:pPr>
            <w:r>
              <w:rPr>
                <w:noProof/>
              </w:rPr>
              <w:t>6</w:t>
            </w:r>
          </w:p>
        </w:tc>
        <w:tc>
          <w:tcPr>
            <w:tcW w:w="1569" w:type="dxa"/>
            <w:shd w:val="clear" w:color="auto" w:fill="C6EFCE"/>
            <w:noWrap/>
            <w:hideMark/>
          </w:tcPr>
          <w:p w14:paraId="50B4B4D0" w14:textId="77777777" w:rsidR="003B5F50" w:rsidRDefault="000D2D85">
            <w:pPr>
              <w:pStyle w:val="P68B1DB1-Normal14"/>
              <w:spacing w:after="0"/>
              <w:rPr>
                <w:rFonts w:eastAsia="Times New Roman"/>
                <w:noProof/>
                <w:szCs w:val="20"/>
              </w:rPr>
            </w:pPr>
            <w:r>
              <w:rPr>
                <w:noProof/>
              </w:rPr>
              <w:t>12 – Soins de santé mentale humains, modernes et accessibles – Investissement 8: Formation en santé mentale pour le personnel</w:t>
            </w:r>
          </w:p>
        </w:tc>
        <w:tc>
          <w:tcPr>
            <w:tcW w:w="856" w:type="dxa"/>
            <w:shd w:val="clear" w:color="auto" w:fill="C6EFCE"/>
            <w:noWrap/>
            <w:hideMark/>
          </w:tcPr>
          <w:p w14:paraId="50B4B4D1" w14:textId="77777777" w:rsidR="003B5F50" w:rsidRDefault="000D2D85">
            <w:pPr>
              <w:pStyle w:val="P68B1DB1-Normal14"/>
              <w:spacing w:after="0"/>
              <w:rPr>
                <w:rFonts w:eastAsia="Times New Roman"/>
                <w:noProof/>
                <w:szCs w:val="20"/>
              </w:rPr>
            </w:pPr>
            <w:r>
              <w:rPr>
                <w:noProof/>
              </w:rPr>
              <w:t>Objectif</w:t>
            </w:r>
          </w:p>
        </w:tc>
        <w:tc>
          <w:tcPr>
            <w:tcW w:w="845" w:type="dxa"/>
            <w:shd w:val="clear" w:color="auto" w:fill="C6EFCE"/>
            <w:hideMark/>
          </w:tcPr>
          <w:p w14:paraId="50B4B4D2" w14:textId="77777777" w:rsidR="003B5F50" w:rsidRDefault="000D2D85">
            <w:pPr>
              <w:pStyle w:val="P68B1DB1-Normal14"/>
              <w:spacing w:after="0"/>
              <w:rPr>
                <w:rFonts w:eastAsia="Times New Roman"/>
                <w:noProof/>
                <w:szCs w:val="20"/>
              </w:rPr>
            </w:pPr>
            <w:r>
              <w:rPr>
                <w:noProof/>
              </w:rPr>
              <w:t xml:space="preserve">Nombre de personnes formées aux soins de santé mentale </w:t>
            </w:r>
          </w:p>
        </w:tc>
        <w:tc>
          <w:tcPr>
            <w:tcW w:w="1559" w:type="dxa"/>
            <w:shd w:val="clear" w:color="auto" w:fill="C6EFCE"/>
            <w:noWrap/>
            <w:hideMark/>
          </w:tcPr>
          <w:p w14:paraId="50B4B4D3" w14:textId="77777777" w:rsidR="003B5F50" w:rsidRDefault="003B5F50">
            <w:pPr>
              <w:spacing w:after="0"/>
              <w:rPr>
                <w:rFonts w:ascii="Times New Roman" w:eastAsia="Times New Roman" w:hAnsi="Times New Roman"/>
                <w:noProof/>
                <w:color w:val="006100"/>
                <w:sz w:val="20"/>
                <w:szCs w:val="20"/>
              </w:rPr>
            </w:pPr>
          </w:p>
        </w:tc>
        <w:tc>
          <w:tcPr>
            <w:tcW w:w="992" w:type="dxa"/>
            <w:shd w:val="clear" w:color="auto" w:fill="C6EFCE"/>
            <w:hideMark/>
          </w:tcPr>
          <w:p w14:paraId="50B4B4D4" w14:textId="77777777" w:rsidR="003B5F50" w:rsidRDefault="000D2D85">
            <w:pPr>
              <w:pStyle w:val="P68B1DB1-Normal14"/>
              <w:spacing w:after="0"/>
              <w:rPr>
                <w:rFonts w:eastAsia="Times New Roman"/>
                <w:noProof/>
                <w:szCs w:val="20"/>
              </w:rPr>
            </w:pPr>
            <w:r>
              <w:rPr>
                <w:noProof/>
              </w:rPr>
              <w:t>Numéro</w:t>
            </w:r>
          </w:p>
        </w:tc>
        <w:tc>
          <w:tcPr>
            <w:tcW w:w="1282" w:type="dxa"/>
            <w:shd w:val="clear" w:color="auto" w:fill="C6EFCE"/>
            <w:hideMark/>
          </w:tcPr>
          <w:p w14:paraId="50B4B4D5" w14:textId="77777777" w:rsidR="003B5F50" w:rsidRDefault="000D2D85">
            <w:pPr>
              <w:pStyle w:val="P68B1DB1-Normal14"/>
              <w:spacing w:after="0"/>
              <w:rPr>
                <w:rFonts w:eastAsia="Times New Roman"/>
                <w:noProof/>
                <w:szCs w:val="20"/>
              </w:rPr>
            </w:pPr>
            <w:r>
              <w:rPr>
                <w:noProof/>
              </w:rPr>
              <w:t>0</w:t>
            </w:r>
          </w:p>
        </w:tc>
        <w:tc>
          <w:tcPr>
            <w:tcW w:w="986" w:type="dxa"/>
            <w:shd w:val="clear" w:color="auto" w:fill="C6EFCE"/>
            <w:hideMark/>
          </w:tcPr>
          <w:p w14:paraId="50B4B4D6" w14:textId="77777777" w:rsidR="003B5F50" w:rsidRDefault="000D2D85">
            <w:pPr>
              <w:pStyle w:val="P68B1DB1-Normal14"/>
              <w:spacing w:after="0"/>
              <w:rPr>
                <w:rFonts w:eastAsia="Times New Roman"/>
                <w:noProof/>
                <w:szCs w:val="20"/>
              </w:rPr>
            </w:pPr>
            <w:r>
              <w:rPr>
                <w:noProof/>
              </w:rPr>
              <w:t>336</w:t>
            </w:r>
          </w:p>
        </w:tc>
        <w:tc>
          <w:tcPr>
            <w:tcW w:w="1134" w:type="dxa"/>
            <w:shd w:val="clear" w:color="auto" w:fill="C6EFCE"/>
            <w:noWrap/>
            <w:hideMark/>
          </w:tcPr>
          <w:p w14:paraId="50B4B4D7" w14:textId="77777777" w:rsidR="003B5F50" w:rsidRDefault="000D2D85">
            <w:pPr>
              <w:pStyle w:val="P68B1DB1-Normal14"/>
              <w:spacing w:after="0"/>
              <w:rPr>
                <w:rFonts w:eastAsia="Times New Roman"/>
                <w:noProof/>
                <w:szCs w:val="20"/>
              </w:rPr>
            </w:pPr>
            <w:r>
              <w:rPr>
                <w:noProof/>
              </w:rPr>
              <w:t>T2</w:t>
            </w:r>
          </w:p>
        </w:tc>
        <w:tc>
          <w:tcPr>
            <w:tcW w:w="851" w:type="dxa"/>
            <w:shd w:val="clear" w:color="auto" w:fill="C6EFCE"/>
            <w:noWrap/>
            <w:hideMark/>
          </w:tcPr>
          <w:p w14:paraId="50B4B4D8" w14:textId="77777777" w:rsidR="003B5F50" w:rsidRDefault="000D2D85">
            <w:pPr>
              <w:pStyle w:val="P68B1DB1-Normal14"/>
              <w:spacing w:after="0"/>
              <w:rPr>
                <w:rFonts w:eastAsia="Times New Roman"/>
                <w:noProof/>
                <w:szCs w:val="20"/>
              </w:rPr>
            </w:pPr>
            <w:r>
              <w:rPr>
                <w:noProof/>
              </w:rPr>
              <w:t>2025</w:t>
            </w:r>
          </w:p>
        </w:tc>
        <w:tc>
          <w:tcPr>
            <w:tcW w:w="3266" w:type="dxa"/>
            <w:shd w:val="clear" w:color="auto" w:fill="C6EFCE"/>
            <w:hideMark/>
          </w:tcPr>
          <w:p w14:paraId="50B4B4D9" w14:textId="77777777" w:rsidR="003B5F50" w:rsidRDefault="000D2D85">
            <w:pPr>
              <w:pStyle w:val="P68B1DB1-Normal15"/>
              <w:spacing w:after="0"/>
              <w:rPr>
                <w:noProof/>
              </w:rPr>
            </w:pPr>
            <w:r>
              <w:rPr>
                <w:noProof/>
              </w:rPr>
              <w:t>336 personnes travaillant dans le domaine des soins de santé mentale doivent être formées.</w:t>
            </w:r>
          </w:p>
          <w:p w14:paraId="50B4B4DA" w14:textId="77777777" w:rsidR="003B5F50" w:rsidRDefault="003B5F50">
            <w:pPr>
              <w:spacing w:after="0"/>
              <w:rPr>
                <w:rFonts w:ascii="Times New Roman" w:hAnsi="Times New Roman"/>
                <w:noProof/>
                <w:color w:val="006100"/>
                <w:sz w:val="20"/>
                <w:szCs w:val="20"/>
              </w:rPr>
            </w:pPr>
          </w:p>
          <w:p w14:paraId="50B4B4DB" w14:textId="77777777" w:rsidR="003B5F50" w:rsidRDefault="000D2D85">
            <w:pPr>
              <w:pStyle w:val="P68B1DB1-Normal15"/>
              <w:spacing w:after="0"/>
              <w:rPr>
                <w:rFonts w:eastAsia="Times New Roman"/>
                <w:noProof/>
                <w:color w:val="0070C0"/>
              </w:rPr>
            </w:pPr>
            <w:r>
              <w:rPr>
                <w:noProof/>
              </w:rPr>
              <w:t>Une ligne nationale de santé mentale est exploitée de 2021 à 2023.</w:t>
            </w:r>
          </w:p>
        </w:tc>
      </w:tr>
    </w:tbl>
    <w:p w14:paraId="50B4B4DD" w14:textId="77777777" w:rsidR="003B5F50" w:rsidRDefault="003B5F50">
      <w:pPr>
        <w:spacing w:before="120" w:after="120" w:line="240" w:lineRule="auto"/>
        <w:jc w:val="both"/>
        <w:rPr>
          <w:rFonts w:ascii="Times New Roman" w:hAnsi="Times New Roman"/>
          <w:noProof/>
        </w:rPr>
      </w:pPr>
    </w:p>
    <w:p w14:paraId="50B4B4DE" w14:textId="77777777" w:rsidR="003B5F50" w:rsidRDefault="000D2D85">
      <w:pPr>
        <w:pStyle w:val="P68B1DB1-Normal20"/>
        <w:tabs>
          <w:tab w:val="left" w:pos="6810"/>
        </w:tabs>
        <w:rPr>
          <w:noProof/>
        </w:rPr>
        <w:sectPr w:rsidR="003B5F50" w:rsidSect="003E3DD3">
          <w:headerReference w:type="even" r:id="rId155"/>
          <w:headerReference w:type="default" r:id="rId156"/>
          <w:footerReference w:type="even" r:id="rId157"/>
          <w:footerReference w:type="default" r:id="rId158"/>
          <w:headerReference w:type="first" r:id="rId159"/>
          <w:footerReference w:type="first" r:id="rId160"/>
          <w:pgSz w:w="15840" w:h="12240" w:orient="landscape"/>
          <w:pgMar w:top="1134" w:right="1134" w:bottom="1134" w:left="1134" w:header="567" w:footer="567" w:gutter="0"/>
          <w:cols w:space="720"/>
          <w:docGrid w:linePitch="360"/>
        </w:sectPr>
      </w:pPr>
      <w:r>
        <w:rPr>
          <w:noProof/>
        </w:rPr>
        <w:tab/>
      </w:r>
    </w:p>
    <w:p w14:paraId="50B4B4DF" w14:textId="77777777" w:rsidR="003B5F50" w:rsidRDefault="000D2D85">
      <w:pPr>
        <w:pStyle w:val="P68B1DB1-Heading218"/>
        <w:rPr>
          <w:noProof/>
        </w:rPr>
      </w:pPr>
      <w:r>
        <w:rPr>
          <w:noProof/>
        </w:rPr>
        <w:t>Élément 13: Soins socio-sanitaires de longue durée accessibles et de qualité</w:t>
      </w:r>
    </w:p>
    <w:p w14:paraId="50B4B4E0" w14:textId="77777777" w:rsidR="003B5F50" w:rsidRDefault="000D2D85">
      <w:pPr>
        <w:pStyle w:val="NormalWeb"/>
        <w:rPr>
          <w:rFonts w:eastAsia="Times New Roman"/>
          <w:noProof/>
        </w:rPr>
      </w:pPr>
      <w:r>
        <w:rPr>
          <w:noProof/>
        </w:rPr>
        <w:t>Le système slovaque de soins de longue durée n’est pas prêt pour le vieillissement rapide attendu de la population. La proportion de la population âgée de plus de 65 ans passera de 16 % actuellement à plus de 24 % d’ici à 2040. L’accès à des soins de longue durée abordables et de qualité est insuffisant, en raison du sous-financement général des services de soins de proximité et à domicile, de la fragmentation de la gouvernance et du manque de coordination systémique des services sociaux et de soins de santé. Il n'existe pas de stratégie globale et adéquate englobant à la fois les aspects sociaux et les soins de santé. L’évaluation des besoins en soins de longue durée des personnes handicapées est également incohérente. La supervision des soins sociaux est inefficace et particulièrement insuffisante en ce qui concerne les soins à domicile. En outre, le système de financement est fragmenté et favorise les soins institutionnalisés dans un contexte de manque de soutien aux services à domicile et de proximité. Pour cette raison, les services de soins de longue durée et de soins palliatifs appropriés font défaut, en particulier dans les milieux de soins à domicile et communautaires.</w:t>
      </w:r>
    </w:p>
    <w:p w14:paraId="50B4B4E1" w14:textId="77777777" w:rsidR="003B5F50" w:rsidRDefault="000D2D85">
      <w:pPr>
        <w:pStyle w:val="NormalWeb"/>
        <w:rPr>
          <w:rFonts w:eastAsia="Times New Roman"/>
          <w:noProof/>
        </w:rPr>
      </w:pPr>
      <w:r>
        <w:rPr>
          <w:noProof/>
        </w:rPr>
        <w:t>Ce volet du plan slovaque pour la reprise et la résilience prépare la Slovaquie au vieillissement rapide de sa population en garantissant un soutien global, accessible et de qualité aux personnes ayant besoin de soins palliatifs et de longue durée. La fourniture de ces soins accroît également l’inclusion des personnes handicapées dans la société, ainsi que leur niveau de protection sociale. Les réformes réglementaires visent à mettre en place un système de soins plus cohérent et mieux coordonné reliant les soins sociaux et les soins de santé, un système de financement amélioré axé sur les besoins des personnes et offrant de meilleures incitations pour les soins de proximité, une évaluation plus cohérente des besoins en matière de soins pour les personnes handicapées et une meilleure supervision des soins sociaux. Les investissements se traduisent par des capacités supplémentaires en matière de soins de longue durée, de soins palliatifs et de services de suivi, en particulier dans la fourniture de soins à domicile et de proximité.</w:t>
      </w:r>
    </w:p>
    <w:p w14:paraId="50B4B4E2" w14:textId="68EEFDFF" w:rsidR="003B5F50" w:rsidRDefault="000D2D85">
      <w:pPr>
        <w:pStyle w:val="NormalWeb"/>
        <w:rPr>
          <w:rFonts w:eastAsia="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B4E3" w14:textId="2AF1F28B" w:rsidR="003B5F50" w:rsidRDefault="000D2D85">
      <w:pPr>
        <w:pStyle w:val="NormalWeb"/>
        <w:rPr>
          <w:rFonts w:eastAsia="Times New Roman"/>
          <w:noProof/>
        </w:rPr>
      </w:pPr>
      <w:r>
        <w:rPr>
          <w:noProof/>
        </w:rPr>
        <w:t>Le volet contribue à donner suite à la recommandation par pays no 2 de 2019, à améliorer l’accès à des soins de longue durée abordables et de qualité, et à donner suite à la recommandation par pays no 1 de 2020, à améliorer la coordination entre les types de soins. Elle contribue également à préserver la viabilité à long terme des finances publiques, en particulier du système de soins de santé, comme le recommande la recommandation par pays no 1 de 2019.</w:t>
      </w:r>
    </w:p>
    <w:p w14:paraId="50B4B4E4" w14:textId="77777777" w:rsidR="003B5F50" w:rsidRDefault="003B5F50">
      <w:pPr>
        <w:spacing w:before="120" w:after="120" w:line="240" w:lineRule="auto"/>
        <w:jc w:val="both"/>
        <w:rPr>
          <w:rFonts w:ascii="Times New Roman" w:eastAsia="Times New Roman" w:hAnsi="Times New Roman"/>
          <w:noProof/>
        </w:rPr>
      </w:pPr>
    </w:p>
    <w:p w14:paraId="50B4B4E5" w14:textId="77777777" w:rsidR="003B5F50" w:rsidRDefault="000D2D85">
      <w:pPr>
        <w:pStyle w:val="P68B1DB1-Normal19"/>
        <w:spacing w:before="120" w:after="120" w:line="240" w:lineRule="auto"/>
        <w:jc w:val="both"/>
        <w:rPr>
          <w:rFonts w:eastAsia="Times New Roman" w:cs="Times New Roman"/>
          <w:noProof/>
        </w:rPr>
      </w:pPr>
      <w:r>
        <w:rPr>
          <w:noProof/>
        </w:rPr>
        <w:t>Réforme 1: Intégration et financement des soins sociaux et de santé à long terme</w:t>
      </w:r>
    </w:p>
    <w:p w14:paraId="50B4B4E6" w14:textId="6AF65215" w:rsidR="003B5F50" w:rsidRDefault="000D2D85">
      <w:pPr>
        <w:pStyle w:val="P68B1DB1-Normal49"/>
        <w:spacing w:before="120" w:after="120" w:line="240" w:lineRule="auto"/>
        <w:jc w:val="both"/>
        <w:rPr>
          <w:noProof/>
        </w:rPr>
      </w:pPr>
      <w:r>
        <w:rPr>
          <w:noProof/>
        </w:rPr>
        <w:t xml:space="preserve">L'objectif de cette réforme est d'améliorer la coordination et l'efficacité des soins sociaux et de santé à long terme en établissant un cadre qui englobe les deux secteurs. </w:t>
      </w:r>
    </w:p>
    <w:p w14:paraId="50B4B4E7" w14:textId="4E70025E" w:rsidR="003B5F50" w:rsidRDefault="000D2D85">
      <w:pPr>
        <w:pStyle w:val="P68B1DB1-Normal49"/>
        <w:spacing w:before="120" w:after="120" w:line="240" w:lineRule="auto"/>
        <w:jc w:val="both"/>
        <w:rPr>
          <w:noProof/>
        </w:rPr>
      </w:pPr>
      <w:r>
        <w:rPr>
          <w:noProof/>
        </w:rPr>
        <w:t>Cette mesure consiste en l'introduction d'un système de financement pour les personnes ayant des besoins de soins vivant à domicile, fondé sur les principes du budget personnel, tout en stabilisant le financement des services sociaux. Il simplifie le financement pour les personnes ayant des besoins en matière de soins et vise à promouvoir les soins à domicile et communautaires, une nouvelle législation devant entrer en vigueur dans des délais précis.</w:t>
      </w:r>
    </w:p>
    <w:p w14:paraId="50B4B4E8" w14:textId="77777777" w:rsidR="003B5F50" w:rsidRDefault="000D2D85">
      <w:pPr>
        <w:pStyle w:val="P68B1DB1-Normal19"/>
        <w:keepNext/>
        <w:spacing w:before="120" w:after="120" w:line="240" w:lineRule="auto"/>
        <w:jc w:val="both"/>
        <w:rPr>
          <w:noProof/>
        </w:rPr>
      </w:pPr>
      <w:r>
        <w:rPr>
          <w:noProof/>
        </w:rPr>
        <w:t>Réforme 2: Évaluation des besoins en matière de soins</w:t>
      </w:r>
    </w:p>
    <w:p w14:paraId="50B4B4E9" w14:textId="77777777" w:rsidR="003B5F50" w:rsidRDefault="000D2D85">
      <w:pPr>
        <w:pStyle w:val="NormalWeb"/>
        <w:rPr>
          <w:noProof/>
        </w:rPr>
      </w:pPr>
      <w:r>
        <w:rPr>
          <w:noProof/>
        </w:rPr>
        <w:t>L’évaluation des besoins en soins de longue durée des personnes handicapées est incohérente dans un système fragmenté. Bien que ce ne soit pas le cas pour la prestation de services sociaux, la reconnaissance des handicaps graves est une condition préalable à l'octroi d'une aide personnelle et d'une allocation de soins.</w:t>
      </w:r>
    </w:p>
    <w:p w14:paraId="50B4B4EA" w14:textId="77777777" w:rsidR="003B5F50" w:rsidRDefault="000D2D85">
      <w:pPr>
        <w:pStyle w:val="NormalWeb"/>
        <w:rPr>
          <w:rFonts w:eastAsia="Times New Roman"/>
          <w:noProof/>
        </w:rPr>
      </w:pPr>
      <w:r>
        <w:rPr>
          <w:noProof/>
        </w:rPr>
        <w:t>Cette réforme améliorera et rationalisera la manière dont les personnes gravement handicapées sont reconnues. Il instaure un cadre et un système d’évaluation unifiés pour l’assistance et les soins personnels aux personnes gravement handicapées. L’évaluation principale est effectuée par les bureaux du travail, les bureaux sociaux et les bureaux de la famille et selon une méthodologie uniforme fondée sur le tableau 2.0 de l’Organisation mondiale de la santé relatif à l’évaluation du handicap, qui évalue un large éventail de besoins. Afin de réduire la charge administrative et dans le cadre des efforts de numérisation, les évaluateurs utilisent le système de santé en ligne. Les évaluateurs des 46 antennes reçoivent l'équipement nécessaire à l'exécution de leurs tâches.</w:t>
      </w:r>
    </w:p>
    <w:p w14:paraId="50B4B4EB" w14:textId="77777777" w:rsidR="003B5F50" w:rsidRDefault="000D2D85">
      <w:pPr>
        <w:pStyle w:val="NormalWeb"/>
        <w:rPr>
          <w:rFonts w:eastAsia="Times New Roman"/>
          <w:noProof/>
        </w:rPr>
      </w:pPr>
      <w:r>
        <w:rPr>
          <w:noProof/>
        </w:rPr>
        <w:t>La mise en œuvre de la réforme est achevée au plus tard le 31 mars 2024.</w:t>
      </w:r>
    </w:p>
    <w:p w14:paraId="50B4B4EC" w14:textId="77777777" w:rsidR="003B5F50" w:rsidRDefault="000D2D85">
      <w:pPr>
        <w:pStyle w:val="P68B1DB1-Normal19"/>
        <w:spacing w:before="120" w:after="120" w:line="240" w:lineRule="auto"/>
        <w:jc w:val="both"/>
        <w:rPr>
          <w:noProof/>
        </w:rPr>
      </w:pPr>
      <w:r>
        <w:rPr>
          <w:noProof/>
        </w:rPr>
        <w:t>Réforme 3: Consolidation de la surveillance de l'aide sociale et mise à disposition des infrastructures nécessaires</w:t>
      </w:r>
    </w:p>
    <w:p w14:paraId="50B4B4ED" w14:textId="77777777" w:rsidR="003B5F50" w:rsidRDefault="000D2D85">
      <w:pPr>
        <w:pStyle w:val="NormalWeb"/>
        <w:rPr>
          <w:noProof/>
        </w:rPr>
      </w:pPr>
      <w:r>
        <w:rPr>
          <w:noProof/>
        </w:rPr>
        <w:t>Le système de surveillance des prestations sociales est fragmenté et inefficace. La surveillance et le contrôle sont actuellement effectués par différentes autorités aux niveaux national et régional sans une répartition claire des compétences. Les capacités de surveillance sont insuffisantes. Les soins informels et l'assistance personnelle, en particulier les soins à domicile fournis par les membres de la famille, ne sont pas couverts.</w:t>
      </w:r>
    </w:p>
    <w:p w14:paraId="50B4B4EE" w14:textId="3879A53D" w:rsidR="003B5F50" w:rsidRDefault="000D2D85">
      <w:pPr>
        <w:pStyle w:val="NormalWeb"/>
        <w:rPr>
          <w:rFonts w:eastAsia="Times New Roman"/>
          <w:noProof/>
        </w:rPr>
      </w:pPr>
      <w:r>
        <w:rPr>
          <w:noProof/>
        </w:rPr>
        <w:t>Cette réforme consolide le contrôle de la protection sociale. Une autorité de contrôle unifiée est instituée. Il supervise la fourniture de services sociaux et leur qualité, la qualité et l’étendue de l’assistance aux personnes bénéficiant d’un budget personnel pour les besoins en soins, ainsi que la fourniture de soins de santé dans le cadre des services sociaux (en collaboration avec l’autorité de surveillance des soins de santé). La qualité des soins est évaluée selon une méthodologie élaborée conformément à la boîte à outils de l’OMS sur les droits à la qualité. La mesure fournit également l’infrastructure nécessaire au nouveau système de surveillance, composé du siège et de huit succursales régionales, y compris des locaux, des véhicules et du matériel informatique.</w:t>
      </w:r>
    </w:p>
    <w:p w14:paraId="50B4B4EF" w14:textId="77777777" w:rsidR="003B5F50" w:rsidRDefault="000D2D85">
      <w:pPr>
        <w:pStyle w:val="NormalWeb"/>
        <w:rPr>
          <w:rFonts w:eastAsia="Times New Roman"/>
          <w:noProof/>
        </w:rPr>
      </w:pPr>
      <w:r>
        <w:rPr>
          <w:noProof/>
        </w:rPr>
        <w:t>La mise en œuvre de la réforme est achevée au plus tard le 31 mars 2024.</w:t>
      </w:r>
    </w:p>
    <w:p w14:paraId="50B4B4F0" w14:textId="77777777" w:rsidR="003B5F50" w:rsidRDefault="000D2D85">
      <w:pPr>
        <w:pStyle w:val="P68B1DB1-Normal19"/>
        <w:spacing w:before="120" w:after="120" w:line="240" w:lineRule="auto"/>
        <w:jc w:val="both"/>
        <w:rPr>
          <w:rFonts w:eastAsia="Times New Roman" w:cs="Times New Roman"/>
          <w:noProof/>
        </w:rPr>
      </w:pPr>
      <w:r>
        <w:rPr>
          <w:noProof/>
        </w:rPr>
        <w:t>Investissement 1: Renforcement des capacités de prise en charge sociale de proximité</w:t>
      </w:r>
    </w:p>
    <w:p w14:paraId="50B4B4F1" w14:textId="77777777" w:rsidR="003B5F50" w:rsidRDefault="000D2D85">
      <w:pPr>
        <w:pStyle w:val="P68B1DB1-Normal49"/>
        <w:spacing w:before="120" w:after="120" w:line="240" w:lineRule="auto"/>
        <w:jc w:val="both"/>
        <w:rPr>
          <w:noProof/>
        </w:rPr>
      </w:pPr>
      <w:r>
        <w:rPr>
          <w:noProof/>
        </w:rPr>
        <w:t xml:space="preserve">L'objectif de cet investissement est de remédier au déséquilibre des services sociaux en Slovaquie en mettant l'accent non plus sur les soins résidentiels à grande échelle, mais sur l'amélioration des établissements communautaires et ambulatoires. </w:t>
      </w:r>
    </w:p>
    <w:p w14:paraId="50B4B4F2" w14:textId="77777777" w:rsidR="003B5F50" w:rsidRDefault="000D2D85">
      <w:pPr>
        <w:pStyle w:val="P68B1DB1-Normal49"/>
        <w:spacing w:before="120" w:after="120" w:line="240" w:lineRule="auto"/>
        <w:jc w:val="both"/>
        <w:rPr>
          <w:noProof/>
        </w:rPr>
      </w:pPr>
      <w:r>
        <w:rPr>
          <w:noProof/>
        </w:rPr>
        <w:t>La mesure consiste en la création d'unités de capacité dans des établissements communautaires de soins de santé et de soins sociaux de faible capacité et dans des établissements de soins ambulatoires.</w:t>
      </w:r>
    </w:p>
    <w:p w14:paraId="50B4B4F3" w14:textId="77777777" w:rsidR="003B5F50" w:rsidRDefault="000D2D85">
      <w:pPr>
        <w:pStyle w:val="P68B1DB1-Normal19"/>
        <w:spacing w:before="120" w:after="120" w:line="240" w:lineRule="auto"/>
        <w:jc w:val="both"/>
        <w:rPr>
          <w:rFonts w:eastAsia="Times New Roman" w:cs="Times New Roman"/>
          <w:noProof/>
        </w:rPr>
      </w:pPr>
      <w:r>
        <w:rPr>
          <w:noProof/>
        </w:rPr>
        <w:t>Investissement 2: Extension et renouvellement des capacités de soins post-hospitaliers et infirmiers</w:t>
      </w:r>
    </w:p>
    <w:p w14:paraId="50B4B4F4" w14:textId="77777777" w:rsidR="003B5F50" w:rsidRDefault="000D2D85">
      <w:pPr>
        <w:pStyle w:val="P68B1DB1-Normal49"/>
        <w:spacing w:before="120" w:after="120" w:line="240" w:lineRule="auto"/>
        <w:jc w:val="both"/>
        <w:rPr>
          <w:noProof/>
        </w:rPr>
      </w:pPr>
      <w:r>
        <w:rPr>
          <w:noProof/>
        </w:rPr>
        <w:t xml:space="preserve">L'objectif de cet investissement est d'améliorer les soins après l'hospitalisation des patients et de renforcer les capacités de soins infirmiers à domicile afin de réduire les réhospitalisations inutiles. </w:t>
      </w:r>
    </w:p>
    <w:p w14:paraId="50B4B4F5" w14:textId="77777777" w:rsidR="003B5F50" w:rsidRDefault="000D2D85">
      <w:pPr>
        <w:pStyle w:val="P68B1DB1-Normal49"/>
        <w:spacing w:before="120" w:after="120" w:line="240" w:lineRule="auto"/>
        <w:jc w:val="both"/>
        <w:rPr>
          <w:noProof/>
        </w:rPr>
      </w:pPr>
      <w:r>
        <w:rPr>
          <w:noProof/>
        </w:rPr>
        <w:t>La mesure consiste à créer de nouveaux lits de soins post-hospitaliers et à soutenir les prestataires de soins à domicile en en créant de nouveaux et en équipant les installations existantes.</w:t>
      </w:r>
    </w:p>
    <w:p w14:paraId="50B4B4F6" w14:textId="77777777" w:rsidR="003B5F50" w:rsidRDefault="000D2D85">
      <w:pPr>
        <w:pStyle w:val="P68B1DB1-Normal19"/>
        <w:spacing w:before="120" w:after="120" w:line="240" w:lineRule="auto"/>
        <w:jc w:val="both"/>
        <w:rPr>
          <w:noProof/>
        </w:rPr>
      </w:pPr>
      <w:r>
        <w:rPr>
          <w:noProof/>
        </w:rPr>
        <w:t xml:space="preserve">Investissement 3: Renforcement et rétablissement des capacités en matière de soins palliatifs </w:t>
      </w:r>
    </w:p>
    <w:p w14:paraId="50B4B4F7" w14:textId="77777777" w:rsidR="003B5F50" w:rsidRDefault="000D2D85">
      <w:pPr>
        <w:pStyle w:val="P68B1DB1-Normal49"/>
        <w:spacing w:before="120" w:after="120" w:line="240" w:lineRule="auto"/>
        <w:jc w:val="both"/>
        <w:rPr>
          <w:noProof/>
        </w:rPr>
      </w:pPr>
      <w:r>
        <w:rPr>
          <w:noProof/>
        </w:rPr>
        <w:t xml:space="preserve">L'objectif de cet investissement est d'améliorer le réseau de services palliatifs pour les patients atteints de maladies en phase terminale. </w:t>
      </w:r>
    </w:p>
    <w:p w14:paraId="50B4B4F8" w14:textId="77777777" w:rsidR="003B5F50" w:rsidRDefault="000D2D85">
      <w:pPr>
        <w:pStyle w:val="P68B1DB1-Normal49"/>
        <w:spacing w:before="120" w:after="120" w:line="240" w:lineRule="auto"/>
        <w:jc w:val="both"/>
        <w:rPr>
          <w:noProof/>
        </w:rPr>
      </w:pPr>
      <w:r>
        <w:rPr>
          <w:noProof/>
        </w:rPr>
        <w:t>La mesure consiste à créer de nouveaux lits de soins palliatifs dans les hospices de faible capacité, à améliorer les services de soins palliatifs hospitaliers et à étendre les services mobiles de soins palliatifs en créant de nouveaux hospices mobiles et en modernisant les hospices existants.</w:t>
      </w:r>
    </w:p>
    <w:p w14:paraId="50B4B4F9" w14:textId="77777777" w:rsidR="003B5F50" w:rsidRDefault="003B5F50">
      <w:pPr>
        <w:spacing w:before="120" w:after="120" w:line="240" w:lineRule="auto"/>
        <w:jc w:val="both"/>
        <w:rPr>
          <w:rFonts w:ascii="Times New Roman" w:eastAsia="Times New Roman" w:hAnsi="Times New Roman"/>
          <w:noProof/>
        </w:rPr>
        <w:sectPr w:rsidR="003B5F50" w:rsidSect="003E3DD3">
          <w:headerReference w:type="even" r:id="rId161"/>
          <w:headerReference w:type="default" r:id="rId162"/>
          <w:footerReference w:type="even" r:id="rId163"/>
          <w:footerReference w:type="default" r:id="rId164"/>
          <w:headerReference w:type="first" r:id="rId165"/>
          <w:footerReference w:type="first" r:id="rId166"/>
          <w:pgSz w:w="11907" w:h="16839"/>
          <w:pgMar w:top="1134" w:right="1134" w:bottom="1134" w:left="1134" w:header="567" w:footer="567" w:gutter="0"/>
          <w:cols w:space="720"/>
          <w:docGrid w:linePitch="360"/>
        </w:sectPr>
      </w:pPr>
    </w:p>
    <w:p w14:paraId="50B4B4FA" w14:textId="77777777" w:rsidR="003B5F50" w:rsidRDefault="000D2D85">
      <w:pPr>
        <w:pStyle w:val="P68B1DB1-Normal44"/>
        <w:spacing w:before="120" w:after="120" w:line="240" w:lineRule="auto"/>
        <w:ind w:left="850"/>
        <w:jc w:val="both"/>
        <w:rPr>
          <w:noProof/>
        </w:rPr>
      </w:pPr>
      <w:r>
        <w:rPr>
          <w:noProof/>
        </w:rPr>
        <w:t xml:space="preserve">A.2. </w:t>
      </w:r>
      <w:r>
        <w:rPr>
          <w:noProof/>
        </w:rPr>
        <w:tab/>
        <w:t>Étapes, cibles, indicateurs et calendrier pour le suivi et la mise en œuvre du soutien financier non remboursable</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701"/>
        <w:gridCol w:w="738"/>
        <w:gridCol w:w="850"/>
        <w:gridCol w:w="1276"/>
        <w:gridCol w:w="1276"/>
        <w:gridCol w:w="1275"/>
        <w:gridCol w:w="993"/>
        <w:gridCol w:w="1275"/>
        <w:gridCol w:w="993"/>
        <w:gridCol w:w="2268"/>
      </w:tblGrid>
      <w:tr w:rsidR="003B5F50" w14:paraId="50B4B509" w14:textId="77777777" w:rsidTr="008A1F64">
        <w:trPr>
          <w:trHeight w:val="870"/>
          <w:tblHeader/>
        </w:trPr>
        <w:tc>
          <w:tcPr>
            <w:tcW w:w="817" w:type="dxa"/>
            <w:vMerge w:val="restart"/>
            <w:shd w:val="clear" w:color="auto" w:fill="BDD7EE"/>
            <w:vAlign w:val="center"/>
          </w:tcPr>
          <w:p w14:paraId="50B4B4FB" w14:textId="77777777" w:rsidR="003B5F50" w:rsidRDefault="000D2D85">
            <w:pPr>
              <w:pStyle w:val="P68B1DB1-Normal13"/>
              <w:jc w:val="center"/>
              <w:rPr>
                <w:noProof/>
                <w:szCs w:val="20"/>
              </w:rPr>
            </w:pPr>
            <w:r>
              <w:rPr>
                <w:noProof/>
              </w:rPr>
              <w:t>Seq. Num.</w:t>
            </w:r>
          </w:p>
          <w:p w14:paraId="50B4B4FC" w14:textId="77777777" w:rsidR="003B5F50" w:rsidRDefault="000D2D85">
            <w:pPr>
              <w:pStyle w:val="P68B1DB1-Normal13"/>
              <w:jc w:val="center"/>
              <w:rPr>
                <w:noProof/>
                <w:szCs w:val="20"/>
              </w:rPr>
            </w:pPr>
            <w:r>
              <w:rPr>
                <w:noProof/>
              </w:rPr>
              <w:t xml:space="preserve"> </w:t>
            </w:r>
          </w:p>
        </w:tc>
        <w:tc>
          <w:tcPr>
            <w:tcW w:w="1701" w:type="dxa"/>
            <w:vMerge w:val="restart"/>
            <w:shd w:val="clear" w:color="auto" w:fill="BDD7EE"/>
            <w:vAlign w:val="center"/>
          </w:tcPr>
          <w:p w14:paraId="50B4B4FD" w14:textId="77777777" w:rsidR="003B5F50" w:rsidRDefault="000D2D85">
            <w:pPr>
              <w:pStyle w:val="P68B1DB1-Normal13"/>
              <w:jc w:val="center"/>
              <w:rPr>
                <w:noProof/>
                <w:szCs w:val="20"/>
              </w:rPr>
            </w:pPr>
            <w:r>
              <w:rPr>
                <w:noProof/>
              </w:rPr>
              <w:t>Mesure connexe (réforme ou investissement)</w:t>
            </w:r>
          </w:p>
          <w:p w14:paraId="50B4B4FE" w14:textId="77777777" w:rsidR="003B5F50" w:rsidRDefault="000D2D85">
            <w:pPr>
              <w:pStyle w:val="P68B1DB1-Normal13"/>
              <w:jc w:val="center"/>
              <w:rPr>
                <w:noProof/>
                <w:szCs w:val="20"/>
              </w:rPr>
            </w:pPr>
            <w:r>
              <w:rPr>
                <w:noProof/>
              </w:rPr>
              <w:t xml:space="preserve"> </w:t>
            </w:r>
          </w:p>
        </w:tc>
        <w:tc>
          <w:tcPr>
            <w:tcW w:w="738" w:type="dxa"/>
            <w:vMerge w:val="restart"/>
            <w:shd w:val="clear" w:color="auto" w:fill="BDD7EE"/>
            <w:vAlign w:val="center"/>
          </w:tcPr>
          <w:p w14:paraId="50B4B4FF" w14:textId="77777777" w:rsidR="003B5F50" w:rsidRDefault="000D2D85">
            <w:pPr>
              <w:pStyle w:val="P68B1DB1-Normal13"/>
              <w:jc w:val="center"/>
              <w:rPr>
                <w:noProof/>
                <w:szCs w:val="20"/>
              </w:rPr>
            </w:pPr>
            <w:r>
              <w:rPr>
                <w:noProof/>
              </w:rPr>
              <w:t>Étape/cible</w:t>
            </w:r>
          </w:p>
          <w:p w14:paraId="50B4B500" w14:textId="77777777" w:rsidR="003B5F50" w:rsidRDefault="000D2D85">
            <w:pPr>
              <w:pStyle w:val="P68B1DB1-Normal13"/>
              <w:jc w:val="center"/>
              <w:rPr>
                <w:noProof/>
                <w:szCs w:val="20"/>
              </w:rPr>
            </w:pPr>
            <w:r>
              <w:rPr>
                <w:noProof/>
              </w:rPr>
              <w:t xml:space="preserve"> </w:t>
            </w:r>
          </w:p>
        </w:tc>
        <w:tc>
          <w:tcPr>
            <w:tcW w:w="850" w:type="dxa"/>
            <w:vMerge w:val="restart"/>
            <w:shd w:val="clear" w:color="auto" w:fill="BDD7EE"/>
            <w:vAlign w:val="center"/>
          </w:tcPr>
          <w:p w14:paraId="50B4B501" w14:textId="77777777" w:rsidR="003B5F50" w:rsidRDefault="000D2D85">
            <w:pPr>
              <w:pStyle w:val="P68B1DB1-Normal13"/>
              <w:jc w:val="center"/>
              <w:rPr>
                <w:noProof/>
                <w:szCs w:val="20"/>
              </w:rPr>
            </w:pPr>
            <w:r>
              <w:rPr>
                <w:noProof/>
              </w:rPr>
              <w:t>Nom</w:t>
            </w:r>
          </w:p>
          <w:p w14:paraId="50B4B502" w14:textId="77777777" w:rsidR="003B5F50" w:rsidRDefault="000D2D85">
            <w:pPr>
              <w:pStyle w:val="P68B1DB1-Normal13"/>
              <w:jc w:val="center"/>
              <w:rPr>
                <w:noProof/>
                <w:szCs w:val="20"/>
              </w:rPr>
            </w:pPr>
            <w:r>
              <w:rPr>
                <w:noProof/>
              </w:rPr>
              <w:t xml:space="preserve"> </w:t>
            </w:r>
          </w:p>
        </w:tc>
        <w:tc>
          <w:tcPr>
            <w:tcW w:w="1276" w:type="dxa"/>
            <w:vMerge w:val="restart"/>
            <w:shd w:val="clear" w:color="auto" w:fill="BDD7EE"/>
            <w:vAlign w:val="center"/>
          </w:tcPr>
          <w:p w14:paraId="50B4B503" w14:textId="77777777" w:rsidR="003B5F50" w:rsidRDefault="000D2D85">
            <w:pPr>
              <w:pStyle w:val="P68B1DB1-Normal13"/>
              <w:jc w:val="center"/>
              <w:rPr>
                <w:noProof/>
                <w:szCs w:val="20"/>
              </w:rPr>
            </w:pPr>
            <w:r>
              <w:rPr>
                <w:noProof/>
              </w:rPr>
              <w:t>Indicateurs qualitatifs (pour les jalons)</w:t>
            </w:r>
          </w:p>
          <w:p w14:paraId="50B4B504" w14:textId="77777777" w:rsidR="003B5F50" w:rsidRDefault="000D2D85">
            <w:pPr>
              <w:pStyle w:val="P68B1DB1-Normal13"/>
              <w:jc w:val="center"/>
              <w:rPr>
                <w:noProof/>
                <w:szCs w:val="20"/>
              </w:rPr>
            </w:pPr>
            <w:r>
              <w:rPr>
                <w:noProof/>
              </w:rPr>
              <w:t xml:space="preserve"> </w:t>
            </w:r>
          </w:p>
        </w:tc>
        <w:tc>
          <w:tcPr>
            <w:tcW w:w="3544" w:type="dxa"/>
            <w:gridSpan w:val="3"/>
            <w:shd w:val="clear" w:color="auto" w:fill="BDD7EE"/>
            <w:vAlign w:val="center"/>
          </w:tcPr>
          <w:p w14:paraId="50B4B505" w14:textId="77777777" w:rsidR="003B5F50" w:rsidRDefault="000D2D85">
            <w:pPr>
              <w:pStyle w:val="P68B1DB1-Normal13"/>
              <w:jc w:val="center"/>
              <w:rPr>
                <w:noProof/>
                <w:szCs w:val="20"/>
              </w:rPr>
            </w:pPr>
            <w:r>
              <w:rPr>
                <w:noProof/>
              </w:rPr>
              <w:t>Indicateurs quantitatifs (pour les objectifs)</w:t>
            </w:r>
          </w:p>
        </w:tc>
        <w:tc>
          <w:tcPr>
            <w:tcW w:w="2268" w:type="dxa"/>
            <w:gridSpan w:val="2"/>
            <w:shd w:val="clear" w:color="auto" w:fill="BDD7EE"/>
            <w:vAlign w:val="center"/>
          </w:tcPr>
          <w:p w14:paraId="50B4B506" w14:textId="77777777" w:rsidR="003B5F50" w:rsidRDefault="000D2D85">
            <w:pPr>
              <w:pStyle w:val="P68B1DB1-Normal13"/>
              <w:jc w:val="center"/>
              <w:rPr>
                <w:noProof/>
                <w:szCs w:val="20"/>
              </w:rPr>
            </w:pPr>
            <w:r>
              <w:rPr>
                <w:noProof/>
              </w:rPr>
              <w:t xml:space="preserve">Calendrier indicatif d'achèvement </w:t>
            </w:r>
          </w:p>
        </w:tc>
        <w:tc>
          <w:tcPr>
            <w:tcW w:w="2268" w:type="dxa"/>
            <w:vMerge w:val="restart"/>
            <w:shd w:val="clear" w:color="auto" w:fill="BDD7EE"/>
            <w:vAlign w:val="center"/>
          </w:tcPr>
          <w:p w14:paraId="50B4B507" w14:textId="77777777" w:rsidR="003B5F50" w:rsidRDefault="000D2D85">
            <w:pPr>
              <w:pStyle w:val="P68B1DB1-Normal13"/>
              <w:jc w:val="center"/>
              <w:rPr>
                <w:noProof/>
                <w:szCs w:val="20"/>
              </w:rPr>
            </w:pPr>
            <w:r>
              <w:rPr>
                <w:noProof/>
              </w:rPr>
              <w:t>Description et définition claire de chaque jalon et cible</w:t>
            </w:r>
          </w:p>
          <w:p w14:paraId="50B4B508" w14:textId="77777777" w:rsidR="003B5F50" w:rsidRDefault="000D2D85">
            <w:pPr>
              <w:pStyle w:val="P68B1DB1-Normal16"/>
              <w:rPr>
                <w:noProof/>
                <w:szCs w:val="20"/>
              </w:rPr>
            </w:pPr>
            <w:r>
              <w:rPr>
                <w:noProof/>
              </w:rPr>
              <w:t xml:space="preserve"> </w:t>
            </w:r>
          </w:p>
        </w:tc>
      </w:tr>
      <w:tr w:rsidR="003B5F50" w14:paraId="50B4B515" w14:textId="77777777" w:rsidTr="008A1F64">
        <w:trPr>
          <w:trHeight w:val="240"/>
          <w:tblHeader/>
        </w:trPr>
        <w:tc>
          <w:tcPr>
            <w:tcW w:w="817" w:type="dxa"/>
            <w:vMerge/>
            <w:vAlign w:val="center"/>
          </w:tcPr>
          <w:p w14:paraId="50B4B50A" w14:textId="77777777" w:rsidR="003B5F50" w:rsidRDefault="003B5F50">
            <w:pPr>
              <w:jc w:val="center"/>
              <w:rPr>
                <w:rFonts w:ascii="Times New Roman" w:hAnsi="Times New Roman"/>
                <w:noProof/>
                <w:sz w:val="20"/>
                <w:szCs w:val="20"/>
              </w:rPr>
            </w:pPr>
          </w:p>
        </w:tc>
        <w:tc>
          <w:tcPr>
            <w:tcW w:w="1701" w:type="dxa"/>
            <w:vMerge/>
            <w:vAlign w:val="center"/>
          </w:tcPr>
          <w:p w14:paraId="50B4B50B" w14:textId="77777777" w:rsidR="003B5F50" w:rsidRDefault="003B5F50">
            <w:pPr>
              <w:jc w:val="center"/>
              <w:rPr>
                <w:rFonts w:ascii="Times New Roman" w:hAnsi="Times New Roman"/>
                <w:noProof/>
                <w:sz w:val="20"/>
                <w:szCs w:val="20"/>
              </w:rPr>
            </w:pPr>
          </w:p>
        </w:tc>
        <w:tc>
          <w:tcPr>
            <w:tcW w:w="738" w:type="dxa"/>
            <w:vMerge/>
            <w:vAlign w:val="center"/>
          </w:tcPr>
          <w:p w14:paraId="50B4B50C" w14:textId="77777777" w:rsidR="003B5F50" w:rsidRDefault="003B5F50">
            <w:pPr>
              <w:jc w:val="center"/>
              <w:rPr>
                <w:rFonts w:ascii="Times New Roman" w:hAnsi="Times New Roman"/>
                <w:noProof/>
                <w:sz w:val="20"/>
                <w:szCs w:val="20"/>
              </w:rPr>
            </w:pPr>
          </w:p>
        </w:tc>
        <w:tc>
          <w:tcPr>
            <w:tcW w:w="850" w:type="dxa"/>
            <w:vMerge/>
            <w:vAlign w:val="center"/>
          </w:tcPr>
          <w:p w14:paraId="50B4B50D" w14:textId="77777777" w:rsidR="003B5F50" w:rsidRDefault="003B5F50">
            <w:pPr>
              <w:jc w:val="center"/>
              <w:rPr>
                <w:rFonts w:ascii="Times New Roman" w:hAnsi="Times New Roman"/>
                <w:noProof/>
                <w:sz w:val="20"/>
                <w:szCs w:val="20"/>
              </w:rPr>
            </w:pPr>
          </w:p>
        </w:tc>
        <w:tc>
          <w:tcPr>
            <w:tcW w:w="1276" w:type="dxa"/>
            <w:vMerge/>
            <w:vAlign w:val="center"/>
          </w:tcPr>
          <w:p w14:paraId="50B4B50E" w14:textId="77777777" w:rsidR="003B5F50" w:rsidRDefault="003B5F50">
            <w:pPr>
              <w:jc w:val="center"/>
              <w:rPr>
                <w:rFonts w:ascii="Times New Roman" w:hAnsi="Times New Roman"/>
                <w:noProof/>
                <w:sz w:val="20"/>
                <w:szCs w:val="20"/>
              </w:rPr>
            </w:pPr>
          </w:p>
        </w:tc>
        <w:tc>
          <w:tcPr>
            <w:tcW w:w="1276" w:type="dxa"/>
            <w:shd w:val="clear" w:color="auto" w:fill="BDD7EE"/>
            <w:vAlign w:val="center"/>
          </w:tcPr>
          <w:p w14:paraId="50B4B50F" w14:textId="77777777" w:rsidR="003B5F50" w:rsidRDefault="000D2D85">
            <w:pPr>
              <w:pStyle w:val="P68B1DB1-Normal13"/>
              <w:jc w:val="center"/>
              <w:rPr>
                <w:noProof/>
                <w:szCs w:val="20"/>
              </w:rPr>
            </w:pPr>
            <w:r>
              <w:rPr>
                <w:noProof/>
              </w:rPr>
              <w:t>Unité de mesure</w:t>
            </w:r>
          </w:p>
        </w:tc>
        <w:tc>
          <w:tcPr>
            <w:tcW w:w="1275" w:type="dxa"/>
            <w:shd w:val="clear" w:color="auto" w:fill="BDD7EE"/>
            <w:vAlign w:val="center"/>
          </w:tcPr>
          <w:p w14:paraId="50B4B510" w14:textId="77777777" w:rsidR="003B5F50" w:rsidRDefault="000D2D85">
            <w:pPr>
              <w:pStyle w:val="P68B1DB1-Normal13"/>
              <w:jc w:val="center"/>
              <w:rPr>
                <w:noProof/>
                <w:szCs w:val="20"/>
              </w:rPr>
            </w:pPr>
            <w:r>
              <w:rPr>
                <w:noProof/>
              </w:rPr>
              <w:t>Données de référence</w:t>
            </w:r>
          </w:p>
        </w:tc>
        <w:tc>
          <w:tcPr>
            <w:tcW w:w="993" w:type="dxa"/>
            <w:shd w:val="clear" w:color="auto" w:fill="BDD7EE"/>
            <w:vAlign w:val="center"/>
          </w:tcPr>
          <w:p w14:paraId="50B4B511" w14:textId="77777777" w:rsidR="003B5F50" w:rsidRDefault="000D2D85">
            <w:pPr>
              <w:pStyle w:val="P68B1DB1-Normal13"/>
              <w:jc w:val="center"/>
              <w:rPr>
                <w:noProof/>
                <w:szCs w:val="20"/>
              </w:rPr>
            </w:pPr>
            <w:r>
              <w:rPr>
                <w:noProof/>
              </w:rPr>
              <w:t>Objectif</w:t>
            </w:r>
          </w:p>
        </w:tc>
        <w:tc>
          <w:tcPr>
            <w:tcW w:w="1275" w:type="dxa"/>
            <w:shd w:val="clear" w:color="auto" w:fill="BDD7EE"/>
            <w:vAlign w:val="center"/>
          </w:tcPr>
          <w:p w14:paraId="50B4B512" w14:textId="77777777" w:rsidR="003B5F50" w:rsidRDefault="000D2D85">
            <w:pPr>
              <w:pStyle w:val="P68B1DB1-Normal13"/>
              <w:jc w:val="center"/>
              <w:rPr>
                <w:noProof/>
                <w:szCs w:val="20"/>
              </w:rPr>
            </w:pPr>
            <w:r>
              <w:rPr>
                <w:noProof/>
              </w:rPr>
              <w:t>Trimestre</w:t>
            </w:r>
          </w:p>
        </w:tc>
        <w:tc>
          <w:tcPr>
            <w:tcW w:w="993" w:type="dxa"/>
            <w:shd w:val="clear" w:color="auto" w:fill="BDD7EE"/>
            <w:vAlign w:val="center"/>
          </w:tcPr>
          <w:p w14:paraId="50B4B513" w14:textId="77777777" w:rsidR="003B5F50" w:rsidRDefault="000D2D85">
            <w:pPr>
              <w:pStyle w:val="P68B1DB1-Normal13"/>
              <w:jc w:val="center"/>
              <w:rPr>
                <w:noProof/>
                <w:szCs w:val="20"/>
              </w:rPr>
            </w:pPr>
            <w:r>
              <w:rPr>
                <w:noProof/>
              </w:rPr>
              <w:t>Année</w:t>
            </w:r>
          </w:p>
        </w:tc>
        <w:tc>
          <w:tcPr>
            <w:tcW w:w="2268" w:type="dxa"/>
            <w:vMerge/>
            <w:vAlign w:val="center"/>
          </w:tcPr>
          <w:p w14:paraId="50B4B514" w14:textId="77777777" w:rsidR="003B5F50" w:rsidRDefault="003B5F50">
            <w:pPr>
              <w:rPr>
                <w:rFonts w:ascii="Times New Roman" w:hAnsi="Times New Roman"/>
                <w:noProof/>
                <w:sz w:val="20"/>
                <w:szCs w:val="20"/>
              </w:rPr>
            </w:pPr>
          </w:p>
        </w:tc>
      </w:tr>
      <w:tr w:rsidR="003B5F50" w14:paraId="50B4B522" w14:textId="77777777" w:rsidTr="008A1F64">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16" w14:textId="77777777" w:rsidR="003B5F50" w:rsidRDefault="000D2D85">
            <w:pPr>
              <w:pStyle w:val="P68B1DB1-Normal14"/>
              <w:rPr>
                <w:noProof/>
                <w:szCs w:val="20"/>
              </w:rPr>
            </w:pPr>
            <w:r>
              <w:rPr>
                <w:noProof/>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17" w14:textId="77777777" w:rsidR="003B5F50" w:rsidRDefault="000D2D85">
            <w:pPr>
              <w:pStyle w:val="P68B1DB1-Normal14"/>
              <w:rPr>
                <w:noProof/>
                <w:szCs w:val="20"/>
              </w:rPr>
            </w:pPr>
            <w:r>
              <w:rPr>
                <w:noProof/>
              </w:rPr>
              <w:t>13 – Soins sociosanitaires de longue durée accessibles et de qualité – Réforme 1: Soins socio-sanitaires de longue durée disponibles et de qualité – Réforme de l’intégration et du financement des soins sociaux et de santé de longue durée</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18" w14:textId="77777777" w:rsidR="003B5F50" w:rsidRDefault="000D2D85">
            <w:pPr>
              <w:pStyle w:val="P68B1DB1-Normal14"/>
              <w:rPr>
                <w:noProof/>
                <w:szCs w:val="20"/>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19" w14:textId="77777777" w:rsidR="003B5F50" w:rsidRDefault="000D2D85">
            <w:pPr>
              <w:pStyle w:val="P68B1DB1-Normal14"/>
              <w:rPr>
                <w:noProof/>
                <w:szCs w:val="20"/>
              </w:rPr>
            </w:pPr>
            <w:r>
              <w:rPr>
                <w:noProof/>
              </w:rPr>
              <w:t>Nouveau cadre législatif pour la santé à long terme et les soins palliatifs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1A" w14:textId="77777777" w:rsidR="003B5F50" w:rsidRDefault="000D2D85">
            <w:pPr>
              <w:pStyle w:val="P68B1DB1-Normal14"/>
              <w:rPr>
                <w:noProof/>
                <w:szCs w:val="20"/>
              </w:rPr>
            </w:pPr>
            <w:r>
              <w:rPr>
                <w:noProof/>
              </w:rPr>
              <w:t>Entrée en vigueur d'une nouvelle loi sur les soins palliatifs et de longue durée et de la réglementation du financement des soins palliatifs et infirmiers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1B" w14:textId="77777777" w:rsidR="003B5F50" w:rsidRDefault="000D2D85">
            <w:pPr>
              <w:pStyle w:val="P68B1DB1-Normal14"/>
              <w:rPr>
                <w:noProof/>
                <w:szCs w:val="20"/>
              </w:rPr>
            </w:pPr>
            <w:r>
              <w:rPr>
                <w:noProof/>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1C" w14:textId="77777777" w:rsidR="003B5F50" w:rsidRDefault="000D2D85">
            <w:pPr>
              <w:pStyle w:val="P68B1DB1-Normal14"/>
              <w:rPr>
                <w:noProof/>
                <w:szCs w:val="20"/>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1D" w14:textId="77777777" w:rsidR="003B5F50" w:rsidRDefault="000D2D85">
            <w:pPr>
              <w:pStyle w:val="P68B1DB1-Normal14"/>
              <w:rPr>
                <w:noProof/>
                <w:szCs w:val="20"/>
              </w:rPr>
            </w:pPr>
            <w:r>
              <w:rPr>
                <w:noProof/>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1E" w14:textId="77777777" w:rsidR="003B5F50" w:rsidRDefault="000D2D85">
            <w:pPr>
              <w:pStyle w:val="P68B1DB1-Normal14"/>
              <w:rPr>
                <w:noProof/>
                <w:szCs w:val="20"/>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1F" w14:textId="77777777" w:rsidR="003B5F50" w:rsidRDefault="000D2D85">
            <w:pPr>
              <w:pStyle w:val="P68B1DB1-Normal14"/>
              <w:rPr>
                <w:noProof/>
                <w:szCs w:val="20"/>
              </w:rPr>
            </w:pPr>
            <w:r>
              <w:rPr>
                <w:noProof/>
              </w:rPr>
              <w:t>2023</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20" w14:textId="77777777" w:rsidR="003B5F50" w:rsidRDefault="000D2D85">
            <w:pPr>
              <w:pStyle w:val="P68B1DB1-Normal14"/>
              <w:rPr>
                <w:noProof/>
                <w:szCs w:val="20"/>
              </w:rPr>
            </w:pPr>
            <w:r>
              <w:rPr>
                <w:noProof/>
              </w:rPr>
              <w:t xml:space="preserve">La première phase de la mise en œuvre de la réforme consiste à réglementer le remboursement par les compagnies d'assurance maladie des soins infirmiers dans les établissements de services sociaux, les modalités du contrat de soins infirmiers par les compagnies d'assurance et l'ajustement des remboursements par les compagnies d'assurance maladie pour les soins palliatifs, ambulatoires et hospitaliers. L’adoption de cette modification législative est prévue pour le premier trimestre 2022. </w:t>
            </w:r>
          </w:p>
          <w:p w14:paraId="50B4B521" w14:textId="77777777" w:rsidR="003B5F50" w:rsidRDefault="000D2D85">
            <w:pPr>
              <w:pStyle w:val="P68B1DB1-Normal14"/>
              <w:rPr>
                <w:noProof/>
                <w:szCs w:val="20"/>
              </w:rPr>
            </w:pPr>
            <w:r>
              <w:rPr>
                <w:noProof/>
              </w:rPr>
              <w:t>La prochaine phase de mise en œuvre consiste à élaborer et à approuver une nouvelle législation. Une nouvelle loi sur la santé définit le champ d'application des soins de santé et des soins palliatifs à long terme et définit les soins après-soins et leur lien avec d'autres types de soins. Cette loi sera adoptée d’ici au premier trimestre 2023. Les modifications législatives réglementent les domaines actuellement définis par la loi no 576/2004 sur les soins de santé et les services liés à la prestation de soins de santé.</w:t>
            </w:r>
          </w:p>
        </w:tc>
      </w:tr>
      <w:tr w:rsidR="003B5F50" w14:paraId="50B4B52E" w14:textId="77777777" w:rsidTr="008A1F64">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23" w14:textId="77777777" w:rsidR="003B5F50" w:rsidRDefault="000D2D85">
            <w:pPr>
              <w:pStyle w:val="P68B1DB1-Normal14"/>
              <w:rPr>
                <w:noProof/>
                <w:szCs w:val="20"/>
              </w:rPr>
            </w:pPr>
            <w:r>
              <w:rPr>
                <w:noProof/>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24" w14:textId="77777777" w:rsidR="003B5F50" w:rsidRDefault="000D2D85">
            <w:pPr>
              <w:pStyle w:val="P68B1DB1-Normal14"/>
              <w:rPr>
                <w:noProof/>
                <w:szCs w:val="20"/>
              </w:rPr>
            </w:pPr>
            <w:r>
              <w:rPr>
                <w:noProof/>
              </w:rPr>
              <w:t>13 – Soins sociosanitaires de longue durée accessibles et de qualité – Réforme 1: Soins sociosanitaires de longue durée disponibles et de qualité – Réforme de l’intégration et du financement des soins sociaux et de santé de longue durée</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25" w14:textId="77777777" w:rsidR="003B5F50" w:rsidRDefault="000D2D85">
            <w:pPr>
              <w:pStyle w:val="P68B1DB1-Normal14"/>
              <w:rPr>
                <w:noProof/>
                <w:szCs w:val="20"/>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26" w14:textId="77777777" w:rsidR="003B5F50" w:rsidRDefault="000D2D85">
            <w:pPr>
              <w:pStyle w:val="P68B1DB1-Normal14"/>
              <w:rPr>
                <w:noProof/>
                <w:szCs w:val="20"/>
              </w:rPr>
            </w:pPr>
            <w:r>
              <w:rPr>
                <w:noProof/>
              </w:rPr>
              <w:t>Publication du concept de financement des services sociaux pour le débat public</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27" w14:textId="77777777" w:rsidR="003B5F50" w:rsidRDefault="000D2D85">
            <w:pPr>
              <w:pStyle w:val="P68B1DB1-Normal14"/>
              <w:rPr>
                <w:noProof/>
                <w:szCs w:val="20"/>
              </w:rPr>
            </w:pPr>
            <w:r>
              <w:rPr>
                <w:noProof/>
              </w:rPr>
              <w:t>Concept publié sur le financement des services sociaux</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28" w14:textId="77777777" w:rsidR="003B5F50" w:rsidRDefault="000D2D85">
            <w:pPr>
              <w:pStyle w:val="P68B1DB1-Normal14"/>
              <w:rPr>
                <w:noProof/>
                <w:szCs w:val="20"/>
              </w:rPr>
            </w:pPr>
            <w:r>
              <w:rPr>
                <w:noProof/>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29" w14:textId="77777777" w:rsidR="003B5F50" w:rsidRDefault="000D2D85">
            <w:pPr>
              <w:pStyle w:val="P68B1DB1-Normal14"/>
              <w:rPr>
                <w:noProof/>
                <w:szCs w:val="20"/>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2A" w14:textId="77777777" w:rsidR="003B5F50" w:rsidRDefault="000D2D85">
            <w:pPr>
              <w:pStyle w:val="P68B1DB1-Normal14"/>
              <w:rPr>
                <w:noProof/>
                <w:szCs w:val="20"/>
              </w:rPr>
            </w:pPr>
            <w:r>
              <w:rPr>
                <w:noProof/>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2B" w14:textId="77777777" w:rsidR="003B5F50" w:rsidRDefault="000D2D85">
            <w:pPr>
              <w:pStyle w:val="P68B1DB1-Normal14"/>
              <w:rPr>
                <w:noProof/>
                <w:szCs w:val="20"/>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2C" w14:textId="77777777" w:rsidR="003B5F50" w:rsidRDefault="000D2D85">
            <w:pPr>
              <w:pStyle w:val="P68B1DB1-Normal14"/>
              <w:rPr>
                <w:noProof/>
                <w:szCs w:val="20"/>
              </w:rPr>
            </w:pPr>
            <w:r>
              <w:rPr>
                <w:noProof/>
              </w:rPr>
              <w:t>2023</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2D" w14:textId="77777777" w:rsidR="003B5F50" w:rsidRDefault="000D2D85">
            <w:pPr>
              <w:pStyle w:val="P68B1DB1-Normal14"/>
              <w:rPr>
                <w:noProof/>
                <w:szCs w:val="20"/>
              </w:rPr>
            </w:pPr>
            <w:r>
              <w:rPr>
                <w:noProof/>
              </w:rPr>
              <w:t>À la suite de la première phase de préparation de la réforme du financement des services sociaux, un nouveau concept de financement des services sociaux sera proposé par le ministère du travail, des affaires sociales et de la famille de la République slovaque pour consultation des parties prenantes.</w:t>
            </w:r>
          </w:p>
        </w:tc>
      </w:tr>
      <w:tr w:rsidR="003B5F50" w14:paraId="50B4B53B" w14:textId="77777777" w:rsidTr="008A1F64">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2F" w14:textId="77777777" w:rsidR="003B5F50" w:rsidRDefault="000D2D85">
            <w:pPr>
              <w:pStyle w:val="P68B1DB1-Normal14"/>
              <w:rPr>
                <w:noProof/>
                <w:szCs w:val="20"/>
              </w:rPr>
            </w:pPr>
            <w:r>
              <w:rPr>
                <w:noProof/>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30" w14:textId="77777777" w:rsidR="003B5F50" w:rsidRDefault="000D2D85">
            <w:pPr>
              <w:pStyle w:val="P68B1DB1-Normal14"/>
              <w:rPr>
                <w:noProof/>
                <w:szCs w:val="20"/>
              </w:rPr>
            </w:pPr>
            <w:r>
              <w:rPr>
                <w:noProof/>
              </w:rPr>
              <w:t>13 – Soins sociosanitaires de longue durée accessibles et de qualité – Réforme 1: Soins socio-sanitaires de longue durée disponibles et de qualité – Réforme de l’intégration et du financement des soins sociaux et de santé de longue durée</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31" w14:textId="77777777" w:rsidR="003B5F50" w:rsidRDefault="000D2D85">
            <w:pPr>
              <w:pStyle w:val="P68B1DB1-Normal14"/>
              <w:rPr>
                <w:noProof/>
                <w:szCs w:val="20"/>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32" w14:textId="77777777" w:rsidR="003B5F50" w:rsidRDefault="000D2D85">
            <w:pPr>
              <w:pStyle w:val="P68B1DB1-Normal14"/>
              <w:rPr>
                <w:noProof/>
                <w:szCs w:val="20"/>
              </w:rPr>
            </w:pPr>
            <w:r>
              <w:rPr>
                <w:noProof/>
              </w:rPr>
              <w:t>Le nouveau système de financement des services sociaux – introduction d’un budget personnel</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33" w14:textId="77777777" w:rsidR="003B5F50" w:rsidRDefault="000D2D85">
            <w:pPr>
              <w:pStyle w:val="P68B1DB1-Normal14"/>
              <w:rPr>
                <w:noProof/>
                <w:szCs w:val="20"/>
              </w:rPr>
            </w:pPr>
            <w:r>
              <w:rPr>
                <w:noProof/>
              </w:rPr>
              <w:t>Disposition indiquant l'entrée en vigueur de la loi sur le financement des services sociaux</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34" w14:textId="77777777" w:rsidR="003B5F50" w:rsidRDefault="000D2D85">
            <w:pPr>
              <w:pStyle w:val="P68B1DB1-Normal14"/>
              <w:rPr>
                <w:noProof/>
                <w:szCs w:val="20"/>
              </w:rPr>
            </w:pPr>
            <w:r>
              <w:rPr>
                <w:noProof/>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35" w14:textId="77777777" w:rsidR="003B5F50" w:rsidRDefault="000D2D85">
            <w:pPr>
              <w:pStyle w:val="P68B1DB1-Normal14"/>
              <w:rPr>
                <w:noProof/>
                <w:szCs w:val="20"/>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36" w14:textId="77777777" w:rsidR="003B5F50" w:rsidRDefault="000D2D85">
            <w:pPr>
              <w:pStyle w:val="P68B1DB1-Normal14"/>
              <w:rPr>
                <w:noProof/>
                <w:szCs w:val="20"/>
              </w:rPr>
            </w:pPr>
            <w:r>
              <w:rPr>
                <w:noProof/>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37" w14:textId="77777777" w:rsidR="003B5F50" w:rsidRDefault="000D2D85">
            <w:pPr>
              <w:pStyle w:val="P68B1DB1-Normal14"/>
              <w:rPr>
                <w:noProof/>
                <w:szCs w:val="20"/>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38" w14:textId="77777777" w:rsidR="003B5F50" w:rsidRDefault="000D2D85">
            <w:pPr>
              <w:pStyle w:val="P68B1DB1-Normal15"/>
              <w:rPr>
                <w:noProof/>
              </w:rPr>
            </w:pPr>
            <w:r>
              <w:rPr>
                <w:noProof/>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39" w14:textId="77777777" w:rsidR="003B5F50" w:rsidRDefault="000D2D85">
            <w:pPr>
              <w:pStyle w:val="P68B1DB1-Normal15"/>
              <w:rPr>
                <w:noProof/>
              </w:rPr>
            </w:pPr>
            <w:r>
              <w:rPr>
                <w:noProof/>
              </w:rPr>
              <w:t xml:space="preserve">Disposition indiquant l'entrée en vigueur de la législation sur les services sociaux qui instaure un nouveau système de financement fondé sur un budget personnel pour la personne démunie. </w:t>
            </w:r>
          </w:p>
          <w:p w14:paraId="50B4B53A" w14:textId="77777777" w:rsidR="003B5F50" w:rsidRDefault="000D2D85">
            <w:pPr>
              <w:pStyle w:val="P68B1DB1-Normal15"/>
              <w:rPr>
                <w:noProof/>
              </w:rPr>
            </w:pPr>
            <w:r>
              <w:rPr>
                <w:noProof/>
              </w:rPr>
              <w:t>Une période transitoire, pour l'entrée en vigueur progressive, s'applique. Cette période transitoire commence avec la publication de l’acte au Journal officiel et se termine au plus tard le 31 décembre 2026.</w:t>
            </w:r>
          </w:p>
        </w:tc>
      </w:tr>
      <w:tr w:rsidR="003B5F50" w14:paraId="50B4B549" w14:textId="77777777" w:rsidTr="008A1F64">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3C" w14:textId="77777777" w:rsidR="003B5F50" w:rsidRDefault="000D2D85">
            <w:pPr>
              <w:pStyle w:val="P68B1DB1-Normal14"/>
              <w:rPr>
                <w:noProof/>
                <w:szCs w:val="20"/>
              </w:rPr>
            </w:pPr>
            <w:r>
              <w:rPr>
                <w:noProof/>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3D" w14:textId="77777777" w:rsidR="003B5F50" w:rsidRDefault="000D2D85">
            <w:pPr>
              <w:pStyle w:val="P68B1DB1-Normal14"/>
              <w:rPr>
                <w:noProof/>
                <w:szCs w:val="20"/>
              </w:rPr>
            </w:pPr>
            <w:r>
              <w:rPr>
                <w:noProof/>
              </w:rPr>
              <w:t>13 – Soins sociosanitaires de longue durée accessibles et de qualité – Réforme 2: Soins sociosanitaires de longue durée disponibles et de qualité – Évaluation des besoins en matière de soins</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3E" w14:textId="77777777" w:rsidR="003B5F50" w:rsidRDefault="000D2D85">
            <w:pPr>
              <w:pStyle w:val="P68B1DB1-Normal14"/>
              <w:rPr>
                <w:noProof/>
                <w:szCs w:val="20"/>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3F" w14:textId="77777777" w:rsidR="003B5F50" w:rsidRDefault="000D2D85">
            <w:pPr>
              <w:pStyle w:val="P68B1DB1-Normal14"/>
              <w:rPr>
                <w:noProof/>
                <w:szCs w:val="20"/>
              </w:rPr>
            </w:pPr>
            <w:r>
              <w:rPr>
                <w:noProof/>
              </w:rPr>
              <w:t>Unification du système d'évaluation</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40" w14:textId="77777777" w:rsidR="003B5F50" w:rsidRDefault="000D2D85">
            <w:pPr>
              <w:pStyle w:val="P68B1DB1-Normal14"/>
              <w:rPr>
                <w:noProof/>
                <w:szCs w:val="20"/>
              </w:rPr>
            </w:pPr>
            <w:r>
              <w:rPr>
                <w:noProof/>
              </w:rPr>
              <w:t>Entrée en vigueur de la loi sur les services sociaux et modification de la loi 447/2008 sur l'indemnisation des personnes gravement handicapées</w:t>
            </w:r>
          </w:p>
          <w:p w14:paraId="50B4B541" w14:textId="77777777" w:rsidR="003B5F50" w:rsidRDefault="000D2D85">
            <w:pPr>
              <w:pStyle w:val="P68B1DB1-Normal14"/>
              <w:rPr>
                <w:noProof/>
                <w:szCs w:val="20"/>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42" w14:textId="77777777" w:rsidR="003B5F50" w:rsidRDefault="000D2D85">
            <w:pPr>
              <w:pStyle w:val="P68B1DB1-Normal14"/>
              <w:rPr>
                <w:noProof/>
                <w:szCs w:val="20"/>
              </w:rPr>
            </w:pPr>
            <w:r>
              <w:rPr>
                <w:noProof/>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43" w14:textId="77777777" w:rsidR="003B5F50" w:rsidRDefault="000D2D85">
            <w:pPr>
              <w:pStyle w:val="P68B1DB1-Normal14"/>
              <w:rPr>
                <w:noProof/>
                <w:szCs w:val="20"/>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44" w14:textId="77777777" w:rsidR="003B5F50" w:rsidRDefault="000D2D85">
            <w:pPr>
              <w:pStyle w:val="P68B1DB1-Normal14"/>
              <w:rPr>
                <w:noProof/>
                <w:szCs w:val="20"/>
              </w:rPr>
            </w:pPr>
            <w:r>
              <w:rPr>
                <w:noProof/>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45" w14:textId="77777777" w:rsidR="003B5F50" w:rsidRDefault="000D2D85">
            <w:pPr>
              <w:pStyle w:val="P68B1DB1-Normal14"/>
              <w:rPr>
                <w:noProof/>
                <w:szCs w:val="20"/>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46" w14:textId="77777777" w:rsidR="003B5F50" w:rsidRDefault="000D2D85">
            <w:pPr>
              <w:pStyle w:val="P68B1DB1-Normal14"/>
              <w:rPr>
                <w:noProof/>
                <w:szCs w:val="20"/>
              </w:rPr>
            </w:pPr>
            <w:r>
              <w:rPr>
                <w:noProof/>
              </w:rPr>
              <w:t>2024</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47" w14:textId="77777777" w:rsidR="003B5F50" w:rsidRDefault="000D2D85">
            <w:pPr>
              <w:pStyle w:val="P68B1DB1-Normal15"/>
              <w:rPr>
                <w:noProof/>
              </w:rPr>
            </w:pPr>
            <w:r>
              <w:rPr>
                <w:noProof/>
              </w:rPr>
              <w:t xml:space="preserve">Entrée en vigueur de la législation sur les services sociaux qui regroupe les travaux d'évaluation réalisés jusqu'à présent par divers organismes et, en même temps, modifie la loi n° 447/2008 sur l'indemnisation des personnes gravement handicapées. </w:t>
            </w:r>
          </w:p>
          <w:p w14:paraId="50B4B548" w14:textId="77777777" w:rsidR="003B5F50" w:rsidRDefault="000D2D85">
            <w:pPr>
              <w:pStyle w:val="P68B1DB1-Normal14"/>
              <w:rPr>
                <w:noProof/>
                <w:szCs w:val="20"/>
              </w:rPr>
            </w:pPr>
            <w:r>
              <w:rPr>
                <w:noProof/>
              </w:rPr>
              <w:t xml:space="preserve">La réforme des travaux d’évaluation supprime les inefficacités et les formalités administratives pour les évaluateurs médicaux et les évaluateurs. De nouveaux critères uniformes de sous-dépendance sont définis afin de rendre l’évaluation plus transparente. Les travaux d’évaluation sont numérisés – les évaluateurs médicaux utilisent le système de santé en ligne. Afin d'assurer une mise en œuvre efficace de la réforme, les ressources financières prévues dans le cadre de cette réforme seront utilisées pour fournir du matériel informatique et de bureau à 200 fonctionnaires chargés des contributions. </w:t>
            </w:r>
          </w:p>
        </w:tc>
      </w:tr>
      <w:tr w:rsidR="003B5F50" w14:paraId="50B4B556" w14:textId="77777777" w:rsidTr="008A1F64">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4A" w14:textId="77777777" w:rsidR="003B5F50" w:rsidRDefault="000D2D85">
            <w:pPr>
              <w:pStyle w:val="P68B1DB1-Normal14"/>
              <w:rPr>
                <w:noProof/>
                <w:szCs w:val="20"/>
              </w:rPr>
            </w:pPr>
            <w:r>
              <w:rPr>
                <w:noProof/>
              </w:rPr>
              <w:t>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4B" w14:textId="763CEE3D" w:rsidR="003B5F50" w:rsidRDefault="000D2D85">
            <w:pPr>
              <w:pStyle w:val="P68B1DB1-Normal14"/>
              <w:rPr>
                <w:noProof/>
                <w:szCs w:val="20"/>
              </w:rPr>
            </w:pPr>
            <w:r>
              <w:rPr>
                <w:noProof/>
              </w:rPr>
              <w:t>13 – Soins sociosanitaires de longue durée accessibles et de qualité – Réforme 3: Réformer le contrôle de la protection sociale et mettre en place les infrastructures nécessaires à sa mise en œuvre</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4C" w14:textId="77777777" w:rsidR="003B5F50" w:rsidRDefault="000D2D85">
            <w:pPr>
              <w:pStyle w:val="P68B1DB1-Normal14"/>
              <w:rPr>
                <w:noProof/>
                <w:szCs w:val="20"/>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4D" w14:textId="77777777" w:rsidR="003B5F50" w:rsidRDefault="000D2D85">
            <w:pPr>
              <w:pStyle w:val="P68B1DB1-Normal14"/>
              <w:rPr>
                <w:noProof/>
                <w:szCs w:val="20"/>
              </w:rPr>
            </w:pPr>
            <w:r>
              <w:rPr>
                <w:noProof/>
              </w:rPr>
              <w:t>Réforme du contrôle de la protection sociale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4E" w14:textId="77777777" w:rsidR="003B5F50" w:rsidRDefault="000D2D85">
            <w:pPr>
              <w:pStyle w:val="P68B1DB1-Normal14"/>
              <w:rPr>
                <w:noProof/>
                <w:szCs w:val="20"/>
              </w:rPr>
            </w:pPr>
            <w:r>
              <w:rPr>
                <w:noProof/>
              </w:rPr>
              <w:t>Entrée en vigueur de la loi sur la surveillance de la protection sociale</w:t>
            </w:r>
          </w:p>
          <w:p w14:paraId="50B4B54F" w14:textId="77777777" w:rsidR="003B5F50" w:rsidRDefault="000D2D85">
            <w:pPr>
              <w:pStyle w:val="P68B1DB1-Normal14"/>
              <w:rPr>
                <w:noProof/>
                <w:szCs w:val="20"/>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50" w14:textId="77777777" w:rsidR="003B5F50" w:rsidRDefault="000D2D85">
            <w:pPr>
              <w:pStyle w:val="P68B1DB1-Normal14"/>
              <w:rPr>
                <w:noProof/>
                <w:szCs w:val="20"/>
              </w:rPr>
            </w:pPr>
            <w:r>
              <w:rPr>
                <w:noProof/>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51" w14:textId="77777777" w:rsidR="003B5F50" w:rsidRDefault="000D2D85">
            <w:pPr>
              <w:pStyle w:val="P68B1DB1-Normal14"/>
              <w:rPr>
                <w:noProof/>
                <w:szCs w:val="20"/>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52" w14:textId="77777777" w:rsidR="003B5F50" w:rsidRDefault="000D2D85">
            <w:pPr>
              <w:pStyle w:val="P68B1DB1-Normal14"/>
              <w:rPr>
                <w:noProof/>
                <w:szCs w:val="20"/>
              </w:rPr>
            </w:pPr>
            <w:r>
              <w:rPr>
                <w:noProof/>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53" w14:textId="77777777" w:rsidR="003B5F50" w:rsidRDefault="000D2D85">
            <w:pPr>
              <w:pStyle w:val="P68B1DB1-Normal14"/>
              <w:rPr>
                <w:noProof/>
                <w:szCs w:val="20"/>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54" w14:textId="77777777" w:rsidR="003B5F50" w:rsidRDefault="000D2D85">
            <w:pPr>
              <w:pStyle w:val="P68B1DB1-Normal14"/>
              <w:rPr>
                <w:noProof/>
                <w:szCs w:val="20"/>
              </w:rPr>
            </w:pPr>
            <w:r>
              <w:rPr>
                <w:noProof/>
              </w:rPr>
              <w:t>2022</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55" w14:textId="34F1A377" w:rsidR="003B5F50" w:rsidRDefault="000D2D85">
            <w:pPr>
              <w:pStyle w:val="P68B1DB1-Normal16"/>
              <w:rPr>
                <w:noProof/>
                <w:szCs w:val="20"/>
              </w:rPr>
            </w:pPr>
            <w:r>
              <w:rPr>
                <w:noProof/>
                <w:color w:val="006100"/>
              </w:rPr>
              <w:t>Entrée en vigueur d'une loi dans le domaine de la surveillance de l'aide sociale qui unifie les pouvoirs de surveillance et;</w:t>
            </w:r>
            <w:r>
              <w:rPr>
                <w:noProof/>
              </w:rPr>
              <w:t xml:space="preserve"> </w:t>
            </w:r>
            <w:r>
              <w:rPr>
                <w:noProof/>
                <w:color w:val="006100"/>
              </w:rPr>
              <w:t>—créer la base législative pour le fonctionnement de la nouvelle surveillance/inspection de la protection sociale;</w:t>
            </w:r>
            <w:r>
              <w:rPr>
                <w:noProof/>
              </w:rPr>
              <w:t xml:space="preserve"> </w:t>
            </w:r>
            <w:r>
              <w:rPr>
                <w:noProof/>
                <w:color w:val="006100"/>
              </w:rPr>
              <w:t>— définir de nouvelles conditions pour la qualité des soins dans les services sociaux et les ménages;</w:t>
            </w:r>
            <w:r>
              <w:rPr>
                <w:noProof/>
              </w:rPr>
              <w:t xml:space="preserve"> </w:t>
            </w:r>
            <w:r>
              <w:rPr>
                <w:noProof/>
                <w:color w:val="006100"/>
              </w:rPr>
              <w:t>— Étendre le domaine de la surveillance à la surveillance des soins informels à domicile.</w:t>
            </w:r>
          </w:p>
        </w:tc>
      </w:tr>
      <w:tr w:rsidR="003B5F50" w14:paraId="50B4B562" w14:textId="77777777" w:rsidTr="008A1F64">
        <w:trPr>
          <w:trHeight w:val="16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57" w14:textId="77777777" w:rsidR="003B5F50" w:rsidRDefault="000D2D85">
            <w:pPr>
              <w:pStyle w:val="P68B1DB1-Normal14"/>
              <w:rPr>
                <w:noProof/>
                <w:szCs w:val="20"/>
              </w:rPr>
            </w:pPr>
            <w:r>
              <w:rPr>
                <w:noProof/>
              </w:rPr>
              <w:t>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58" w14:textId="17BAACA7" w:rsidR="003B5F50" w:rsidRDefault="000D2D85">
            <w:pPr>
              <w:pStyle w:val="P68B1DB1-Normal14"/>
              <w:rPr>
                <w:noProof/>
                <w:szCs w:val="20"/>
              </w:rPr>
            </w:pPr>
            <w:r>
              <w:rPr>
                <w:noProof/>
              </w:rPr>
              <w:t>13 – Soins sociosanitaires de longue durée accessibles et de qualité – Réforme 3: Réformer le contrôle de la protection sociale et mettre en place les infrastructures nécessaires à sa mise en œuvre</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59" w14:textId="77777777" w:rsidR="003B5F50" w:rsidRDefault="000D2D85">
            <w:pPr>
              <w:pStyle w:val="P68B1DB1-Normal14"/>
              <w:rPr>
                <w:noProof/>
                <w:szCs w:val="20"/>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5A" w14:textId="77777777" w:rsidR="003B5F50" w:rsidRDefault="000D2D85">
            <w:pPr>
              <w:pStyle w:val="P68B1DB1-Normal14"/>
              <w:rPr>
                <w:noProof/>
                <w:szCs w:val="20"/>
              </w:rPr>
            </w:pPr>
            <w:r>
              <w:rPr>
                <w:noProof/>
              </w:rPr>
              <w:t xml:space="preserve">Mise en place d'un système de surveillance unifié avec siège et 8 succursales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5B" w14:textId="77777777" w:rsidR="003B5F50" w:rsidRDefault="000D2D85">
            <w:pPr>
              <w:pStyle w:val="P68B1DB1-Normal14"/>
              <w:rPr>
                <w:noProof/>
                <w:szCs w:val="20"/>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5C" w14:textId="77777777" w:rsidR="003B5F50" w:rsidRDefault="000D2D85">
            <w:pPr>
              <w:pStyle w:val="P68B1DB1-Normal14"/>
              <w:rPr>
                <w:noProof/>
                <w:szCs w:val="20"/>
              </w:rPr>
            </w:pPr>
            <w:r>
              <w:rPr>
                <w:noProof/>
              </w:rPr>
              <w:t>Numéro</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5D" w14:textId="77777777" w:rsidR="003B5F50" w:rsidRDefault="000D2D85">
            <w:pPr>
              <w:pStyle w:val="P68B1DB1-Normal14"/>
              <w:rPr>
                <w:noProof/>
                <w:szCs w:val="20"/>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5E" w14:textId="77777777" w:rsidR="003B5F50" w:rsidRDefault="000D2D85">
            <w:pPr>
              <w:pStyle w:val="P68B1DB1-Normal14"/>
              <w:rPr>
                <w:noProof/>
                <w:szCs w:val="20"/>
              </w:rPr>
            </w:pPr>
            <w:r>
              <w:rPr>
                <w:noProof/>
              </w:rPr>
              <w:t>9</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5F" w14:textId="77777777" w:rsidR="003B5F50" w:rsidRDefault="000D2D85">
            <w:pPr>
              <w:pStyle w:val="P68B1DB1-Normal14"/>
              <w:rPr>
                <w:noProof/>
                <w:szCs w:val="20"/>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60" w14:textId="77777777" w:rsidR="003B5F50" w:rsidRDefault="000D2D85">
            <w:pPr>
              <w:pStyle w:val="P68B1DB1-Normal14"/>
              <w:rPr>
                <w:noProof/>
                <w:szCs w:val="20"/>
              </w:rPr>
            </w:pPr>
            <w:r>
              <w:rPr>
                <w:noProof/>
              </w:rPr>
              <w:t>2024</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61" w14:textId="77777777" w:rsidR="003B5F50" w:rsidRDefault="000D2D85">
            <w:pPr>
              <w:pStyle w:val="P68B1DB1-Normal14"/>
              <w:rPr>
                <w:noProof/>
                <w:szCs w:val="20"/>
              </w:rPr>
            </w:pPr>
            <w:r>
              <w:rPr>
                <w:noProof/>
              </w:rPr>
              <w:t>Achèvement de l’infrastructure nécessaire au fonctionnement de l’organe de surveillance – siège et 8 succursales régionales. Les coûts comprennent les locaux, les véhicules, le matériel informatique et d'autres conditions préalables.</w:t>
            </w:r>
          </w:p>
        </w:tc>
      </w:tr>
      <w:tr w:rsidR="003B5F50" w14:paraId="50B4B570" w14:textId="77777777" w:rsidTr="008A1F64">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63" w14:textId="77777777" w:rsidR="003B5F50" w:rsidRDefault="000D2D85">
            <w:pPr>
              <w:pStyle w:val="P68B1DB1-Normal15"/>
              <w:rPr>
                <w:noProof/>
              </w:rPr>
            </w:pPr>
            <w:r>
              <w:rPr>
                <w:noProof/>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64" w14:textId="77777777" w:rsidR="003B5F50" w:rsidRDefault="000D2D85">
            <w:pPr>
              <w:pStyle w:val="P68B1DB1-Normal14"/>
              <w:rPr>
                <w:noProof/>
                <w:szCs w:val="20"/>
              </w:rPr>
            </w:pPr>
            <w:r>
              <w:rPr>
                <w:noProof/>
              </w:rPr>
              <w:t xml:space="preserve">13 – Soins socio-sanitaires de longue durée accessibles et de qualité – Investissement 1: Renforcement des capacités de prise en charge sociale de proximité </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65" w14:textId="77777777" w:rsidR="003B5F50" w:rsidRDefault="000D2D85">
            <w:pPr>
              <w:pStyle w:val="P68B1DB1-Normal15"/>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66" w14:textId="77777777" w:rsidR="003B5F50" w:rsidRDefault="000D2D85">
            <w:pPr>
              <w:pStyle w:val="P68B1DB1-Normal15"/>
              <w:rPr>
                <w:noProof/>
              </w:rPr>
            </w:pPr>
            <w:r>
              <w:rPr>
                <w:noProof/>
              </w:rPr>
              <w:t>Renforcement des capacités des services résidentiels communautaires et des installations sanitaires et sociales de faible capacité</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67" w14:textId="77777777" w:rsidR="003B5F50" w:rsidRDefault="000D2D85">
            <w:pPr>
              <w:pStyle w:val="P68B1DB1-Normal15"/>
              <w:rPr>
                <w:noProof/>
              </w:rPr>
            </w:pPr>
            <w:r>
              <w:rPr>
                <w:noProof/>
              </w:rPr>
              <w:t>Construction et rénovation d'établissements communautaires et d'établissements de soins de santé et de services sociaux</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68" w14:textId="77777777" w:rsidR="003B5F50" w:rsidRDefault="003B5F50">
            <w:pPr>
              <w:rPr>
                <w:rFonts w:ascii="Times New Roman" w:hAnsi="Times New Roman"/>
                <w:noProof/>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69" w14:textId="77777777" w:rsidR="003B5F50" w:rsidRDefault="003B5F50">
            <w:pPr>
              <w:rPr>
                <w:rFonts w:ascii="Times New Roman" w:hAnsi="Times New Roman"/>
                <w:noProof/>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6A" w14:textId="77777777" w:rsidR="003B5F50" w:rsidRDefault="003B5F50">
            <w:pPr>
              <w:rPr>
                <w:rFonts w:ascii="Times New Roman" w:hAnsi="Times New Roman"/>
                <w:noProof/>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6B" w14:textId="77777777" w:rsidR="003B5F50" w:rsidRDefault="000D2D85">
            <w:pPr>
              <w:pStyle w:val="P68B1DB1-Normal14"/>
              <w:rPr>
                <w:noProof/>
                <w:szCs w:val="20"/>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6C" w14:textId="77777777" w:rsidR="003B5F50" w:rsidRDefault="000D2D85">
            <w:pPr>
              <w:pStyle w:val="P68B1DB1-Normal14"/>
              <w:rPr>
                <w:noProof/>
                <w:szCs w:val="20"/>
              </w:rPr>
            </w:pPr>
            <w:r>
              <w:rPr>
                <w:noProof/>
              </w:rPr>
              <w:t>2026</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6D" w14:textId="77777777" w:rsidR="003B5F50" w:rsidRDefault="000D2D85">
            <w:pPr>
              <w:pStyle w:val="P68B1DB1-Normal15"/>
              <w:rPr>
                <w:noProof/>
              </w:rPr>
            </w:pPr>
            <w:r>
              <w:rPr>
                <w:noProof/>
              </w:rPr>
              <w:t>La construction de nouveaux bâtiments et la rénovation de bâtiments existants se traduiront par la création d’un total de 3 982 unités de capacité pondérée. Les établissements de proximité ont une capacité maximale de 12 places chacun et les établissements de soins de santé et de soins sociaux ont une capacité maximale de 30 places chacun.</w:t>
            </w:r>
          </w:p>
          <w:p w14:paraId="50B4B56E" w14:textId="77777777" w:rsidR="003B5F50" w:rsidRDefault="000D2D85">
            <w:pPr>
              <w:pStyle w:val="P68B1DB1-Normal15"/>
              <w:rPr>
                <w:noProof/>
              </w:rPr>
            </w:pPr>
            <w:r>
              <w:rPr>
                <w:noProof/>
              </w:rPr>
              <w:t xml:space="preserve">Toutes les installations doivent respecter les principes de conception universelle et se conformer à la convention des Nations unies relative aux droits des personnes handicapées. </w:t>
            </w:r>
          </w:p>
          <w:p w14:paraId="50B4B56F" w14:textId="77777777" w:rsidR="003B5F50" w:rsidRDefault="000D2D85">
            <w:pPr>
              <w:pStyle w:val="P68B1DB1-Normal9"/>
              <w:rPr>
                <w:noProof/>
              </w:rPr>
            </w:pPr>
            <w:r>
              <w:rPr>
                <w:noProof/>
              </w:rPr>
              <w:t>Dans le cas de rénovations de bâtiments, l’objectif minimal est de réaliser une économie moyenne d’énergie primaire de 30 %.</w:t>
            </w:r>
          </w:p>
        </w:tc>
      </w:tr>
      <w:tr w:rsidR="003B5F50" w14:paraId="50B4B57D" w14:textId="77777777" w:rsidTr="008A1F64">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71" w14:textId="77777777" w:rsidR="003B5F50" w:rsidRDefault="000D2D85">
            <w:pPr>
              <w:pStyle w:val="P68B1DB1-Normal14"/>
              <w:rPr>
                <w:noProof/>
                <w:szCs w:val="20"/>
              </w:rPr>
            </w:pPr>
            <w:r>
              <w:rPr>
                <w:noProof/>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72" w14:textId="77777777" w:rsidR="003B5F50" w:rsidRDefault="000D2D85">
            <w:pPr>
              <w:pStyle w:val="P68B1DB1-Normal14"/>
              <w:rPr>
                <w:noProof/>
                <w:szCs w:val="20"/>
              </w:rPr>
            </w:pPr>
            <w:r>
              <w:rPr>
                <w:noProof/>
              </w:rPr>
              <w:t xml:space="preserve">13 – Soins socio-sanitaires de longue durée accessibles et de qualité – Investissement 1: Renforcement des capacités de prise en charge sociale de proximité </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73" w14:textId="77777777" w:rsidR="003B5F50" w:rsidRDefault="000D2D85">
            <w:pPr>
              <w:pStyle w:val="P68B1DB1-Normal15"/>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74" w14:textId="77777777" w:rsidR="003B5F50" w:rsidRDefault="000D2D85">
            <w:pPr>
              <w:pStyle w:val="P68B1DB1-Normal15"/>
              <w:rPr>
                <w:noProof/>
              </w:rPr>
            </w:pPr>
            <w:r>
              <w:rPr>
                <w:noProof/>
              </w:rPr>
              <w:t xml:space="preserve">Élargissement des capacités des services ambulatoires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75" w14:textId="5A0F42AB" w:rsidR="003B5F50" w:rsidRDefault="000D2D85">
            <w:pPr>
              <w:pStyle w:val="P68B1DB1-Normal15"/>
              <w:rPr>
                <w:noProof/>
              </w:rPr>
            </w:pPr>
            <w:r>
              <w:rPr>
                <w:noProof/>
              </w:rPr>
              <w:t>Construction et rénovation d'installations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76" w14:textId="77777777" w:rsidR="003B5F50" w:rsidRDefault="003B5F50">
            <w:pPr>
              <w:rPr>
                <w:rFonts w:ascii="Times New Roman" w:hAnsi="Times New Roman"/>
                <w:noProof/>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77" w14:textId="77777777" w:rsidR="003B5F50" w:rsidRDefault="003B5F50">
            <w:pPr>
              <w:rPr>
                <w:rFonts w:ascii="Times New Roman" w:hAnsi="Times New Roman"/>
                <w:noProof/>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78" w14:textId="77777777" w:rsidR="003B5F50" w:rsidRDefault="003B5F50">
            <w:pPr>
              <w:rPr>
                <w:rFonts w:ascii="Times New Roman" w:hAnsi="Times New Roman"/>
                <w:noProof/>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79" w14:textId="77777777" w:rsidR="003B5F50" w:rsidRDefault="000D2D85">
            <w:pPr>
              <w:pStyle w:val="P68B1DB1-Normal14"/>
              <w:rPr>
                <w:noProof/>
                <w:szCs w:val="20"/>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7A" w14:textId="77777777" w:rsidR="003B5F50" w:rsidRDefault="000D2D85">
            <w:pPr>
              <w:pStyle w:val="P68B1DB1-Normal14"/>
              <w:rPr>
                <w:noProof/>
                <w:szCs w:val="20"/>
              </w:rPr>
            </w:pPr>
            <w:r>
              <w:rPr>
                <w:noProof/>
              </w:rPr>
              <w:t>2026</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7B" w14:textId="77777777" w:rsidR="003B5F50" w:rsidRDefault="000D2D85">
            <w:pPr>
              <w:pStyle w:val="P68B1DB1-Normal15"/>
              <w:rPr>
                <w:noProof/>
              </w:rPr>
            </w:pPr>
            <w:r>
              <w:rPr>
                <w:noProof/>
              </w:rPr>
              <w:t xml:space="preserve">La construction de nouveaux bâtiments ou la rénovation de bâtiments existants se traduira par la création de 1 259 unités de capacité pondérée pour les services ambulatoires. </w:t>
            </w:r>
          </w:p>
          <w:p w14:paraId="50B4B57C" w14:textId="77777777" w:rsidR="003B5F50" w:rsidRDefault="000D2D85">
            <w:pPr>
              <w:rPr>
                <w:rFonts w:ascii="Times New Roman" w:hAnsi="Times New Roman"/>
                <w:noProof/>
                <w:color w:val="006100"/>
                <w:sz w:val="20"/>
                <w:szCs w:val="20"/>
              </w:rPr>
            </w:pPr>
            <w:r>
              <w:rPr>
                <w:rFonts w:ascii="Times New Roman" w:hAnsi="Times New Roman"/>
                <w:noProof/>
                <w:color w:val="006100"/>
                <w:sz w:val="20"/>
                <w:szCs w:val="20"/>
              </w:rPr>
              <w:t xml:space="preserve">Toutes les installations respectent les principes de conception universelle et les conditions de la convention des Nations unies relative aux droits des personnes handicapées. </w:t>
            </w:r>
            <w:r>
              <w:rPr>
                <w:noProof/>
              </w:rPr>
              <w:br/>
            </w:r>
            <w:r>
              <w:rPr>
                <w:rFonts w:ascii="Times New Roman" w:eastAsia="Times New Roman" w:hAnsi="Times New Roman" w:cs="Times New Roman"/>
                <w:noProof/>
                <w:color w:val="006100"/>
                <w:sz w:val="20"/>
                <w:szCs w:val="20"/>
              </w:rPr>
              <w:t>Dans le cas de rénovations de bâtiments, l’objectif minimal est de réaliser une économie moyenne d’énergie primaire de 30 %.</w:t>
            </w:r>
          </w:p>
        </w:tc>
      </w:tr>
      <w:tr w:rsidR="003B5F50" w14:paraId="50B4B589" w14:textId="77777777" w:rsidTr="008A1F64">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7E" w14:textId="77777777" w:rsidR="003B5F50" w:rsidRDefault="000D2D85">
            <w:pPr>
              <w:pStyle w:val="P68B1DB1-Normal14"/>
              <w:rPr>
                <w:noProof/>
                <w:szCs w:val="20"/>
              </w:rPr>
            </w:pPr>
            <w:r>
              <w:rPr>
                <w:noProof/>
              </w:rPr>
              <w:t>11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7F" w14:textId="77777777" w:rsidR="003B5F50" w:rsidRDefault="000D2D85">
            <w:pPr>
              <w:pStyle w:val="P68B1DB1-Normal14"/>
              <w:rPr>
                <w:noProof/>
                <w:szCs w:val="20"/>
              </w:rPr>
            </w:pPr>
            <w:r>
              <w:rPr>
                <w:noProof/>
              </w:rPr>
              <w:t>13 – Soins socio-sanitaires de longue durée accessibles et de qualité – Investissement 2: Extension et rétablissement des capacités de soins post-hospitaliers et infirmiers</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80" w14:textId="77777777" w:rsidR="003B5F50" w:rsidRDefault="000D2D85">
            <w:pPr>
              <w:pStyle w:val="P68B1DB1-Normal15"/>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81" w14:textId="77777777" w:rsidR="003B5F50" w:rsidRDefault="000D2D85">
            <w:pPr>
              <w:pStyle w:val="P68B1DB1-Normal15"/>
              <w:rPr>
                <w:noProof/>
              </w:rPr>
            </w:pPr>
            <w:r>
              <w:rPr>
                <w:noProof/>
              </w:rPr>
              <w:t xml:space="preserve">Extension et renouvellement des fournisseurs de soins infirmiers à domicile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82" w14:textId="77777777" w:rsidR="003B5F50" w:rsidRDefault="000D2D85">
            <w:pPr>
              <w:pStyle w:val="P68B1DB1-Normal9"/>
              <w:rPr>
                <w:noProof/>
              </w:rPr>
            </w:pPr>
            <w:r>
              <w:rPr>
                <w:noProof/>
              </w:rPr>
              <w:t>Investissement dans l'équipement technique des fournisseurs de soins infirmiers à domicile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83" w14:textId="77777777" w:rsidR="003B5F50" w:rsidRDefault="003B5F50">
            <w:pPr>
              <w:rPr>
                <w:rFonts w:ascii="Times New Roman" w:hAnsi="Times New Roman"/>
                <w:noProof/>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84" w14:textId="77777777" w:rsidR="003B5F50" w:rsidRDefault="003B5F50">
            <w:pPr>
              <w:rPr>
                <w:rFonts w:ascii="Times New Roman" w:hAnsi="Times New Roman"/>
                <w:noProof/>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85" w14:textId="77777777" w:rsidR="003B5F50" w:rsidRDefault="003B5F50">
            <w:pPr>
              <w:rPr>
                <w:rFonts w:ascii="Times New Roman" w:hAnsi="Times New Roman"/>
                <w:noProof/>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86" w14:textId="77777777" w:rsidR="003B5F50" w:rsidRDefault="000D2D85">
            <w:pPr>
              <w:pStyle w:val="P68B1DB1-Normal14"/>
              <w:rPr>
                <w:noProof/>
                <w:szCs w:val="20"/>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87" w14:textId="77777777" w:rsidR="003B5F50" w:rsidRDefault="000D2D85">
            <w:pPr>
              <w:pStyle w:val="P68B1DB1-Normal14"/>
              <w:rPr>
                <w:noProof/>
                <w:szCs w:val="20"/>
              </w:rPr>
            </w:pPr>
            <w:r>
              <w:rPr>
                <w:noProof/>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88" w14:textId="77777777" w:rsidR="003B5F50" w:rsidRDefault="000D2D85">
            <w:pPr>
              <w:pStyle w:val="P68B1DB1-Normal15"/>
              <w:rPr>
                <w:noProof/>
              </w:rPr>
            </w:pPr>
            <w:r>
              <w:rPr>
                <w:noProof/>
              </w:rPr>
              <w:t>Au moins 11 nouvelles agences de soins infirmiers à domicile doivent être créées et au moins 80 agences de soins infirmiers à domicile existantes doivent être rééquipées.</w:t>
            </w:r>
          </w:p>
        </w:tc>
      </w:tr>
      <w:tr w:rsidR="003B5F50" w14:paraId="50B4B595" w14:textId="77777777" w:rsidTr="008A1F64">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8A" w14:textId="77777777" w:rsidR="003B5F50" w:rsidRDefault="000D2D85">
            <w:pPr>
              <w:pStyle w:val="P68B1DB1-Normal14"/>
              <w:rPr>
                <w:noProof/>
                <w:szCs w:val="20"/>
              </w:rPr>
            </w:pPr>
            <w:r>
              <w:rPr>
                <w:noProof/>
              </w:rPr>
              <w:t>12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8B" w14:textId="77777777" w:rsidR="003B5F50" w:rsidRDefault="000D2D85">
            <w:pPr>
              <w:pStyle w:val="P68B1DB1-Normal14"/>
              <w:rPr>
                <w:noProof/>
                <w:szCs w:val="20"/>
              </w:rPr>
            </w:pPr>
            <w:r>
              <w:rPr>
                <w:noProof/>
              </w:rPr>
              <w:t>13 – Soins socio-sanitaires de longue durée accessibles et de qualité – Investissement 2: Extension et rétablissement des capacités de soins post-hospitaliers et infirmiers</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8C" w14:textId="06B7EFFC" w:rsidR="003B5F50" w:rsidRDefault="000D2D85">
            <w:pPr>
              <w:pStyle w:val="P68B1DB1-Normal15"/>
              <w:rPr>
                <w:noProof/>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8D" w14:textId="5DCACFC3" w:rsidR="003B5F50" w:rsidRDefault="000D2D85">
            <w:pPr>
              <w:pStyle w:val="P68B1DB1-Normal15"/>
              <w:rPr>
                <w:noProof/>
              </w:rPr>
            </w:pPr>
            <w:r>
              <w:rPr>
                <w:noProof/>
              </w:rPr>
              <w:t>Création de lits de suivi dans au moins 10 établissements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8E" w14:textId="48915D0E" w:rsidR="003B5F50" w:rsidRDefault="003B5F50">
            <w:pPr>
              <w:rPr>
                <w:rFonts w:ascii="Times New Roman" w:hAnsi="Times New Roman"/>
                <w:noProof/>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8F" w14:textId="1EBCAE32" w:rsidR="003B5F50" w:rsidRDefault="000D2D85">
            <w:pPr>
              <w:pStyle w:val="P68B1DB1-Normal14"/>
              <w:rPr>
                <w:noProof/>
                <w:szCs w:val="20"/>
              </w:rPr>
            </w:pPr>
            <w:r>
              <w:rPr>
                <w:noProof/>
              </w:rPr>
              <w:t>Numéro</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90" w14:textId="33E9E68D" w:rsidR="003B5F50" w:rsidRDefault="000D2D85">
            <w:pPr>
              <w:pStyle w:val="P68B1DB1-Normal14"/>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91" w14:textId="5504827A" w:rsidR="003B5F50" w:rsidRDefault="000D2D85">
            <w:pPr>
              <w:pStyle w:val="P68B1DB1-Normal14"/>
              <w:rPr>
                <w:noProof/>
              </w:rPr>
            </w:pPr>
            <w:r>
              <w:rPr>
                <w:noProof/>
              </w:rPr>
              <w:t>10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92" w14:textId="77777777" w:rsidR="003B5F50" w:rsidRDefault="000D2D85">
            <w:pPr>
              <w:pStyle w:val="P68B1DB1-Normal14"/>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93" w14:textId="77777777" w:rsidR="003B5F50" w:rsidRDefault="000D2D85">
            <w:pPr>
              <w:pStyle w:val="P68B1DB1-Normal14"/>
              <w:rPr>
                <w:noProof/>
                <w:szCs w:val="20"/>
              </w:rPr>
            </w:pPr>
            <w:r>
              <w:rPr>
                <w:noProof/>
              </w:rPr>
              <w:t>2026</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E24842F" w14:textId="77777777" w:rsidR="003B5F50" w:rsidRDefault="000D2D85">
            <w:pPr>
              <w:pStyle w:val="P68B1DB1-Normal15"/>
              <w:spacing w:after="0"/>
              <w:rPr>
                <w:noProof/>
              </w:rPr>
            </w:pPr>
            <w:r>
              <w:rPr>
                <w:noProof/>
              </w:rPr>
              <w:t xml:space="preserve">Des lits de suivi doivent être créés dans au moins 10 établissements. </w:t>
            </w:r>
          </w:p>
          <w:p w14:paraId="39EFE640" w14:textId="77777777" w:rsidR="003B5F50" w:rsidRDefault="003B5F50">
            <w:pPr>
              <w:spacing w:after="0"/>
              <w:rPr>
                <w:rFonts w:ascii="Times New Roman" w:hAnsi="Times New Roman"/>
                <w:noProof/>
                <w:color w:val="006100"/>
                <w:sz w:val="20"/>
                <w:szCs w:val="20"/>
              </w:rPr>
            </w:pPr>
          </w:p>
          <w:p w14:paraId="50B4B594" w14:textId="58F8C660" w:rsidR="003B5F50" w:rsidRDefault="000D2D85">
            <w:pPr>
              <w:pStyle w:val="P68B1DB1-Normal15"/>
              <w:spacing w:after="0"/>
              <w:rPr>
                <w:noProof/>
              </w:rPr>
            </w:pPr>
            <w:r>
              <w:rPr>
                <w:noProof/>
              </w:rPr>
              <w:t>650 lits de soins postérieurs doivent être contractés.</w:t>
            </w:r>
          </w:p>
        </w:tc>
      </w:tr>
      <w:tr w:rsidR="003B5F50" w14:paraId="50B4B5A3" w14:textId="77777777" w:rsidTr="008A1F64">
        <w:trPr>
          <w:trHeight w:val="2849"/>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96" w14:textId="77777777" w:rsidR="003B5F50" w:rsidRDefault="000D2D85">
            <w:pPr>
              <w:pStyle w:val="P68B1DB1-Normal14"/>
              <w:rPr>
                <w:noProof/>
                <w:szCs w:val="20"/>
              </w:rPr>
            </w:pPr>
            <w:r>
              <w:rPr>
                <w:noProof/>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97" w14:textId="77777777" w:rsidR="003B5F50" w:rsidRDefault="000D2D85">
            <w:pPr>
              <w:pStyle w:val="P68B1DB1-Normal14"/>
              <w:rPr>
                <w:noProof/>
                <w:szCs w:val="20"/>
              </w:rPr>
            </w:pPr>
            <w:r>
              <w:rPr>
                <w:noProof/>
              </w:rPr>
              <w:t xml:space="preserve">13 – Soins socio-sanitaires de longue durée accessibles et de qualité – Investissement 3: Extension et rétablissement des capacités de soins palliatifs </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98" w14:textId="77777777" w:rsidR="003B5F50" w:rsidRDefault="000D2D85">
            <w:pPr>
              <w:pStyle w:val="P68B1DB1-Normal15"/>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99" w14:textId="77777777" w:rsidR="003B5F50" w:rsidRDefault="000D2D85">
            <w:pPr>
              <w:pStyle w:val="P68B1DB1-Normal15"/>
              <w:rPr>
                <w:noProof/>
              </w:rPr>
            </w:pPr>
            <w:r>
              <w:rPr>
                <w:noProof/>
              </w:rPr>
              <w:t xml:space="preserve">Expansion et renouvellement des capacités de soins palliatifs résidentiels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9A" w14:textId="77777777" w:rsidR="003B5F50" w:rsidRDefault="000D2D85">
            <w:pPr>
              <w:pStyle w:val="P68B1DB1-Normal10"/>
              <w:spacing w:line="257" w:lineRule="auto"/>
              <w:rPr>
                <w:noProof/>
              </w:rPr>
            </w:pPr>
            <w:r>
              <w:rPr>
                <w:noProof/>
                <w:color w:val="006100"/>
              </w:rPr>
              <w:t>Construction ou rénovation d'hospices et de lits dans les services de soins palliatifs</w:t>
            </w:r>
            <w:r>
              <w:rPr>
                <w:noProof/>
              </w:rPr>
              <w:t xml:space="preserve"> </w:t>
            </w:r>
          </w:p>
          <w:p w14:paraId="50B4B59B" w14:textId="77777777" w:rsidR="003B5F50" w:rsidRDefault="003B5F50">
            <w:pPr>
              <w:spacing w:after="0"/>
              <w:rPr>
                <w:noProof/>
              </w:rPr>
            </w:pPr>
          </w:p>
          <w:p w14:paraId="50B4B59C" w14:textId="77777777" w:rsidR="003B5F50" w:rsidRDefault="003B5F50">
            <w:pPr>
              <w:rPr>
                <w:rFonts w:ascii="Times New Roman" w:hAnsi="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9D" w14:textId="77777777" w:rsidR="003B5F50" w:rsidRDefault="003B5F50">
            <w:pPr>
              <w:rPr>
                <w:rFonts w:ascii="Times New Roman" w:hAnsi="Times New Roman"/>
                <w:noProof/>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9E" w14:textId="77777777" w:rsidR="003B5F50" w:rsidRDefault="003B5F50">
            <w:pPr>
              <w:rPr>
                <w:rFonts w:ascii="Times New Roman" w:hAnsi="Times New Roman"/>
                <w:noProof/>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9F" w14:textId="77777777" w:rsidR="003B5F50" w:rsidRDefault="003B5F50">
            <w:pPr>
              <w:rPr>
                <w:rFonts w:ascii="Times New Roman" w:hAnsi="Times New Roman"/>
                <w:noProof/>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A0" w14:textId="77777777" w:rsidR="003B5F50" w:rsidRDefault="000D2D85">
            <w:pPr>
              <w:pStyle w:val="P68B1DB1-Normal14"/>
              <w:rPr>
                <w:noProof/>
                <w:szCs w:val="20"/>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A1" w14:textId="77777777" w:rsidR="003B5F50" w:rsidRDefault="000D2D85">
            <w:pPr>
              <w:pStyle w:val="P68B1DB1-Normal14"/>
              <w:rPr>
                <w:noProof/>
                <w:szCs w:val="20"/>
              </w:rPr>
            </w:pPr>
            <w:r>
              <w:rPr>
                <w:noProof/>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A2" w14:textId="77777777" w:rsidR="003B5F50" w:rsidRDefault="000D2D85">
            <w:pPr>
              <w:pStyle w:val="P68B1DB1-Normal15"/>
              <w:rPr>
                <w:noProof/>
              </w:rPr>
            </w:pPr>
            <w:r>
              <w:rPr>
                <w:noProof/>
              </w:rPr>
              <w:t>La construction ou la rénovation d'hospices et de lits existants dans les services de soins palliatifs doit fournir des soins palliatifs de longue durée, ce qui donne une capacité combinée de 270 places-lits créées ou restaurées.</w:t>
            </w:r>
          </w:p>
        </w:tc>
      </w:tr>
      <w:tr w:rsidR="003B5F50" w14:paraId="50B4B5AF" w14:textId="77777777" w:rsidTr="008A1F64">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A4" w14:textId="77777777" w:rsidR="003B5F50" w:rsidRDefault="000D2D85">
            <w:pPr>
              <w:pStyle w:val="P68B1DB1-Normal14"/>
              <w:rPr>
                <w:noProof/>
                <w:szCs w:val="20"/>
              </w:rPr>
            </w:pPr>
            <w:r>
              <w:rPr>
                <w:noProof/>
              </w:rPr>
              <w:t>14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A5" w14:textId="77777777" w:rsidR="003B5F50" w:rsidRDefault="000D2D85">
            <w:pPr>
              <w:pStyle w:val="P68B1DB1-Normal14"/>
              <w:rPr>
                <w:noProof/>
                <w:szCs w:val="20"/>
              </w:rPr>
            </w:pPr>
            <w:r>
              <w:rPr>
                <w:noProof/>
              </w:rPr>
              <w:t xml:space="preserve">13 – Soins socio-sanitaires de longue durée accessibles et de qualité – Investissement 3: Extension et rétablissement des capacités de soins palliatifs </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0B4B5A6" w14:textId="77777777" w:rsidR="003B5F50" w:rsidRDefault="000D2D85">
            <w:pPr>
              <w:pStyle w:val="P68B1DB1-Normal14"/>
              <w:rPr>
                <w:noProof/>
                <w:szCs w:val="20"/>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0B4B5A7" w14:textId="77777777" w:rsidR="003B5F50" w:rsidRDefault="000D2D85">
            <w:pPr>
              <w:pStyle w:val="P68B1DB1-Normal15"/>
              <w:rPr>
                <w:noProof/>
              </w:rPr>
            </w:pPr>
            <w:r>
              <w:rPr>
                <w:noProof/>
              </w:rPr>
              <w:t>Extension et renouvellement du réseau d’hospices mobiles (indicateur: nombre d'unités nouvelles et reconstruites)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A8" w14:textId="77777777" w:rsidR="003B5F50" w:rsidRDefault="000D2D85">
            <w:pPr>
              <w:pStyle w:val="P68B1DB1-Normal14"/>
              <w:rPr>
                <w:noProof/>
                <w:szCs w:val="20"/>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0B4B5A9" w14:textId="77777777" w:rsidR="003B5F50" w:rsidRDefault="000D2D85">
            <w:pPr>
              <w:pStyle w:val="P68B1DB1-Normal14"/>
              <w:rPr>
                <w:noProof/>
                <w:szCs w:val="20"/>
              </w:rPr>
            </w:pPr>
            <w:r>
              <w:rPr>
                <w:noProof/>
              </w:rPr>
              <w:t>Numéro</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AA" w14:textId="77777777" w:rsidR="003B5F50" w:rsidRDefault="000D2D85">
            <w:pPr>
              <w:pStyle w:val="P68B1DB1-Normal14"/>
              <w:rPr>
                <w:noProof/>
                <w:szCs w:val="20"/>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AB" w14:textId="77777777" w:rsidR="003B5F50" w:rsidRDefault="000D2D85">
            <w:pPr>
              <w:pStyle w:val="P68B1DB1-Normal14"/>
              <w:rPr>
                <w:noProof/>
                <w:szCs w:val="20"/>
              </w:rPr>
            </w:pPr>
            <w:r>
              <w:rPr>
                <w:noProof/>
              </w:rPr>
              <w:t>26</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0B4B5AC" w14:textId="77777777" w:rsidR="003B5F50" w:rsidRDefault="000D2D85">
            <w:pPr>
              <w:pStyle w:val="P68B1DB1-Normal14"/>
              <w:rPr>
                <w:noProof/>
                <w:szCs w:val="20"/>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B5AD" w14:textId="77777777" w:rsidR="003B5F50" w:rsidRDefault="000D2D85">
            <w:pPr>
              <w:pStyle w:val="P68B1DB1-Normal14"/>
              <w:rPr>
                <w:noProof/>
                <w:szCs w:val="20"/>
              </w:rPr>
            </w:pPr>
            <w:r>
              <w:rPr>
                <w:noProof/>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AE" w14:textId="77777777" w:rsidR="003B5F50" w:rsidRDefault="000D2D85">
            <w:pPr>
              <w:pStyle w:val="P68B1DB1-Normal15"/>
              <w:rPr>
                <w:noProof/>
                <w:highlight w:val="yellow"/>
              </w:rPr>
            </w:pPr>
            <w:r>
              <w:rPr>
                <w:noProof/>
              </w:rPr>
              <w:t>Équipement technique de 26 hospices mobiles, supportant à la fois les unités nouvelles et existantes.</w:t>
            </w:r>
          </w:p>
        </w:tc>
      </w:tr>
    </w:tbl>
    <w:p w14:paraId="50B4B5B0" w14:textId="77777777" w:rsidR="003B5F50" w:rsidRDefault="003B5F50">
      <w:pPr>
        <w:spacing w:before="120" w:after="120" w:line="240" w:lineRule="auto"/>
        <w:jc w:val="both"/>
        <w:rPr>
          <w:rFonts w:ascii="Times New Roman" w:hAnsi="Times New Roman"/>
          <w:b/>
          <w:bCs/>
          <w:noProof/>
        </w:rPr>
      </w:pPr>
    </w:p>
    <w:p w14:paraId="50B4B5B1" w14:textId="77777777" w:rsidR="003B5F50" w:rsidRDefault="003B5F50">
      <w:pPr>
        <w:rPr>
          <w:rFonts w:ascii="Times New Roman" w:hAnsi="Times New Roman"/>
          <w:noProof/>
        </w:rPr>
      </w:pPr>
    </w:p>
    <w:p w14:paraId="50B4B5B2" w14:textId="77777777" w:rsidR="003B5F50" w:rsidRDefault="003B5F50">
      <w:pPr>
        <w:tabs>
          <w:tab w:val="left" w:pos="4530"/>
        </w:tabs>
        <w:rPr>
          <w:rFonts w:ascii="Times New Roman" w:hAnsi="Times New Roman"/>
          <w:b/>
          <w:bCs/>
          <w:noProof/>
        </w:rPr>
        <w:sectPr w:rsidR="003B5F50" w:rsidSect="003E3DD3">
          <w:headerReference w:type="even" r:id="rId167"/>
          <w:headerReference w:type="default" r:id="rId168"/>
          <w:footerReference w:type="even" r:id="rId169"/>
          <w:footerReference w:type="default" r:id="rId170"/>
          <w:headerReference w:type="first" r:id="rId171"/>
          <w:footerReference w:type="first" r:id="rId172"/>
          <w:pgSz w:w="15840" w:h="12240" w:orient="landscape"/>
          <w:pgMar w:top="1134" w:right="1134" w:bottom="1134" w:left="1134" w:header="567" w:footer="567" w:gutter="0"/>
          <w:cols w:space="720"/>
          <w:docGrid w:linePitch="360"/>
        </w:sectPr>
      </w:pPr>
    </w:p>
    <w:p w14:paraId="50B4B5B3" w14:textId="77777777" w:rsidR="003B5F50" w:rsidRDefault="000D2D85">
      <w:pPr>
        <w:pStyle w:val="P68B1DB1-Heading218"/>
        <w:rPr>
          <w:noProof/>
        </w:rPr>
      </w:pPr>
      <w:r>
        <w:rPr>
          <w:noProof/>
        </w:rPr>
        <w:t>Élément 14: Améliorer l'environnement des entreprises</w:t>
      </w:r>
    </w:p>
    <w:p w14:paraId="50B4B5B4" w14:textId="77777777" w:rsidR="003B5F50" w:rsidRDefault="000D2D85">
      <w:pPr>
        <w:pStyle w:val="NormalWeb"/>
        <w:rPr>
          <w:noProof/>
        </w:rPr>
      </w:pPr>
      <w:r>
        <w:rPr>
          <w:noProof/>
        </w:rPr>
        <w:t xml:space="preserve">L’environnement des entreprises slovaques a lentement perdu du terrain. Des modifications fréquentes de l’environnement législatif et une charge réglementaire élevée entraînent des coûts pour les entreprises, des procédures d’insolvabilité coûteuses et longues entravent la réaffectation des ressources, et un cadre opaque pour les marchés publics ralentit les investissements et conduit à des marchés publics sous-optimaux. </w:t>
      </w:r>
    </w:p>
    <w:p w14:paraId="50B4B5B5" w14:textId="77777777" w:rsidR="003B5F50" w:rsidRDefault="000D2D85">
      <w:pPr>
        <w:pStyle w:val="NormalWeb"/>
        <w:rPr>
          <w:rFonts w:eastAsia="Times New Roman"/>
          <w:noProof/>
        </w:rPr>
      </w:pPr>
      <w:r>
        <w:rPr>
          <w:noProof/>
        </w:rPr>
        <w:t xml:space="preserve">Ce volet du plan slovaque pour la reprise et la résilience vise à apporter diverses améliorations à l’environnement des entreprises. Ces mesures visent à réduire la charge administrative pesant sur les entreprises, à moderniser et à numériser le cadre en matière d’insolvabilité et à améliorer les procédures de passation de marchés publics. </w:t>
      </w:r>
    </w:p>
    <w:p w14:paraId="50B4B5B6" w14:textId="69CA4884" w:rsidR="003B5F50" w:rsidRDefault="000D2D85">
      <w:pPr>
        <w:pStyle w:val="NormalWeb"/>
        <w:rPr>
          <w:rFonts w:eastAsia="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B5B7" w14:textId="77777777" w:rsidR="003B5F50" w:rsidRDefault="000D2D85">
      <w:pPr>
        <w:pStyle w:val="NormalWeb"/>
        <w:rPr>
          <w:rFonts w:eastAsia="Times New Roman"/>
          <w:noProof/>
        </w:rPr>
      </w:pPr>
      <w:r>
        <w:rPr>
          <w:noProof/>
        </w:rPr>
        <w:t>Le volet contribue ainsi à donner suite à la recommandation par pays no 4 de 2020 visant à garantir un environnement favorable aux entreprises ainsi qu’à la recommandation par pays no 3 de 2019 en relevant les défis en matière de marchés publics.</w:t>
      </w:r>
    </w:p>
    <w:p w14:paraId="50B4B5B8" w14:textId="77777777" w:rsidR="003B5F50" w:rsidRDefault="000D2D85">
      <w:pPr>
        <w:pStyle w:val="P68B1DB1-Normal19"/>
        <w:spacing w:before="120" w:after="120" w:line="240" w:lineRule="auto"/>
        <w:jc w:val="both"/>
        <w:rPr>
          <w:rFonts w:eastAsia="Times New Roman"/>
          <w:noProof/>
        </w:rPr>
      </w:pPr>
      <w:r>
        <w:rPr>
          <w:noProof/>
        </w:rPr>
        <w:t xml:space="preserve"> Réforme 1: Réduire la charge réglementaire pesant sur les entreprises</w:t>
      </w:r>
    </w:p>
    <w:p w14:paraId="50B4B5B9" w14:textId="77777777" w:rsidR="003B5F50" w:rsidRDefault="000D2D85">
      <w:pPr>
        <w:pStyle w:val="NormalWeb"/>
        <w:rPr>
          <w:noProof/>
          <w:color w:val="006100"/>
          <w:sz w:val="20"/>
          <w:szCs w:val="20"/>
        </w:rPr>
      </w:pPr>
      <w:r>
        <w:rPr>
          <w:noProof/>
        </w:rPr>
        <w:t>L’objectif de la réforme est de réduire la charge administrative pesant sur les entreprises. Cette mesure consiste en l’introduction de trois outils visant à réduire la charge réglementaire, à savoir la règle du 1-en-2-out, le principe de protection contre la surréglementation injustifiée et l’évaluation ex post des réglementations existantes. La mesure consiste également en l’entrée en vigueur de 300 mesures visant à réduire la charge administrative pesant sur les entreprises.</w:t>
      </w:r>
    </w:p>
    <w:p w14:paraId="50B4B5BA" w14:textId="77777777" w:rsidR="003B5F50" w:rsidRDefault="003B5F50">
      <w:pPr>
        <w:spacing w:before="120" w:after="120" w:line="240" w:lineRule="auto"/>
        <w:jc w:val="both"/>
        <w:rPr>
          <w:rFonts w:ascii="Times New Roman" w:eastAsia="Times New Roman" w:hAnsi="Times New Roman"/>
          <w:noProof/>
        </w:rPr>
      </w:pPr>
    </w:p>
    <w:p w14:paraId="50B4B5BB" w14:textId="77777777" w:rsidR="003B5F50" w:rsidRDefault="000D2D85">
      <w:pPr>
        <w:pStyle w:val="P68B1DB1-Normal19"/>
        <w:spacing w:before="120" w:after="120" w:line="240" w:lineRule="auto"/>
        <w:jc w:val="both"/>
        <w:rPr>
          <w:noProof/>
        </w:rPr>
      </w:pPr>
      <w:r>
        <w:rPr>
          <w:noProof/>
        </w:rPr>
        <w:t xml:space="preserve">Réforme 2: Harmonisation et numérisation des procédures d’insolvabilité </w:t>
      </w:r>
    </w:p>
    <w:p w14:paraId="50B4B5BC" w14:textId="77777777" w:rsidR="003B5F50" w:rsidRDefault="000D2D85">
      <w:pPr>
        <w:pStyle w:val="NormalWeb"/>
        <w:rPr>
          <w:rFonts w:eastAsia="Times New Roman"/>
          <w:noProof/>
        </w:rPr>
      </w:pPr>
      <w:r>
        <w:rPr>
          <w:noProof/>
        </w:rPr>
        <w:t>La procédure d’insolvabilité de la Slovaquie est longue et coûteuse. Des mécanismes d’alerte précoce adéquats font défaut, il n’existe pas de tribunaux spécialisés pour traiter les procédures d’insolvabilité et l’absence d’un flux de travail entièrement numérisé ralentit les processus.</w:t>
      </w:r>
    </w:p>
    <w:p w14:paraId="50B4B5BD" w14:textId="77777777" w:rsidR="003B5F50" w:rsidRDefault="000D2D85">
      <w:pPr>
        <w:pStyle w:val="NormalWeb"/>
        <w:rPr>
          <w:noProof/>
        </w:rPr>
      </w:pPr>
      <w:r>
        <w:rPr>
          <w:noProof/>
        </w:rPr>
        <w:t xml:space="preserve">Cette réforme met en place des procédures d’insolvabilité et de restructuration unifiées et numérisées qui améliorent leur transparence, leur délai et leur coût. Elle met en place un cadre amélioré et harmonisé en matière d’insolvabilité, y compris des outils d’alerte précoce et une spécialisation en matière d’insolvabilité dans les tribunaux d’affaires. </w:t>
      </w:r>
    </w:p>
    <w:p w14:paraId="50B4B5BE" w14:textId="77777777" w:rsidR="003B5F50" w:rsidRDefault="000D2D85">
      <w:pPr>
        <w:pStyle w:val="NormalWeb"/>
        <w:rPr>
          <w:noProof/>
        </w:rPr>
      </w:pPr>
      <w:r>
        <w:rPr>
          <w:noProof/>
        </w:rPr>
        <w:t xml:space="preserve">La législation relative aux mécanismes d’alerte précoce entre en vigueur au plus tard le 31 janvier 2022. Les modifications législatives respectives de la loi no 7/2005 sur la faillite et la restructuration, de la loi no 328/1991 sur la faillite et la composition, de la loi no 8/2005 sur les syndics, de la loi no 757/2004 sur les tribunaux et de la loi no 371/2004 sur les sièges et les circonscriptions des tribunaux de la République slovaque entrent en vigueur au plus tard le 31 mars 2023. </w:t>
      </w:r>
    </w:p>
    <w:p w14:paraId="50B4B5BF" w14:textId="77777777" w:rsidR="003B5F50" w:rsidRDefault="000D2D85">
      <w:pPr>
        <w:pStyle w:val="NormalWeb"/>
        <w:rPr>
          <w:noProof/>
        </w:rPr>
      </w:pPr>
      <w:r>
        <w:rPr>
          <w:noProof/>
        </w:rPr>
        <w:t>La mise en œuvre de la réforme est achevée au plus tard le 31 mars 2023.</w:t>
      </w:r>
    </w:p>
    <w:p w14:paraId="50B4B5C0" w14:textId="77777777" w:rsidR="003B5F50" w:rsidRDefault="000D2D85">
      <w:pPr>
        <w:pStyle w:val="P68B1DB1-Normal19"/>
        <w:spacing w:before="120" w:after="120" w:line="240" w:lineRule="auto"/>
        <w:jc w:val="both"/>
        <w:rPr>
          <w:noProof/>
        </w:rPr>
      </w:pPr>
      <w:r>
        <w:rPr>
          <w:noProof/>
        </w:rPr>
        <w:t>Réforme 3: Procédures de passation des marchés publics</w:t>
      </w:r>
    </w:p>
    <w:p w14:paraId="50B4B5C1" w14:textId="77777777" w:rsidR="003B5F50" w:rsidRDefault="000D2D85">
      <w:pPr>
        <w:pStyle w:val="NormalWeb"/>
        <w:rPr>
          <w:noProof/>
        </w:rPr>
      </w:pPr>
      <w:r>
        <w:rPr>
          <w:noProof/>
        </w:rPr>
        <w:t>La complexité et la durée des procédures de vérification des marchés publics restent un facteur de blocage pour les bénéficiaires potentiels. En outre, il est possible d’accroître l’utilisation de critères liés à la qualité et au coût du cycle de vie. Dans le même temps, des garanties appropriées doivent être assurées. Dans un contexte de méfiance à l'égard des institutions publiques, les acheteurs publics doivent redoubler d'efforts pour regagner la confiance des entreprises, des médias et du grand public. Jusqu'à présent, les avantages des efforts de professionnalisation n'apparaissent que lentement.</w:t>
      </w:r>
    </w:p>
    <w:p w14:paraId="50B4B5C2" w14:textId="77777777" w:rsidR="003B5F50" w:rsidRDefault="000D2D85">
      <w:pPr>
        <w:pStyle w:val="NormalWeb"/>
        <w:rPr>
          <w:rFonts w:eastAsia="Times New Roman"/>
          <w:noProof/>
        </w:rPr>
      </w:pPr>
      <w:r>
        <w:rPr>
          <w:noProof/>
        </w:rPr>
        <w:t>La réforme des marchés publics simplifie et accélère les procédures tout en garantissant des garanties appropriées. Il vise également à améliorer le contrôle en numérisant et en automatisant l’attribution et l’évaluation des contrats. La réforme législative réglemente à la fois les procédures publiques supérieures et inférieures à la limite ainsi que celles de faible valeur. Les procédures de passation des marchés publics sont simplifiées et raccourcies, les procédures de contrôle améliorées et la transparence accrue, notamment par la mise en place d’une plateforme électronique publique unique pour l’ensemble de la procédure de passation des marchés, y compris pour les marchés inférieurs au seuil et les marchés de faible valeur. Toutes les modifications, notamment en ce qui concerne les garanties appropriées telles que les exigences de transparence, les procédures de recours et la séparation des tâches et des compétences, sont pleinement conformes au droit de l’Union. Afin d’améliorer l’utilisation des critères de qualité, les règles applicables aux marchés publics écologiques devraient être renforcées. On s'attend à ce que l'utilisation des critères de qualité soit encore renforcée par des moyens non réglementaires. La mesure renforce la professionnalisation des marchés publics en renforçant les capacités de l’Office des marchés publics. Plus précisément, des formations sous différents formats seront dispensées afin d’améliorer l’application des procédures de passation de marchés publics réformées.</w:t>
      </w:r>
    </w:p>
    <w:p w14:paraId="50B4B5C3" w14:textId="77777777" w:rsidR="003B5F50" w:rsidRDefault="000D2D85">
      <w:pPr>
        <w:pStyle w:val="P68B1DB1-Normal20"/>
        <w:spacing w:before="120" w:after="120"/>
        <w:jc w:val="both"/>
        <w:rPr>
          <w:rFonts w:eastAsia="Times New Roman"/>
          <w:noProof/>
        </w:rPr>
      </w:pPr>
      <w:r>
        <w:rPr>
          <w:noProof/>
        </w:rPr>
        <w:t>La réforme de la loi sur les marchés publics entre en vigueur le 31 mars 2022 au plus tard. La plateforme électronique unique est opérationnelle au plus tard le 30 juin 2023.</w:t>
      </w:r>
    </w:p>
    <w:p w14:paraId="50B4B5C4" w14:textId="77777777" w:rsidR="003B5F50" w:rsidRDefault="000D2D85">
      <w:pPr>
        <w:pStyle w:val="P68B1DB1-Normal19"/>
        <w:spacing w:before="120" w:after="120" w:line="240" w:lineRule="auto"/>
        <w:jc w:val="both"/>
        <w:rPr>
          <w:noProof/>
        </w:rPr>
      </w:pPr>
      <w:r>
        <w:rPr>
          <w:noProof/>
        </w:rPr>
        <w:t xml:space="preserve">Investissement 1: Capacités en matière de réformes visant à réduire la charge réglementaire </w:t>
      </w:r>
    </w:p>
    <w:p w14:paraId="50B4B5C5" w14:textId="77777777" w:rsidR="003B5F50" w:rsidRDefault="000D2D85">
      <w:pPr>
        <w:pStyle w:val="NormalWeb"/>
        <w:rPr>
          <w:noProof/>
        </w:rPr>
      </w:pPr>
      <w:r>
        <w:rPr>
          <w:noProof/>
        </w:rPr>
        <w:t xml:space="preserve">L’objectif de l’investissement est de mettre en place des équipes de projet temporaires pour concevoir et mener à bien la réforme 1. Cette mesure consiste en des cours de formation pour les auteurs de documents législatifs et non législatifs impliqués dans l'application de la règle 1-en 2-out, du principe de protection contre la surréglementation injustifiée et de l'évaluation ex post des réglementations existantes. </w:t>
      </w:r>
    </w:p>
    <w:p w14:paraId="50B4B5C6" w14:textId="77777777" w:rsidR="003B5F50" w:rsidRDefault="000D2D85">
      <w:pPr>
        <w:pStyle w:val="P68B1DB1-Normal19"/>
        <w:spacing w:before="120" w:after="120" w:line="240" w:lineRule="auto"/>
        <w:jc w:val="both"/>
        <w:rPr>
          <w:noProof/>
        </w:rPr>
      </w:pPr>
      <w:r>
        <w:rPr>
          <w:noProof/>
        </w:rPr>
        <w:t>Investissement 2: Numérisation des procédures d’insolvabilité</w:t>
      </w:r>
    </w:p>
    <w:p w14:paraId="50B4B5C7" w14:textId="77777777" w:rsidR="003B5F50" w:rsidRDefault="000D2D85">
      <w:pPr>
        <w:pStyle w:val="NormalWeb"/>
        <w:rPr>
          <w:noProof/>
        </w:rPr>
      </w:pPr>
      <w:r>
        <w:rPr>
          <w:noProof/>
        </w:rPr>
        <w:t xml:space="preserve">L’objectif de l’investissement est de numériser et de raccourcir les procédures d’insolvabilité. Cette mesure consiste à lancer un système informatique pour gérer les procédures d’insolvabilité. </w:t>
      </w:r>
    </w:p>
    <w:p w14:paraId="50B4B5C8" w14:textId="77777777" w:rsidR="003B5F50" w:rsidRDefault="003B5F50">
      <w:pPr>
        <w:spacing w:before="120" w:after="120" w:line="240" w:lineRule="auto"/>
        <w:jc w:val="both"/>
        <w:rPr>
          <w:rFonts w:ascii="Times New Roman" w:hAnsi="Times New Roman"/>
          <w:noProof/>
        </w:rPr>
      </w:pPr>
    </w:p>
    <w:p w14:paraId="50B4B5C9" w14:textId="77777777" w:rsidR="003B5F50" w:rsidRDefault="003B5F50">
      <w:pPr>
        <w:spacing w:before="120" w:after="120" w:line="240" w:lineRule="auto"/>
        <w:ind w:left="850"/>
        <w:jc w:val="both"/>
        <w:rPr>
          <w:rFonts w:ascii="Times New Roman" w:hAnsi="Times New Roman"/>
          <w:b/>
          <w:noProof/>
          <w:u w:val="single"/>
        </w:rPr>
        <w:sectPr w:rsidR="003B5F50" w:rsidSect="003E3DD3">
          <w:headerReference w:type="even" r:id="rId173"/>
          <w:headerReference w:type="default" r:id="rId174"/>
          <w:footerReference w:type="even" r:id="rId175"/>
          <w:footerReference w:type="default" r:id="rId176"/>
          <w:headerReference w:type="first" r:id="rId177"/>
          <w:footerReference w:type="first" r:id="rId178"/>
          <w:pgSz w:w="11907" w:h="16839"/>
          <w:pgMar w:top="1134" w:right="1134" w:bottom="1134" w:left="1134" w:header="567" w:footer="567" w:gutter="0"/>
          <w:cols w:space="720"/>
          <w:docGrid w:linePitch="360"/>
        </w:sectPr>
      </w:pPr>
    </w:p>
    <w:p w14:paraId="50B4B5CA" w14:textId="77777777" w:rsidR="003B5F50" w:rsidRDefault="000D2D85">
      <w:pPr>
        <w:pStyle w:val="P68B1DB1-Normal44"/>
        <w:spacing w:before="120" w:after="120" w:line="240" w:lineRule="auto"/>
        <w:ind w:left="850"/>
        <w:jc w:val="both"/>
        <w:rPr>
          <w:noProof/>
        </w:rPr>
      </w:pPr>
      <w:r>
        <w:rPr>
          <w:noProof/>
        </w:rPr>
        <w:t xml:space="preserve">A.2. </w:t>
      </w:r>
      <w:r>
        <w:rPr>
          <w:noProof/>
        </w:rPr>
        <w:tab/>
        <w:t>Étapes, cibles, indicateurs et calendrier pour le suivi et la mise en œuvre du soutien financier non remboursable</w:t>
      </w:r>
    </w:p>
    <w:p w14:paraId="50B4B5CB" w14:textId="77777777" w:rsidR="003B5F50" w:rsidRDefault="003B5F50">
      <w:pPr>
        <w:spacing w:before="120" w:after="120" w:line="240" w:lineRule="auto"/>
        <w:ind w:left="850"/>
        <w:jc w:val="both"/>
        <w:rPr>
          <w:rFonts w:ascii="Times New Roman" w:hAnsi="Times New Roman"/>
          <w:b/>
          <w:bCs/>
          <w:noProof/>
          <w:u w:val="single"/>
        </w:rPr>
      </w:pPr>
    </w:p>
    <w:tbl>
      <w:tblPr>
        <w:tblW w:w="15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4"/>
        <w:gridCol w:w="851"/>
        <w:gridCol w:w="850"/>
        <w:gridCol w:w="1418"/>
        <w:gridCol w:w="1559"/>
        <w:gridCol w:w="1276"/>
        <w:gridCol w:w="1134"/>
        <w:gridCol w:w="1134"/>
        <w:gridCol w:w="1139"/>
        <w:gridCol w:w="3630"/>
      </w:tblGrid>
      <w:tr w:rsidR="003B5F50" w14:paraId="50B4B5DA" w14:textId="77777777" w:rsidTr="008A1F64">
        <w:trPr>
          <w:trHeight w:val="680"/>
          <w:tblHeader/>
          <w:jc w:val="center"/>
        </w:trPr>
        <w:tc>
          <w:tcPr>
            <w:tcW w:w="709" w:type="dxa"/>
            <w:vMerge w:val="restart"/>
            <w:shd w:val="clear" w:color="auto" w:fill="BDD7EE"/>
            <w:vAlign w:val="center"/>
          </w:tcPr>
          <w:p w14:paraId="50B4B5CC" w14:textId="77777777" w:rsidR="003B5F50" w:rsidRDefault="000D2D85">
            <w:pPr>
              <w:pStyle w:val="P68B1DB1-Normal13"/>
              <w:jc w:val="center"/>
              <w:rPr>
                <w:noProof/>
                <w:szCs w:val="20"/>
              </w:rPr>
            </w:pPr>
            <w:r>
              <w:rPr>
                <w:noProof/>
              </w:rPr>
              <w:t>Seq. Num.</w:t>
            </w:r>
          </w:p>
          <w:p w14:paraId="50B4B5CD" w14:textId="77777777" w:rsidR="003B5F50" w:rsidRDefault="000D2D85">
            <w:pPr>
              <w:pStyle w:val="P68B1DB1-Normal13"/>
              <w:jc w:val="center"/>
              <w:rPr>
                <w:noProof/>
                <w:szCs w:val="20"/>
              </w:rPr>
            </w:pPr>
            <w:r>
              <w:rPr>
                <w:noProof/>
              </w:rPr>
              <w:t xml:space="preserve"> </w:t>
            </w:r>
          </w:p>
        </w:tc>
        <w:tc>
          <w:tcPr>
            <w:tcW w:w="1554" w:type="dxa"/>
            <w:vMerge w:val="restart"/>
            <w:shd w:val="clear" w:color="auto" w:fill="BDD7EE"/>
            <w:vAlign w:val="center"/>
          </w:tcPr>
          <w:p w14:paraId="50B4B5CE" w14:textId="77777777" w:rsidR="003B5F50" w:rsidRDefault="000D2D85">
            <w:pPr>
              <w:pStyle w:val="P68B1DB1-Normal13"/>
              <w:jc w:val="center"/>
              <w:rPr>
                <w:noProof/>
                <w:szCs w:val="20"/>
              </w:rPr>
            </w:pPr>
            <w:r>
              <w:rPr>
                <w:noProof/>
              </w:rPr>
              <w:t>Mesure connexe (réforme ou investissement)</w:t>
            </w:r>
          </w:p>
          <w:p w14:paraId="50B4B5CF" w14:textId="77777777" w:rsidR="003B5F50" w:rsidRDefault="000D2D85">
            <w:pPr>
              <w:pStyle w:val="P68B1DB1-Normal13"/>
              <w:jc w:val="center"/>
              <w:rPr>
                <w:noProof/>
                <w:szCs w:val="20"/>
              </w:rPr>
            </w:pPr>
            <w:r>
              <w:rPr>
                <w:noProof/>
              </w:rPr>
              <w:t xml:space="preserve"> </w:t>
            </w:r>
          </w:p>
        </w:tc>
        <w:tc>
          <w:tcPr>
            <w:tcW w:w="851" w:type="dxa"/>
            <w:vMerge w:val="restart"/>
            <w:shd w:val="clear" w:color="auto" w:fill="BDD7EE"/>
            <w:vAlign w:val="center"/>
          </w:tcPr>
          <w:p w14:paraId="50B4B5D0" w14:textId="77777777" w:rsidR="003B5F50" w:rsidRDefault="000D2D85">
            <w:pPr>
              <w:pStyle w:val="P68B1DB1-Normal13"/>
              <w:jc w:val="center"/>
              <w:rPr>
                <w:noProof/>
                <w:szCs w:val="20"/>
              </w:rPr>
            </w:pPr>
            <w:r>
              <w:rPr>
                <w:noProof/>
              </w:rPr>
              <w:t>Étape/cible</w:t>
            </w:r>
          </w:p>
          <w:p w14:paraId="50B4B5D1" w14:textId="77777777" w:rsidR="003B5F50" w:rsidRDefault="000D2D85">
            <w:pPr>
              <w:pStyle w:val="P68B1DB1-Normal13"/>
              <w:jc w:val="center"/>
              <w:rPr>
                <w:noProof/>
                <w:szCs w:val="20"/>
              </w:rPr>
            </w:pPr>
            <w:r>
              <w:rPr>
                <w:noProof/>
              </w:rPr>
              <w:t xml:space="preserve"> </w:t>
            </w:r>
          </w:p>
        </w:tc>
        <w:tc>
          <w:tcPr>
            <w:tcW w:w="850" w:type="dxa"/>
            <w:vMerge w:val="restart"/>
            <w:shd w:val="clear" w:color="auto" w:fill="BDD7EE"/>
            <w:vAlign w:val="center"/>
          </w:tcPr>
          <w:p w14:paraId="50B4B5D2" w14:textId="77777777" w:rsidR="003B5F50" w:rsidRDefault="000D2D85">
            <w:pPr>
              <w:pStyle w:val="P68B1DB1-Normal13"/>
              <w:jc w:val="center"/>
              <w:rPr>
                <w:noProof/>
                <w:szCs w:val="20"/>
              </w:rPr>
            </w:pPr>
            <w:r>
              <w:rPr>
                <w:noProof/>
              </w:rPr>
              <w:t>Nom</w:t>
            </w:r>
          </w:p>
          <w:p w14:paraId="50B4B5D3" w14:textId="77777777" w:rsidR="003B5F50" w:rsidRDefault="000D2D85">
            <w:pPr>
              <w:pStyle w:val="P68B1DB1-Normal13"/>
              <w:jc w:val="center"/>
              <w:rPr>
                <w:noProof/>
                <w:szCs w:val="20"/>
              </w:rPr>
            </w:pPr>
            <w:r>
              <w:rPr>
                <w:noProof/>
              </w:rPr>
              <w:t xml:space="preserve"> </w:t>
            </w:r>
          </w:p>
        </w:tc>
        <w:tc>
          <w:tcPr>
            <w:tcW w:w="1418" w:type="dxa"/>
            <w:vMerge w:val="restart"/>
            <w:shd w:val="clear" w:color="auto" w:fill="BDD7EE"/>
            <w:vAlign w:val="center"/>
          </w:tcPr>
          <w:p w14:paraId="50B4B5D4" w14:textId="6DE8F6C7" w:rsidR="003B5F50" w:rsidRDefault="000D2D85">
            <w:pPr>
              <w:pStyle w:val="P68B1DB1-Normal16"/>
              <w:jc w:val="center"/>
              <w:rPr>
                <w:noProof/>
                <w:szCs w:val="20"/>
              </w:rPr>
            </w:pPr>
            <w:r>
              <w:rPr>
                <w:b/>
                <w:noProof/>
              </w:rPr>
              <w:t>Indicateurs qualitatifs</w:t>
            </w:r>
            <w:r>
              <w:rPr>
                <w:noProof/>
              </w:rPr>
              <w:t xml:space="preserve"> </w:t>
            </w:r>
            <w:r>
              <w:rPr>
                <w:b/>
                <w:noProof/>
              </w:rPr>
              <w:t xml:space="preserve"> (pour les jalons)</w:t>
            </w:r>
          </w:p>
          <w:p w14:paraId="50B4B5D5" w14:textId="77777777" w:rsidR="003B5F50" w:rsidRDefault="000D2D85">
            <w:pPr>
              <w:pStyle w:val="P68B1DB1-Normal13"/>
              <w:jc w:val="center"/>
              <w:rPr>
                <w:noProof/>
                <w:szCs w:val="20"/>
              </w:rPr>
            </w:pPr>
            <w:r>
              <w:rPr>
                <w:noProof/>
              </w:rPr>
              <w:t xml:space="preserve"> </w:t>
            </w:r>
          </w:p>
        </w:tc>
        <w:tc>
          <w:tcPr>
            <w:tcW w:w="3969" w:type="dxa"/>
            <w:gridSpan w:val="3"/>
            <w:shd w:val="clear" w:color="auto" w:fill="BDD7EE"/>
            <w:vAlign w:val="center"/>
          </w:tcPr>
          <w:p w14:paraId="50B4B5D6" w14:textId="77777777" w:rsidR="003B5F50" w:rsidRDefault="000D2D85">
            <w:pPr>
              <w:pStyle w:val="P68B1DB1-Normal16"/>
              <w:jc w:val="center"/>
              <w:rPr>
                <w:noProof/>
                <w:szCs w:val="20"/>
              </w:rPr>
            </w:pPr>
            <w:r>
              <w:rPr>
                <w:b/>
                <w:noProof/>
              </w:rPr>
              <w:t>Indicateurs quantitatifs</w:t>
            </w:r>
            <w:r>
              <w:rPr>
                <w:noProof/>
              </w:rPr>
              <w:t xml:space="preserve"> </w:t>
            </w:r>
            <w:r>
              <w:rPr>
                <w:b/>
                <w:noProof/>
              </w:rPr>
              <w:t>(pour les objectifs)</w:t>
            </w:r>
          </w:p>
        </w:tc>
        <w:tc>
          <w:tcPr>
            <w:tcW w:w="2273" w:type="dxa"/>
            <w:gridSpan w:val="2"/>
            <w:shd w:val="clear" w:color="auto" w:fill="BDD7EE"/>
            <w:vAlign w:val="center"/>
          </w:tcPr>
          <w:p w14:paraId="50B4B5D7" w14:textId="77777777" w:rsidR="003B5F50" w:rsidRDefault="000D2D85">
            <w:pPr>
              <w:pStyle w:val="P68B1DB1-Normal13"/>
              <w:jc w:val="center"/>
              <w:rPr>
                <w:noProof/>
                <w:szCs w:val="20"/>
              </w:rPr>
            </w:pPr>
            <w:r>
              <w:rPr>
                <w:noProof/>
              </w:rPr>
              <w:t xml:space="preserve">Calendrier indicatif d'achèvement </w:t>
            </w:r>
          </w:p>
        </w:tc>
        <w:tc>
          <w:tcPr>
            <w:tcW w:w="3630" w:type="dxa"/>
            <w:vMerge w:val="restart"/>
            <w:shd w:val="clear" w:color="auto" w:fill="BDD7EE"/>
            <w:vAlign w:val="center"/>
          </w:tcPr>
          <w:p w14:paraId="50B4B5D8" w14:textId="77777777" w:rsidR="003B5F50" w:rsidRDefault="000D2D85">
            <w:pPr>
              <w:pStyle w:val="P68B1DB1-Normal13"/>
              <w:jc w:val="center"/>
              <w:rPr>
                <w:noProof/>
                <w:szCs w:val="20"/>
              </w:rPr>
            </w:pPr>
            <w:r>
              <w:rPr>
                <w:noProof/>
              </w:rPr>
              <w:t>Description et définition claire de chaque jalon et cible</w:t>
            </w:r>
          </w:p>
          <w:p w14:paraId="50B4B5D9" w14:textId="77777777" w:rsidR="003B5F50" w:rsidRDefault="000D2D85">
            <w:pPr>
              <w:pStyle w:val="P68B1DB1-Normal16"/>
              <w:rPr>
                <w:noProof/>
                <w:szCs w:val="20"/>
              </w:rPr>
            </w:pPr>
            <w:r>
              <w:rPr>
                <w:noProof/>
              </w:rPr>
              <w:t xml:space="preserve"> </w:t>
            </w:r>
          </w:p>
        </w:tc>
      </w:tr>
      <w:tr w:rsidR="003B5F50" w14:paraId="50B4B5E6" w14:textId="77777777" w:rsidTr="008A1F64">
        <w:trPr>
          <w:trHeight w:val="873"/>
          <w:tblHeader/>
          <w:jc w:val="center"/>
        </w:trPr>
        <w:tc>
          <w:tcPr>
            <w:tcW w:w="709" w:type="dxa"/>
            <w:vMerge/>
            <w:vAlign w:val="center"/>
          </w:tcPr>
          <w:p w14:paraId="50B4B5DB" w14:textId="77777777" w:rsidR="003B5F50" w:rsidRDefault="003B5F50">
            <w:pPr>
              <w:jc w:val="center"/>
              <w:rPr>
                <w:rFonts w:ascii="Times New Roman" w:hAnsi="Times New Roman"/>
                <w:noProof/>
                <w:sz w:val="20"/>
                <w:szCs w:val="20"/>
              </w:rPr>
            </w:pPr>
          </w:p>
        </w:tc>
        <w:tc>
          <w:tcPr>
            <w:tcW w:w="1554" w:type="dxa"/>
            <w:vMerge/>
            <w:vAlign w:val="center"/>
          </w:tcPr>
          <w:p w14:paraId="50B4B5DC" w14:textId="77777777" w:rsidR="003B5F50" w:rsidRDefault="003B5F50">
            <w:pPr>
              <w:jc w:val="center"/>
              <w:rPr>
                <w:rFonts w:ascii="Times New Roman" w:hAnsi="Times New Roman"/>
                <w:noProof/>
                <w:sz w:val="20"/>
                <w:szCs w:val="20"/>
              </w:rPr>
            </w:pPr>
          </w:p>
        </w:tc>
        <w:tc>
          <w:tcPr>
            <w:tcW w:w="851" w:type="dxa"/>
            <w:vMerge/>
            <w:vAlign w:val="center"/>
          </w:tcPr>
          <w:p w14:paraId="50B4B5DD" w14:textId="77777777" w:rsidR="003B5F50" w:rsidRDefault="003B5F50">
            <w:pPr>
              <w:jc w:val="center"/>
              <w:rPr>
                <w:rFonts w:ascii="Times New Roman" w:hAnsi="Times New Roman"/>
                <w:noProof/>
                <w:sz w:val="20"/>
                <w:szCs w:val="20"/>
              </w:rPr>
            </w:pPr>
          </w:p>
        </w:tc>
        <w:tc>
          <w:tcPr>
            <w:tcW w:w="850" w:type="dxa"/>
            <w:vMerge/>
            <w:vAlign w:val="center"/>
          </w:tcPr>
          <w:p w14:paraId="50B4B5DE" w14:textId="77777777" w:rsidR="003B5F50" w:rsidRDefault="003B5F50">
            <w:pPr>
              <w:jc w:val="center"/>
              <w:rPr>
                <w:rFonts w:ascii="Times New Roman" w:hAnsi="Times New Roman"/>
                <w:noProof/>
                <w:sz w:val="20"/>
                <w:szCs w:val="20"/>
              </w:rPr>
            </w:pPr>
          </w:p>
        </w:tc>
        <w:tc>
          <w:tcPr>
            <w:tcW w:w="1418" w:type="dxa"/>
            <w:vMerge/>
            <w:vAlign w:val="center"/>
          </w:tcPr>
          <w:p w14:paraId="50B4B5DF" w14:textId="77777777" w:rsidR="003B5F50" w:rsidRDefault="003B5F50">
            <w:pPr>
              <w:jc w:val="center"/>
              <w:rPr>
                <w:rFonts w:ascii="Times New Roman" w:hAnsi="Times New Roman"/>
                <w:noProof/>
                <w:sz w:val="20"/>
                <w:szCs w:val="20"/>
              </w:rPr>
            </w:pPr>
          </w:p>
        </w:tc>
        <w:tc>
          <w:tcPr>
            <w:tcW w:w="1559" w:type="dxa"/>
            <w:shd w:val="clear" w:color="auto" w:fill="BDD7EE"/>
            <w:vAlign w:val="center"/>
          </w:tcPr>
          <w:p w14:paraId="50B4B5E0" w14:textId="77777777" w:rsidR="003B5F50" w:rsidRDefault="000D2D85">
            <w:pPr>
              <w:pStyle w:val="P68B1DB1-Normal13"/>
              <w:jc w:val="center"/>
              <w:rPr>
                <w:noProof/>
                <w:szCs w:val="20"/>
              </w:rPr>
            </w:pPr>
            <w:r>
              <w:rPr>
                <w:noProof/>
              </w:rPr>
              <w:t>Unité de mesure</w:t>
            </w:r>
          </w:p>
        </w:tc>
        <w:tc>
          <w:tcPr>
            <w:tcW w:w="1276" w:type="dxa"/>
            <w:shd w:val="clear" w:color="auto" w:fill="BDD7EE"/>
            <w:vAlign w:val="center"/>
          </w:tcPr>
          <w:p w14:paraId="50B4B5E1" w14:textId="77777777" w:rsidR="003B5F50" w:rsidRDefault="000D2D85">
            <w:pPr>
              <w:pStyle w:val="P68B1DB1-Normal13"/>
              <w:jc w:val="center"/>
              <w:rPr>
                <w:noProof/>
                <w:szCs w:val="20"/>
              </w:rPr>
            </w:pPr>
            <w:r>
              <w:rPr>
                <w:noProof/>
              </w:rPr>
              <w:t>Contexte</w:t>
            </w:r>
          </w:p>
        </w:tc>
        <w:tc>
          <w:tcPr>
            <w:tcW w:w="1134" w:type="dxa"/>
            <w:shd w:val="clear" w:color="auto" w:fill="BDD7EE"/>
            <w:vAlign w:val="center"/>
          </w:tcPr>
          <w:p w14:paraId="50B4B5E2" w14:textId="77777777" w:rsidR="003B5F50" w:rsidRDefault="000D2D85">
            <w:pPr>
              <w:pStyle w:val="P68B1DB1-Normal13"/>
              <w:jc w:val="center"/>
              <w:rPr>
                <w:noProof/>
                <w:szCs w:val="20"/>
              </w:rPr>
            </w:pPr>
            <w:r>
              <w:rPr>
                <w:noProof/>
              </w:rPr>
              <w:t>Objectif</w:t>
            </w:r>
          </w:p>
        </w:tc>
        <w:tc>
          <w:tcPr>
            <w:tcW w:w="1134" w:type="dxa"/>
            <w:shd w:val="clear" w:color="auto" w:fill="BDD7EE"/>
            <w:vAlign w:val="center"/>
          </w:tcPr>
          <w:p w14:paraId="50B4B5E3" w14:textId="77777777" w:rsidR="003B5F50" w:rsidRDefault="000D2D85">
            <w:pPr>
              <w:pStyle w:val="P68B1DB1-Normal13"/>
              <w:jc w:val="center"/>
              <w:rPr>
                <w:noProof/>
                <w:szCs w:val="20"/>
              </w:rPr>
            </w:pPr>
            <w:r>
              <w:rPr>
                <w:noProof/>
              </w:rPr>
              <w:t>Trimestre</w:t>
            </w:r>
          </w:p>
        </w:tc>
        <w:tc>
          <w:tcPr>
            <w:tcW w:w="1139" w:type="dxa"/>
            <w:shd w:val="clear" w:color="auto" w:fill="BDD7EE"/>
            <w:vAlign w:val="center"/>
          </w:tcPr>
          <w:p w14:paraId="50B4B5E4" w14:textId="77777777" w:rsidR="003B5F50" w:rsidRDefault="000D2D85">
            <w:pPr>
              <w:pStyle w:val="P68B1DB1-Normal13"/>
              <w:jc w:val="center"/>
              <w:rPr>
                <w:noProof/>
                <w:szCs w:val="20"/>
              </w:rPr>
            </w:pPr>
            <w:r>
              <w:rPr>
                <w:noProof/>
              </w:rPr>
              <w:t>Année</w:t>
            </w:r>
          </w:p>
        </w:tc>
        <w:tc>
          <w:tcPr>
            <w:tcW w:w="3630" w:type="dxa"/>
            <w:vMerge/>
            <w:vAlign w:val="center"/>
          </w:tcPr>
          <w:p w14:paraId="50B4B5E5" w14:textId="77777777" w:rsidR="003B5F50" w:rsidRDefault="003B5F50">
            <w:pPr>
              <w:rPr>
                <w:rFonts w:ascii="Times New Roman" w:hAnsi="Times New Roman"/>
                <w:noProof/>
                <w:sz w:val="20"/>
                <w:szCs w:val="20"/>
              </w:rPr>
            </w:pPr>
          </w:p>
        </w:tc>
      </w:tr>
      <w:tr w:rsidR="003B5F50" w14:paraId="50B4B5F2" w14:textId="77777777" w:rsidTr="008A1F64">
        <w:trPr>
          <w:trHeight w:val="2145"/>
          <w:jc w:val="center"/>
        </w:trPr>
        <w:tc>
          <w:tcPr>
            <w:tcW w:w="709" w:type="dxa"/>
            <w:shd w:val="clear" w:color="auto" w:fill="C6EFCE"/>
          </w:tcPr>
          <w:p w14:paraId="50B4B5E7" w14:textId="77777777" w:rsidR="003B5F50" w:rsidRDefault="000D2D85">
            <w:pPr>
              <w:pStyle w:val="P68B1DB1-Normal14"/>
              <w:jc w:val="center"/>
              <w:rPr>
                <w:noProof/>
                <w:szCs w:val="20"/>
              </w:rPr>
            </w:pPr>
            <w:r>
              <w:rPr>
                <w:noProof/>
              </w:rPr>
              <w:t>1</w:t>
            </w:r>
          </w:p>
        </w:tc>
        <w:tc>
          <w:tcPr>
            <w:tcW w:w="1554" w:type="dxa"/>
            <w:shd w:val="clear" w:color="auto" w:fill="C6EFCE"/>
          </w:tcPr>
          <w:p w14:paraId="50B4B5E8" w14:textId="2478F6E4" w:rsidR="003B5F50" w:rsidRDefault="000D2D85">
            <w:pPr>
              <w:pStyle w:val="P68B1DB1-Normal14"/>
              <w:rPr>
                <w:noProof/>
                <w:szCs w:val="20"/>
              </w:rPr>
            </w:pPr>
            <w:r>
              <w:rPr>
                <w:noProof/>
              </w:rPr>
              <w:t>14 – Améliorer l’environnement des entreprises - Réforme 1: Réduire la charge réglementaire pesant sur les entreprises</w:t>
            </w:r>
          </w:p>
        </w:tc>
        <w:tc>
          <w:tcPr>
            <w:tcW w:w="851" w:type="dxa"/>
            <w:shd w:val="clear" w:color="auto" w:fill="C6EFCE"/>
          </w:tcPr>
          <w:p w14:paraId="50B4B5E9" w14:textId="77777777" w:rsidR="003B5F50" w:rsidRDefault="000D2D85">
            <w:pPr>
              <w:pStyle w:val="P68B1DB1-Normal14"/>
              <w:rPr>
                <w:noProof/>
                <w:szCs w:val="20"/>
              </w:rPr>
            </w:pPr>
            <w:r>
              <w:rPr>
                <w:noProof/>
              </w:rPr>
              <w:t>Étape</w:t>
            </w:r>
          </w:p>
        </w:tc>
        <w:tc>
          <w:tcPr>
            <w:tcW w:w="850" w:type="dxa"/>
            <w:shd w:val="clear" w:color="auto" w:fill="C6EFCE"/>
          </w:tcPr>
          <w:p w14:paraId="50B4B5EA" w14:textId="77777777" w:rsidR="003B5F50" w:rsidRDefault="000D2D85">
            <w:pPr>
              <w:pStyle w:val="P68B1DB1-Normal14"/>
              <w:rPr>
                <w:noProof/>
                <w:szCs w:val="20"/>
              </w:rPr>
            </w:pPr>
            <w:r>
              <w:rPr>
                <w:noProof/>
              </w:rPr>
              <w:t>introduction des nouveaux outils de réduction de la charge réglementaire:–Mise en œuvre de la règle «1in-2out» – Introduction de l’évaluation ex post des règlements existants (matériaux législatifs et non législatifs) – Introduction de la protection contre la surréglementation injustifiée</w:t>
            </w:r>
          </w:p>
        </w:tc>
        <w:tc>
          <w:tcPr>
            <w:tcW w:w="1418" w:type="dxa"/>
            <w:shd w:val="clear" w:color="auto" w:fill="C6EFCE"/>
          </w:tcPr>
          <w:p w14:paraId="50B4B5EB" w14:textId="77777777" w:rsidR="003B5F50" w:rsidRDefault="000D2D85">
            <w:pPr>
              <w:pStyle w:val="P68B1DB1-Normal14"/>
              <w:rPr>
                <w:noProof/>
                <w:szCs w:val="20"/>
              </w:rPr>
            </w:pPr>
            <w:r>
              <w:rPr>
                <w:noProof/>
              </w:rPr>
              <w:t>Entrée en vigueur des résolutions actualisant la méthodologie unifiée pour l'évaluation de certains impacts</w:t>
            </w:r>
          </w:p>
        </w:tc>
        <w:tc>
          <w:tcPr>
            <w:tcW w:w="1559" w:type="dxa"/>
            <w:shd w:val="clear" w:color="auto" w:fill="C6EFCE"/>
          </w:tcPr>
          <w:p w14:paraId="50B4B5EC" w14:textId="77777777" w:rsidR="003B5F50" w:rsidRDefault="000D2D85">
            <w:pPr>
              <w:pStyle w:val="P68B1DB1-Normal14"/>
              <w:rPr>
                <w:noProof/>
                <w:szCs w:val="20"/>
              </w:rPr>
            </w:pPr>
            <w:r>
              <w:rPr>
                <w:noProof/>
              </w:rPr>
              <w:t xml:space="preserve"> </w:t>
            </w:r>
          </w:p>
        </w:tc>
        <w:tc>
          <w:tcPr>
            <w:tcW w:w="1276" w:type="dxa"/>
            <w:shd w:val="clear" w:color="auto" w:fill="C6EFCE"/>
          </w:tcPr>
          <w:p w14:paraId="50B4B5ED" w14:textId="77777777" w:rsidR="003B5F50" w:rsidRDefault="000D2D85">
            <w:pPr>
              <w:pStyle w:val="P68B1DB1-Normal14"/>
              <w:rPr>
                <w:noProof/>
                <w:szCs w:val="20"/>
              </w:rPr>
            </w:pPr>
            <w:r>
              <w:rPr>
                <w:noProof/>
              </w:rPr>
              <w:t xml:space="preserve"> </w:t>
            </w:r>
          </w:p>
        </w:tc>
        <w:tc>
          <w:tcPr>
            <w:tcW w:w="1134" w:type="dxa"/>
            <w:shd w:val="clear" w:color="auto" w:fill="C6EFCE"/>
          </w:tcPr>
          <w:p w14:paraId="50B4B5EE" w14:textId="77777777" w:rsidR="003B5F50" w:rsidRDefault="000D2D85">
            <w:pPr>
              <w:pStyle w:val="P68B1DB1-Normal14"/>
              <w:rPr>
                <w:noProof/>
                <w:szCs w:val="20"/>
              </w:rPr>
            </w:pPr>
            <w:r>
              <w:rPr>
                <w:noProof/>
              </w:rPr>
              <w:t xml:space="preserve"> </w:t>
            </w:r>
          </w:p>
        </w:tc>
        <w:tc>
          <w:tcPr>
            <w:tcW w:w="1134" w:type="dxa"/>
            <w:shd w:val="clear" w:color="auto" w:fill="C6EFCE"/>
          </w:tcPr>
          <w:p w14:paraId="50B4B5EF" w14:textId="77777777" w:rsidR="003B5F50" w:rsidRDefault="000D2D85">
            <w:pPr>
              <w:pStyle w:val="P68B1DB1-Normal14"/>
              <w:jc w:val="center"/>
              <w:rPr>
                <w:noProof/>
                <w:szCs w:val="20"/>
              </w:rPr>
            </w:pPr>
            <w:r>
              <w:rPr>
                <w:noProof/>
              </w:rPr>
              <w:t>T1</w:t>
            </w:r>
          </w:p>
        </w:tc>
        <w:tc>
          <w:tcPr>
            <w:tcW w:w="1139" w:type="dxa"/>
            <w:shd w:val="clear" w:color="auto" w:fill="C6EFCE"/>
          </w:tcPr>
          <w:p w14:paraId="50B4B5F0" w14:textId="77777777" w:rsidR="003B5F50" w:rsidRDefault="000D2D85">
            <w:pPr>
              <w:pStyle w:val="P68B1DB1-Normal14"/>
              <w:jc w:val="center"/>
              <w:rPr>
                <w:noProof/>
                <w:szCs w:val="20"/>
              </w:rPr>
            </w:pPr>
            <w:r>
              <w:rPr>
                <w:noProof/>
              </w:rPr>
              <w:t>2023</w:t>
            </w:r>
          </w:p>
        </w:tc>
        <w:tc>
          <w:tcPr>
            <w:tcW w:w="3630" w:type="dxa"/>
            <w:shd w:val="clear" w:color="auto" w:fill="C6EFCE"/>
          </w:tcPr>
          <w:p w14:paraId="50B4B5F1" w14:textId="77777777" w:rsidR="003B5F50" w:rsidRDefault="000D2D85">
            <w:pPr>
              <w:pStyle w:val="P68B1DB1-Normal14"/>
              <w:rPr>
                <w:noProof/>
                <w:szCs w:val="20"/>
              </w:rPr>
            </w:pPr>
            <w:r>
              <w:rPr>
                <w:noProof/>
              </w:rPr>
              <w:t>Entrée en vigueur des résolutions gouvernementales mettant à jour la méthodologie unifiée pour l’évaluation des incidences sélectionnées et introduisant de nouveaux outils pour réduire la charge réglementaire: — Introduction de la règle du «1-in-2out» au 1er trimestre 2022 — Introduction de l’évaluation ex post des règlements existants (documents législatifs jusqu’au 1er trimestre 2022 et documents non législatifs jusqu’au 1er trimestre 2023) en ce qui concerne leur efficacité et leur justification — Introduction d’une protection contre la surréglementation injustifiée d’ici au 4 trimestre 2022 — Mise en œuvre des investissements pour mettre en œuvre des mesures visant à réduire la charge réglementaire pesant sur les entreprises.</w:t>
            </w:r>
          </w:p>
        </w:tc>
      </w:tr>
      <w:tr w:rsidR="003B5F50" w14:paraId="50B4B5FE" w14:textId="77777777" w:rsidTr="008A1F64">
        <w:trPr>
          <w:trHeight w:val="2145"/>
          <w:jc w:val="center"/>
        </w:trPr>
        <w:tc>
          <w:tcPr>
            <w:tcW w:w="709" w:type="dxa"/>
            <w:shd w:val="clear" w:color="auto" w:fill="C6EFCE"/>
          </w:tcPr>
          <w:p w14:paraId="50B4B5F3" w14:textId="77777777" w:rsidR="003B5F50" w:rsidRDefault="000D2D85">
            <w:pPr>
              <w:pStyle w:val="P68B1DB1-Normal15"/>
              <w:jc w:val="center"/>
              <w:rPr>
                <w:noProof/>
              </w:rPr>
            </w:pPr>
            <w:r>
              <w:rPr>
                <w:noProof/>
              </w:rPr>
              <w:t>2</w:t>
            </w:r>
          </w:p>
        </w:tc>
        <w:tc>
          <w:tcPr>
            <w:tcW w:w="1554" w:type="dxa"/>
            <w:shd w:val="clear" w:color="auto" w:fill="C6EFCE"/>
          </w:tcPr>
          <w:p w14:paraId="50B4B5F4" w14:textId="6DD7C968" w:rsidR="003B5F50" w:rsidRDefault="000D2D85">
            <w:pPr>
              <w:pStyle w:val="P68B1DB1-Normal14"/>
              <w:rPr>
                <w:noProof/>
              </w:rPr>
            </w:pPr>
            <w:r>
              <w:rPr>
                <w:noProof/>
              </w:rPr>
              <w:t>14 – Améliorer l’environnement des entreprises – Réforme 1: Réduire la charge réglementaire pesant sur les entreprises</w:t>
            </w:r>
          </w:p>
        </w:tc>
        <w:tc>
          <w:tcPr>
            <w:tcW w:w="851" w:type="dxa"/>
            <w:shd w:val="clear" w:color="auto" w:fill="C6EFCE"/>
          </w:tcPr>
          <w:p w14:paraId="50B4B5F5" w14:textId="77777777" w:rsidR="003B5F50" w:rsidRDefault="000D2D85">
            <w:pPr>
              <w:pStyle w:val="P68B1DB1-Normal14"/>
              <w:rPr>
                <w:noProof/>
              </w:rPr>
            </w:pPr>
            <w:r>
              <w:rPr>
                <w:noProof/>
              </w:rPr>
              <w:t>Étape</w:t>
            </w:r>
          </w:p>
        </w:tc>
        <w:tc>
          <w:tcPr>
            <w:tcW w:w="850" w:type="dxa"/>
            <w:shd w:val="clear" w:color="auto" w:fill="C6EFCE"/>
          </w:tcPr>
          <w:p w14:paraId="50B4B5F6" w14:textId="77777777" w:rsidR="003B5F50" w:rsidRDefault="000D2D85">
            <w:pPr>
              <w:pStyle w:val="P68B1DB1-Normal14"/>
              <w:rPr>
                <w:noProof/>
              </w:rPr>
            </w:pPr>
            <w:r>
              <w:rPr>
                <w:noProof/>
              </w:rPr>
              <w:t>Réduction de la charge administrative pesant sur les entrepreneurs</w:t>
            </w:r>
          </w:p>
        </w:tc>
        <w:tc>
          <w:tcPr>
            <w:tcW w:w="1418" w:type="dxa"/>
            <w:shd w:val="clear" w:color="auto" w:fill="C6EFCE"/>
          </w:tcPr>
          <w:p w14:paraId="50B4B5F7" w14:textId="77777777" w:rsidR="003B5F50" w:rsidRDefault="000D2D85">
            <w:pPr>
              <w:pStyle w:val="P68B1DB1-Normal15"/>
              <w:rPr>
                <w:noProof/>
              </w:rPr>
            </w:pPr>
            <w:r>
              <w:rPr>
                <w:noProof/>
              </w:rPr>
              <w:t>Entrée en vigueur de 300 mesures</w:t>
            </w:r>
          </w:p>
        </w:tc>
        <w:tc>
          <w:tcPr>
            <w:tcW w:w="1559" w:type="dxa"/>
            <w:shd w:val="clear" w:color="auto" w:fill="C6EFCE"/>
          </w:tcPr>
          <w:p w14:paraId="50B4B5F8" w14:textId="77777777" w:rsidR="003B5F50" w:rsidRDefault="003B5F50">
            <w:pPr>
              <w:rPr>
                <w:rFonts w:ascii="Times New Roman" w:hAnsi="Times New Roman"/>
                <w:noProof/>
                <w:color w:val="006100"/>
                <w:sz w:val="20"/>
              </w:rPr>
            </w:pPr>
          </w:p>
        </w:tc>
        <w:tc>
          <w:tcPr>
            <w:tcW w:w="1276" w:type="dxa"/>
            <w:shd w:val="clear" w:color="auto" w:fill="C6EFCE"/>
          </w:tcPr>
          <w:p w14:paraId="50B4B5F9" w14:textId="77777777" w:rsidR="003B5F50" w:rsidRDefault="003B5F50">
            <w:pPr>
              <w:rPr>
                <w:rFonts w:ascii="Times New Roman" w:hAnsi="Times New Roman"/>
                <w:noProof/>
                <w:color w:val="006100"/>
                <w:sz w:val="20"/>
              </w:rPr>
            </w:pPr>
          </w:p>
        </w:tc>
        <w:tc>
          <w:tcPr>
            <w:tcW w:w="1134" w:type="dxa"/>
            <w:shd w:val="clear" w:color="auto" w:fill="C6EFCE"/>
          </w:tcPr>
          <w:p w14:paraId="50B4B5FA" w14:textId="77777777" w:rsidR="003B5F50" w:rsidRDefault="003B5F50">
            <w:pPr>
              <w:rPr>
                <w:rFonts w:ascii="Times New Roman" w:hAnsi="Times New Roman"/>
                <w:noProof/>
                <w:color w:val="006100"/>
                <w:sz w:val="20"/>
              </w:rPr>
            </w:pPr>
          </w:p>
        </w:tc>
        <w:tc>
          <w:tcPr>
            <w:tcW w:w="1134" w:type="dxa"/>
            <w:shd w:val="clear" w:color="auto" w:fill="C6EFCE"/>
          </w:tcPr>
          <w:p w14:paraId="50B4B5FB" w14:textId="77777777" w:rsidR="003B5F50" w:rsidRDefault="000D2D85">
            <w:pPr>
              <w:pStyle w:val="P68B1DB1-Normal14"/>
              <w:jc w:val="center"/>
              <w:rPr>
                <w:noProof/>
              </w:rPr>
            </w:pPr>
            <w:r>
              <w:rPr>
                <w:noProof/>
              </w:rPr>
              <w:t>T4</w:t>
            </w:r>
          </w:p>
        </w:tc>
        <w:tc>
          <w:tcPr>
            <w:tcW w:w="1139" w:type="dxa"/>
            <w:shd w:val="clear" w:color="auto" w:fill="C6EFCE"/>
          </w:tcPr>
          <w:p w14:paraId="50B4B5FC" w14:textId="77777777" w:rsidR="003B5F50" w:rsidRDefault="000D2D85">
            <w:pPr>
              <w:pStyle w:val="P68B1DB1-Normal14"/>
              <w:jc w:val="center"/>
              <w:rPr>
                <w:noProof/>
              </w:rPr>
            </w:pPr>
            <w:r>
              <w:rPr>
                <w:noProof/>
              </w:rPr>
              <w:t>2024</w:t>
            </w:r>
          </w:p>
        </w:tc>
        <w:tc>
          <w:tcPr>
            <w:tcW w:w="3630" w:type="dxa"/>
            <w:shd w:val="clear" w:color="auto" w:fill="C6EFCE"/>
          </w:tcPr>
          <w:p w14:paraId="50B4B5FD" w14:textId="77777777" w:rsidR="003B5F50" w:rsidRDefault="000D2D85">
            <w:pPr>
              <w:pStyle w:val="P68B1DB1-Normal15"/>
              <w:rPr>
                <w:noProof/>
              </w:rPr>
            </w:pPr>
            <w:r>
              <w:rPr>
                <w:noProof/>
              </w:rPr>
              <w:t>300 mesures, incluses dans deux paquets, entrent en vigueur.</w:t>
            </w:r>
          </w:p>
        </w:tc>
      </w:tr>
      <w:tr w:rsidR="003B5F50" w14:paraId="50B4B60B" w14:textId="77777777" w:rsidTr="008A1F64">
        <w:trPr>
          <w:trHeight w:val="5094"/>
          <w:jc w:val="center"/>
        </w:trPr>
        <w:tc>
          <w:tcPr>
            <w:tcW w:w="709" w:type="dxa"/>
            <w:shd w:val="clear" w:color="auto" w:fill="C6EFCE"/>
          </w:tcPr>
          <w:p w14:paraId="50B4B5FF" w14:textId="77777777" w:rsidR="003B5F50" w:rsidRDefault="000D2D85">
            <w:pPr>
              <w:pStyle w:val="P68B1DB1-Normal14"/>
              <w:jc w:val="center"/>
              <w:rPr>
                <w:noProof/>
                <w:szCs w:val="20"/>
              </w:rPr>
            </w:pPr>
            <w:r>
              <w:rPr>
                <w:noProof/>
              </w:rPr>
              <w:t>3</w:t>
            </w:r>
          </w:p>
        </w:tc>
        <w:tc>
          <w:tcPr>
            <w:tcW w:w="1554" w:type="dxa"/>
            <w:shd w:val="clear" w:color="auto" w:fill="C6EFCE"/>
          </w:tcPr>
          <w:p w14:paraId="50B4B600" w14:textId="08C107BE" w:rsidR="003B5F50" w:rsidRDefault="000D2D85">
            <w:pPr>
              <w:pStyle w:val="P68B1DB1-Normal15"/>
              <w:rPr>
                <w:noProof/>
              </w:rPr>
            </w:pPr>
            <w:r>
              <w:rPr>
                <w:noProof/>
              </w:rPr>
              <w:t xml:space="preserve">14 – Améliorer l’environnement des entreprises – Investissement 1: Capacités en matière de réformes visant à réduire la charge réglementaire  </w:t>
            </w:r>
          </w:p>
        </w:tc>
        <w:tc>
          <w:tcPr>
            <w:tcW w:w="851" w:type="dxa"/>
            <w:shd w:val="clear" w:color="auto" w:fill="C6EFCE"/>
          </w:tcPr>
          <w:p w14:paraId="50B4B601" w14:textId="77777777" w:rsidR="003B5F50" w:rsidRDefault="000D2D85">
            <w:pPr>
              <w:pStyle w:val="P68B1DB1-Normal14"/>
              <w:rPr>
                <w:rFonts w:eastAsia="Calibri" w:cs="Times New Roman"/>
                <w:noProof/>
              </w:rPr>
            </w:pPr>
            <w:r>
              <w:rPr>
                <w:noProof/>
              </w:rPr>
              <w:t>Étape</w:t>
            </w:r>
          </w:p>
        </w:tc>
        <w:tc>
          <w:tcPr>
            <w:tcW w:w="850" w:type="dxa"/>
            <w:shd w:val="clear" w:color="auto" w:fill="C6EFCE"/>
          </w:tcPr>
          <w:p w14:paraId="50B4B602" w14:textId="77777777" w:rsidR="003B5F50" w:rsidRDefault="000D2D85">
            <w:pPr>
              <w:pStyle w:val="P68B1DB1-Normal15"/>
              <w:rPr>
                <w:noProof/>
              </w:rPr>
            </w:pPr>
            <w:r>
              <w:rPr>
                <w:noProof/>
              </w:rPr>
              <w:t xml:space="preserve">Application de la règle 1en-2out, du principe de protection contre la surréglementation injustifiée et des évaluations ex post de la réglementation existante </w:t>
            </w:r>
          </w:p>
        </w:tc>
        <w:tc>
          <w:tcPr>
            <w:tcW w:w="1418" w:type="dxa"/>
            <w:shd w:val="clear" w:color="auto" w:fill="C6EFCE"/>
          </w:tcPr>
          <w:p w14:paraId="50B4B603" w14:textId="77777777" w:rsidR="003B5F50" w:rsidRDefault="000D2D85">
            <w:pPr>
              <w:pStyle w:val="P68B1DB1-Normal14"/>
              <w:rPr>
                <w:noProof/>
              </w:rPr>
            </w:pPr>
            <w:r>
              <w:rPr>
                <w:noProof/>
              </w:rPr>
              <w:t>Cours de formation pour les auteurs de documents législatifs et non législatifs</w:t>
            </w:r>
          </w:p>
        </w:tc>
        <w:tc>
          <w:tcPr>
            <w:tcW w:w="1559" w:type="dxa"/>
            <w:shd w:val="clear" w:color="auto" w:fill="C6EFCE"/>
          </w:tcPr>
          <w:p w14:paraId="50B4B604" w14:textId="77777777" w:rsidR="003B5F50" w:rsidRDefault="000D2D85">
            <w:pPr>
              <w:pStyle w:val="P68B1DB1-Normal50"/>
              <w:rPr>
                <w:noProof/>
              </w:rPr>
            </w:pPr>
            <w:r>
              <w:rPr>
                <w:noProof/>
              </w:rPr>
              <w:t xml:space="preserve"> </w:t>
            </w:r>
          </w:p>
        </w:tc>
        <w:tc>
          <w:tcPr>
            <w:tcW w:w="1276" w:type="dxa"/>
            <w:shd w:val="clear" w:color="auto" w:fill="C6EFCE"/>
          </w:tcPr>
          <w:p w14:paraId="50B4B605" w14:textId="77777777" w:rsidR="003B5F50" w:rsidRDefault="003B5F50">
            <w:pPr>
              <w:rPr>
                <w:rFonts w:ascii="Times New Roman" w:hAnsi="Times New Roman"/>
                <w:noProof/>
                <w:color w:val="006100"/>
                <w:sz w:val="20"/>
              </w:rPr>
            </w:pPr>
          </w:p>
        </w:tc>
        <w:tc>
          <w:tcPr>
            <w:tcW w:w="1134" w:type="dxa"/>
            <w:shd w:val="clear" w:color="auto" w:fill="C6EFCE"/>
          </w:tcPr>
          <w:p w14:paraId="50B4B606" w14:textId="77777777" w:rsidR="003B5F50" w:rsidRDefault="000D2D85">
            <w:pPr>
              <w:pStyle w:val="P68B1DB1-Normal50"/>
              <w:rPr>
                <w:noProof/>
              </w:rPr>
            </w:pPr>
            <w:r>
              <w:rPr>
                <w:noProof/>
              </w:rPr>
              <w:t xml:space="preserve"> </w:t>
            </w:r>
          </w:p>
        </w:tc>
        <w:tc>
          <w:tcPr>
            <w:tcW w:w="1134" w:type="dxa"/>
            <w:shd w:val="clear" w:color="auto" w:fill="C6EFCE"/>
          </w:tcPr>
          <w:p w14:paraId="50B4B607" w14:textId="77777777" w:rsidR="003B5F50" w:rsidRDefault="000D2D85">
            <w:pPr>
              <w:pStyle w:val="P68B1DB1-Normal14"/>
              <w:jc w:val="center"/>
              <w:rPr>
                <w:noProof/>
              </w:rPr>
            </w:pPr>
            <w:r>
              <w:rPr>
                <w:noProof/>
              </w:rPr>
              <w:t>T2</w:t>
            </w:r>
          </w:p>
        </w:tc>
        <w:tc>
          <w:tcPr>
            <w:tcW w:w="1139" w:type="dxa"/>
            <w:shd w:val="clear" w:color="auto" w:fill="C6EFCE"/>
          </w:tcPr>
          <w:p w14:paraId="50B4B608" w14:textId="77777777" w:rsidR="003B5F50" w:rsidRDefault="000D2D85">
            <w:pPr>
              <w:pStyle w:val="P68B1DB1-Normal14"/>
              <w:jc w:val="center"/>
              <w:rPr>
                <w:noProof/>
              </w:rPr>
            </w:pPr>
            <w:r>
              <w:rPr>
                <w:noProof/>
              </w:rPr>
              <w:t>2025</w:t>
            </w:r>
          </w:p>
        </w:tc>
        <w:tc>
          <w:tcPr>
            <w:tcW w:w="3630" w:type="dxa"/>
            <w:shd w:val="clear" w:color="auto" w:fill="C6EFCE"/>
          </w:tcPr>
          <w:p w14:paraId="50B4B60A" w14:textId="630CB6C4" w:rsidR="003B5F50" w:rsidRDefault="000D2D85">
            <w:pPr>
              <w:pStyle w:val="P68B1DB1-Normal15"/>
              <w:rPr>
                <w:noProof/>
              </w:rPr>
            </w:pPr>
            <w:r>
              <w:rPr>
                <w:noProof/>
              </w:rPr>
              <w:t>Des cours de formation sont organisés à l’intention des auteurs de documents législatifs et non législatifs sur l’application de la règle 1-en-2-out, le principe de protection contre la surréglementation injustifiée et l’évaluation ex post des réglementations existantes.</w:t>
            </w:r>
          </w:p>
        </w:tc>
      </w:tr>
      <w:tr w:rsidR="003B5F50" w14:paraId="50B4B618" w14:textId="77777777" w:rsidTr="008A1F64">
        <w:trPr>
          <w:trHeight w:val="305"/>
          <w:jc w:val="center"/>
        </w:trPr>
        <w:tc>
          <w:tcPr>
            <w:tcW w:w="709" w:type="dxa"/>
            <w:shd w:val="clear" w:color="auto" w:fill="C6EFCE"/>
          </w:tcPr>
          <w:p w14:paraId="50B4B60C" w14:textId="77777777" w:rsidR="003B5F50" w:rsidRDefault="000D2D85">
            <w:pPr>
              <w:pStyle w:val="P68B1DB1-Normal14"/>
              <w:jc w:val="center"/>
              <w:rPr>
                <w:noProof/>
                <w:szCs w:val="20"/>
              </w:rPr>
            </w:pPr>
            <w:r>
              <w:rPr>
                <w:noProof/>
              </w:rPr>
              <w:t>4</w:t>
            </w:r>
          </w:p>
        </w:tc>
        <w:tc>
          <w:tcPr>
            <w:tcW w:w="1554" w:type="dxa"/>
            <w:shd w:val="clear" w:color="auto" w:fill="C6EFCE"/>
          </w:tcPr>
          <w:p w14:paraId="50B4B60D" w14:textId="30595B0B" w:rsidR="003B5F50" w:rsidRDefault="000D2D85">
            <w:pPr>
              <w:pStyle w:val="P68B1DB1-Normal14"/>
              <w:rPr>
                <w:noProof/>
                <w:szCs w:val="20"/>
              </w:rPr>
            </w:pPr>
            <w:r>
              <w:rPr>
                <w:noProof/>
              </w:rPr>
              <w:t>14 – Améliorer l’environnement des entreprises – Réforme 2:Réforme du cadre en matière d’insolvabilité – Adaptation de la législation</w:t>
            </w:r>
          </w:p>
        </w:tc>
        <w:tc>
          <w:tcPr>
            <w:tcW w:w="851" w:type="dxa"/>
            <w:shd w:val="clear" w:color="auto" w:fill="C6EFCE"/>
          </w:tcPr>
          <w:p w14:paraId="50B4B60E" w14:textId="77777777" w:rsidR="003B5F50" w:rsidRDefault="000D2D85">
            <w:pPr>
              <w:pStyle w:val="P68B1DB1-Normal14"/>
              <w:rPr>
                <w:rFonts w:eastAsia="Calibri" w:cs="Times New Roman"/>
                <w:noProof/>
              </w:rPr>
            </w:pPr>
            <w:r>
              <w:rPr>
                <w:noProof/>
              </w:rPr>
              <w:t>Étape</w:t>
            </w:r>
          </w:p>
        </w:tc>
        <w:tc>
          <w:tcPr>
            <w:tcW w:w="850" w:type="dxa"/>
            <w:shd w:val="clear" w:color="auto" w:fill="C6EFCE"/>
          </w:tcPr>
          <w:p w14:paraId="50B4B60F" w14:textId="77777777" w:rsidR="003B5F50" w:rsidRDefault="000D2D85">
            <w:pPr>
              <w:pStyle w:val="P68B1DB1-Normal14"/>
              <w:rPr>
                <w:noProof/>
                <w:szCs w:val="20"/>
              </w:rPr>
            </w:pPr>
            <w:r>
              <w:rPr>
                <w:noProof/>
              </w:rPr>
              <w:t xml:space="preserve">Réforme du cadre en matière d'insolvabilité </w:t>
            </w:r>
          </w:p>
        </w:tc>
        <w:tc>
          <w:tcPr>
            <w:tcW w:w="1418" w:type="dxa"/>
            <w:shd w:val="clear" w:color="auto" w:fill="C6EFCE"/>
          </w:tcPr>
          <w:p w14:paraId="50B4B610" w14:textId="77777777" w:rsidR="003B5F50" w:rsidRDefault="000D2D85">
            <w:pPr>
              <w:pStyle w:val="P68B1DB1-Normal14"/>
              <w:rPr>
                <w:noProof/>
                <w:szCs w:val="20"/>
              </w:rPr>
            </w:pPr>
            <w:r>
              <w:rPr>
                <w:noProof/>
              </w:rPr>
              <w:t>Entrée en vigueur d'un ensemble de lois régissant les procédures d'insolvabilité.</w:t>
            </w:r>
          </w:p>
        </w:tc>
        <w:tc>
          <w:tcPr>
            <w:tcW w:w="1559" w:type="dxa"/>
            <w:shd w:val="clear" w:color="auto" w:fill="C6EFCE"/>
          </w:tcPr>
          <w:p w14:paraId="50B4B611" w14:textId="77777777" w:rsidR="003B5F50" w:rsidRDefault="000D2D85">
            <w:pPr>
              <w:pStyle w:val="P68B1DB1-Normal46"/>
              <w:rPr>
                <w:noProof/>
                <w:szCs w:val="20"/>
              </w:rPr>
            </w:pPr>
            <w:r>
              <w:rPr>
                <w:noProof/>
              </w:rPr>
              <w:t xml:space="preserve"> </w:t>
            </w:r>
          </w:p>
        </w:tc>
        <w:tc>
          <w:tcPr>
            <w:tcW w:w="1276" w:type="dxa"/>
            <w:shd w:val="clear" w:color="auto" w:fill="C6EFCE"/>
          </w:tcPr>
          <w:p w14:paraId="50B4B612" w14:textId="77777777" w:rsidR="003B5F50" w:rsidRDefault="000D2D85">
            <w:pPr>
              <w:pStyle w:val="P68B1DB1-Normal14"/>
              <w:rPr>
                <w:noProof/>
                <w:szCs w:val="20"/>
              </w:rPr>
            </w:pPr>
            <w:r>
              <w:rPr>
                <w:noProof/>
              </w:rPr>
              <w:t xml:space="preserve"> </w:t>
            </w:r>
          </w:p>
        </w:tc>
        <w:tc>
          <w:tcPr>
            <w:tcW w:w="1134" w:type="dxa"/>
            <w:shd w:val="clear" w:color="auto" w:fill="C6EFCE"/>
          </w:tcPr>
          <w:p w14:paraId="50B4B613" w14:textId="77777777" w:rsidR="003B5F50" w:rsidRDefault="000D2D85">
            <w:pPr>
              <w:pStyle w:val="P68B1DB1-Normal14"/>
              <w:rPr>
                <w:noProof/>
                <w:szCs w:val="20"/>
              </w:rPr>
            </w:pPr>
            <w:r>
              <w:rPr>
                <w:noProof/>
              </w:rPr>
              <w:t xml:space="preserve"> </w:t>
            </w:r>
          </w:p>
        </w:tc>
        <w:tc>
          <w:tcPr>
            <w:tcW w:w="1134" w:type="dxa"/>
            <w:shd w:val="clear" w:color="auto" w:fill="C6EFCE"/>
          </w:tcPr>
          <w:p w14:paraId="50B4B614" w14:textId="77777777" w:rsidR="003B5F50" w:rsidRDefault="000D2D85">
            <w:pPr>
              <w:pStyle w:val="P68B1DB1-Normal14"/>
              <w:jc w:val="center"/>
              <w:rPr>
                <w:noProof/>
                <w:szCs w:val="20"/>
              </w:rPr>
            </w:pPr>
            <w:r>
              <w:rPr>
                <w:noProof/>
              </w:rPr>
              <w:t>T1</w:t>
            </w:r>
          </w:p>
        </w:tc>
        <w:tc>
          <w:tcPr>
            <w:tcW w:w="1139" w:type="dxa"/>
            <w:shd w:val="clear" w:color="auto" w:fill="C6EFCE"/>
          </w:tcPr>
          <w:p w14:paraId="50B4B615" w14:textId="77777777" w:rsidR="003B5F50" w:rsidRDefault="000D2D85">
            <w:pPr>
              <w:pStyle w:val="P68B1DB1-Normal14"/>
              <w:jc w:val="center"/>
              <w:rPr>
                <w:noProof/>
                <w:szCs w:val="20"/>
              </w:rPr>
            </w:pPr>
            <w:r>
              <w:rPr>
                <w:noProof/>
              </w:rPr>
              <w:t>2023</w:t>
            </w:r>
          </w:p>
        </w:tc>
        <w:tc>
          <w:tcPr>
            <w:tcW w:w="3630" w:type="dxa"/>
            <w:shd w:val="clear" w:color="auto" w:fill="C6EFCE"/>
          </w:tcPr>
          <w:p w14:paraId="50B4B616" w14:textId="77777777" w:rsidR="003B5F50" w:rsidRDefault="000D2D85">
            <w:pPr>
              <w:pStyle w:val="P68B1DB1-Normal14"/>
              <w:rPr>
                <w:noProof/>
                <w:szCs w:val="20"/>
              </w:rPr>
            </w:pPr>
            <w:r>
              <w:rPr>
                <w:noProof/>
              </w:rPr>
              <w:t xml:space="preserve">Entrée en vigueur de lois qui établissent le cadre juridique pour l’unification et la numérisation complète de la liquidation, de la faillite, de la restructuration et de la remise de dettes et, le cas échéant, la résolution de la faillite imminente, ainsi que la modification des cadres juridiques et procéduraux pour la numérisation des procédures de liquidation forcée. Elle prévoit l’introduction d’outils d’alerte précoce et crée une spécialisation en matière d’insolvabilité au niveau des tribunaux d’affaires. </w:t>
            </w:r>
          </w:p>
          <w:p w14:paraId="50B4B617" w14:textId="77777777" w:rsidR="003B5F50" w:rsidRDefault="000D2D85">
            <w:pPr>
              <w:pStyle w:val="P68B1DB1-Normal14"/>
              <w:rPr>
                <w:noProof/>
                <w:szCs w:val="20"/>
              </w:rPr>
            </w:pPr>
            <w:r>
              <w:rPr>
                <w:noProof/>
              </w:rPr>
              <w:t>Le gouvernement et le parlement approuvent un ensemble de lois:– une nouvelle loi sur la restructuration financière non publique et la restructuration préventive publique;– une modification de la loi no 7/2005 sur la faillite et la restructuration,– une modification de la loi no 8/2005 sur les administrateurs,– une modification de la loi no 328/1991 sur la faillite et le concordat;– une modification de la loi no 757/2004 sur les tribunaux;– une modification de la loi no 371/2004 sur les sièges et les circonscriptions des tribunaux de la République slovaque.</w:t>
            </w:r>
          </w:p>
        </w:tc>
      </w:tr>
      <w:tr w:rsidR="003B5F50" w14:paraId="50B4B626" w14:textId="77777777" w:rsidTr="008A1F64">
        <w:trPr>
          <w:trHeight w:val="2792"/>
          <w:jc w:val="center"/>
        </w:trPr>
        <w:tc>
          <w:tcPr>
            <w:tcW w:w="709" w:type="dxa"/>
            <w:shd w:val="clear" w:color="auto" w:fill="C6EFCE"/>
          </w:tcPr>
          <w:p w14:paraId="50B4B619" w14:textId="77777777" w:rsidR="003B5F50" w:rsidRDefault="000D2D85">
            <w:pPr>
              <w:pStyle w:val="P68B1DB1-Normal14"/>
              <w:jc w:val="center"/>
              <w:rPr>
                <w:noProof/>
                <w:szCs w:val="20"/>
              </w:rPr>
            </w:pPr>
            <w:r>
              <w:rPr>
                <w:noProof/>
              </w:rPr>
              <w:t>5</w:t>
            </w:r>
          </w:p>
        </w:tc>
        <w:tc>
          <w:tcPr>
            <w:tcW w:w="1554" w:type="dxa"/>
            <w:shd w:val="clear" w:color="auto" w:fill="C6EFCE"/>
          </w:tcPr>
          <w:p w14:paraId="50B4B61A" w14:textId="77777777" w:rsidR="003B5F50" w:rsidRDefault="000D2D85">
            <w:pPr>
              <w:pStyle w:val="P68B1DB1-Normal14"/>
              <w:rPr>
                <w:noProof/>
                <w:szCs w:val="20"/>
              </w:rPr>
            </w:pPr>
            <w:r>
              <w:rPr>
                <w:noProof/>
              </w:rPr>
              <w:t>14 – Améliorer l’environnement des entreprises - Investissement 2: Numérisation des procédures d’insolvabilité</w:t>
            </w:r>
          </w:p>
        </w:tc>
        <w:tc>
          <w:tcPr>
            <w:tcW w:w="851" w:type="dxa"/>
            <w:shd w:val="clear" w:color="auto" w:fill="C6EFCE"/>
          </w:tcPr>
          <w:p w14:paraId="50B4B61B" w14:textId="77777777" w:rsidR="003B5F50" w:rsidRDefault="000D2D85">
            <w:pPr>
              <w:pStyle w:val="P68B1DB1-Normal14"/>
              <w:rPr>
                <w:rFonts w:eastAsia="Calibri" w:cs="Times New Roman"/>
                <w:noProof/>
              </w:rPr>
            </w:pPr>
            <w:r>
              <w:rPr>
                <w:noProof/>
              </w:rPr>
              <w:t>Étape</w:t>
            </w:r>
          </w:p>
        </w:tc>
        <w:tc>
          <w:tcPr>
            <w:tcW w:w="850" w:type="dxa"/>
            <w:shd w:val="clear" w:color="auto" w:fill="C6EFCE"/>
          </w:tcPr>
          <w:p w14:paraId="50B4B61C" w14:textId="77777777" w:rsidR="003B5F50" w:rsidRDefault="000D2D85">
            <w:pPr>
              <w:pStyle w:val="P68B1DB1-Normal14"/>
              <w:rPr>
                <w:noProof/>
                <w:szCs w:val="20"/>
              </w:rPr>
            </w:pPr>
            <w:r>
              <w:rPr>
                <w:noProof/>
              </w:rPr>
              <w:t>Une procédure d’insolvabilité unique et entièrement numérisée est pleinement opérationnelle.</w:t>
            </w:r>
          </w:p>
        </w:tc>
        <w:tc>
          <w:tcPr>
            <w:tcW w:w="1418" w:type="dxa"/>
            <w:shd w:val="clear" w:color="auto" w:fill="C6EFCE"/>
          </w:tcPr>
          <w:p w14:paraId="50B4B61D" w14:textId="77777777" w:rsidR="003B5F50" w:rsidRDefault="000D2D85">
            <w:pPr>
              <w:pStyle w:val="P68B1DB1-Normal15"/>
              <w:rPr>
                <w:noProof/>
              </w:rPr>
            </w:pPr>
            <w:r>
              <w:rPr>
                <w:noProof/>
              </w:rPr>
              <w:t>Lancement du système informatique pour les procédures d'insolvabilité, vérifié par le protocole d'acceptation</w:t>
            </w:r>
          </w:p>
          <w:p w14:paraId="50B4B61E" w14:textId="77777777" w:rsidR="003B5F50" w:rsidRDefault="003B5F50">
            <w:pPr>
              <w:rPr>
                <w:rFonts w:ascii="Times New Roman" w:hAnsi="Times New Roman"/>
                <w:noProof/>
                <w:color w:val="006100"/>
                <w:sz w:val="20"/>
                <w:szCs w:val="20"/>
              </w:rPr>
            </w:pPr>
          </w:p>
        </w:tc>
        <w:tc>
          <w:tcPr>
            <w:tcW w:w="1559" w:type="dxa"/>
            <w:shd w:val="clear" w:color="auto" w:fill="C6EFCE"/>
          </w:tcPr>
          <w:p w14:paraId="50B4B61F" w14:textId="77777777" w:rsidR="003B5F50" w:rsidRDefault="003B5F50">
            <w:pPr>
              <w:rPr>
                <w:rFonts w:ascii="Times New Roman" w:hAnsi="Times New Roman"/>
                <w:noProof/>
                <w:color w:val="006100"/>
                <w:sz w:val="20"/>
                <w:szCs w:val="22"/>
              </w:rPr>
            </w:pPr>
          </w:p>
        </w:tc>
        <w:tc>
          <w:tcPr>
            <w:tcW w:w="1276" w:type="dxa"/>
            <w:shd w:val="clear" w:color="auto" w:fill="C6EFCE"/>
          </w:tcPr>
          <w:p w14:paraId="50B4B620" w14:textId="77777777" w:rsidR="003B5F50" w:rsidRDefault="003B5F50">
            <w:pPr>
              <w:jc w:val="center"/>
              <w:rPr>
                <w:rFonts w:ascii="Times New Roman" w:hAnsi="Times New Roman"/>
                <w:noProof/>
                <w:sz w:val="20"/>
                <w:szCs w:val="20"/>
              </w:rPr>
            </w:pPr>
          </w:p>
        </w:tc>
        <w:tc>
          <w:tcPr>
            <w:tcW w:w="1134" w:type="dxa"/>
            <w:shd w:val="clear" w:color="auto" w:fill="C6EFCE"/>
          </w:tcPr>
          <w:p w14:paraId="50B4B621" w14:textId="77777777" w:rsidR="003B5F50" w:rsidRDefault="003B5F50">
            <w:pPr>
              <w:jc w:val="right"/>
              <w:rPr>
                <w:rFonts w:ascii="Times New Roman" w:hAnsi="Times New Roman"/>
                <w:noProof/>
                <w:sz w:val="20"/>
                <w:szCs w:val="20"/>
              </w:rPr>
            </w:pPr>
          </w:p>
        </w:tc>
        <w:tc>
          <w:tcPr>
            <w:tcW w:w="1134" w:type="dxa"/>
            <w:shd w:val="clear" w:color="auto" w:fill="C6EFCE"/>
          </w:tcPr>
          <w:p w14:paraId="50B4B622" w14:textId="77777777" w:rsidR="003B5F50" w:rsidRDefault="000D2D85">
            <w:pPr>
              <w:pStyle w:val="P68B1DB1-Normal14"/>
              <w:jc w:val="center"/>
              <w:rPr>
                <w:noProof/>
                <w:szCs w:val="20"/>
              </w:rPr>
            </w:pPr>
            <w:r>
              <w:rPr>
                <w:noProof/>
              </w:rPr>
              <w:t>T4</w:t>
            </w:r>
          </w:p>
        </w:tc>
        <w:tc>
          <w:tcPr>
            <w:tcW w:w="1139" w:type="dxa"/>
            <w:shd w:val="clear" w:color="auto" w:fill="C6EFCE"/>
          </w:tcPr>
          <w:p w14:paraId="50B4B623" w14:textId="77777777" w:rsidR="003B5F50" w:rsidRDefault="000D2D85">
            <w:pPr>
              <w:pStyle w:val="P68B1DB1-Normal14"/>
              <w:jc w:val="center"/>
              <w:rPr>
                <w:noProof/>
                <w:szCs w:val="20"/>
              </w:rPr>
            </w:pPr>
            <w:r>
              <w:rPr>
                <w:noProof/>
              </w:rPr>
              <w:t>2024</w:t>
            </w:r>
          </w:p>
        </w:tc>
        <w:tc>
          <w:tcPr>
            <w:tcW w:w="3630" w:type="dxa"/>
            <w:shd w:val="clear" w:color="auto" w:fill="C6EFCE"/>
          </w:tcPr>
          <w:p w14:paraId="50B4B624" w14:textId="77777777" w:rsidR="003B5F50" w:rsidRDefault="000D2D85">
            <w:pPr>
              <w:pStyle w:val="P68B1DB1-Normal15"/>
              <w:rPr>
                <w:noProof/>
              </w:rPr>
            </w:pPr>
            <w:r>
              <w:rPr>
                <w:noProof/>
              </w:rPr>
              <w:t>Le système informatique pour les procédures d'insolvabilité est lancé. Le système informatique numérise les procédures de liquidation, de faillite, de restructuration, de remise de dettes et de pré-insolvabilité. Elle permet l'échange transfrontalier d'informations et la fourniture de données statistiques simples.</w:t>
            </w:r>
          </w:p>
          <w:p w14:paraId="50B4B625" w14:textId="77777777" w:rsidR="003B5F50" w:rsidRDefault="000D2D85">
            <w:pPr>
              <w:pStyle w:val="P68B1DB1-Normal15"/>
              <w:rPr>
                <w:noProof/>
              </w:rPr>
            </w:pPr>
            <w:r>
              <w:rPr>
                <w:noProof/>
              </w:rPr>
              <w:t xml:space="preserve">Les tribunaux, les créanciers et le public y ont accès. </w:t>
            </w:r>
          </w:p>
        </w:tc>
      </w:tr>
      <w:tr w:rsidR="003B5F50" w14:paraId="50B4B636" w14:textId="77777777" w:rsidTr="008A1F64">
        <w:trPr>
          <w:trHeight w:val="1014"/>
          <w:jc w:val="center"/>
        </w:trPr>
        <w:tc>
          <w:tcPr>
            <w:tcW w:w="709" w:type="dxa"/>
            <w:shd w:val="clear" w:color="auto" w:fill="C6EFCE"/>
          </w:tcPr>
          <w:p w14:paraId="50B4B627" w14:textId="77777777" w:rsidR="003B5F50" w:rsidRDefault="000D2D85">
            <w:pPr>
              <w:pStyle w:val="P68B1DB1-Normal14"/>
              <w:jc w:val="center"/>
              <w:rPr>
                <w:noProof/>
                <w:szCs w:val="20"/>
              </w:rPr>
            </w:pPr>
            <w:r>
              <w:rPr>
                <w:noProof/>
              </w:rPr>
              <w:t>6</w:t>
            </w:r>
          </w:p>
        </w:tc>
        <w:tc>
          <w:tcPr>
            <w:tcW w:w="1554" w:type="dxa"/>
            <w:shd w:val="clear" w:color="auto" w:fill="C6EFCE"/>
          </w:tcPr>
          <w:p w14:paraId="50B4B628" w14:textId="68F6012C" w:rsidR="003B5F50" w:rsidRDefault="000D2D85">
            <w:pPr>
              <w:pStyle w:val="P68B1DB1-Normal14"/>
              <w:rPr>
                <w:noProof/>
                <w:szCs w:val="20"/>
              </w:rPr>
            </w:pPr>
            <w:r>
              <w:rPr>
                <w:noProof/>
              </w:rPr>
              <w:t>14 – Améliorer l’environnement des entreprises - Réforme 3: Réforme des marchés publics – adaptation de la législation</w:t>
            </w:r>
          </w:p>
        </w:tc>
        <w:tc>
          <w:tcPr>
            <w:tcW w:w="851" w:type="dxa"/>
            <w:shd w:val="clear" w:color="auto" w:fill="C6EFCE"/>
          </w:tcPr>
          <w:p w14:paraId="50B4B629" w14:textId="77777777" w:rsidR="003B5F50" w:rsidRDefault="000D2D85">
            <w:pPr>
              <w:pStyle w:val="P68B1DB1-Normal14"/>
              <w:rPr>
                <w:rFonts w:eastAsia="Calibri" w:cs="Times New Roman"/>
                <w:noProof/>
              </w:rPr>
            </w:pPr>
            <w:r>
              <w:rPr>
                <w:noProof/>
              </w:rPr>
              <w:t>Étape</w:t>
            </w:r>
          </w:p>
        </w:tc>
        <w:tc>
          <w:tcPr>
            <w:tcW w:w="850" w:type="dxa"/>
            <w:shd w:val="clear" w:color="auto" w:fill="C6EFCE"/>
          </w:tcPr>
          <w:p w14:paraId="50B4B62A" w14:textId="77777777" w:rsidR="003B5F50" w:rsidRDefault="000D2D85">
            <w:pPr>
              <w:pStyle w:val="P68B1DB1-Normal14"/>
              <w:rPr>
                <w:noProof/>
                <w:szCs w:val="20"/>
              </w:rPr>
            </w:pPr>
            <w:r>
              <w:rPr>
                <w:noProof/>
              </w:rPr>
              <w:t xml:space="preserve">Réforme de la loi sur les procédures de passation des marchés publics </w:t>
            </w:r>
          </w:p>
        </w:tc>
        <w:tc>
          <w:tcPr>
            <w:tcW w:w="1418" w:type="dxa"/>
            <w:shd w:val="clear" w:color="auto" w:fill="C6EFCE"/>
          </w:tcPr>
          <w:p w14:paraId="50B4B62B" w14:textId="77777777" w:rsidR="003B5F50" w:rsidRDefault="000D2D85">
            <w:pPr>
              <w:pStyle w:val="P68B1DB1-Normal14"/>
              <w:rPr>
                <w:noProof/>
                <w:szCs w:val="20"/>
              </w:rPr>
            </w:pPr>
            <w:r>
              <w:rPr>
                <w:noProof/>
              </w:rPr>
              <w:t>Entrée en vigueur de la loi révisée sur les procédures de passation des marchés publics par le Parlement</w:t>
            </w:r>
          </w:p>
        </w:tc>
        <w:tc>
          <w:tcPr>
            <w:tcW w:w="1559" w:type="dxa"/>
            <w:shd w:val="clear" w:color="auto" w:fill="C6EFCE"/>
          </w:tcPr>
          <w:p w14:paraId="50B4B62C" w14:textId="77777777" w:rsidR="003B5F50" w:rsidRDefault="000D2D85">
            <w:pPr>
              <w:pStyle w:val="P68B1DB1-Normal46"/>
              <w:rPr>
                <w:noProof/>
                <w:szCs w:val="20"/>
              </w:rPr>
            </w:pPr>
            <w:r>
              <w:rPr>
                <w:noProof/>
              </w:rPr>
              <w:t xml:space="preserve"> </w:t>
            </w:r>
          </w:p>
        </w:tc>
        <w:tc>
          <w:tcPr>
            <w:tcW w:w="1276" w:type="dxa"/>
            <w:shd w:val="clear" w:color="auto" w:fill="C6EFCE"/>
          </w:tcPr>
          <w:p w14:paraId="50B4B62D" w14:textId="77777777" w:rsidR="003B5F50" w:rsidRDefault="000D2D85">
            <w:pPr>
              <w:pStyle w:val="P68B1DB1-Normal14"/>
              <w:rPr>
                <w:noProof/>
                <w:szCs w:val="20"/>
              </w:rPr>
            </w:pPr>
            <w:r>
              <w:rPr>
                <w:noProof/>
              </w:rPr>
              <w:t xml:space="preserve"> </w:t>
            </w:r>
          </w:p>
        </w:tc>
        <w:tc>
          <w:tcPr>
            <w:tcW w:w="1134" w:type="dxa"/>
            <w:shd w:val="clear" w:color="auto" w:fill="C6EFCE"/>
          </w:tcPr>
          <w:p w14:paraId="50B4B62E" w14:textId="77777777" w:rsidR="003B5F50" w:rsidRDefault="000D2D85">
            <w:pPr>
              <w:pStyle w:val="P68B1DB1-Normal14"/>
              <w:rPr>
                <w:noProof/>
                <w:szCs w:val="20"/>
              </w:rPr>
            </w:pPr>
            <w:r>
              <w:rPr>
                <w:noProof/>
              </w:rPr>
              <w:t xml:space="preserve"> </w:t>
            </w:r>
          </w:p>
        </w:tc>
        <w:tc>
          <w:tcPr>
            <w:tcW w:w="1134" w:type="dxa"/>
            <w:shd w:val="clear" w:color="auto" w:fill="C6EFCE"/>
          </w:tcPr>
          <w:p w14:paraId="50B4B62F" w14:textId="77777777" w:rsidR="003B5F50" w:rsidRDefault="000D2D85">
            <w:pPr>
              <w:pStyle w:val="P68B1DB1-Normal14"/>
              <w:jc w:val="center"/>
              <w:rPr>
                <w:noProof/>
                <w:szCs w:val="20"/>
              </w:rPr>
            </w:pPr>
            <w:r>
              <w:rPr>
                <w:noProof/>
              </w:rPr>
              <w:t>T1</w:t>
            </w:r>
          </w:p>
        </w:tc>
        <w:tc>
          <w:tcPr>
            <w:tcW w:w="1139" w:type="dxa"/>
            <w:shd w:val="clear" w:color="auto" w:fill="C6EFCE"/>
          </w:tcPr>
          <w:p w14:paraId="50B4B630" w14:textId="77777777" w:rsidR="003B5F50" w:rsidRDefault="000D2D85">
            <w:pPr>
              <w:pStyle w:val="P68B1DB1-Normal14"/>
              <w:jc w:val="center"/>
              <w:rPr>
                <w:noProof/>
                <w:szCs w:val="20"/>
              </w:rPr>
            </w:pPr>
            <w:r>
              <w:rPr>
                <w:noProof/>
              </w:rPr>
              <w:t>2022</w:t>
            </w:r>
          </w:p>
        </w:tc>
        <w:tc>
          <w:tcPr>
            <w:tcW w:w="3630" w:type="dxa"/>
            <w:shd w:val="clear" w:color="auto" w:fill="C6EFCE"/>
          </w:tcPr>
          <w:p w14:paraId="50B4B631" w14:textId="77777777" w:rsidR="003B5F50" w:rsidRDefault="000D2D85">
            <w:pPr>
              <w:pStyle w:val="P68B1DB1-Normal14"/>
              <w:rPr>
                <w:noProof/>
                <w:szCs w:val="20"/>
              </w:rPr>
            </w:pPr>
            <w:r>
              <w:rPr>
                <w:noProof/>
              </w:rPr>
              <w:t>Une modification de la loi sur les procédures de passation des marchés publics approuvée par le gouvernement et le Parlement et entrée en vigueur garantira:</w:t>
            </w:r>
          </w:p>
          <w:p w14:paraId="50B4B632" w14:textId="77777777" w:rsidR="003B5F50" w:rsidRDefault="000D2D85">
            <w:pPr>
              <w:pStyle w:val="P68B1DB1-Normal14"/>
              <w:rPr>
                <w:noProof/>
                <w:szCs w:val="20"/>
              </w:rPr>
            </w:pPr>
            <w:r>
              <w:rPr>
                <w:noProof/>
              </w:rPr>
              <w:t>— Accélérer et simplifier la procédure de passation de marché.</w:t>
            </w:r>
          </w:p>
          <w:p w14:paraId="50B4B633" w14:textId="77777777" w:rsidR="003B5F50" w:rsidRDefault="000D2D85">
            <w:pPr>
              <w:pStyle w:val="P68B1DB1-Normal14"/>
              <w:rPr>
                <w:noProof/>
                <w:szCs w:val="20"/>
              </w:rPr>
            </w:pPr>
            <w:r>
              <w:rPr>
                <w:noProof/>
              </w:rPr>
              <w:t>— Accélérer le processus également en vue d’exercer les droits des candidats, soumissionnaires, participants et autres personnes concernées.</w:t>
            </w:r>
          </w:p>
          <w:p w14:paraId="50B4B634" w14:textId="77777777" w:rsidR="003B5F50" w:rsidRDefault="000D2D85">
            <w:pPr>
              <w:pStyle w:val="P68B1DB1-Normal14"/>
              <w:rPr>
                <w:noProof/>
                <w:szCs w:val="20"/>
              </w:rPr>
            </w:pPr>
            <w:r>
              <w:rPr>
                <w:noProof/>
              </w:rPr>
              <w:t>—améliorer le contrôle des marchés publics en automatisant l’attribution et l’évaluation des marchés et en garantissant une collecte et une analyse efficaces des données sur les prix.</w:t>
            </w:r>
          </w:p>
          <w:p w14:paraId="50B4B635" w14:textId="77777777" w:rsidR="003B5F50" w:rsidRDefault="000D2D85">
            <w:pPr>
              <w:pStyle w:val="P68B1DB1-Normal14"/>
              <w:rPr>
                <w:noProof/>
                <w:szCs w:val="20"/>
              </w:rPr>
            </w:pPr>
            <w:r>
              <w:rPr>
                <w:noProof/>
              </w:rPr>
              <w:t>— Garantir des garanties appropriées, notamment en ce qui concerne la transparence, et toute proposition de modification sera conforme à la fois aux directives pertinentes du Parlement européen et du Conseil et aux règles énoncées dans le traité sur le fonctionnement de l’Union européenne.</w:t>
            </w:r>
          </w:p>
        </w:tc>
      </w:tr>
      <w:tr w:rsidR="003B5F50" w14:paraId="50B4B648" w14:textId="77777777" w:rsidTr="008A1F64">
        <w:trPr>
          <w:trHeight w:val="1050"/>
          <w:jc w:val="center"/>
        </w:trPr>
        <w:tc>
          <w:tcPr>
            <w:tcW w:w="709" w:type="dxa"/>
            <w:shd w:val="clear" w:color="auto" w:fill="C6EFCE"/>
          </w:tcPr>
          <w:p w14:paraId="50B4B637" w14:textId="77777777" w:rsidR="003B5F50" w:rsidRDefault="000D2D85">
            <w:pPr>
              <w:pStyle w:val="P68B1DB1-Normal14"/>
              <w:jc w:val="center"/>
              <w:rPr>
                <w:noProof/>
                <w:szCs w:val="20"/>
              </w:rPr>
            </w:pPr>
            <w:r>
              <w:rPr>
                <w:noProof/>
              </w:rPr>
              <w:t>7</w:t>
            </w:r>
          </w:p>
        </w:tc>
        <w:tc>
          <w:tcPr>
            <w:tcW w:w="1554" w:type="dxa"/>
            <w:shd w:val="clear" w:color="auto" w:fill="C6EFCE"/>
          </w:tcPr>
          <w:p w14:paraId="50B4B638" w14:textId="77777777" w:rsidR="003B5F50" w:rsidRDefault="000D2D85">
            <w:pPr>
              <w:pStyle w:val="P68B1DB1-Normal14"/>
              <w:rPr>
                <w:noProof/>
                <w:szCs w:val="20"/>
              </w:rPr>
            </w:pPr>
            <w:r>
              <w:rPr>
                <w:noProof/>
              </w:rPr>
              <w:t>14 – Améliorer l’environnement des entreprises - Réforme 3: Réforme des marchés publics – numérisation des procédures de passation des marchés publics</w:t>
            </w:r>
          </w:p>
        </w:tc>
        <w:tc>
          <w:tcPr>
            <w:tcW w:w="851" w:type="dxa"/>
            <w:shd w:val="clear" w:color="auto" w:fill="C6EFCE"/>
          </w:tcPr>
          <w:p w14:paraId="50B4B639" w14:textId="77777777" w:rsidR="003B5F50" w:rsidRDefault="000D2D85">
            <w:pPr>
              <w:pStyle w:val="P68B1DB1-Normal14"/>
              <w:rPr>
                <w:rFonts w:eastAsia="Calibri" w:cs="Times New Roman"/>
                <w:noProof/>
              </w:rPr>
            </w:pPr>
            <w:r>
              <w:rPr>
                <w:noProof/>
              </w:rPr>
              <w:t>Étape</w:t>
            </w:r>
          </w:p>
        </w:tc>
        <w:tc>
          <w:tcPr>
            <w:tcW w:w="850" w:type="dxa"/>
            <w:shd w:val="clear" w:color="auto" w:fill="C6EFCE"/>
          </w:tcPr>
          <w:p w14:paraId="50B4B63A" w14:textId="77777777" w:rsidR="003B5F50" w:rsidRDefault="000D2D85">
            <w:pPr>
              <w:pStyle w:val="P68B1DB1-Normal14"/>
              <w:rPr>
                <w:noProof/>
                <w:szCs w:val="20"/>
              </w:rPr>
            </w:pPr>
            <w:r>
              <w:rPr>
                <w:noProof/>
              </w:rPr>
              <w:t>Numérisation des procédures de passation des marchés publics au moyen d’une plateforme électronique unique.</w:t>
            </w:r>
          </w:p>
        </w:tc>
        <w:tc>
          <w:tcPr>
            <w:tcW w:w="1418" w:type="dxa"/>
            <w:shd w:val="clear" w:color="auto" w:fill="C6EFCE"/>
          </w:tcPr>
          <w:p w14:paraId="50B4B63B" w14:textId="77777777" w:rsidR="003B5F50" w:rsidRDefault="000D2D85">
            <w:pPr>
              <w:pStyle w:val="P68B1DB1-Normal14"/>
              <w:rPr>
                <w:noProof/>
                <w:szCs w:val="20"/>
              </w:rPr>
            </w:pPr>
            <w:r>
              <w:rPr>
                <w:noProof/>
              </w:rPr>
              <w:t xml:space="preserve">La plateforme électronique unique est pleinement opérationnelle en ce qui concerne les six nouvelles fonctionnalités. </w:t>
            </w:r>
          </w:p>
        </w:tc>
        <w:tc>
          <w:tcPr>
            <w:tcW w:w="1559" w:type="dxa"/>
            <w:shd w:val="clear" w:color="auto" w:fill="C6EFCE"/>
          </w:tcPr>
          <w:p w14:paraId="50B4B63C" w14:textId="77777777" w:rsidR="003B5F50" w:rsidRDefault="003B5F50">
            <w:pPr>
              <w:rPr>
                <w:rFonts w:ascii="Times New Roman" w:hAnsi="Times New Roman"/>
                <w:noProof/>
                <w:sz w:val="20"/>
                <w:szCs w:val="20"/>
              </w:rPr>
            </w:pPr>
          </w:p>
        </w:tc>
        <w:tc>
          <w:tcPr>
            <w:tcW w:w="1276" w:type="dxa"/>
            <w:shd w:val="clear" w:color="auto" w:fill="C6EFCE"/>
          </w:tcPr>
          <w:p w14:paraId="50B4B63D" w14:textId="77777777" w:rsidR="003B5F50" w:rsidRDefault="003B5F50">
            <w:pPr>
              <w:rPr>
                <w:rFonts w:ascii="Times New Roman" w:hAnsi="Times New Roman"/>
                <w:noProof/>
                <w:sz w:val="20"/>
                <w:szCs w:val="20"/>
              </w:rPr>
            </w:pPr>
          </w:p>
        </w:tc>
        <w:tc>
          <w:tcPr>
            <w:tcW w:w="1134" w:type="dxa"/>
            <w:shd w:val="clear" w:color="auto" w:fill="C6EFCE"/>
          </w:tcPr>
          <w:p w14:paraId="50B4B63E" w14:textId="77777777" w:rsidR="003B5F50" w:rsidRDefault="003B5F50">
            <w:pPr>
              <w:rPr>
                <w:rFonts w:ascii="Times New Roman" w:hAnsi="Times New Roman"/>
                <w:noProof/>
                <w:sz w:val="20"/>
                <w:szCs w:val="20"/>
              </w:rPr>
            </w:pPr>
          </w:p>
        </w:tc>
        <w:tc>
          <w:tcPr>
            <w:tcW w:w="1134" w:type="dxa"/>
            <w:shd w:val="clear" w:color="auto" w:fill="C6EFCE"/>
          </w:tcPr>
          <w:p w14:paraId="50B4B63F" w14:textId="77777777" w:rsidR="003B5F50" w:rsidRDefault="000D2D85">
            <w:pPr>
              <w:pStyle w:val="P68B1DB1-Normal14"/>
              <w:jc w:val="center"/>
              <w:rPr>
                <w:noProof/>
                <w:szCs w:val="20"/>
              </w:rPr>
            </w:pPr>
            <w:r>
              <w:rPr>
                <w:noProof/>
              </w:rPr>
              <w:t>T2</w:t>
            </w:r>
          </w:p>
        </w:tc>
        <w:tc>
          <w:tcPr>
            <w:tcW w:w="1139" w:type="dxa"/>
            <w:shd w:val="clear" w:color="auto" w:fill="C6EFCE"/>
          </w:tcPr>
          <w:p w14:paraId="50B4B640" w14:textId="77777777" w:rsidR="003B5F50" w:rsidRDefault="000D2D85">
            <w:pPr>
              <w:pStyle w:val="P68B1DB1-Normal14"/>
              <w:jc w:val="center"/>
              <w:rPr>
                <w:noProof/>
                <w:szCs w:val="20"/>
              </w:rPr>
            </w:pPr>
            <w:r>
              <w:rPr>
                <w:noProof/>
              </w:rPr>
              <w:t>2023</w:t>
            </w:r>
          </w:p>
        </w:tc>
        <w:tc>
          <w:tcPr>
            <w:tcW w:w="3630" w:type="dxa"/>
            <w:shd w:val="clear" w:color="auto" w:fill="C6EFCE"/>
          </w:tcPr>
          <w:p w14:paraId="50B4B641" w14:textId="77777777" w:rsidR="003B5F50" w:rsidRDefault="000D2D85">
            <w:pPr>
              <w:pStyle w:val="P68B1DB1-Normal14"/>
              <w:rPr>
                <w:noProof/>
                <w:szCs w:val="20"/>
              </w:rPr>
            </w:pPr>
            <w:r>
              <w:rPr>
                <w:noProof/>
              </w:rPr>
              <w:t>La numérisation des processus de passation des marchés publics est testée et pleinement opérationnelle, y compris l’interopérabilité avec le système d’information de la gestion centrale des données de référence (IS CSRÚ) conformément à la loi no 305/2013 Rec. permettant l’achèvement automatique des données des entités adjudicatrices, l’extension du champ d’application à tous les biens et services. Caractéristiques:</w:t>
            </w:r>
          </w:p>
          <w:p w14:paraId="50B4B642" w14:textId="77777777" w:rsidR="003B5F50" w:rsidRDefault="000D2D85">
            <w:pPr>
              <w:pStyle w:val="P68B1DB1-Normal14"/>
              <w:rPr>
                <w:noProof/>
                <w:szCs w:val="20"/>
              </w:rPr>
            </w:pPr>
            <w:r>
              <w:rPr>
                <w:noProof/>
              </w:rPr>
              <w:t>—la soumission de travaux, de fournitures et de services inférieurs au seuil, non seulement ceux qui sont normalement disponibles sur le marché;</w:t>
            </w:r>
          </w:p>
          <w:p w14:paraId="50B4B643" w14:textId="77777777" w:rsidR="003B5F50" w:rsidRDefault="000D2D85">
            <w:pPr>
              <w:pStyle w:val="P68B1DB1-Normal14"/>
              <w:rPr>
                <w:noProof/>
                <w:szCs w:val="20"/>
              </w:rPr>
            </w:pPr>
            <w:r>
              <w:rPr>
                <w:noProof/>
              </w:rPr>
              <w:t>— Attribution d’un marché avec un critère autre que le prix;</w:t>
            </w:r>
          </w:p>
          <w:p w14:paraId="50B4B644" w14:textId="77777777" w:rsidR="003B5F50" w:rsidRDefault="000D2D85">
            <w:pPr>
              <w:pStyle w:val="P68B1DB1-Normal14"/>
              <w:rPr>
                <w:noProof/>
                <w:szCs w:val="20"/>
              </w:rPr>
            </w:pPr>
            <w:r>
              <w:rPr>
                <w:noProof/>
              </w:rPr>
              <w:t>—.recherche de marché pour les marchés de faible valeur;</w:t>
            </w:r>
          </w:p>
          <w:p w14:paraId="50B4B645" w14:textId="77777777" w:rsidR="003B5F50" w:rsidRDefault="000D2D85">
            <w:pPr>
              <w:pStyle w:val="P68B1DB1-Normal14"/>
              <w:rPr>
                <w:noProof/>
                <w:szCs w:val="20"/>
              </w:rPr>
            </w:pPr>
            <w:r>
              <w:rPr>
                <w:noProof/>
              </w:rPr>
              <w:t>— publication de marchés de faible valeur;</w:t>
            </w:r>
          </w:p>
          <w:p w14:paraId="50B4B646" w14:textId="77777777" w:rsidR="003B5F50" w:rsidRDefault="000D2D85">
            <w:pPr>
              <w:pStyle w:val="P68B1DB1-Normal14"/>
              <w:rPr>
                <w:noProof/>
                <w:szCs w:val="20"/>
              </w:rPr>
            </w:pPr>
            <w:r>
              <w:rPr>
                <w:noProof/>
              </w:rPr>
              <w:t>— création de la fonctionnalité de classement automatisé des offres;</w:t>
            </w:r>
          </w:p>
          <w:p w14:paraId="50B4B647" w14:textId="77777777" w:rsidR="003B5F50" w:rsidRDefault="000D2D85">
            <w:pPr>
              <w:pStyle w:val="P68B1DB1-Normal14"/>
              <w:rPr>
                <w:noProof/>
                <w:szCs w:val="20"/>
              </w:rPr>
            </w:pPr>
            <w:r>
              <w:rPr>
                <w:noProof/>
              </w:rPr>
              <w:t>—.Intégration au système d’information de la gestion centrale des données de référence (IS CSRÚ) conformément à la loi no 305/2013 Rec.</w:t>
            </w:r>
          </w:p>
        </w:tc>
      </w:tr>
    </w:tbl>
    <w:p w14:paraId="50B4B649" w14:textId="77777777" w:rsidR="003B5F50" w:rsidRDefault="003B5F50">
      <w:pPr>
        <w:pStyle w:val="Heading2"/>
        <w:rPr>
          <w:rFonts w:ascii="Times New Roman" w:hAnsi="Times New Roman" w:cs="Times New Roman"/>
          <w:b/>
          <w:noProof/>
          <w:sz w:val="24"/>
          <w:szCs w:val="24"/>
        </w:rPr>
        <w:sectPr w:rsidR="003B5F50" w:rsidSect="003E3DD3">
          <w:headerReference w:type="even" r:id="rId179"/>
          <w:headerReference w:type="default" r:id="rId180"/>
          <w:footerReference w:type="even" r:id="rId181"/>
          <w:footerReference w:type="default" r:id="rId182"/>
          <w:headerReference w:type="first" r:id="rId183"/>
          <w:footerReference w:type="first" r:id="rId184"/>
          <w:pgSz w:w="16839" w:h="11907" w:orient="landscape"/>
          <w:pgMar w:top="1134" w:right="1134" w:bottom="1134" w:left="1134" w:header="567" w:footer="567" w:gutter="0"/>
          <w:cols w:space="720"/>
          <w:docGrid w:linePitch="360"/>
        </w:sectPr>
      </w:pPr>
    </w:p>
    <w:p w14:paraId="50B4B64A" w14:textId="77777777" w:rsidR="003B5F50" w:rsidRDefault="000D2D85">
      <w:pPr>
        <w:pStyle w:val="P68B1DB1-Heading218"/>
        <w:rPr>
          <w:noProof/>
        </w:rPr>
      </w:pPr>
      <w:r>
        <w:rPr>
          <w:noProof/>
        </w:rPr>
        <w:t>Élément 15: Réforme judiciaire</w:t>
      </w:r>
    </w:p>
    <w:p w14:paraId="50B4B64B" w14:textId="77777777" w:rsidR="003B5F50" w:rsidRDefault="000D2D85">
      <w:pPr>
        <w:pStyle w:val="NormalWeb"/>
        <w:rPr>
          <w:noProof/>
        </w:rPr>
      </w:pPr>
      <w:r>
        <w:rPr>
          <w:noProof/>
        </w:rPr>
        <w:t xml:space="preserve">En Slovaquie, des préoccupations spécifiques concernant l’intégrité globale de son système judiciaire ont été soulevées, et la confiance dans le système judiciaire est faible par rapport à d’autres pays de l’UE. La corruption continue de poser problème et les perceptions de la corruption restent problématiques. </w:t>
      </w:r>
    </w:p>
    <w:p w14:paraId="50B4B64C" w14:textId="77777777" w:rsidR="003B5F50" w:rsidRDefault="000D2D85">
      <w:pPr>
        <w:pStyle w:val="NormalWeb"/>
        <w:rPr>
          <w:noProof/>
        </w:rPr>
      </w:pPr>
      <w:r>
        <w:rPr>
          <w:noProof/>
        </w:rPr>
        <w:t>Ce volet du plan slovaque pour la reprise et la résilience vise à accroître encore l’efficacité, l’intégrité et l’indépendance du système judiciaire ainsi qu’à lutter contre la corruption. L'objectif de la réforme de la carte judiciaire est d'introduire la spécialisation des juges et de créer ainsi des possibilités pour des décisions de justice meilleures et plus rapides. Les investissements liés à la réforme de la carte judiciaire ont deux objectifs primordiaux. Le premier objectif est d'améliorer les locaux existants et de construire ou d'acquérir de nouveaux locaux pour les tribunaux clés dans la nouvelle carte judiciaire. Le deuxième objectif est d’investir dans les capacités d’analyse, les technologies numériques et l’électronique des procédures judiciaires, afin de contribuer à améliorer la qualité et l’accélération des services et à accroître la transparence des procédures, et de réduire les possibilités de pratiques de corruption.</w:t>
      </w:r>
    </w:p>
    <w:p w14:paraId="50B4B64D" w14:textId="1D6A295C" w:rsidR="003B5F50" w:rsidRDefault="000D2D85">
      <w:pPr>
        <w:pStyle w:val="NormalWeb"/>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B64E" w14:textId="77777777" w:rsidR="003B5F50" w:rsidRDefault="000D2D85">
      <w:pPr>
        <w:pStyle w:val="NormalWeb"/>
        <w:rPr>
          <w:noProof/>
        </w:rPr>
      </w:pPr>
      <w:r>
        <w:rPr>
          <w:noProof/>
        </w:rPr>
        <w:t>Ce volet contribue à donner suite à la recommandation par pays 2019.4 et à la recommandation par pays 2020.4, à savoir améliorer l’efficacité et répondre aux préoccupations en matière d’intégrité du système judiciaire, ainsi qu’à redoubler d’efforts pour détecter et poursuivre la corruption, et assurer une surveillance et une application efficaces du cadre de lutte contre le blanchiment de capitaux.</w:t>
      </w:r>
    </w:p>
    <w:p w14:paraId="50B4B64F" w14:textId="77777777" w:rsidR="003B5F50" w:rsidRDefault="003B5F50">
      <w:pPr>
        <w:spacing w:before="120" w:after="120" w:line="240" w:lineRule="auto"/>
        <w:jc w:val="both"/>
        <w:rPr>
          <w:rFonts w:ascii="Times New Roman" w:hAnsi="Times New Roman"/>
          <w:noProof/>
        </w:rPr>
      </w:pPr>
    </w:p>
    <w:p w14:paraId="50B4B650" w14:textId="77777777" w:rsidR="003B5F50" w:rsidRDefault="000D2D85">
      <w:pPr>
        <w:pStyle w:val="P68B1DB1-Normal19"/>
        <w:spacing w:before="120" w:after="120" w:line="240" w:lineRule="auto"/>
        <w:jc w:val="both"/>
        <w:rPr>
          <w:noProof/>
        </w:rPr>
      </w:pPr>
      <w:r>
        <w:rPr>
          <w:noProof/>
        </w:rPr>
        <w:t>Réforme 1: Réorganisation de la carte judiciaire</w:t>
      </w:r>
    </w:p>
    <w:p w14:paraId="50B4B651" w14:textId="77777777" w:rsidR="003B5F50" w:rsidRDefault="000D2D85">
      <w:pPr>
        <w:pStyle w:val="NormalWeb"/>
        <w:rPr>
          <w:noProof/>
        </w:rPr>
      </w:pPr>
      <w:r>
        <w:rPr>
          <w:noProof/>
        </w:rPr>
        <w:t xml:space="preserve">La fragmentation du système judiciaire slovaque nuit à son efficacité. Les juges ne sont pas en mesure de se spécialiser suffisamment, ce qui nuit à l’efficacité et à la qualité des décisions de justice. En outre, l’hétérogénéité du système entraîne un manque de transparence. </w:t>
      </w:r>
    </w:p>
    <w:p w14:paraId="50B4B652" w14:textId="77777777" w:rsidR="003B5F50" w:rsidRDefault="000D2D85">
      <w:pPr>
        <w:pStyle w:val="NormalWeb"/>
        <w:rPr>
          <w:noProof/>
        </w:rPr>
      </w:pPr>
      <w:r>
        <w:rPr>
          <w:noProof/>
        </w:rPr>
        <w:t xml:space="preserve">Cette réforme doit donc améliorer l'efficacité et la qualité du système judiciaire. À cette fin, elle réorganise le système judiciaire en le rationalisant et en permettant ainsi une plus grande spécialisation des juges dans les domaines de la justice pénale, civile, commerciale et familiale, ouvrant ainsi la voie à des décisions de justice meilleures et plus rapides. Il comprend un nouveau réseau de juridictions administratives et de droit commun de première instance (y compris les tribunaux municipaux), de cours d’appel et d’une Cour administrative suprême. </w:t>
      </w:r>
    </w:p>
    <w:p w14:paraId="50B4B653" w14:textId="77777777" w:rsidR="003B5F50" w:rsidRDefault="000D2D85">
      <w:pPr>
        <w:pStyle w:val="NormalWeb"/>
        <w:rPr>
          <w:noProof/>
        </w:rPr>
      </w:pPr>
      <w:r>
        <w:rPr>
          <w:noProof/>
        </w:rPr>
        <w:t>La législation principale mettant en œuvre la réforme de la carte judiciaire entre en vigueur au plus tard le 31 décembre 2021. La transition du système judiciaire vers un plus petit nombre de juridictions et avec des juges spécialisés est achevée au plus tard le 31 mars 2023.</w:t>
      </w:r>
    </w:p>
    <w:p w14:paraId="50B4B654" w14:textId="77777777" w:rsidR="003B5F50" w:rsidRDefault="003B5F50">
      <w:pPr>
        <w:spacing w:before="120" w:after="120" w:line="240" w:lineRule="auto"/>
        <w:jc w:val="both"/>
        <w:rPr>
          <w:rFonts w:ascii="Times New Roman" w:hAnsi="Times New Roman"/>
          <w:noProof/>
        </w:rPr>
      </w:pPr>
    </w:p>
    <w:p w14:paraId="50B4B655" w14:textId="77777777" w:rsidR="003B5F50" w:rsidRDefault="000D2D85">
      <w:pPr>
        <w:pStyle w:val="NormalWeb"/>
        <w:rPr>
          <w:b/>
          <w:noProof/>
        </w:rPr>
      </w:pPr>
      <w:r>
        <w:rPr>
          <w:b/>
          <w:noProof/>
        </w:rPr>
        <w:t>Réforme 2:</w:t>
      </w:r>
      <w:r>
        <w:rPr>
          <w:noProof/>
        </w:rPr>
        <w:t xml:space="preserve"> </w:t>
      </w:r>
      <w:r>
        <w:rPr>
          <w:b/>
          <w:noProof/>
        </w:rPr>
        <w:t>Lutte contre la corruption et renforcement de l'intégrité et de l'indépendance du pouvoir judiciaire</w:t>
      </w:r>
    </w:p>
    <w:p w14:paraId="50B4B656" w14:textId="77777777" w:rsidR="003B5F50" w:rsidRDefault="000D2D85">
      <w:pPr>
        <w:pStyle w:val="NormalWeb"/>
        <w:rPr>
          <w:noProof/>
        </w:rPr>
      </w:pPr>
      <w:r>
        <w:rPr>
          <w:noProof/>
        </w:rPr>
        <w:t>Le niveau élevé de corruption perçue s’accompagne d’un manque de confiance dans le pouvoir judiciaire. L'absence de moyens de poursuivre la corruption et le blanchiment d'argent est particulièrement préoccupante.</w:t>
      </w:r>
    </w:p>
    <w:p w14:paraId="50B4B657" w14:textId="77777777" w:rsidR="003B5F50" w:rsidRDefault="000D2D85">
      <w:pPr>
        <w:pStyle w:val="NormalWeb"/>
        <w:rPr>
          <w:noProof/>
        </w:rPr>
      </w:pPr>
      <w:r>
        <w:rPr>
          <w:noProof/>
        </w:rPr>
        <w:t>Cette réforme implique un ensemble de modifications législatives visant à améliorer l’intégrité et l’indépendance de la justice et à lutter plus efficacement contre la corruption et le blanchiment de capitaux. Cette réforme est mise en œuvre dans le respect de l’article 19 du traité UE afin d’assurer une protection juridictionnelle effective.</w:t>
      </w:r>
    </w:p>
    <w:p w14:paraId="50B4B658" w14:textId="77777777" w:rsidR="003B5F50" w:rsidRDefault="000D2D85">
      <w:pPr>
        <w:pStyle w:val="NormalWeb"/>
        <w:rPr>
          <w:noProof/>
        </w:rPr>
      </w:pPr>
      <w:r>
        <w:rPr>
          <w:noProof/>
        </w:rPr>
        <w:t>Renforcer l’intégrité et l’indépendance de la justice:</w:t>
      </w:r>
    </w:p>
    <w:p w14:paraId="50B4B659" w14:textId="77777777" w:rsidR="003B5F50" w:rsidRDefault="000D2D85">
      <w:pPr>
        <w:pStyle w:val="P68B1DB1-ListParagraph51"/>
        <w:numPr>
          <w:ilvl w:val="0"/>
          <w:numId w:val="39"/>
        </w:numPr>
        <w:spacing w:before="120" w:after="120" w:line="240" w:lineRule="auto"/>
        <w:jc w:val="both"/>
        <w:rPr>
          <w:noProof/>
        </w:rPr>
      </w:pPr>
      <w:r>
        <w:rPr>
          <w:noProof/>
        </w:rPr>
        <w:t>La Cour administrative suprême est créée avec le pouvoir d'agir en tant que tribunal disciplinaire pour les juges, les procureurs, les huissiers de justice, les notaires et les administrateurs (lié à la réforme 1).</w:t>
      </w:r>
    </w:p>
    <w:p w14:paraId="50B4B65A" w14:textId="77777777" w:rsidR="003B5F50" w:rsidRDefault="000D2D85">
      <w:pPr>
        <w:pStyle w:val="P68B1DB1-ListParagraph51"/>
        <w:numPr>
          <w:ilvl w:val="0"/>
          <w:numId w:val="39"/>
        </w:numPr>
        <w:spacing w:before="120" w:after="120" w:line="240" w:lineRule="auto"/>
        <w:jc w:val="both"/>
        <w:rPr>
          <w:noProof/>
        </w:rPr>
      </w:pPr>
      <w:r>
        <w:rPr>
          <w:noProof/>
        </w:rPr>
        <w:t>Le Conseil de la magistrature reçoit davantage de compétences en matière de vérification des avoirs et de l’expertise judiciaire des juges. En outre, un principe régional doit être introduit lors de l'élection au Conseil de la magistrature afin d'assurer une meilleure représentativité.</w:t>
      </w:r>
    </w:p>
    <w:p w14:paraId="50B4B65B" w14:textId="77777777" w:rsidR="003B5F50" w:rsidRDefault="000D2D85">
      <w:pPr>
        <w:pStyle w:val="P68B1DB1-ListParagraph51"/>
        <w:numPr>
          <w:ilvl w:val="0"/>
          <w:numId w:val="39"/>
        </w:numPr>
        <w:spacing w:before="120" w:after="120" w:line="240" w:lineRule="auto"/>
        <w:jc w:val="both"/>
        <w:rPr>
          <w:noProof/>
        </w:rPr>
      </w:pPr>
      <w:r>
        <w:rPr>
          <w:noProof/>
        </w:rPr>
        <w:t>L’élection des juges à la Cour constitutionnelle doit être améliorée et rendue plus transparente par plusieurs moyens, tels qu’une protection contre la passivité parlementaire dans l’élection des juges, l’introduction d’une élection des juges selon le principe de rotation afin de réduire le risque d’un trop grand nombre de juges sélectionnés par un parti politique particulier. Des audiences publiques sont organisées pour l'élection des principaux juges (de la Cour constitutionnelle, du Procureur général et du Procureur spécial).</w:t>
      </w:r>
    </w:p>
    <w:p w14:paraId="50B4B65C" w14:textId="77777777" w:rsidR="003B5F50" w:rsidRDefault="000D2D85">
      <w:pPr>
        <w:pStyle w:val="P68B1DB1-ListParagraph51"/>
        <w:numPr>
          <w:ilvl w:val="0"/>
          <w:numId w:val="39"/>
        </w:numPr>
        <w:spacing w:before="120" w:after="120" w:line="240" w:lineRule="auto"/>
        <w:jc w:val="both"/>
        <w:rPr>
          <w:noProof/>
        </w:rPr>
      </w:pPr>
      <w:r>
        <w:rPr>
          <w:noProof/>
        </w:rPr>
        <w:t>Les règles relatives à l'exercice de la profession judiciaire sont modifiées, y compris une limite d'âge de 67 ans pour les juges et de 72 ans pour les juges constitutionnels.</w:t>
      </w:r>
    </w:p>
    <w:p w14:paraId="50B4B65D" w14:textId="77777777" w:rsidR="003B5F50" w:rsidRDefault="000D2D85">
      <w:pPr>
        <w:pStyle w:val="NormalWeb"/>
        <w:rPr>
          <w:noProof/>
        </w:rPr>
      </w:pPr>
      <w:r>
        <w:rPr>
          <w:noProof/>
        </w:rPr>
        <w:t>Assurer une surveillance et une application efficaces du cadre de lutte contre le blanchiment de capitaux:</w:t>
      </w:r>
    </w:p>
    <w:p w14:paraId="50B4B65E" w14:textId="77777777" w:rsidR="003B5F50" w:rsidRDefault="000D2D85">
      <w:pPr>
        <w:pStyle w:val="P68B1DB1-ListParagraph51"/>
        <w:numPr>
          <w:ilvl w:val="0"/>
          <w:numId w:val="40"/>
        </w:numPr>
        <w:spacing w:before="120" w:after="120" w:line="240" w:lineRule="auto"/>
        <w:jc w:val="both"/>
        <w:rPr>
          <w:noProof/>
        </w:rPr>
      </w:pPr>
      <w:r>
        <w:rPr>
          <w:noProof/>
        </w:rPr>
        <w:t>Le Bureau de la gestion des avoirs saisis sera créé, ainsi qu'un cadre juridique amélioré permettant une saisie et une gestion plus efficaces des avoirs. Cette mesure est liée aux efforts de lutte contre le blanchiment de capitaux du volet 16 du plan slovaque pour la reprise et la résilience.</w:t>
      </w:r>
    </w:p>
    <w:p w14:paraId="50B4B65F" w14:textId="77777777" w:rsidR="003B5F50" w:rsidRDefault="000D2D85">
      <w:pPr>
        <w:pStyle w:val="NormalWeb"/>
        <w:rPr>
          <w:noProof/>
        </w:rPr>
      </w:pPr>
      <w:r>
        <w:rPr>
          <w:noProof/>
        </w:rPr>
        <w:t>Détecter et poursuivre la corruption:</w:t>
      </w:r>
    </w:p>
    <w:p w14:paraId="50B4B660" w14:textId="5ADF4743" w:rsidR="003B5F50" w:rsidRDefault="000D2D85">
      <w:pPr>
        <w:pStyle w:val="P68B1DB1-ListParagraph51"/>
        <w:numPr>
          <w:ilvl w:val="0"/>
          <w:numId w:val="40"/>
        </w:numPr>
        <w:spacing w:before="120" w:after="120" w:line="240" w:lineRule="auto"/>
        <w:jc w:val="both"/>
        <w:rPr>
          <w:noProof/>
        </w:rPr>
      </w:pPr>
      <w:r>
        <w:rPr>
          <w:noProof/>
        </w:rPr>
        <w:t>De nouvelles infractions pénales sont introduites si les fonctionnaires demandent ou promettent des avantages indus.</w:t>
      </w:r>
    </w:p>
    <w:p w14:paraId="50B4B661" w14:textId="77777777" w:rsidR="003B5F50" w:rsidRDefault="000D2D85">
      <w:pPr>
        <w:pStyle w:val="NormalWeb"/>
        <w:rPr>
          <w:noProof/>
        </w:rPr>
      </w:pPr>
      <w:r>
        <w:rPr>
          <w:noProof/>
        </w:rPr>
        <w:t>Une partie de ces modifications législatives était prévue pour le 31 décembre 2020. L’ensemble de la législation entre en vigueur au plus tard le 30 septembre 2021.</w:t>
      </w:r>
    </w:p>
    <w:p w14:paraId="50B4B662" w14:textId="77777777" w:rsidR="003B5F50" w:rsidRDefault="000D2D85">
      <w:pPr>
        <w:pStyle w:val="NormalWeb"/>
        <w:rPr>
          <w:noProof/>
        </w:rPr>
      </w:pPr>
      <w:r>
        <w:rPr>
          <w:noProof/>
        </w:rPr>
        <w:t xml:space="preserve">La mise en œuvre de la réforme est achevée au plus tard le 30 septembre 2021. </w:t>
      </w:r>
    </w:p>
    <w:p w14:paraId="50B4B663" w14:textId="77777777" w:rsidR="003B5F50" w:rsidRDefault="000D2D85">
      <w:pPr>
        <w:pStyle w:val="P68B1DB1-Normal19"/>
        <w:spacing w:before="120" w:after="120" w:line="240" w:lineRule="auto"/>
        <w:jc w:val="both"/>
        <w:rPr>
          <w:noProof/>
        </w:rPr>
      </w:pPr>
      <w:r>
        <w:rPr>
          <w:noProof/>
        </w:rPr>
        <w:t>Investissement 1: Bâtiments pour le système judiciaire réorganisé</w:t>
      </w:r>
    </w:p>
    <w:p w14:paraId="50B4B664" w14:textId="77777777" w:rsidR="003B5F50" w:rsidRDefault="000D2D85">
      <w:pPr>
        <w:pStyle w:val="NormalWeb"/>
        <w:rPr>
          <w:noProof/>
        </w:rPr>
      </w:pPr>
      <w:r>
        <w:rPr>
          <w:noProof/>
        </w:rPr>
        <w:t>L’objectif de la mesure est de moderniser les bâtiments judiciaires dans le cadre de la nouvelle carte judiciaire.</w:t>
      </w:r>
    </w:p>
    <w:p w14:paraId="50B4B665" w14:textId="77777777" w:rsidR="003B5F50" w:rsidRDefault="000D2D85">
      <w:pPr>
        <w:pStyle w:val="NormalWeb"/>
        <w:rPr>
          <w:noProof/>
          <w:highlight w:val="yellow"/>
        </w:rPr>
      </w:pPr>
      <w:r>
        <w:rPr>
          <w:noProof/>
        </w:rPr>
        <w:t xml:space="preserve">La mesure consiste à rénover et à moderniser les bâtiments existants, ainsi qu’à acquérir de nouveaux locaux appropriés pour les tribunaux. </w:t>
      </w:r>
    </w:p>
    <w:p w14:paraId="50B4B666" w14:textId="77777777" w:rsidR="003B5F50" w:rsidRDefault="000D2D85">
      <w:pPr>
        <w:pStyle w:val="NormalWeb"/>
        <w:rPr>
          <w:noProof/>
        </w:rPr>
      </w:pPr>
      <w:r>
        <w:rPr>
          <w:b/>
          <w:noProof/>
        </w:rPr>
        <w:t>Investissement 2: Numérisation et capacités d’analyse</w:t>
      </w:r>
      <w:r>
        <w:rPr>
          <w:noProof/>
        </w:rPr>
        <w:t xml:space="preserve"> </w:t>
      </w:r>
    </w:p>
    <w:p w14:paraId="50B4B667" w14:textId="71684B23" w:rsidR="003B5F50" w:rsidRDefault="000D2D85">
      <w:pPr>
        <w:pStyle w:val="NormalWeb"/>
        <w:rPr>
          <w:noProof/>
        </w:rPr>
      </w:pPr>
      <w:r>
        <w:rPr>
          <w:noProof/>
        </w:rPr>
        <w:t xml:space="preserve">L’objectif de la mesure est d’améliorer l’efficacité du réseau juridique réformé en améliorant l’utilisation de la technologie numérique. </w:t>
      </w:r>
    </w:p>
    <w:p w14:paraId="50B4B668" w14:textId="77777777" w:rsidR="003B5F50" w:rsidRDefault="000D2D85">
      <w:pPr>
        <w:pStyle w:val="NormalWeb"/>
        <w:rPr>
          <w:noProof/>
        </w:rPr>
      </w:pPr>
      <w:r>
        <w:rPr>
          <w:noProof/>
        </w:rPr>
        <w:t xml:space="preserve">La mesure consiste en un certain nombre d’actions, y compris l’acquisition d’outils informatiques pour le personnel et les bâtiments des tribunaux, l’élaboration d’un registre numérique des entreprises qui permet aux entrepreneurs et aux tribunaux d’exercer pleinement leurs activités dans le registre des entreprises par voie électronique, et une plateforme de soutien analytique à la jurisprudence qui permet aux juges d’accélérer le travail d’analyse. </w:t>
      </w:r>
    </w:p>
    <w:p w14:paraId="50B4B669" w14:textId="77777777" w:rsidR="003B5F50" w:rsidRDefault="003B5F50">
      <w:pPr>
        <w:spacing w:before="120" w:after="120" w:line="240" w:lineRule="auto"/>
        <w:jc w:val="both"/>
        <w:rPr>
          <w:rFonts w:ascii="Times New Roman" w:hAnsi="Times New Roman"/>
          <w:noProof/>
        </w:rPr>
        <w:sectPr w:rsidR="003B5F50" w:rsidSect="003E3DD3">
          <w:headerReference w:type="even" r:id="rId185"/>
          <w:headerReference w:type="default" r:id="rId186"/>
          <w:footerReference w:type="even" r:id="rId187"/>
          <w:footerReference w:type="default" r:id="rId188"/>
          <w:headerReference w:type="first" r:id="rId189"/>
          <w:footerReference w:type="first" r:id="rId190"/>
          <w:pgSz w:w="11907" w:h="16839"/>
          <w:pgMar w:top="1134" w:right="1134" w:bottom="1134" w:left="1134" w:header="567" w:footer="567" w:gutter="0"/>
          <w:cols w:space="720"/>
          <w:docGrid w:linePitch="360"/>
        </w:sectPr>
      </w:pPr>
    </w:p>
    <w:p w14:paraId="50B4B66B" w14:textId="77777777" w:rsidR="003B5F50" w:rsidRDefault="000D2D85">
      <w:pPr>
        <w:pStyle w:val="P68B1DB1-Normal44"/>
        <w:spacing w:before="120" w:after="120" w:line="240" w:lineRule="auto"/>
        <w:ind w:left="850"/>
        <w:jc w:val="both"/>
        <w:rPr>
          <w:noProof/>
        </w:rPr>
      </w:pPr>
      <w:r>
        <w:rPr>
          <w:noProof/>
        </w:rPr>
        <w:t xml:space="preserve">A.2. </w:t>
      </w:r>
      <w:r>
        <w:rPr>
          <w:noProof/>
        </w:rPr>
        <w:tab/>
        <w:t>Étapes, cibles, indicateurs et calendrier pour le suivi et la mise en œuvre du soutien financier non remboursable</w:t>
      </w:r>
    </w:p>
    <w:p w14:paraId="50B4B66C" w14:textId="77777777" w:rsidR="003B5F50" w:rsidRDefault="003B5F50">
      <w:pPr>
        <w:spacing w:before="120" w:after="120" w:line="240" w:lineRule="auto"/>
        <w:ind w:left="850"/>
        <w:jc w:val="both"/>
        <w:rPr>
          <w:rFonts w:ascii="Times New Roman" w:hAnsi="Times New Roman"/>
          <w:i/>
          <w:iCs/>
          <w:noProof/>
          <w:color w:val="4F81BD"/>
        </w:rPr>
      </w:pPr>
    </w:p>
    <w:tbl>
      <w:tblPr>
        <w:tblW w:w="1456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1617"/>
        <w:gridCol w:w="822"/>
        <w:gridCol w:w="850"/>
        <w:gridCol w:w="1418"/>
        <w:gridCol w:w="1559"/>
        <w:gridCol w:w="1276"/>
        <w:gridCol w:w="1134"/>
        <w:gridCol w:w="1134"/>
        <w:gridCol w:w="821"/>
        <w:gridCol w:w="3238"/>
      </w:tblGrid>
      <w:tr w:rsidR="003B5F50" w14:paraId="50B4B67B" w14:textId="77777777" w:rsidTr="008A1F64">
        <w:trPr>
          <w:trHeight w:val="900"/>
          <w:tblHeader/>
        </w:trPr>
        <w:tc>
          <w:tcPr>
            <w:tcW w:w="697" w:type="dxa"/>
            <w:vMerge w:val="restart"/>
            <w:shd w:val="clear" w:color="auto" w:fill="BDD7EE"/>
            <w:vAlign w:val="center"/>
          </w:tcPr>
          <w:p w14:paraId="50B4B66D" w14:textId="77777777" w:rsidR="003B5F50" w:rsidRDefault="000D2D85">
            <w:pPr>
              <w:pStyle w:val="P68B1DB1-Normal13"/>
              <w:jc w:val="center"/>
              <w:rPr>
                <w:noProof/>
                <w:szCs w:val="20"/>
              </w:rPr>
            </w:pPr>
            <w:r>
              <w:rPr>
                <w:noProof/>
              </w:rPr>
              <w:t>Seq. Num.</w:t>
            </w:r>
          </w:p>
          <w:p w14:paraId="50B4B66E" w14:textId="77777777" w:rsidR="003B5F50" w:rsidRDefault="000D2D85">
            <w:pPr>
              <w:pStyle w:val="P68B1DB1-Normal13"/>
              <w:jc w:val="center"/>
              <w:rPr>
                <w:noProof/>
                <w:szCs w:val="20"/>
              </w:rPr>
            </w:pPr>
            <w:r>
              <w:rPr>
                <w:noProof/>
              </w:rPr>
              <w:t xml:space="preserve"> </w:t>
            </w:r>
          </w:p>
        </w:tc>
        <w:tc>
          <w:tcPr>
            <w:tcW w:w="1617" w:type="dxa"/>
            <w:vMerge w:val="restart"/>
            <w:shd w:val="clear" w:color="auto" w:fill="BDD7EE"/>
            <w:vAlign w:val="center"/>
          </w:tcPr>
          <w:p w14:paraId="50B4B66F" w14:textId="77777777" w:rsidR="003B5F50" w:rsidRDefault="000D2D85">
            <w:pPr>
              <w:pStyle w:val="P68B1DB1-Normal13"/>
              <w:jc w:val="center"/>
              <w:rPr>
                <w:noProof/>
                <w:szCs w:val="20"/>
              </w:rPr>
            </w:pPr>
            <w:r>
              <w:rPr>
                <w:noProof/>
              </w:rPr>
              <w:t>Mesure connexe (réforme ou investissement)</w:t>
            </w:r>
          </w:p>
          <w:p w14:paraId="50B4B670" w14:textId="77777777" w:rsidR="003B5F50" w:rsidRDefault="000D2D85">
            <w:pPr>
              <w:pStyle w:val="P68B1DB1-Normal13"/>
              <w:jc w:val="center"/>
              <w:rPr>
                <w:noProof/>
                <w:szCs w:val="20"/>
              </w:rPr>
            </w:pPr>
            <w:r>
              <w:rPr>
                <w:noProof/>
              </w:rPr>
              <w:t xml:space="preserve"> </w:t>
            </w:r>
          </w:p>
        </w:tc>
        <w:tc>
          <w:tcPr>
            <w:tcW w:w="822" w:type="dxa"/>
            <w:vMerge w:val="restart"/>
            <w:shd w:val="clear" w:color="auto" w:fill="BDD7EE"/>
            <w:vAlign w:val="center"/>
          </w:tcPr>
          <w:p w14:paraId="50B4B671" w14:textId="77777777" w:rsidR="003B5F50" w:rsidRDefault="000D2D85">
            <w:pPr>
              <w:pStyle w:val="P68B1DB1-Normal13"/>
              <w:jc w:val="center"/>
              <w:rPr>
                <w:noProof/>
                <w:szCs w:val="20"/>
              </w:rPr>
            </w:pPr>
            <w:r>
              <w:rPr>
                <w:noProof/>
              </w:rPr>
              <w:t>Étape/cible</w:t>
            </w:r>
          </w:p>
          <w:p w14:paraId="50B4B672" w14:textId="77777777" w:rsidR="003B5F50" w:rsidRDefault="000D2D85">
            <w:pPr>
              <w:pStyle w:val="P68B1DB1-Normal13"/>
              <w:jc w:val="center"/>
              <w:rPr>
                <w:noProof/>
                <w:szCs w:val="20"/>
              </w:rPr>
            </w:pPr>
            <w:r>
              <w:rPr>
                <w:noProof/>
              </w:rPr>
              <w:t xml:space="preserve"> </w:t>
            </w:r>
          </w:p>
        </w:tc>
        <w:tc>
          <w:tcPr>
            <w:tcW w:w="850" w:type="dxa"/>
            <w:vMerge w:val="restart"/>
            <w:shd w:val="clear" w:color="auto" w:fill="BDD7EE"/>
            <w:vAlign w:val="center"/>
          </w:tcPr>
          <w:p w14:paraId="50B4B673" w14:textId="77777777" w:rsidR="003B5F50" w:rsidRDefault="000D2D85">
            <w:pPr>
              <w:pStyle w:val="P68B1DB1-Normal13"/>
              <w:jc w:val="center"/>
              <w:rPr>
                <w:noProof/>
                <w:szCs w:val="20"/>
              </w:rPr>
            </w:pPr>
            <w:r>
              <w:rPr>
                <w:noProof/>
              </w:rPr>
              <w:t>Nom</w:t>
            </w:r>
          </w:p>
          <w:p w14:paraId="50B4B674" w14:textId="77777777" w:rsidR="003B5F50" w:rsidRDefault="000D2D85">
            <w:pPr>
              <w:pStyle w:val="P68B1DB1-Normal13"/>
              <w:jc w:val="center"/>
              <w:rPr>
                <w:noProof/>
                <w:szCs w:val="20"/>
              </w:rPr>
            </w:pPr>
            <w:r>
              <w:rPr>
                <w:noProof/>
              </w:rPr>
              <w:t xml:space="preserve"> </w:t>
            </w:r>
          </w:p>
        </w:tc>
        <w:tc>
          <w:tcPr>
            <w:tcW w:w="1418" w:type="dxa"/>
            <w:vMerge w:val="restart"/>
            <w:shd w:val="clear" w:color="auto" w:fill="BDD7EE"/>
            <w:vAlign w:val="center"/>
          </w:tcPr>
          <w:p w14:paraId="50B4B675" w14:textId="77777777" w:rsidR="003B5F50" w:rsidRDefault="000D2D85">
            <w:pPr>
              <w:pStyle w:val="P68B1DB1-Normal13"/>
              <w:jc w:val="center"/>
              <w:rPr>
                <w:noProof/>
                <w:szCs w:val="20"/>
              </w:rPr>
            </w:pPr>
            <w:r>
              <w:rPr>
                <w:noProof/>
              </w:rPr>
              <w:t>Indicateurs qualitatifs (pour les jalons)</w:t>
            </w:r>
          </w:p>
          <w:p w14:paraId="50B4B676" w14:textId="77777777" w:rsidR="003B5F50" w:rsidRDefault="000D2D85">
            <w:pPr>
              <w:pStyle w:val="P68B1DB1-Normal13"/>
              <w:jc w:val="center"/>
              <w:rPr>
                <w:noProof/>
                <w:szCs w:val="20"/>
              </w:rPr>
            </w:pPr>
            <w:r>
              <w:rPr>
                <w:noProof/>
              </w:rPr>
              <w:t xml:space="preserve"> </w:t>
            </w:r>
          </w:p>
        </w:tc>
        <w:tc>
          <w:tcPr>
            <w:tcW w:w="3969" w:type="dxa"/>
            <w:gridSpan w:val="3"/>
            <w:shd w:val="clear" w:color="auto" w:fill="BDD7EE"/>
            <w:vAlign w:val="center"/>
          </w:tcPr>
          <w:p w14:paraId="50B4B677" w14:textId="77777777" w:rsidR="003B5F50" w:rsidRDefault="000D2D85">
            <w:pPr>
              <w:pStyle w:val="P68B1DB1-Normal13"/>
              <w:jc w:val="center"/>
              <w:rPr>
                <w:noProof/>
                <w:szCs w:val="20"/>
              </w:rPr>
            </w:pPr>
            <w:r>
              <w:rPr>
                <w:noProof/>
              </w:rPr>
              <w:t>Indicateurs quantitatifs (pour les objectifs)</w:t>
            </w:r>
          </w:p>
        </w:tc>
        <w:tc>
          <w:tcPr>
            <w:tcW w:w="1955" w:type="dxa"/>
            <w:gridSpan w:val="2"/>
            <w:shd w:val="clear" w:color="auto" w:fill="BDD7EE"/>
            <w:vAlign w:val="center"/>
          </w:tcPr>
          <w:p w14:paraId="50B4B678" w14:textId="77777777" w:rsidR="003B5F50" w:rsidRDefault="000D2D85">
            <w:pPr>
              <w:pStyle w:val="P68B1DB1-Normal13"/>
              <w:jc w:val="center"/>
              <w:rPr>
                <w:noProof/>
                <w:szCs w:val="20"/>
              </w:rPr>
            </w:pPr>
            <w:r>
              <w:rPr>
                <w:noProof/>
              </w:rPr>
              <w:t xml:space="preserve">Calendrier indicatif d'achèvement </w:t>
            </w:r>
          </w:p>
        </w:tc>
        <w:tc>
          <w:tcPr>
            <w:tcW w:w="3238" w:type="dxa"/>
            <w:vMerge w:val="restart"/>
            <w:shd w:val="clear" w:color="auto" w:fill="BDD7EE"/>
            <w:vAlign w:val="center"/>
          </w:tcPr>
          <w:p w14:paraId="50B4B679" w14:textId="77777777" w:rsidR="003B5F50" w:rsidRDefault="000D2D85">
            <w:pPr>
              <w:pStyle w:val="P68B1DB1-Normal13"/>
              <w:jc w:val="center"/>
              <w:rPr>
                <w:noProof/>
                <w:szCs w:val="20"/>
              </w:rPr>
            </w:pPr>
            <w:r>
              <w:rPr>
                <w:noProof/>
              </w:rPr>
              <w:t>Description et définition claire de chaque jalon et cible</w:t>
            </w:r>
          </w:p>
          <w:p w14:paraId="50B4B67A" w14:textId="77777777" w:rsidR="003B5F50" w:rsidRDefault="000D2D85">
            <w:pPr>
              <w:pStyle w:val="P68B1DB1-Normal16"/>
              <w:rPr>
                <w:noProof/>
                <w:szCs w:val="20"/>
              </w:rPr>
            </w:pPr>
            <w:r>
              <w:rPr>
                <w:noProof/>
              </w:rPr>
              <w:t xml:space="preserve"> </w:t>
            </w:r>
          </w:p>
        </w:tc>
      </w:tr>
      <w:tr w:rsidR="003B5F50" w14:paraId="50B4B687" w14:textId="77777777" w:rsidTr="008A1F64">
        <w:trPr>
          <w:trHeight w:val="527"/>
          <w:tblHeader/>
        </w:trPr>
        <w:tc>
          <w:tcPr>
            <w:tcW w:w="697" w:type="dxa"/>
            <w:vMerge/>
            <w:vAlign w:val="center"/>
          </w:tcPr>
          <w:p w14:paraId="50B4B67C" w14:textId="77777777" w:rsidR="003B5F50" w:rsidRDefault="003B5F50">
            <w:pPr>
              <w:jc w:val="center"/>
              <w:rPr>
                <w:rFonts w:ascii="Times New Roman" w:hAnsi="Times New Roman"/>
                <w:noProof/>
                <w:sz w:val="20"/>
                <w:szCs w:val="20"/>
              </w:rPr>
            </w:pPr>
          </w:p>
        </w:tc>
        <w:tc>
          <w:tcPr>
            <w:tcW w:w="1617" w:type="dxa"/>
            <w:vMerge/>
            <w:vAlign w:val="center"/>
          </w:tcPr>
          <w:p w14:paraId="50B4B67D" w14:textId="77777777" w:rsidR="003B5F50" w:rsidRDefault="003B5F50">
            <w:pPr>
              <w:jc w:val="center"/>
              <w:rPr>
                <w:rFonts w:ascii="Times New Roman" w:hAnsi="Times New Roman"/>
                <w:noProof/>
                <w:sz w:val="20"/>
                <w:szCs w:val="20"/>
              </w:rPr>
            </w:pPr>
          </w:p>
        </w:tc>
        <w:tc>
          <w:tcPr>
            <w:tcW w:w="822" w:type="dxa"/>
            <w:vMerge/>
            <w:vAlign w:val="center"/>
          </w:tcPr>
          <w:p w14:paraId="50B4B67E" w14:textId="77777777" w:rsidR="003B5F50" w:rsidRDefault="003B5F50">
            <w:pPr>
              <w:jc w:val="center"/>
              <w:rPr>
                <w:rFonts w:ascii="Times New Roman" w:hAnsi="Times New Roman"/>
                <w:noProof/>
                <w:sz w:val="20"/>
                <w:szCs w:val="20"/>
              </w:rPr>
            </w:pPr>
          </w:p>
        </w:tc>
        <w:tc>
          <w:tcPr>
            <w:tcW w:w="850" w:type="dxa"/>
            <w:vMerge/>
            <w:vAlign w:val="center"/>
          </w:tcPr>
          <w:p w14:paraId="50B4B67F" w14:textId="77777777" w:rsidR="003B5F50" w:rsidRDefault="003B5F50">
            <w:pPr>
              <w:jc w:val="center"/>
              <w:rPr>
                <w:rFonts w:ascii="Times New Roman" w:hAnsi="Times New Roman"/>
                <w:noProof/>
                <w:sz w:val="20"/>
                <w:szCs w:val="20"/>
              </w:rPr>
            </w:pPr>
          </w:p>
        </w:tc>
        <w:tc>
          <w:tcPr>
            <w:tcW w:w="1418" w:type="dxa"/>
            <w:vMerge/>
            <w:vAlign w:val="center"/>
          </w:tcPr>
          <w:p w14:paraId="50B4B680" w14:textId="77777777" w:rsidR="003B5F50" w:rsidRDefault="003B5F50">
            <w:pPr>
              <w:jc w:val="center"/>
              <w:rPr>
                <w:rFonts w:ascii="Times New Roman" w:hAnsi="Times New Roman"/>
                <w:noProof/>
                <w:sz w:val="20"/>
                <w:szCs w:val="20"/>
              </w:rPr>
            </w:pPr>
          </w:p>
        </w:tc>
        <w:tc>
          <w:tcPr>
            <w:tcW w:w="1559" w:type="dxa"/>
            <w:shd w:val="clear" w:color="auto" w:fill="BDD7EE"/>
            <w:vAlign w:val="center"/>
          </w:tcPr>
          <w:p w14:paraId="50B4B681" w14:textId="77777777" w:rsidR="003B5F50" w:rsidRDefault="000D2D85">
            <w:pPr>
              <w:pStyle w:val="P68B1DB1-Normal13"/>
              <w:jc w:val="center"/>
              <w:rPr>
                <w:noProof/>
                <w:szCs w:val="20"/>
              </w:rPr>
            </w:pPr>
            <w:r>
              <w:rPr>
                <w:noProof/>
              </w:rPr>
              <w:t>Unité de mesure</w:t>
            </w:r>
          </w:p>
        </w:tc>
        <w:tc>
          <w:tcPr>
            <w:tcW w:w="1276" w:type="dxa"/>
            <w:shd w:val="clear" w:color="auto" w:fill="BDD7EE"/>
            <w:vAlign w:val="center"/>
          </w:tcPr>
          <w:p w14:paraId="50B4B682" w14:textId="77777777" w:rsidR="003B5F50" w:rsidRDefault="000D2D85">
            <w:pPr>
              <w:pStyle w:val="P68B1DB1-Normal13"/>
              <w:jc w:val="center"/>
              <w:rPr>
                <w:noProof/>
                <w:szCs w:val="20"/>
              </w:rPr>
            </w:pPr>
            <w:r>
              <w:rPr>
                <w:noProof/>
              </w:rPr>
              <w:t>Données de référence</w:t>
            </w:r>
          </w:p>
        </w:tc>
        <w:tc>
          <w:tcPr>
            <w:tcW w:w="1134" w:type="dxa"/>
            <w:shd w:val="clear" w:color="auto" w:fill="BDD7EE"/>
            <w:vAlign w:val="center"/>
          </w:tcPr>
          <w:p w14:paraId="50B4B683" w14:textId="77777777" w:rsidR="003B5F50" w:rsidRDefault="000D2D85">
            <w:pPr>
              <w:pStyle w:val="P68B1DB1-Normal13"/>
              <w:jc w:val="center"/>
              <w:rPr>
                <w:noProof/>
                <w:szCs w:val="20"/>
              </w:rPr>
            </w:pPr>
            <w:r>
              <w:rPr>
                <w:noProof/>
              </w:rPr>
              <w:t>Objectif</w:t>
            </w:r>
          </w:p>
        </w:tc>
        <w:tc>
          <w:tcPr>
            <w:tcW w:w="1134" w:type="dxa"/>
            <w:shd w:val="clear" w:color="auto" w:fill="BDD7EE"/>
            <w:vAlign w:val="center"/>
          </w:tcPr>
          <w:p w14:paraId="50B4B684" w14:textId="77777777" w:rsidR="003B5F50" w:rsidRDefault="000D2D85">
            <w:pPr>
              <w:pStyle w:val="P68B1DB1-Normal13"/>
              <w:jc w:val="center"/>
              <w:rPr>
                <w:noProof/>
                <w:szCs w:val="20"/>
              </w:rPr>
            </w:pPr>
            <w:r>
              <w:rPr>
                <w:noProof/>
              </w:rPr>
              <w:t>Trimestre</w:t>
            </w:r>
          </w:p>
        </w:tc>
        <w:tc>
          <w:tcPr>
            <w:tcW w:w="821" w:type="dxa"/>
            <w:shd w:val="clear" w:color="auto" w:fill="BDD7EE"/>
            <w:vAlign w:val="center"/>
          </w:tcPr>
          <w:p w14:paraId="50B4B685" w14:textId="77777777" w:rsidR="003B5F50" w:rsidRDefault="000D2D85">
            <w:pPr>
              <w:pStyle w:val="P68B1DB1-Normal13"/>
              <w:jc w:val="center"/>
              <w:rPr>
                <w:noProof/>
                <w:szCs w:val="20"/>
              </w:rPr>
            </w:pPr>
            <w:r>
              <w:rPr>
                <w:noProof/>
              </w:rPr>
              <w:t>Année</w:t>
            </w:r>
          </w:p>
        </w:tc>
        <w:tc>
          <w:tcPr>
            <w:tcW w:w="3238" w:type="dxa"/>
            <w:vMerge/>
            <w:vAlign w:val="center"/>
          </w:tcPr>
          <w:p w14:paraId="50B4B686" w14:textId="77777777" w:rsidR="003B5F50" w:rsidRDefault="003B5F50">
            <w:pPr>
              <w:rPr>
                <w:rFonts w:ascii="Times New Roman" w:hAnsi="Times New Roman"/>
                <w:noProof/>
                <w:sz w:val="20"/>
                <w:szCs w:val="20"/>
              </w:rPr>
            </w:pPr>
          </w:p>
        </w:tc>
      </w:tr>
      <w:tr w:rsidR="003B5F50" w14:paraId="50B4B694" w14:textId="77777777" w:rsidTr="008A1F64">
        <w:trPr>
          <w:trHeight w:val="1230"/>
        </w:trPr>
        <w:tc>
          <w:tcPr>
            <w:tcW w:w="697" w:type="dxa"/>
            <w:shd w:val="clear" w:color="auto" w:fill="C6EFCE"/>
          </w:tcPr>
          <w:p w14:paraId="50B4B688" w14:textId="77777777" w:rsidR="003B5F50" w:rsidRDefault="000D2D85">
            <w:pPr>
              <w:pStyle w:val="P68B1DB1-Normal14"/>
              <w:jc w:val="center"/>
              <w:rPr>
                <w:noProof/>
                <w:szCs w:val="20"/>
              </w:rPr>
            </w:pPr>
            <w:r>
              <w:rPr>
                <w:noProof/>
              </w:rPr>
              <w:t>1</w:t>
            </w:r>
          </w:p>
        </w:tc>
        <w:tc>
          <w:tcPr>
            <w:tcW w:w="1617" w:type="dxa"/>
            <w:shd w:val="clear" w:color="auto" w:fill="C6EFCE"/>
          </w:tcPr>
          <w:p w14:paraId="50B4B689" w14:textId="77777777" w:rsidR="003B5F50" w:rsidRDefault="000D2D85">
            <w:pPr>
              <w:pStyle w:val="P68B1DB1-Normal14"/>
              <w:rPr>
                <w:noProof/>
                <w:szCs w:val="20"/>
              </w:rPr>
            </w:pPr>
            <w:r>
              <w:rPr>
                <w:noProof/>
              </w:rPr>
              <w:t>15 – Réforme du système judiciaire – Réforme 1:Réforme de la carte judiciaire – Législation</w:t>
            </w:r>
          </w:p>
        </w:tc>
        <w:tc>
          <w:tcPr>
            <w:tcW w:w="822" w:type="dxa"/>
            <w:shd w:val="clear" w:color="auto" w:fill="C6EFCE"/>
          </w:tcPr>
          <w:p w14:paraId="50B4B68A" w14:textId="77777777" w:rsidR="003B5F50" w:rsidRDefault="000D2D85">
            <w:pPr>
              <w:pStyle w:val="P68B1DB1-Normal14"/>
              <w:rPr>
                <w:rFonts w:eastAsia="Calibri" w:cs="Times New Roman"/>
                <w:noProof/>
              </w:rPr>
            </w:pPr>
            <w:r>
              <w:rPr>
                <w:noProof/>
              </w:rPr>
              <w:t>Étape</w:t>
            </w:r>
          </w:p>
        </w:tc>
        <w:tc>
          <w:tcPr>
            <w:tcW w:w="850" w:type="dxa"/>
            <w:shd w:val="clear" w:color="auto" w:fill="C6EFCE"/>
          </w:tcPr>
          <w:p w14:paraId="50B4B68B" w14:textId="77777777" w:rsidR="003B5F50" w:rsidRDefault="000D2D85">
            <w:pPr>
              <w:pStyle w:val="P68B1DB1-Normal14"/>
              <w:rPr>
                <w:noProof/>
                <w:szCs w:val="20"/>
              </w:rPr>
            </w:pPr>
            <w:r>
              <w:rPr>
                <w:noProof/>
              </w:rPr>
              <w:t xml:space="preserve">Définition d'une nouvelle carte judiciaire </w:t>
            </w:r>
          </w:p>
        </w:tc>
        <w:tc>
          <w:tcPr>
            <w:tcW w:w="1418" w:type="dxa"/>
            <w:shd w:val="clear" w:color="auto" w:fill="C6EFCE"/>
          </w:tcPr>
          <w:p w14:paraId="50B4B68C" w14:textId="77777777" w:rsidR="003B5F50" w:rsidRDefault="000D2D85">
            <w:pPr>
              <w:pStyle w:val="P68B1DB1-Normal14"/>
              <w:rPr>
                <w:noProof/>
                <w:szCs w:val="20"/>
              </w:rPr>
            </w:pPr>
            <w:r>
              <w:rPr>
                <w:noProof/>
              </w:rPr>
              <w:t>Entrée en vigueur de la loi sur les résidences et les districts</w:t>
            </w:r>
          </w:p>
        </w:tc>
        <w:tc>
          <w:tcPr>
            <w:tcW w:w="1559" w:type="dxa"/>
            <w:shd w:val="clear" w:color="auto" w:fill="C6EFCE"/>
          </w:tcPr>
          <w:p w14:paraId="50B4B68D" w14:textId="77777777" w:rsidR="003B5F50" w:rsidRDefault="000D2D85">
            <w:pPr>
              <w:pStyle w:val="P68B1DB1-Normal14"/>
              <w:rPr>
                <w:noProof/>
                <w:szCs w:val="20"/>
              </w:rPr>
            </w:pPr>
            <w:r>
              <w:rPr>
                <w:noProof/>
              </w:rPr>
              <w:t xml:space="preserve"> </w:t>
            </w:r>
          </w:p>
        </w:tc>
        <w:tc>
          <w:tcPr>
            <w:tcW w:w="1276" w:type="dxa"/>
            <w:shd w:val="clear" w:color="auto" w:fill="C6EFCE"/>
          </w:tcPr>
          <w:p w14:paraId="50B4B68E" w14:textId="77777777" w:rsidR="003B5F50" w:rsidRDefault="000D2D85">
            <w:pPr>
              <w:pStyle w:val="P68B1DB1-Normal14"/>
              <w:rPr>
                <w:noProof/>
                <w:szCs w:val="20"/>
              </w:rPr>
            </w:pPr>
            <w:r>
              <w:rPr>
                <w:noProof/>
              </w:rPr>
              <w:t xml:space="preserve"> </w:t>
            </w:r>
          </w:p>
        </w:tc>
        <w:tc>
          <w:tcPr>
            <w:tcW w:w="1134" w:type="dxa"/>
            <w:shd w:val="clear" w:color="auto" w:fill="C6EFCE"/>
          </w:tcPr>
          <w:p w14:paraId="50B4B68F" w14:textId="77777777" w:rsidR="003B5F50" w:rsidRDefault="000D2D85">
            <w:pPr>
              <w:pStyle w:val="P68B1DB1-Normal14"/>
              <w:rPr>
                <w:noProof/>
                <w:szCs w:val="20"/>
              </w:rPr>
            </w:pPr>
            <w:r>
              <w:rPr>
                <w:noProof/>
              </w:rPr>
              <w:t xml:space="preserve"> </w:t>
            </w:r>
          </w:p>
        </w:tc>
        <w:tc>
          <w:tcPr>
            <w:tcW w:w="1134" w:type="dxa"/>
            <w:shd w:val="clear" w:color="auto" w:fill="C6EFCE"/>
          </w:tcPr>
          <w:p w14:paraId="50B4B690" w14:textId="77777777" w:rsidR="003B5F50" w:rsidRDefault="000D2D85">
            <w:pPr>
              <w:pStyle w:val="P68B1DB1-Normal14"/>
              <w:jc w:val="center"/>
              <w:rPr>
                <w:noProof/>
                <w:szCs w:val="20"/>
              </w:rPr>
            </w:pPr>
            <w:r>
              <w:rPr>
                <w:noProof/>
              </w:rPr>
              <w:t>T4</w:t>
            </w:r>
          </w:p>
        </w:tc>
        <w:tc>
          <w:tcPr>
            <w:tcW w:w="821" w:type="dxa"/>
            <w:shd w:val="clear" w:color="auto" w:fill="C6EFCE"/>
          </w:tcPr>
          <w:p w14:paraId="50B4B691" w14:textId="77777777" w:rsidR="003B5F50" w:rsidRDefault="000D2D85">
            <w:pPr>
              <w:pStyle w:val="P68B1DB1-Normal14"/>
              <w:jc w:val="center"/>
              <w:rPr>
                <w:noProof/>
                <w:szCs w:val="20"/>
              </w:rPr>
            </w:pPr>
            <w:r>
              <w:rPr>
                <w:noProof/>
              </w:rPr>
              <w:t>2021</w:t>
            </w:r>
          </w:p>
        </w:tc>
        <w:tc>
          <w:tcPr>
            <w:tcW w:w="3238" w:type="dxa"/>
            <w:shd w:val="clear" w:color="auto" w:fill="C6EFCE"/>
          </w:tcPr>
          <w:p w14:paraId="50B4B692" w14:textId="77777777" w:rsidR="003B5F50" w:rsidRDefault="000D2D85">
            <w:pPr>
              <w:pStyle w:val="P68B1DB1-Normal14"/>
              <w:rPr>
                <w:noProof/>
                <w:szCs w:val="20"/>
              </w:rPr>
            </w:pPr>
            <w:r>
              <w:rPr>
                <w:noProof/>
              </w:rPr>
              <w:t xml:space="preserve">L'entrée en vigueur de la modification législative définit un nouveau système juridictionnel. </w:t>
            </w:r>
          </w:p>
          <w:p w14:paraId="50B4B693" w14:textId="77777777" w:rsidR="003B5F50" w:rsidRDefault="000D2D85">
            <w:pPr>
              <w:pStyle w:val="P68B1DB1-Normal14"/>
              <w:rPr>
                <w:noProof/>
                <w:szCs w:val="20"/>
              </w:rPr>
            </w:pPr>
            <w:r>
              <w:rPr>
                <w:noProof/>
              </w:rPr>
              <w:t xml:space="preserve">Les modifications apportées à la carte judiciaire adaptent le réseau des tribunaux ordinaires de première instance, créent des tribunaux administratifs, adaptent les cours d’appel ordinaires et créent la Cour administrative suprême de la République slovaque. </w:t>
            </w:r>
          </w:p>
        </w:tc>
      </w:tr>
      <w:tr w:rsidR="003B5F50" w14:paraId="50B4B6A0" w14:textId="77777777" w:rsidTr="008A1F64">
        <w:trPr>
          <w:trHeight w:val="1230"/>
        </w:trPr>
        <w:tc>
          <w:tcPr>
            <w:tcW w:w="697" w:type="dxa"/>
            <w:shd w:val="clear" w:color="auto" w:fill="C6F1CE"/>
          </w:tcPr>
          <w:p w14:paraId="50B4B695" w14:textId="77777777" w:rsidR="003B5F50" w:rsidRDefault="000D2D85">
            <w:pPr>
              <w:pStyle w:val="P68B1DB1-Normal14"/>
              <w:jc w:val="center"/>
              <w:rPr>
                <w:noProof/>
                <w:szCs w:val="20"/>
              </w:rPr>
            </w:pPr>
            <w:r>
              <w:rPr>
                <w:noProof/>
              </w:rPr>
              <w:t>2</w:t>
            </w:r>
          </w:p>
        </w:tc>
        <w:tc>
          <w:tcPr>
            <w:tcW w:w="1617" w:type="dxa"/>
            <w:shd w:val="clear" w:color="auto" w:fill="C6F1CE"/>
          </w:tcPr>
          <w:p w14:paraId="50B4B696" w14:textId="77777777" w:rsidR="003B5F50" w:rsidRDefault="000D2D85">
            <w:pPr>
              <w:pStyle w:val="P68B1DB1-Normal14"/>
              <w:rPr>
                <w:noProof/>
                <w:szCs w:val="20"/>
              </w:rPr>
            </w:pPr>
            <w:r>
              <w:rPr>
                <w:noProof/>
              </w:rPr>
              <w:t>15 – Réforme du système judiciaire – Réforme 1:Réforme de la carte judiciaire – Législation</w:t>
            </w:r>
          </w:p>
        </w:tc>
        <w:tc>
          <w:tcPr>
            <w:tcW w:w="822" w:type="dxa"/>
            <w:shd w:val="clear" w:color="auto" w:fill="C6F1CE"/>
          </w:tcPr>
          <w:p w14:paraId="50B4B697" w14:textId="77777777" w:rsidR="003B5F50" w:rsidRDefault="000D2D85">
            <w:pPr>
              <w:pStyle w:val="P68B1DB1-Normal14"/>
              <w:rPr>
                <w:rFonts w:eastAsia="Calibri" w:cs="Times New Roman"/>
                <w:noProof/>
              </w:rPr>
            </w:pPr>
            <w:r>
              <w:rPr>
                <w:noProof/>
              </w:rPr>
              <w:t>Étape</w:t>
            </w:r>
          </w:p>
        </w:tc>
        <w:tc>
          <w:tcPr>
            <w:tcW w:w="850" w:type="dxa"/>
            <w:shd w:val="clear" w:color="auto" w:fill="C6F1CE"/>
          </w:tcPr>
          <w:p w14:paraId="50B4B698" w14:textId="77777777" w:rsidR="003B5F50" w:rsidRDefault="000D2D85">
            <w:pPr>
              <w:pStyle w:val="P68B1DB1-Normal14"/>
              <w:rPr>
                <w:noProof/>
                <w:szCs w:val="20"/>
              </w:rPr>
            </w:pPr>
            <w:r>
              <w:rPr>
                <w:noProof/>
              </w:rPr>
              <w:t xml:space="preserve">L'introduction du nouveau réseau judiciaire </w:t>
            </w:r>
          </w:p>
        </w:tc>
        <w:tc>
          <w:tcPr>
            <w:tcW w:w="1418" w:type="dxa"/>
            <w:shd w:val="clear" w:color="auto" w:fill="C6F1CE"/>
          </w:tcPr>
          <w:p w14:paraId="50B4B699" w14:textId="77777777" w:rsidR="003B5F50" w:rsidRDefault="000D2D85">
            <w:pPr>
              <w:pStyle w:val="P68B1DB1-Normal14"/>
              <w:rPr>
                <w:noProof/>
                <w:szCs w:val="20"/>
              </w:rPr>
            </w:pPr>
            <w:r>
              <w:rPr>
                <w:noProof/>
              </w:rPr>
              <w:t>Le réseau judiciaire réorganisé est opérationnel</w:t>
            </w:r>
          </w:p>
        </w:tc>
        <w:tc>
          <w:tcPr>
            <w:tcW w:w="1559" w:type="dxa"/>
            <w:shd w:val="clear" w:color="auto" w:fill="C6F1CE"/>
          </w:tcPr>
          <w:p w14:paraId="50B4B69A" w14:textId="77777777" w:rsidR="003B5F50" w:rsidRDefault="000D2D85">
            <w:pPr>
              <w:pStyle w:val="P68B1DB1-Normal14"/>
              <w:rPr>
                <w:noProof/>
                <w:szCs w:val="20"/>
              </w:rPr>
            </w:pPr>
            <w:r>
              <w:rPr>
                <w:noProof/>
              </w:rPr>
              <w:t xml:space="preserve"> </w:t>
            </w:r>
          </w:p>
        </w:tc>
        <w:tc>
          <w:tcPr>
            <w:tcW w:w="1276" w:type="dxa"/>
            <w:shd w:val="clear" w:color="auto" w:fill="C6F1CE"/>
          </w:tcPr>
          <w:p w14:paraId="50B4B69B" w14:textId="77777777" w:rsidR="003B5F50" w:rsidRDefault="000D2D85">
            <w:pPr>
              <w:pStyle w:val="P68B1DB1-Normal14"/>
              <w:rPr>
                <w:noProof/>
                <w:szCs w:val="20"/>
              </w:rPr>
            </w:pPr>
            <w:r>
              <w:rPr>
                <w:noProof/>
              </w:rPr>
              <w:t xml:space="preserve"> </w:t>
            </w:r>
          </w:p>
        </w:tc>
        <w:tc>
          <w:tcPr>
            <w:tcW w:w="1134" w:type="dxa"/>
            <w:shd w:val="clear" w:color="auto" w:fill="C6F1CE"/>
          </w:tcPr>
          <w:p w14:paraId="50B4B69C" w14:textId="77777777" w:rsidR="003B5F50" w:rsidRDefault="000D2D85">
            <w:pPr>
              <w:pStyle w:val="P68B1DB1-Normal14"/>
              <w:rPr>
                <w:noProof/>
                <w:szCs w:val="20"/>
              </w:rPr>
            </w:pPr>
            <w:r>
              <w:rPr>
                <w:noProof/>
              </w:rPr>
              <w:t xml:space="preserve"> </w:t>
            </w:r>
          </w:p>
        </w:tc>
        <w:tc>
          <w:tcPr>
            <w:tcW w:w="1134" w:type="dxa"/>
            <w:shd w:val="clear" w:color="auto" w:fill="C6F1CE"/>
          </w:tcPr>
          <w:p w14:paraId="50B4B69D" w14:textId="77777777" w:rsidR="003B5F50" w:rsidRDefault="000D2D85">
            <w:pPr>
              <w:pStyle w:val="P68B1DB1-Normal14"/>
              <w:jc w:val="center"/>
              <w:rPr>
                <w:noProof/>
                <w:szCs w:val="20"/>
              </w:rPr>
            </w:pPr>
            <w:r>
              <w:rPr>
                <w:noProof/>
              </w:rPr>
              <w:t>T1</w:t>
            </w:r>
          </w:p>
        </w:tc>
        <w:tc>
          <w:tcPr>
            <w:tcW w:w="821" w:type="dxa"/>
            <w:shd w:val="clear" w:color="auto" w:fill="C6F1CE"/>
          </w:tcPr>
          <w:p w14:paraId="50B4B69E" w14:textId="77777777" w:rsidR="003B5F50" w:rsidRDefault="000D2D85">
            <w:pPr>
              <w:pStyle w:val="P68B1DB1-Normal14"/>
              <w:jc w:val="center"/>
              <w:rPr>
                <w:noProof/>
                <w:szCs w:val="20"/>
              </w:rPr>
            </w:pPr>
            <w:r>
              <w:rPr>
                <w:noProof/>
              </w:rPr>
              <w:t>2023</w:t>
            </w:r>
          </w:p>
        </w:tc>
        <w:tc>
          <w:tcPr>
            <w:tcW w:w="3238" w:type="dxa"/>
            <w:shd w:val="clear" w:color="auto" w:fill="C6F1CE"/>
          </w:tcPr>
          <w:p w14:paraId="50B4B69F" w14:textId="77777777" w:rsidR="003B5F50" w:rsidRDefault="000D2D85">
            <w:pPr>
              <w:pStyle w:val="P68B1DB1-Normal14"/>
              <w:rPr>
                <w:noProof/>
                <w:szCs w:val="20"/>
              </w:rPr>
            </w:pPr>
            <w:r>
              <w:rPr>
                <w:noProof/>
              </w:rPr>
              <w:t>La transition de l’administration de la justice vers un plus petit nombre de juridictions est achevée et les juges ont été désignés pour une spécialisation (en droit civil, en droit de la famille, en droit pénal et en droit commercial) dans au moins trois ordres du jour judiciaires dans chaque nouveau district judiciaire (T1/2023). Le nouveau réseau des juridictions ordinaires et administratives de première instance, des cours d’appel ordinaires et de la Cour administrative suprême de la République slovaque (Q1/2023) est mis en place et opérationnel.</w:t>
            </w:r>
          </w:p>
        </w:tc>
      </w:tr>
      <w:tr w:rsidR="003B5F50" w14:paraId="50B4B6AD" w14:textId="77777777" w:rsidTr="008A1F64">
        <w:trPr>
          <w:trHeight w:val="1485"/>
        </w:trPr>
        <w:tc>
          <w:tcPr>
            <w:tcW w:w="697" w:type="dxa"/>
            <w:shd w:val="clear" w:color="auto" w:fill="C6EFCE"/>
          </w:tcPr>
          <w:p w14:paraId="50B4B6A1" w14:textId="77777777" w:rsidR="003B5F50" w:rsidRDefault="000D2D85">
            <w:pPr>
              <w:pStyle w:val="P68B1DB1-Normal14"/>
              <w:jc w:val="center"/>
              <w:rPr>
                <w:noProof/>
                <w:szCs w:val="20"/>
              </w:rPr>
            </w:pPr>
            <w:r>
              <w:rPr>
                <w:noProof/>
              </w:rPr>
              <w:t>3</w:t>
            </w:r>
          </w:p>
        </w:tc>
        <w:tc>
          <w:tcPr>
            <w:tcW w:w="1617" w:type="dxa"/>
            <w:shd w:val="clear" w:color="auto" w:fill="C6EFCE"/>
          </w:tcPr>
          <w:p w14:paraId="50B4B6A2" w14:textId="77777777" w:rsidR="003B5F50" w:rsidRDefault="000D2D85">
            <w:pPr>
              <w:pStyle w:val="P68B1DB1-Normal14"/>
              <w:rPr>
                <w:noProof/>
                <w:szCs w:val="20"/>
              </w:rPr>
            </w:pPr>
            <w:r>
              <w:rPr>
                <w:noProof/>
              </w:rPr>
              <w:t>15 – Réforme du système judiciaire – Investissement 1: réorganisation des tribunaux – rénovation des bâtiments</w:t>
            </w:r>
          </w:p>
        </w:tc>
        <w:tc>
          <w:tcPr>
            <w:tcW w:w="822" w:type="dxa"/>
            <w:shd w:val="clear" w:color="auto" w:fill="C6EFCE"/>
          </w:tcPr>
          <w:p w14:paraId="50B4B6A3" w14:textId="77777777" w:rsidR="003B5F50" w:rsidRDefault="000D2D85">
            <w:pPr>
              <w:pStyle w:val="P68B1DB1-Normal14"/>
              <w:rPr>
                <w:rFonts w:eastAsia="Calibri" w:cs="Times New Roman"/>
                <w:noProof/>
              </w:rPr>
            </w:pPr>
            <w:r>
              <w:rPr>
                <w:noProof/>
              </w:rPr>
              <w:t>Objectif</w:t>
            </w:r>
          </w:p>
        </w:tc>
        <w:tc>
          <w:tcPr>
            <w:tcW w:w="850" w:type="dxa"/>
            <w:shd w:val="clear" w:color="auto" w:fill="C6EFCE"/>
          </w:tcPr>
          <w:p w14:paraId="50B4B6A4" w14:textId="77777777" w:rsidR="003B5F50" w:rsidRDefault="000D2D85">
            <w:pPr>
              <w:pStyle w:val="P68B1DB1-Normal14"/>
              <w:rPr>
                <w:noProof/>
                <w:szCs w:val="20"/>
              </w:rPr>
            </w:pPr>
            <w:r>
              <w:rPr>
                <w:noProof/>
              </w:rPr>
              <w:t>Surface reconstruite des bâtiments de la cour à m²)</w:t>
            </w:r>
          </w:p>
        </w:tc>
        <w:tc>
          <w:tcPr>
            <w:tcW w:w="1418" w:type="dxa"/>
            <w:shd w:val="clear" w:color="auto" w:fill="C6EFCE"/>
          </w:tcPr>
          <w:p w14:paraId="50B4B6A5" w14:textId="77777777" w:rsidR="003B5F50" w:rsidRDefault="003B5F50">
            <w:pPr>
              <w:rPr>
                <w:rFonts w:ascii="Times New Roman" w:hAnsi="Times New Roman"/>
                <w:noProof/>
                <w:sz w:val="20"/>
                <w:szCs w:val="20"/>
              </w:rPr>
            </w:pPr>
          </w:p>
        </w:tc>
        <w:tc>
          <w:tcPr>
            <w:tcW w:w="1559" w:type="dxa"/>
            <w:shd w:val="clear" w:color="auto" w:fill="C6EFCE"/>
          </w:tcPr>
          <w:p w14:paraId="50B4B6A6" w14:textId="77777777" w:rsidR="003B5F50" w:rsidRDefault="000D2D85">
            <w:pPr>
              <w:pStyle w:val="P68B1DB1-Normal15"/>
              <w:rPr>
                <w:noProof/>
              </w:rPr>
            </w:pPr>
            <w:r>
              <w:rPr>
                <w:noProof/>
              </w:rPr>
              <w:t>Superficie (m2)</w:t>
            </w:r>
          </w:p>
        </w:tc>
        <w:tc>
          <w:tcPr>
            <w:tcW w:w="1276" w:type="dxa"/>
            <w:shd w:val="clear" w:color="auto" w:fill="C6EFCE"/>
          </w:tcPr>
          <w:p w14:paraId="50B4B6A7" w14:textId="77777777" w:rsidR="003B5F50" w:rsidRDefault="000D2D85">
            <w:pPr>
              <w:pStyle w:val="P68B1DB1-Normal14"/>
              <w:jc w:val="right"/>
              <w:rPr>
                <w:noProof/>
                <w:szCs w:val="20"/>
              </w:rPr>
            </w:pPr>
            <w:r>
              <w:rPr>
                <w:noProof/>
              </w:rPr>
              <w:t>0</w:t>
            </w:r>
          </w:p>
        </w:tc>
        <w:tc>
          <w:tcPr>
            <w:tcW w:w="1134" w:type="dxa"/>
            <w:shd w:val="clear" w:color="auto" w:fill="C6EFCE"/>
          </w:tcPr>
          <w:p w14:paraId="50B4B6A8" w14:textId="77777777" w:rsidR="003B5F50" w:rsidRDefault="000D2D85">
            <w:pPr>
              <w:pStyle w:val="P68B1DB1-Normal14"/>
              <w:jc w:val="right"/>
              <w:rPr>
                <w:noProof/>
                <w:szCs w:val="20"/>
              </w:rPr>
            </w:pPr>
            <w:r>
              <w:rPr>
                <w:noProof/>
                <w:szCs w:val="20"/>
              </w:rPr>
              <w:t>48</w:t>
            </w:r>
            <w:r>
              <w:rPr>
                <w:noProof/>
              </w:rPr>
              <w:t xml:space="preserve"> </w:t>
            </w:r>
            <w:r>
              <w:rPr>
                <w:noProof/>
                <w:szCs w:val="20"/>
              </w:rPr>
              <w:t xml:space="preserve">388 </w:t>
            </w:r>
          </w:p>
        </w:tc>
        <w:tc>
          <w:tcPr>
            <w:tcW w:w="1134" w:type="dxa"/>
            <w:shd w:val="clear" w:color="auto" w:fill="C6EFCE"/>
          </w:tcPr>
          <w:p w14:paraId="50B4B6A9" w14:textId="77777777" w:rsidR="003B5F50" w:rsidRDefault="000D2D85">
            <w:pPr>
              <w:pStyle w:val="P68B1DB1-Normal15"/>
              <w:jc w:val="center"/>
              <w:rPr>
                <w:noProof/>
              </w:rPr>
            </w:pPr>
            <w:r>
              <w:rPr>
                <w:noProof/>
              </w:rPr>
              <w:t>T2</w:t>
            </w:r>
          </w:p>
        </w:tc>
        <w:tc>
          <w:tcPr>
            <w:tcW w:w="821" w:type="dxa"/>
            <w:shd w:val="clear" w:color="auto" w:fill="C6EFCE"/>
          </w:tcPr>
          <w:p w14:paraId="50B4B6AA" w14:textId="77777777" w:rsidR="003B5F50" w:rsidRDefault="000D2D85">
            <w:pPr>
              <w:pStyle w:val="P68B1DB1-Normal15"/>
              <w:jc w:val="center"/>
              <w:rPr>
                <w:noProof/>
              </w:rPr>
            </w:pPr>
            <w:r>
              <w:rPr>
                <w:noProof/>
              </w:rPr>
              <w:t>2026</w:t>
            </w:r>
          </w:p>
        </w:tc>
        <w:tc>
          <w:tcPr>
            <w:tcW w:w="3238" w:type="dxa"/>
            <w:shd w:val="clear" w:color="auto" w:fill="C6EFCE"/>
          </w:tcPr>
          <w:p w14:paraId="50B4B6AB" w14:textId="77777777" w:rsidR="003B5F50" w:rsidRDefault="000D2D85">
            <w:pPr>
              <w:pStyle w:val="P68B1DB1-Normal14"/>
              <w:rPr>
                <w:noProof/>
                <w:szCs w:val="20"/>
              </w:rPr>
            </w:pPr>
            <w:r>
              <w:rPr>
                <w:noProof/>
                <w:szCs w:val="20"/>
              </w:rPr>
              <w:t>Rénovation de 48</w:t>
            </w:r>
            <w:r>
              <w:rPr>
                <w:noProof/>
              </w:rPr>
              <w:t> </w:t>
            </w:r>
            <w:r>
              <w:rPr>
                <w:noProof/>
                <w:szCs w:val="20"/>
              </w:rPr>
              <w:t xml:space="preserve">388 mètres carrés de bâtiments judiciaires. </w:t>
            </w:r>
          </w:p>
          <w:p w14:paraId="50B4B6AC" w14:textId="77777777" w:rsidR="003B5F50" w:rsidRDefault="000D2D85">
            <w:pPr>
              <w:pStyle w:val="P68B1DB1-Normal43"/>
              <w:rPr>
                <w:noProof/>
              </w:rPr>
            </w:pPr>
            <w:r>
              <w:rPr>
                <w:noProof/>
              </w:rPr>
              <w:t>Les rénovations permettent de réaliser des économies d’énergie d’au moins 30 % en moyenne.</w:t>
            </w:r>
          </w:p>
        </w:tc>
      </w:tr>
      <w:tr w:rsidR="003B5F50" w14:paraId="50B4B6BB" w14:textId="77777777" w:rsidTr="008A1F64">
        <w:trPr>
          <w:trHeight w:val="615"/>
        </w:trPr>
        <w:tc>
          <w:tcPr>
            <w:tcW w:w="697" w:type="dxa"/>
            <w:shd w:val="clear" w:color="auto" w:fill="C6EFCE"/>
          </w:tcPr>
          <w:p w14:paraId="50B4B6AE" w14:textId="77777777" w:rsidR="003B5F50" w:rsidRDefault="000D2D85">
            <w:pPr>
              <w:pStyle w:val="P68B1DB1-Normal14"/>
              <w:jc w:val="center"/>
              <w:rPr>
                <w:noProof/>
                <w:szCs w:val="20"/>
              </w:rPr>
            </w:pPr>
            <w:r>
              <w:rPr>
                <w:noProof/>
              </w:rPr>
              <w:t>4</w:t>
            </w:r>
          </w:p>
        </w:tc>
        <w:tc>
          <w:tcPr>
            <w:tcW w:w="1617" w:type="dxa"/>
            <w:shd w:val="clear" w:color="auto" w:fill="C6EFCE"/>
          </w:tcPr>
          <w:p w14:paraId="50B4B6AF" w14:textId="77777777" w:rsidR="003B5F50" w:rsidRDefault="000D2D85">
            <w:pPr>
              <w:pStyle w:val="P68B1DB1-Normal14"/>
              <w:rPr>
                <w:noProof/>
                <w:szCs w:val="20"/>
              </w:rPr>
            </w:pPr>
            <w:r>
              <w:rPr>
                <w:noProof/>
              </w:rPr>
              <w:t>15 – Réforme du système judiciaire – Investissement 1:Réorganisation des tribunaux – Construction/procurement de nouveaux bâtiments</w:t>
            </w:r>
          </w:p>
        </w:tc>
        <w:tc>
          <w:tcPr>
            <w:tcW w:w="822" w:type="dxa"/>
            <w:shd w:val="clear" w:color="auto" w:fill="C6EFCE"/>
          </w:tcPr>
          <w:p w14:paraId="50B4B6B0" w14:textId="77777777" w:rsidR="003B5F50" w:rsidRDefault="000D2D85">
            <w:pPr>
              <w:pStyle w:val="P68B1DB1-Normal14"/>
              <w:rPr>
                <w:rFonts w:eastAsia="Calibri" w:cs="Times New Roman"/>
                <w:noProof/>
              </w:rPr>
            </w:pPr>
            <w:r>
              <w:rPr>
                <w:noProof/>
              </w:rPr>
              <w:t>Objectif</w:t>
            </w:r>
          </w:p>
        </w:tc>
        <w:tc>
          <w:tcPr>
            <w:tcW w:w="850" w:type="dxa"/>
            <w:shd w:val="clear" w:color="auto" w:fill="C6EFCE"/>
          </w:tcPr>
          <w:p w14:paraId="50B4B6B1" w14:textId="77777777" w:rsidR="003B5F50" w:rsidRDefault="000D2D85">
            <w:pPr>
              <w:pStyle w:val="P68B1DB1-Normal14"/>
              <w:rPr>
                <w:noProof/>
                <w:szCs w:val="20"/>
              </w:rPr>
            </w:pPr>
            <w:r>
              <w:rPr>
                <w:noProof/>
              </w:rPr>
              <w:t>Surface des bâtiments judiciaires construits ou achetés (en m²)</w:t>
            </w:r>
          </w:p>
        </w:tc>
        <w:tc>
          <w:tcPr>
            <w:tcW w:w="1418" w:type="dxa"/>
            <w:shd w:val="clear" w:color="auto" w:fill="C6EFCE"/>
          </w:tcPr>
          <w:p w14:paraId="50B4B6B2" w14:textId="77777777" w:rsidR="003B5F50" w:rsidRDefault="003B5F50">
            <w:pPr>
              <w:rPr>
                <w:rFonts w:ascii="Times New Roman" w:hAnsi="Times New Roman"/>
                <w:noProof/>
                <w:sz w:val="20"/>
                <w:szCs w:val="20"/>
              </w:rPr>
            </w:pPr>
          </w:p>
        </w:tc>
        <w:tc>
          <w:tcPr>
            <w:tcW w:w="1559" w:type="dxa"/>
            <w:shd w:val="clear" w:color="auto" w:fill="C6EFCE"/>
          </w:tcPr>
          <w:p w14:paraId="50B4B6B3" w14:textId="77777777" w:rsidR="003B5F50" w:rsidRDefault="000D2D85">
            <w:pPr>
              <w:pStyle w:val="P68B1DB1-Normal14"/>
              <w:rPr>
                <w:noProof/>
                <w:szCs w:val="20"/>
              </w:rPr>
            </w:pPr>
            <w:r>
              <w:rPr>
                <w:noProof/>
              </w:rPr>
              <w:t>Superficie (m2)</w:t>
            </w:r>
          </w:p>
        </w:tc>
        <w:tc>
          <w:tcPr>
            <w:tcW w:w="1276" w:type="dxa"/>
            <w:shd w:val="clear" w:color="auto" w:fill="C6EFCE"/>
          </w:tcPr>
          <w:p w14:paraId="50B4B6B4" w14:textId="77777777" w:rsidR="003B5F50" w:rsidRDefault="000D2D85">
            <w:pPr>
              <w:pStyle w:val="P68B1DB1-Normal14"/>
              <w:jc w:val="right"/>
              <w:rPr>
                <w:noProof/>
                <w:szCs w:val="20"/>
              </w:rPr>
            </w:pPr>
            <w:r>
              <w:rPr>
                <w:noProof/>
              </w:rPr>
              <w:t>0</w:t>
            </w:r>
          </w:p>
        </w:tc>
        <w:tc>
          <w:tcPr>
            <w:tcW w:w="1134" w:type="dxa"/>
            <w:shd w:val="clear" w:color="auto" w:fill="C6EFCE"/>
          </w:tcPr>
          <w:p w14:paraId="50B4B6B5" w14:textId="77777777" w:rsidR="003B5F50" w:rsidRDefault="000D2D85">
            <w:pPr>
              <w:pStyle w:val="P68B1DB1-Normal14"/>
              <w:jc w:val="right"/>
              <w:rPr>
                <w:noProof/>
                <w:szCs w:val="20"/>
              </w:rPr>
            </w:pPr>
            <w:r>
              <w:rPr>
                <w:noProof/>
              </w:rPr>
              <w:t>24</w:t>
            </w:r>
            <w:bookmarkStart w:id="7" w:name="_Hlk195025824"/>
            <w:r>
              <w:rPr>
                <w:noProof/>
              </w:rPr>
              <w:t xml:space="preserve"> </w:t>
            </w:r>
            <w:bookmarkEnd w:id="7"/>
            <w:r>
              <w:rPr>
                <w:noProof/>
              </w:rPr>
              <w:t>909</w:t>
            </w:r>
          </w:p>
        </w:tc>
        <w:tc>
          <w:tcPr>
            <w:tcW w:w="1134" w:type="dxa"/>
            <w:shd w:val="clear" w:color="auto" w:fill="C6EFCE"/>
          </w:tcPr>
          <w:p w14:paraId="50B4B6B6" w14:textId="77777777" w:rsidR="003B5F50" w:rsidRDefault="000D2D85">
            <w:pPr>
              <w:pStyle w:val="P68B1DB1-Normal14"/>
              <w:jc w:val="center"/>
              <w:rPr>
                <w:noProof/>
                <w:szCs w:val="20"/>
              </w:rPr>
            </w:pPr>
            <w:r>
              <w:rPr>
                <w:noProof/>
              </w:rPr>
              <w:t>T4</w:t>
            </w:r>
          </w:p>
        </w:tc>
        <w:tc>
          <w:tcPr>
            <w:tcW w:w="821" w:type="dxa"/>
            <w:shd w:val="clear" w:color="auto" w:fill="C6EFCE"/>
          </w:tcPr>
          <w:p w14:paraId="50B4B6B7" w14:textId="77777777" w:rsidR="003B5F50" w:rsidRDefault="000D2D85">
            <w:pPr>
              <w:pStyle w:val="P68B1DB1-Normal14"/>
              <w:jc w:val="center"/>
              <w:rPr>
                <w:noProof/>
                <w:szCs w:val="20"/>
              </w:rPr>
            </w:pPr>
            <w:r>
              <w:rPr>
                <w:noProof/>
              </w:rPr>
              <w:t>2025</w:t>
            </w:r>
          </w:p>
        </w:tc>
        <w:tc>
          <w:tcPr>
            <w:tcW w:w="3238" w:type="dxa"/>
            <w:shd w:val="clear" w:color="auto" w:fill="C6EFCE"/>
          </w:tcPr>
          <w:p w14:paraId="50B4B6B8" w14:textId="77777777" w:rsidR="003B5F50" w:rsidRDefault="000D2D85">
            <w:pPr>
              <w:pStyle w:val="P68B1DB1-Normal14"/>
              <w:rPr>
                <w:rFonts w:eastAsia="MS Mincho" w:cs="Arial"/>
                <w:noProof/>
                <w:szCs w:val="20"/>
              </w:rPr>
            </w:pPr>
            <w:r>
              <w:rPr>
                <w:noProof/>
                <w:szCs w:val="20"/>
              </w:rPr>
              <w:t>Des contrats d'achat signés portant sur 24</w:t>
            </w:r>
            <w:r>
              <w:rPr>
                <w:noProof/>
              </w:rPr>
              <w:t> </w:t>
            </w:r>
            <w:r>
              <w:rPr>
                <w:noProof/>
                <w:szCs w:val="20"/>
              </w:rPr>
              <w:t xml:space="preserve">909 mètres carrés d'immeubles de tribunaux seront livrés. </w:t>
            </w:r>
          </w:p>
          <w:p w14:paraId="50B4B6B9" w14:textId="77777777" w:rsidR="003B5F50" w:rsidRDefault="000D2D85">
            <w:pPr>
              <w:pStyle w:val="P68B1DB1-Normal43"/>
              <w:rPr>
                <w:noProof/>
              </w:rPr>
            </w:pPr>
            <w:r>
              <w:rPr>
                <w:noProof/>
              </w:rPr>
              <w:t>Pour tous les bâtiments achetés, des certificats de performance énergétique indiquant une étiquette d’efficacité énergétique «B» ou supérieure sont délivrés.</w:t>
            </w:r>
          </w:p>
          <w:p w14:paraId="50B4B6BA" w14:textId="77777777" w:rsidR="003B5F50" w:rsidRDefault="000D2D85">
            <w:pPr>
              <w:pStyle w:val="P68B1DB1-Normal27"/>
              <w:rPr>
                <w:rFonts w:ascii="Times New Roman" w:hAnsi="Times New Roman"/>
                <w:noProof/>
                <w:szCs w:val="20"/>
              </w:rPr>
            </w:pPr>
            <w:r>
              <w:rPr>
                <w:rFonts w:ascii="Times New Roman" w:eastAsia="MS Mincho" w:hAnsi="Times New Roman" w:cs="Arial"/>
                <w:noProof/>
                <w:szCs w:val="20"/>
              </w:rPr>
              <w:t>Pour les bâtiments nécessitant d’autres rénovations, un protocole d’acceptation signé pour la rénovation doit être délivré.</w:t>
            </w:r>
            <w:r>
              <w:rPr>
                <w:rFonts w:ascii="Times New Roman" w:hAnsi="Times New Roman"/>
                <w:noProof/>
              </w:rPr>
              <w:t xml:space="preserve"> </w:t>
            </w:r>
          </w:p>
        </w:tc>
      </w:tr>
      <w:tr w:rsidR="003B5F50" w14:paraId="50B4B6C7" w14:textId="77777777" w:rsidTr="008A1F64">
        <w:trPr>
          <w:trHeight w:val="2145"/>
        </w:trPr>
        <w:tc>
          <w:tcPr>
            <w:tcW w:w="697" w:type="dxa"/>
            <w:shd w:val="clear" w:color="auto" w:fill="C6EFCE"/>
          </w:tcPr>
          <w:p w14:paraId="50B4B6BC" w14:textId="77777777" w:rsidR="003B5F50" w:rsidRDefault="000D2D85">
            <w:pPr>
              <w:pStyle w:val="P68B1DB1-Normal14"/>
              <w:jc w:val="center"/>
              <w:rPr>
                <w:noProof/>
                <w:szCs w:val="20"/>
              </w:rPr>
            </w:pPr>
            <w:r>
              <w:rPr>
                <w:noProof/>
              </w:rPr>
              <w:t>5</w:t>
            </w:r>
          </w:p>
        </w:tc>
        <w:tc>
          <w:tcPr>
            <w:tcW w:w="1617" w:type="dxa"/>
            <w:shd w:val="clear" w:color="auto" w:fill="C6EFCE"/>
          </w:tcPr>
          <w:p w14:paraId="50B4B6BD" w14:textId="77777777" w:rsidR="003B5F50" w:rsidRDefault="000D2D85">
            <w:pPr>
              <w:pStyle w:val="P68B1DB1-Normal14"/>
              <w:rPr>
                <w:noProof/>
                <w:szCs w:val="20"/>
              </w:rPr>
            </w:pPr>
            <w:r>
              <w:rPr>
                <w:noProof/>
              </w:rPr>
              <w:t>15 – Réforme du pouvoir judiciaire – Réforme 2: Lutte contre la corruption et renforcement de l’intégrité et de l’indépendance du pouvoir judiciaire</w:t>
            </w:r>
          </w:p>
        </w:tc>
        <w:tc>
          <w:tcPr>
            <w:tcW w:w="822" w:type="dxa"/>
            <w:shd w:val="clear" w:color="auto" w:fill="C6EFCE"/>
          </w:tcPr>
          <w:p w14:paraId="50B4B6BE" w14:textId="77777777" w:rsidR="003B5F50" w:rsidRDefault="000D2D85">
            <w:pPr>
              <w:pStyle w:val="P68B1DB1-Normal14"/>
              <w:rPr>
                <w:rFonts w:eastAsia="Calibri" w:cs="Times New Roman"/>
                <w:noProof/>
              </w:rPr>
            </w:pPr>
            <w:r>
              <w:rPr>
                <w:noProof/>
              </w:rPr>
              <w:t>Étape</w:t>
            </w:r>
          </w:p>
        </w:tc>
        <w:tc>
          <w:tcPr>
            <w:tcW w:w="850" w:type="dxa"/>
            <w:shd w:val="clear" w:color="auto" w:fill="C6EFCE"/>
          </w:tcPr>
          <w:p w14:paraId="50B4B6BF" w14:textId="77777777" w:rsidR="003B5F50" w:rsidRDefault="000D2D85">
            <w:pPr>
              <w:pStyle w:val="P68B1DB1-Normal14"/>
              <w:rPr>
                <w:noProof/>
                <w:szCs w:val="20"/>
              </w:rPr>
            </w:pPr>
            <w:r>
              <w:rPr>
                <w:noProof/>
              </w:rPr>
              <w:t>Ensemble de lois visant à lutter contre la corruption et à renforcer l'intégrité et l'indépendance du système judiciaire</w:t>
            </w:r>
          </w:p>
        </w:tc>
        <w:tc>
          <w:tcPr>
            <w:tcW w:w="1418" w:type="dxa"/>
            <w:shd w:val="clear" w:color="auto" w:fill="C6EFCE"/>
          </w:tcPr>
          <w:p w14:paraId="50B4B6C0" w14:textId="77777777" w:rsidR="003B5F50" w:rsidRDefault="000D2D85">
            <w:pPr>
              <w:pStyle w:val="P68B1DB1-Normal14"/>
              <w:rPr>
                <w:noProof/>
                <w:szCs w:val="20"/>
              </w:rPr>
            </w:pPr>
            <w:r>
              <w:rPr>
                <w:noProof/>
              </w:rPr>
              <w:t xml:space="preserve">Entrée en vigueur de la loi sur la réforme judiciaire, de la loi constitutive, de la loi modifiée sur le ministère public, du code pénal modifié et du règlement disciplinaire de l’administration suprême de la Cour de justice de la République slovaque </w:t>
            </w:r>
          </w:p>
        </w:tc>
        <w:tc>
          <w:tcPr>
            <w:tcW w:w="1559" w:type="dxa"/>
            <w:shd w:val="clear" w:color="auto" w:fill="C6EFCE"/>
          </w:tcPr>
          <w:p w14:paraId="50B4B6C1" w14:textId="77777777" w:rsidR="003B5F50" w:rsidRDefault="000D2D85">
            <w:pPr>
              <w:pStyle w:val="P68B1DB1-Normal46"/>
              <w:rPr>
                <w:noProof/>
                <w:szCs w:val="20"/>
              </w:rPr>
            </w:pPr>
            <w:r>
              <w:rPr>
                <w:noProof/>
              </w:rPr>
              <w:t xml:space="preserve"> </w:t>
            </w:r>
          </w:p>
        </w:tc>
        <w:tc>
          <w:tcPr>
            <w:tcW w:w="1276" w:type="dxa"/>
            <w:shd w:val="clear" w:color="auto" w:fill="C6EFCE"/>
          </w:tcPr>
          <w:p w14:paraId="50B4B6C2" w14:textId="77777777" w:rsidR="003B5F50" w:rsidRDefault="000D2D85">
            <w:pPr>
              <w:pStyle w:val="P68B1DB1-Normal14"/>
              <w:rPr>
                <w:noProof/>
                <w:szCs w:val="20"/>
              </w:rPr>
            </w:pPr>
            <w:r>
              <w:rPr>
                <w:noProof/>
              </w:rPr>
              <w:t xml:space="preserve"> </w:t>
            </w:r>
          </w:p>
        </w:tc>
        <w:tc>
          <w:tcPr>
            <w:tcW w:w="1134" w:type="dxa"/>
            <w:shd w:val="clear" w:color="auto" w:fill="C6EFCE"/>
          </w:tcPr>
          <w:p w14:paraId="50B4B6C3" w14:textId="77777777" w:rsidR="003B5F50" w:rsidRDefault="000D2D85">
            <w:pPr>
              <w:pStyle w:val="P68B1DB1-Normal14"/>
              <w:rPr>
                <w:noProof/>
                <w:szCs w:val="20"/>
              </w:rPr>
            </w:pPr>
            <w:r>
              <w:rPr>
                <w:noProof/>
              </w:rPr>
              <w:t xml:space="preserve"> </w:t>
            </w:r>
          </w:p>
        </w:tc>
        <w:tc>
          <w:tcPr>
            <w:tcW w:w="1134" w:type="dxa"/>
            <w:shd w:val="clear" w:color="auto" w:fill="C6EFCE"/>
          </w:tcPr>
          <w:p w14:paraId="50B4B6C4" w14:textId="77777777" w:rsidR="003B5F50" w:rsidRDefault="000D2D85">
            <w:pPr>
              <w:pStyle w:val="P68B1DB1-Normal14"/>
              <w:jc w:val="center"/>
              <w:rPr>
                <w:noProof/>
                <w:szCs w:val="20"/>
              </w:rPr>
            </w:pPr>
            <w:r>
              <w:rPr>
                <w:noProof/>
              </w:rPr>
              <w:t>T3</w:t>
            </w:r>
          </w:p>
        </w:tc>
        <w:tc>
          <w:tcPr>
            <w:tcW w:w="821" w:type="dxa"/>
            <w:shd w:val="clear" w:color="auto" w:fill="C6EFCE"/>
          </w:tcPr>
          <w:p w14:paraId="50B4B6C5" w14:textId="77777777" w:rsidR="003B5F50" w:rsidRDefault="000D2D85">
            <w:pPr>
              <w:pStyle w:val="P68B1DB1-Normal14"/>
              <w:jc w:val="center"/>
              <w:rPr>
                <w:noProof/>
                <w:szCs w:val="20"/>
              </w:rPr>
            </w:pPr>
            <w:r>
              <w:rPr>
                <w:noProof/>
              </w:rPr>
              <w:t>2021</w:t>
            </w:r>
          </w:p>
        </w:tc>
        <w:tc>
          <w:tcPr>
            <w:tcW w:w="3238" w:type="dxa"/>
            <w:shd w:val="clear" w:color="auto" w:fill="C6EFCE"/>
          </w:tcPr>
          <w:p w14:paraId="50B4B6C6" w14:textId="77777777" w:rsidR="003B5F50" w:rsidRDefault="000D2D85">
            <w:pPr>
              <w:pStyle w:val="P68B1DB1-Normal14"/>
              <w:rPr>
                <w:noProof/>
                <w:szCs w:val="20"/>
              </w:rPr>
            </w:pPr>
            <w:r>
              <w:rPr>
                <w:noProof/>
              </w:rPr>
              <w:t xml:space="preserve">Entrée en vigueur de la loi sur la gestion des avoirs gelés, de la loi sur la réforme judiciaire, de la loi constitutionnelle, de la loi modifiée sur le ministère public et du code pénal modifié. adoption du règlement disciplinaire de la Cour administrative suprême de la République slovaque </w:t>
            </w:r>
          </w:p>
        </w:tc>
      </w:tr>
      <w:tr w:rsidR="003B5F50" w14:paraId="50B4B6D4" w14:textId="77777777" w:rsidTr="008A1F64">
        <w:trPr>
          <w:trHeight w:val="1005"/>
        </w:trPr>
        <w:tc>
          <w:tcPr>
            <w:tcW w:w="697" w:type="dxa"/>
            <w:shd w:val="clear" w:color="auto" w:fill="C6EFCE"/>
          </w:tcPr>
          <w:p w14:paraId="50B4B6C8" w14:textId="77777777" w:rsidR="003B5F50" w:rsidRDefault="000D2D85">
            <w:pPr>
              <w:pStyle w:val="P68B1DB1-Normal14"/>
              <w:jc w:val="center"/>
              <w:rPr>
                <w:noProof/>
                <w:szCs w:val="20"/>
              </w:rPr>
            </w:pPr>
            <w:r>
              <w:rPr>
                <w:noProof/>
              </w:rPr>
              <w:t>6</w:t>
            </w:r>
          </w:p>
        </w:tc>
        <w:tc>
          <w:tcPr>
            <w:tcW w:w="1617" w:type="dxa"/>
            <w:shd w:val="clear" w:color="auto" w:fill="C6EFCE"/>
          </w:tcPr>
          <w:p w14:paraId="50B4B6C9" w14:textId="77777777" w:rsidR="003B5F50" w:rsidRDefault="000D2D85">
            <w:pPr>
              <w:pStyle w:val="P68B1DB1-Normal14"/>
              <w:rPr>
                <w:noProof/>
                <w:szCs w:val="20"/>
              </w:rPr>
            </w:pPr>
            <w:r>
              <w:rPr>
                <w:noProof/>
              </w:rPr>
              <w:t>15 – Réforme du système judiciaire – Investissement 2: Instruments de soutien à la réforme de la carte judiciaire – Registre du commerce et système centralisé de gouvernance judiciaire</w:t>
            </w:r>
          </w:p>
        </w:tc>
        <w:tc>
          <w:tcPr>
            <w:tcW w:w="822" w:type="dxa"/>
            <w:shd w:val="clear" w:color="auto" w:fill="C6EFCE"/>
          </w:tcPr>
          <w:p w14:paraId="50B4B6CA" w14:textId="77777777" w:rsidR="003B5F50" w:rsidRDefault="000D2D85">
            <w:pPr>
              <w:pStyle w:val="P68B1DB1-Normal14"/>
              <w:rPr>
                <w:rFonts w:eastAsia="Calibri" w:cs="Times New Roman"/>
                <w:noProof/>
              </w:rPr>
            </w:pPr>
            <w:r>
              <w:rPr>
                <w:noProof/>
              </w:rPr>
              <w:t>Étape</w:t>
            </w:r>
          </w:p>
        </w:tc>
        <w:tc>
          <w:tcPr>
            <w:tcW w:w="850" w:type="dxa"/>
            <w:shd w:val="clear" w:color="auto" w:fill="C6EFCE"/>
          </w:tcPr>
          <w:p w14:paraId="50B4B6CB" w14:textId="77777777" w:rsidR="003B5F50" w:rsidRDefault="000D2D85">
            <w:pPr>
              <w:pStyle w:val="P68B1DB1-Normal14"/>
              <w:rPr>
                <w:noProof/>
                <w:szCs w:val="20"/>
              </w:rPr>
            </w:pPr>
            <w:r>
              <w:rPr>
                <w:noProof/>
              </w:rPr>
              <w:t>Développement et transmission d’un système informatique – Registre des entreprises</w:t>
            </w:r>
          </w:p>
        </w:tc>
        <w:tc>
          <w:tcPr>
            <w:tcW w:w="1418" w:type="dxa"/>
            <w:shd w:val="clear" w:color="auto" w:fill="C6EFCE"/>
          </w:tcPr>
          <w:p w14:paraId="50B4B6CC" w14:textId="77777777" w:rsidR="003B5F50" w:rsidRDefault="000D2D85">
            <w:pPr>
              <w:pStyle w:val="P68B1DB1-Normal15"/>
              <w:rPr>
                <w:noProof/>
              </w:rPr>
            </w:pPr>
            <w:r>
              <w:rPr>
                <w:noProof/>
              </w:rPr>
              <w:t>Création d'un registre des entreprises</w:t>
            </w:r>
          </w:p>
        </w:tc>
        <w:tc>
          <w:tcPr>
            <w:tcW w:w="1559" w:type="dxa"/>
            <w:shd w:val="clear" w:color="auto" w:fill="C6EFCE"/>
          </w:tcPr>
          <w:p w14:paraId="50B4B6CD" w14:textId="77777777" w:rsidR="003B5F50" w:rsidRDefault="000D2D85">
            <w:pPr>
              <w:pStyle w:val="P68B1DB1-Normal46"/>
              <w:rPr>
                <w:noProof/>
                <w:szCs w:val="20"/>
              </w:rPr>
            </w:pPr>
            <w:r>
              <w:rPr>
                <w:noProof/>
              </w:rPr>
              <w:t xml:space="preserve"> </w:t>
            </w:r>
          </w:p>
        </w:tc>
        <w:tc>
          <w:tcPr>
            <w:tcW w:w="1276" w:type="dxa"/>
            <w:shd w:val="clear" w:color="auto" w:fill="C6EFCE"/>
          </w:tcPr>
          <w:p w14:paraId="50B4B6CE" w14:textId="77777777" w:rsidR="003B5F50" w:rsidRDefault="000D2D85">
            <w:pPr>
              <w:pStyle w:val="P68B1DB1-Normal14"/>
              <w:rPr>
                <w:noProof/>
                <w:szCs w:val="20"/>
              </w:rPr>
            </w:pPr>
            <w:r>
              <w:rPr>
                <w:noProof/>
              </w:rPr>
              <w:t xml:space="preserve"> </w:t>
            </w:r>
          </w:p>
        </w:tc>
        <w:tc>
          <w:tcPr>
            <w:tcW w:w="1134" w:type="dxa"/>
            <w:shd w:val="clear" w:color="auto" w:fill="C6EFCE"/>
          </w:tcPr>
          <w:p w14:paraId="50B4B6CF" w14:textId="77777777" w:rsidR="003B5F50" w:rsidRDefault="000D2D85">
            <w:pPr>
              <w:pStyle w:val="P68B1DB1-Normal14"/>
              <w:jc w:val="center"/>
              <w:rPr>
                <w:noProof/>
                <w:szCs w:val="20"/>
              </w:rPr>
            </w:pPr>
            <w:r>
              <w:rPr>
                <w:noProof/>
              </w:rPr>
              <w:t xml:space="preserve"> </w:t>
            </w:r>
          </w:p>
        </w:tc>
        <w:tc>
          <w:tcPr>
            <w:tcW w:w="1134" w:type="dxa"/>
            <w:shd w:val="clear" w:color="auto" w:fill="C6EFCE"/>
          </w:tcPr>
          <w:p w14:paraId="50B4B6D0" w14:textId="77777777" w:rsidR="003B5F50" w:rsidRDefault="000D2D85">
            <w:pPr>
              <w:pStyle w:val="P68B1DB1-Normal15"/>
              <w:jc w:val="center"/>
              <w:rPr>
                <w:noProof/>
              </w:rPr>
            </w:pPr>
            <w:r>
              <w:rPr>
                <w:noProof/>
              </w:rPr>
              <w:t>T2</w:t>
            </w:r>
          </w:p>
        </w:tc>
        <w:tc>
          <w:tcPr>
            <w:tcW w:w="821" w:type="dxa"/>
            <w:shd w:val="clear" w:color="auto" w:fill="C6EFCE"/>
          </w:tcPr>
          <w:p w14:paraId="50B4B6D1" w14:textId="77777777" w:rsidR="003B5F50" w:rsidRDefault="000D2D85">
            <w:pPr>
              <w:pStyle w:val="P68B1DB1-Normal15"/>
              <w:jc w:val="center"/>
              <w:rPr>
                <w:noProof/>
              </w:rPr>
            </w:pPr>
            <w:r>
              <w:rPr>
                <w:noProof/>
              </w:rPr>
              <w:t>2026</w:t>
            </w:r>
          </w:p>
        </w:tc>
        <w:tc>
          <w:tcPr>
            <w:tcW w:w="3238" w:type="dxa"/>
            <w:shd w:val="clear" w:color="auto" w:fill="C6EFCE"/>
          </w:tcPr>
          <w:p w14:paraId="50B4B6D2" w14:textId="77777777" w:rsidR="003B5F50" w:rsidRDefault="000D2D85">
            <w:pPr>
              <w:pStyle w:val="P68B1DB1-Default22"/>
              <w:rPr>
                <w:noProof/>
                <w:color w:val="006100"/>
              </w:rPr>
            </w:pPr>
            <w:r>
              <w:rPr>
                <w:rFonts w:eastAsia="MS Mincho" w:cs="Arial"/>
                <w:noProof/>
                <w:color w:val="006100"/>
              </w:rPr>
              <w:t xml:space="preserve">Création d'un registre électronique centralisé </w:t>
            </w:r>
            <w:r>
              <w:rPr>
                <w:noProof/>
                <w:color w:val="006000"/>
              </w:rPr>
              <w:t xml:space="preserve">des entreprises. </w:t>
            </w:r>
            <w:r>
              <w:rPr>
                <w:rFonts w:eastAsia="MS Mincho" w:cs="Arial"/>
                <w:noProof/>
                <w:color w:val="006100"/>
              </w:rPr>
              <w:t>Les fonctionnalités permettent aux entrepreneurs et aux tribunaux d’utiliser et de communiquer avec le registre par voie électronique, par exemple pour enregistrer, modifier et supprimer des informations du registre du commerce à l’aide de formulaires préremplis, créer une société et assurer une interconnexion automatisée avec d’autres registres.</w:t>
            </w:r>
          </w:p>
          <w:p w14:paraId="50B4B6D3" w14:textId="77777777" w:rsidR="003B5F50" w:rsidRDefault="003B5F50">
            <w:pPr>
              <w:rPr>
                <w:rFonts w:ascii="Times New Roman" w:hAnsi="Times New Roman"/>
                <w:noProof/>
                <w:sz w:val="20"/>
                <w:szCs w:val="20"/>
              </w:rPr>
            </w:pPr>
          </w:p>
        </w:tc>
      </w:tr>
      <w:tr w:rsidR="003B5F50" w14:paraId="50B4B6E6" w14:textId="77777777" w:rsidTr="008A1F64">
        <w:trPr>
          <w:trHeight w:val="1830"/>
        </w:trPr>
        <w:tc>
          <w:tcPr>
            <w:tcW w:w="697" w:type="dxa"/>
            <w:shd w:val="clear" w:color="auto" w:fill="C6EFCE"/>
          </w:tcPr>
          <w:p w14:paraId="50B4B6D5" w14:textId="77777777" w:rsidR="003B5F50" w:rsidRDefault="000D2D85">
            <w:pPr>
              <w:pStyle w:val="P68B1DB1-Normal14"/>
              <w:jc w:val="center"/>
              <w:rPr>
                <w:noProof/>
                <w:szCs w:val="20"/>
              </w:rPr>
            </w:pPr>
            <w:r>
              <w:rPr>
                <w:noProof/>
              </w:rPr>
              <w:t>8</w:t>
            </w:r>
          </w:p>
        </w:tc>
        <w:tc>
          <w:tcPr>
            <w:tcW w:w="1617" w:type="dxa"/>
            <w:shd w:val="clear" w:color="auto" w:fill="C6EFCE"/>
          </w:tcPr>
          <w:p w14:paraId="50B4B6D6" w14:textId="77777777" w:rsidR="003B5F50" w:rsidRDefault="000D2D85">
            <w:pPr>
              <w:pStyle w:val="P68B1DB1-Normal14"/>
              <w:rPr>
                <w:noProof/>
                <w:szCs w:val="20"/>
              </w:rPr>
            </w:pPr>
            <w:r>
              <w:rPr>
                <w:noProof/>
              </w:rPr>
              <w:t xml:space="preserve">15 – Réforme du système judiciaire – Investissement 2: </w:t>
            </w:r>
          </w:p>
        </w:tc>
        <w:tc>
          <w:tcPr>
            <w:tcW w:w="822" w:type="dxa"/>
            <w:shd w:val="clear" w:color="auto" w:fill="C6EFCE"/>
          </w:tcPr>
          <w:p w14:paraId="50B4B6D7" w14:textId="77777777" w:rsidR="003B5F50" w:rsidRDefault="000D2D85">
            <w:pPr>
              <w:pStyle w:val="P68B1DB1-Normal14"/>
              <w:rPr>
                <w:noProof/>
              </w:rPr>
            </w:pPr>
            <w:r>
              <w:rPr>
                <w:noProof/>
              </w:rPr>
              <w:t xml:space="preserve">Objectif </w:t>
            </w:r>
          </w:p>
        </w:tc>
        <w:tc>
          <w:tcPr>
            <w:tcW w:w="850" w:type="dxa"/>
            <w:shd w:val="clear" w:color="auto" w:fill="C6EFCE"/>
          </w:tcPr>
          <w:p w14:paraId="50B4B6D8" w14:textId="77777777" w:rsidR="003B5F50" w:rsidRDefault="000D2D85">
            <w:pPr>
              <w:pStyle w:val="P68B1DB1-Normal14"/>
              <w:rPr>
                <w:noProof/>
                <w:szCs w:val="20"/>
              </w:rPr>
            </w:pPr>
            <w:r>
              <w:rPr>
                <w:noProof/>
              </w:rPr>
              <w:t xml:space="preserve">Modernisation de l'équipement informatique des tribunaux pour le personnel des tribunaux </w:t>
            </w:r>
          </w:p>
        </w:tc>
        <w:tc>
          <w:tcPr>
            <w:tcW w:w="1418" w:type="dxa"/>
            <w:shd w:val="clear" w:color="auto" w:fill="C6EFCE"/>
          </w:tcPr>
          <w:p w14:paraId="50B4B6D9" w14:textId="77777777" w:rsidR="003B5F50" w:rsidRDefault="003B5F50">
            <w:pPr>
              <w:rPr>
                <w:rFonts w:ascii="Times New Roman" w:hAnsi="Times New Roman"/>
                <w:noProof/>
                <w:sz w:val="20"/>
                <w:szCs w:val="20"/>
              </w:rPr>
            </w:pPr>
          </w:p>
        </w:tc>
        <w:tc>
          <w:tcPr>
            <w:tcW w:w="1559" w:type="dxa"/>
            <w:shd w:val="clear" w:color="auto" w:fill="C6EFCE"/>
          </w:tcPr>
          <w:p w14:paraId="50B4B6DA" w14:textId="77777777" w:rsidR="003B5F50" w:rsidRDefault="000D2D85">
            <w:pPr>
              <w:pStyle w:val="P68B1DB1-Normal14"/>
              <w:rPr>
                <w:noProof/>
                <w:szCs w:val="20"/>
              </w:rPr>
            </w:pPr>
            <w:r>
              <w:rPr>
                <w:noProof/>
              </w:rPr>
              <w:t>Numéro</w:t>
            </w:r>
          </w:p>
        </w:tc>
        <w:tc>
          <w:tcPr>
            <w:tcW w:w="1276" w:type="dxa"/>
            <w:shd w:val="clear" w:color="auto" w:fill="C6EFCE"/>
          </w:tcPr>
          <w:p w14:paraId="50B4B6DB" w14:textId="77777777" w:rsidR="003B5F50" w:rsidRDefault="000D2D85">
            <w:pPr>
              <w:pStyle w:val="P68B1DB1-Normal14"/>
              <w:jc w:val="right"/>
              <w:rPr>
                <w:noProof/>
                <w:szCs w:val="20"/>
              </w:rPr>
            </w:pPr>
            <w:r>
              <w:rPr>
                <w:noProof/>
              </w:rPr>
              <w:t>0</w:t>
            </w:r>
          </w:p>
        </w:tc>
        <w:tc>
          <w:tcPr>
            <w:tcW w:w="1134" w:type="dxa"/>
            <w:shd w:val="clear" w:color="auto" w:fill="C6EFCE"/>
          </w:tcPr>
          <w:p w14:paraId="50B4B6DC" w14:textId="77777777" w:rsidR="003B5F50" w:rsidRDefault="000D2D85">
            <w:pPr>
              <w:pStyle w:val="P68B1DB1-Normal14"/>
              <w:jc w:val="right"/>
              <w:rPr>
                <w:noProof/>
                <w:szCs w:val="20"/>
              </w:rPr>
            </w:pPr>
            <w:r>
              <w:rPr>
                <w:noProof/>
              </w:rPr>
              <w:t>24 000</w:t>
            </w:r>
          </w:p>
        </w:tc>
        <w:tc>
          <w:tcPr>
            <w:tcW w:w="1134" w:type="dxa"/>
            <w:shd w:val="clear" w:color="auto" w:fill="C6EFCE"/>
          </w:tcPr>
          <w:p w14:paraId="50B4B6DD" w14:textId="77777777" w:rsidR="003B5F50" w:rsidRDefault="000D2D85">
            <w:pPr>
              <w:pStyle w:val="P68B1DB1-Normal15"/>
              <w:jc w:val="center"/>
              <w:rPr>
                <w:noProof/>
              </w:rPr>
            </w:pPr>
            <w:r>
              <w:rPr>
                <w:noProof/>
              </w:rPr>
              <w:t>T2</w:t>
            </w:r>
          </w:p>
        </w:tc>
        <w:tc>
          <w:tcPr>
            <w:tcW w:w="821" w:type="dxa"/>
            <w:shd w:val="clear" w:color="auto" w:fill="C6EFCE"/>
          </w:tcPr>
          <w:p w14:paraId="50B4B6DE" w14:textId="77777777" w:rsidR="003B5F50" w:rsidRDefault="000D2D85">
            <w:pPr>
              <w:pStyle w:val="P68B1DB1-Normal15"/>
              <w:jc w:val="center"/>
              <w:rPr>
                <w:noProof/>
              </w:rPr>
            </w:pPr>
            <w:r>
              <w:rPr>
                <w:noProof/>
              </w:rPr>
              <w:t>2025</w:t>
            </w:r>
          </w:p>
        </w:tc>
        <w:tc>
          <w:tcPr>
            <w:tcW w:w="3238" w:type="dxa"/>
            <w:shd w:val="clear" w:color="auto" w:fill="C6EFCE"/>
          </w:tcPr>
          <w:p w14:paraId="50B4B6DF" w14:textId="77777777" w:rsidR="003B5F50" w:rsidRDefault="000D2D85">
            <w:pPr>
              <w:pStyle w:val="P68B1DB1-Normal14"/>
              <w:rPr>
                <w:noProof/>
                <w:szCs w:val="20"/>
              </w:rPr>
            </w:pPr>
            <w:r>
              <w:rPr>
                <w:noProof/>
                <w:szCs w:val="20"/>
              </w:rPr>
              <w:t>Livraison de 24</w:t>
            </w:r>
            <w:r>
              <w:rPr>
                <w:noProof/>
              </w:rPr>
              <w:t> </w:t>
            </w:r>
            <w:r>
              <w:rPr>
                <w:noProof/>
                <w:szCs w:val="20"/>
              </w:rPr>
              <w:t xml:space="preserve">000 équipements informatiques modernes aux tribunaux (parmi les nouveaux ordinateurs portables, stations d'accueil, moniteurs, téléphones et licences MS Teams). </w:t>
            </w:r>
          </w:p>
          <w:p w14:paraId="50B4B6E0" w14:textId="77777777" w:rsidR="003B5F50" w:rsidRDefault="000D2D85">
            <w:pPr>
              <w:pStyle w:val="P68B1DB1-Normal15"/>
              <w:rPr>
                <w:noProof/>
              </w:rPr>
            </w:pPr>
            <w:r>
              <w:rPr>
                <w:noProof/>
              </w:rPr>
              <w:t>En outre, la fourniture de technologies numériques aux tribunaux pour la conduite efficace des audiences et des procédures à distance. Il s'agit notamment:</w:t>
            </w:r>
          </w:p>
          <w:p w14:paraId="50B4B6E1" w14:textId="77777777" w:rsidR="003B5F50" w:rsidRDefault="000D2D85">
            <w:pPr>
              <w:pStyle w:val="P68B1DB1-ListParagraph29"/>
              <w:numPr>
                <w:ilvl w:val="0"/>
                <w:numId w:val="41"/>
              </w:numPr>
              <w:ind w:left="205" w:hanging="205"/>
              <w:rPr>
                <w:noProof/>
              </w:rPr>
            </w:pPr>
            <w:r>
              <w:rPr>
                <w:noProof/>
              </w:rPr>
              <w:t>Serveurs de réseau pour le stockage central des composants de réseau et des systèmes d'information;</w:t>
            </w:r>
          </w:p>
          <w:p w14:paraId="50B4B6E2" w14:textId="77777777" w:rsidR="003B5F50" w:rsidRDefault="000D2D85">
            <w:pPr>
              <w:pStyle w:val="P68B1DB1-ListParagraph29"/>
              <w:numPr>
                <w:ilvl w:val="0"/>
                <w:numId w:val="41"/>
              </w:numPr>
              <w:ind w:left="205" w:hanging="205"/>
              <w:rPr>
                <w:noProof/>
              </w:rPr>
            </w:pPr>
            <w:r>
              <w:rPr>
                <w:noProof/>
              </w:rPr>
              <w:t>Cartes réseau pour soutenir la technologie de vidéoconférence;</w:t>
            </w:r>
          </w:p>
          <w:p w14:paraId="50B4B6E3" w14:textId="77777777" w:rsidR="003B5F50" w:rsidRDefault="000D2D85">
            <w:pPr>
              <w:pStyle w:val="P68B1DB1-ListParagraph29"/>
              <w:numPr>
                <w:ilvl w:val="0"/>
                <w:numId w:val="41"/>
              </w:numPr>
              <w:ind w:left="205" w:hanging="205"/>
              <w:rPr>
                <w:noProof/>
              </w:rPr>
            </w:pPr>
            <w:r>
              <w:rPr>
                <w:noProof/>
              </w:rPr>
              <w:t>Composants réseau et wifi de la station: Réseau étendu (WAN), réseaux locaux (LAN), infrastructure WiFi, pare-feu, gestion de la sécurité des identités et du contexte et réseaux privés virtuels (VPN);</w:t>
            </w:r>
          </w:p>
          <w:p w14:paraId="50B4B6E4" w14:textId="77777777" w:rsidR="003B5F50" w:rsidRDefault="000D2D85">
            <w:pPr>
              <w:pStyle w:val="P68B1DB1-ListParagraph29"/>
              <w:numPr>
                <w:ilvl w:val="0"/>
                <w:numId w:val="41"/>
              </w:numPr>
              <w:ind w:left="205" w:hanging="205"/>
              <w:rPr>
                <w:noProof/>
              </w:rPr>
            </w:pPr>
            <w:r>
              <w:rPr>
                <w:noProof/>
              </w:rPr>
              <w:t>Technologie de visioconférence: une plate-forme serveur ainsi que du matériel de visioconférence</w:t>
            </w:r>
          </w:p>
          <w:p w14:paraId="50B4B6E5" w14:textId="77777777" w:rsidR="003B5F50" w:rsidRDefault="003B5F50">
            <w:pPr>
              <w:pStyle w:val="ListParagraph"/>
              <w:rPr>
                <w:rFonts w:ascii="Times New Roman" w:hAnsi="Times New Roman"/>
                <w:noProof/>
              </w:rPr>
            </w:pPr>
          </w:p>
        </w:tc>
      </w:tr>
      <w:tr w:rsidR="003B5F50" w14:paraId="50B4B6F2" w14:textId="77777777" w:rsidTr="008A1F64">
        <w:trPr>
          <w:trHeight w:val="1380"/>
        </w:trPr>
        <w:tc>
          <w:tcPr>
            <w:tcW w:w="697" w:type="dxa"/>
            <w:shd w:val="clear" w:color="auto" w:fill="C6EFCE"/>
          </w:tcPr>
          <w:p w14:paraId="50B4B6E7" w14:textId="77777777" w:rsidR="003B5F50" w:rsidRDefault="000D2D85">
            <w:pPr>
              <w:pStyle w:val="P68B1DB1-Normal14"/>
              <w:jc w:val="center"/>
              <w:rPr>
                <w:noProof/>
                <w:szCs w:val="20"/>
              </w:rPr>
            </w:pPr>
            <w:r>
              <w:rPr>
                <w:noProof/>
              </w:rPr>
              <w:t>9</w:t>
            </w:r>
          </w:p>
        </w:tc>
        <w:tc>
          <w:tcPr>
            <w:tcW w:w="1617" w:type="dxa"/>
            <w:shd w:val="clear" w:color="auto" w:fill="C6EFCE"/>
          </w:tcPr>
          <w:p w14:paraId="50B4B6E8" w14:textId="77777777" w:rsidR="003B5F50" w:rsidRDefault="000D2D85">
            <w:pPr>
              <w:pStyle w:val="P68B1DB1-Normal14"/>
              <w:rPr>
                <w:noProof/>
                <w:szCs w:val="20"/>
              </w:rPr>
            </w:pPr>
            <w:r>
              <w:rPr>
                <w:noProof/>
              </w:rPr>
              <w:t>15 – Réforme du système judiciaire – Investissement 2: Outils d’appui à la réforme de la carte judiciaire – Plateforme d’appui analytique</w:t>
            </w:r>
          </w:p>
        </w:tc>
        <w:tc>
          <w:tcPr>
            <w:tcW w:w="822" w:type="dxa"/>
            <w:shd w:val="clear" w:color="auto" w:fill="C6EFCE"/>
          </w:tcPr>
          <w:p w14:paraId="50B4B6E9" w14:textId="77777777" w:rsidR="003B5F50" w:rsidRDefault="000D2D85">
            <w:pPr>
              <w:pStyle w:val="P68B1DB1-Normal14"/>
              <w:rPr>
                <w:rFonts w:eastAsia="Calibri" w:cs="Times New Roman"/>
                <w:noProof/>
              </w:rPr>
            </w:pPr>
            <w:r>
              <w:rPr>
                <w:noProof/>
              </w:rPr>
              <w:t>Étape</w:t>
            </w:r>
          </w:p>
        </w:tc>
        <w:tc>
          <w:tcPr>
            <w:tcW w:w="850" w:type="dxa"/>
            <w:shd w:val="clear" w:color="auto" w:fill="C6EFCE"/>
          </w:tcPr>
          <w:p w14:paraId="50B4B6EA" w14:textId="77777777" w:rsidR="003B5F50" w:rsidRDefault="000D2D85">
            <w:pPr>
              <w:pStyle w:val="P68B1DB1-Normal14"/>
              <w:rPr>
                <w:noProof/>
                <w:szCs w:val="20"/>
              </w:rPr>
            </w:pPr>
            <w:r>
              <w:rPr>
                <w:noProof/>
              </w:rPr>
              <w:t>Création d'une plateforme d'appui analytique pour l'accès à la jurisprudence en justice</w:t>
            </w:r>
          </w:p>
        </w:tc>
        <w:tc>
          <w:tcPr>
            <w:tcW w:w="1418" w:type="dxa"/>
            <w:shd w:val="clear" w:color="auto" w:fill="C6EFCE"/>
          </w:tcPr>
          <w:p w14:paraId="50B4B6EB" w14:textId="77777777" w:rsidR="003B5F50" w:rsidRDefault="000D2D85">
            <w:pPr>
              <w:pStyle w:val="P68B1DB1-Normal15"/>
              <w:rPr>
                <w:noProof/>
              </w:rPr>
            </w:pPr>
            <w:r>
              <w:rPr>
                <w:noProof/>
              </w:rPr>
              <w:t>Protocole d'acceptation</w:t>
            </w:r>
          </w:p>
        </w:tc>
        <w:tc>
          <w:tcPr>
            <w:tcW w:w="1559" w:type="dxa"/>
            <w:shd w:val="clear" w:color="auto" w:fill="C6EFCE"/>
          </w:tcPr>
          <w:p w14:paraId="50B4B6EC" w14:textId="77777777" w:rsidR="003B5F50" w:rsidRDefault="003B5F50">
            <w:pPr>
              <w:rPr>
                <w:rFonts w:ascii="Times New Roman" w:hAnsi="Times New Roman"/>
                <w:noProof/>
                <w:sz w:val="20"/>
                <w:szCs w:val="20"/>
              </w:rPr>
            </w:pPr>
          </w:p>
        </w:tc>
        <w:tc>
          <w:tcPr>
            <w:tcW w:w="1276" w:type="dxa"/>
            <w:shd w:val="clear" w:color="auto" w:fill="C6EFCE"/>
          </w:tcPr>
          <w:p w14:paraId="50B4B6ED" w14:textId="77777777" w:rsidR="003B5F50" w:rsidRDefault="003B5F50">
            <w:pPr>
              <w:rPr>
                <w:rFonts w:ascii="Times New Roman" w:hAnsi="Times New Roman"/>
                <w:noProof/>
                <w:sz w:val="20"/>
                <w:szCs w:val="20"/>
              </w:rPr>
            </w:pPr>
          </w:p>
        </w:tc>
        <w:tc>
          <w:tcPr>
            <w:tcW w:w="1134" w:type="dxa"/>
            <w:shd w:val="clear" w:color="auto" w:fill="C6EFCE"/>
          </w:tcPr>
          <w:p w14:paraId="50B4B6EE" w14:textId="77777777" w:rsidR="003B5F50" w:rsidRDefault="003B5F50">
            <w:pPr>
              <w:rPr>
                <w:rFonts w:ascii="Times New Roman" w:hAnsi="Times New Roman"/>
                <w:noProof/>
                <w:sz w:val="20"/>
                <w:szCs w:val="20"/>
              </w:rPr>
            </w:pPr>
          </w:p>
        </w:tc>
        <w:tc>
          <w:tcPr>
            <w:tcW w:w="1134" w:type="dxa"/>
            <w:shd w:val="clear" w:color="auto" w:fill="C6EFCE"/>
          </w:tcPr>
          <w:p w14:paraId="50B4B6EF" w14:textId="77777777" w:rsidR="003B5F50" w:rsidRDefault="000D2D85">
            <w:pPr>
              <w:pStyle w:val="P68B1DB1-Normal15"/>
              <w:jc w:val="center"/>
              <w:rPr>
                <w:noProof/>
              </w:rPr>
            </w:pPr>
            <w:r>
              <w:rPr>
                <w:noProof/>
              </w:rPr>
              <w:t>T4</w:t>
            </w:r>
          </w:p>
        </w:tc>
        <w:tc>
          <w:tcPr>
            <w:tcW w:w="821" w:type="dxa"/>
            <w:shd w:val="clear" w:color="auto" w:fill="C6EFCE"/>
          </w:tcPr>
          <w:p w14:paraId="50B4B6F0" w14:textId="77777777" w:rsidR="003B5F50" w:rsidRDefault="000D2D85">
            <w:pPr>
              <w:pStyle w:val="P68B1DB1-Normal15"/>
              <w:jc w:val="center"/>
              <w:rPr>
                <w:noProof/>
              </w:rPr>
            </w:pPr>
            <w:r>
              <w:rPr>
                <w:noProof/>
              </w:rPr>
              <w:t>2025</w:t>
            </w:r>
          </w:p>
        </w:tc>
        <w:tc>
          <w:tcPr>
            <w:tcW w:w="3238" w:type="dxa"/>
            <w:shd w:val="clear" w:color="auto" w:fill="C6EFCE"/>
          </w:tcPr>
          <w:p w14:paraId="50B4B6F1" w14:textId="77777777" w:rsidR="003B5F50" w:rsidRDefault="000D2D85">
            <w:pPr>
              <w:pStyle w:val="P68B1DB1-Default52"/>
              <w:rPr>
                <w:noProof/>
              </w:rPr>
            </w:pPr>
            <w:r>
              <w:rPr>
                <w:noProof/>
              </w:rPr>
              <w:t>Une plateforme de soutien analytique permet aux juges d’accéder à une base de données centralisée qui assure le suivi de la jurisprudence ainsi que la recherche analytique de la jurisprudence.</w:t>
            </w:r>
          </w:p>
        </w:tc>
      </w:tr>
    </w:tbl>
    <w:p w14:paraId="50B4B6F3" w14:textId="77777777" w:rsidR="003B5F50" w:rsidRDefault="003B5F50">
      <w:pPr>
        <w:rPr>
          <w:noProof/>
        </w:rPr>
      </w:pPr>
    </w:p>
    <w:p w14:paraId="50B4B6F4" w14:textId="77777777" w:rsidR="003B5F50" w:rsidRDefault="003B5F50">
      <w:pPr>
        <w:rPr>
          <w:noProof/>
          <w:sz w:val="20"/>
        </w:rPr>
      </w:pPr>
    </w:p>
    <w:p w14:paraId="50B4B6F5" w14:textId="77777777" w:rsidR="003B5F50" w:rsidRDefault="003B5F50">
      <w:pPr>
        <w:rPr>
          <w:noProof/>
          <w:sz w:val="20"/>
        </w:rPr>
      </w:pPr>
    </w:p>
    <w:p w14:paraId="50B4B6F6" w14:textId="77777777" w:rsidR="003B5F50" w:rsidRDefault="003B5F50">
      <w:pPr>
        <w:tabs>
          <w:tab w:val="center" w:pos="7400"/>
        </w:tabs>
        <w:rPr>
          <w:noProof/>
          <w:sz w:val="20"/>
          <w:szCs w:val="20"/>
        </w:rPr>
        <w:sectPr w:rsidR="003B5F50" w:rsidSect="003E3DD3">
          <w:headerReference w:type="even" r:id="rId191"/>
          <w:headerReference w:type="default" r:id="rId192"/>
          <w:footerReference w:type="even" r:id="rId193"/>
          <w:footerReference w:type="default" r:id="rId194"/>
          <w:headerReference w:type="first" r:id="rId195"/>
          <w:footerReference w:type="first" r:id="rId196"/>
          <w:pgSz w:w="16840" w:h="11910" w:orient="landscape"/>
          <w:pgMar w:top="1134" w:right="1134" w:bottom="1134" w:left="1134" w:header="567" w:footer="567" w:gutter="0"/>
          <w:cols w:space="708"/>
        </w:sectPr>
      </w:pPr>
    </w:p>
    <w:p w14:paraId="50B4B6F7" w14:textId="77777777" w:rsidR="003B5F50" w:rsidRDefault="000D2D85">
      <w:pPr>
        <w:pStyle w:val="P68B1DB1-Heading21"/>
        <w:spacing w:before="40" w:after="0" w:line="257" w:lineRule="auto"/>
        <w:rPr>
          <w:bCs/>
          <w:noProof/>
        </w:rPr>
      </w:pPr>
      <w:r>
        <w:rPr>
          <w:noProof/>
        </w:rPr>
        <w:t>ÉLÉMENT 16: Lutte contre la corruption et le blanchiment d'argent, sécurité et protection de la population</w:t>
      </w:r>
    </w:p>
    <w:p w14:paraId="50B4B6F8" w14:textId="77777777" w:rsidR="003B5F50" w:rsidRDefault="000D2D85">
      <w:pPr>
        <w:pStyle w:val="BodyText"/>
        <w:spacing w:before="112"/>
        <w:ind w:left="0" w:right="116"/>
        <w:rPr>
          <w:noProof/>
        </w:rPr>
      </w:pPr>
      <w:r>
        <w:rPr>
          <w:noProof/>
        </w:rPr>
        <w:t>La Slovaquie est mal classée en ce qui concerne les indicateurs de perception de la corruption et la confiance dans la police. La gouvernance est fragmentée et dispose de capacités limitées, ce qui entrave la prestation de services publics et l’investissement public, et la criminalité financière n’est pas suffisamment combattue.</w:t>
      </w:r>
    </w:p>
    <w:p w14:paraId="50B4B6F9" w14:textId="77777777" w:rsidR="003B5F50" w:rsidRDefault="000D2D85">
      <w:pPr>
        <w:pStyle w:val="BodyText"/>
        <w:spacing w:before="120"/>
        <w:ind w:left="0" w:right="111"/>
        <w:rPr>
          <w:noProof/>
        </w:rPr>
      </w:pPr>
      <w:r>
        <w:rPr>
          <w:noProof/>
        </w:rPr>
        <w:t>Les principaux objectifs de ce volet 16 du plan slovaque pour la reprise et la résilience sont de renforcer les efforts visant à détecter et à poursuivre la corruption, à lutter contre la criminalité environnementale, à renforcer les capacités de lutte contre le blanchiment de capitaux, à optimiser la gestion des crises et à renforcer les capacités administratives à différents niveaux du gouvernement.</w:t>
      </w:r>
    </w:p>
    <w:p w14:paraId="50B4B6FA" w14:textId="77777777" w:rsidR="003B5F50" w:rsidRDefault="000D2D85">
      <w:pPr>
        <w:pStyle w:val="BodyText"/>
        <w:spacing w:before="120"/>
        <w:ind w:left="0" w:right="113"/>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50B4B6FB" w14:textId="77777777" w:rsidR="003B5F50" w:rsidRDefault="000D2D85">
      <w:pPr>
        <w:pStyle w:val="BodyText"/>
        <w:spacing w:before="121"/>
        <w:ind w:left="0" w:right="113"/>
        <w:rPr>
          <w:noProof/>
        </w:rPr>
      </w:pPr>
      <w:r>
        <w:rPr>
          <w:noProof/>
        </w:rPr>
        <w:t>Elle contribue ainsi à donner suite à la recommandation par pays no 4 de 2020, en particulier pour assurer une surveillance et une application efficaces du cadre de lutte contre le blanchiment de capitaux, et pour garantir un environnement favorable aux entreprises et des services publics de qualité. La recommandation par pays no 4 de 2019 est également abordée, y compris en ce qui concerne les efforts accrus déployés pour détecter et poursuivre la corruption.</w:t>
      </w:r>
    </w:p>
    <w:p w14:paraId="50B4B6FC" w14:textId="77777777" w:rsidR="003B5F50" w:rsidRDefault="003B5F50">
      <w:pPr>
        <w:pStyle w:val="BodyText"/>
        <w:spacing w:before="121"/>
        <w:ind w:left="0" w:right="113"/>
        <w:rPr>
          <w:noProof/>
        </w:rPr>
      </w:pPr>
    </w:p>
    <w:p w14:paraId="50B4B6FD" w14:textId="77777777" w:rsidR="003B5F50" w:rsidRDefault="000D2D85">
      <w:pPr>
        <w:pStyle w:val="P68B1DB1-Normal6"/>
        <w:spacing w:before="120" w:after="120"/>
        <w:jc w:val="both"/>
        <w:rPr>
          <w:bCs/>
          <w:noProof/>
        </w:rPr>
      </w:pPr>
      <w:r>
        <w:rPr>
          <w:noProof/>
        </w:rPr>
        <w:t>Réforme 1: Rendre la lutte contre la corruption et le blanchiment de capitaux plus efficace</w:t>
      </w:r>
    </w:p>
    <w:p w14:paraId="50B4B6FE" w14:textId="77777777" w:rsidR="003B5F50" w:rsidRDefault="000D2D85">
      <w:pPr>
        <w:pStyle w:val="BodyText"/>
        <w:spacing w:before="115"/>
        <w:ind w:left="0" w:right="109"/>
        <w:rPr>
          <w:noProof/>
        </w:rPr>
      </w:pPr>
      <w:r>
        <w:rPr>
          <w:noProof/>
        </w:rPr>
        <w:t>Les nouvelles tendances de la criminalité organisée internationale, y compris l’utilisation abusive d’entités juridiques à des fins de blanchiment de capitaux, font pression sur la Slovaquie pour qu’elle améliore son cadre de lutte contre le blanchiment de capitaux afin de prévenir et de combattre la criminalité économique.</w:t>
      </w:r>
    </w:p>
    <w:p w14:paraId="50B4B6FF" w14:textId="77777777" w:rsidR="003B5F50" w:rsidRDefault="000D2D85">
      <w:pPr>
        <w:pStyle w:val="BodyText"/>
        <w:spacing w:before="117"/>
        <w:ind w:left="0" w:right="115"/>
        <w:rPr>
          <w:noProof/>
        </w:rPr>
      </w:pPr>
      <w:r>
        <w:rPr>
          <w:noProof/>
        </w:rPr>
        <w:t>Cette réforme vise à renforcer la lutte contre le blanchiment de capitaux et la corruption. Elle améliore le cadre juridique du gel des avoirs, y compris la mise en place d'un bureau de gestion de ces avoirs et la compétence de la police pour vérifier leur origine. Il instaure également un registre central des comptes.</w:t>
      </w:r>
    </w:p>
    <w:p w14:paraId="50B4B700" w14:textId="77777777" w:rsidR="003B5F50" w:rsidRDefault="000D2D85">
      <w:pPr>
        <w:pStyle w:val="BodyText"/>
        <w:spacing w:before="121"/>
        <w:ind w:left="0"/>
        <w:rPr>
          <w:noProof/>
        </w:rPr>
      </w:pPr>
      <w:r>
        <w:rPr>
          <w:noProof/>
        </w:rPr>
        <w:t>La mise en œuvre de la réforme est achevée au plus tard le 31 mars 2022.</w:t>
      </w:r>
    </w:p>
    <w:p w14:paraId="50B4B701" w14:textId="77777777" w:rsidR="003B5F50" w:rsidRDefault="003B5F50">
      <w:pPr>
        <w:pStyle w:val="BodyText"/>
        <w:spacing w:before="121"/>
        <w:ind w:left="0"/>
        <w:rPr>
          <w:noProof/>
        </w:rPr>
      </w:pPr>
    </w:p>
    <w:p w14:paraId="50B4B702" w14:textId="77777777" w:rsidR="003B5F50" w:rsidRDefault="000D2D85">
      <w:pPr>
        <w:pStyle w:val="P68B1DB1-Normal6"/>
        <w:spacing w:before="120" w:after="120"/>
        <w:jc w:val="both"/>
        <w:rPr>
          <w:bCs/>
          <w:noProof/>
        </w:rPr>
      </w:pPr>
      <w:r>
        <w:rPr>
          <w:noProof/>
        </w:rPr>
        <w:t>Investissement 1: Outils et capacités de lutte contre la corruption et le blanchiment de capitaux</w:t>
      </w:r>
    </w:p>
    <w:p w14:paraId="50B4B703" w14:textId="77777777" w:rsidR="003B5F50" w:rsidRDefault="000D2D85">
      <w:pPr>
        <w:pStyle w:val="BodyText"/>
        <w:spacing w:before="115"/>
        <w:ind w:left="0" w:right="118"/>
        <w:rPr>
          <w:noProof/>
        </w:rPr>
      </w:pPr>
      <w:r>
        <w:rPr>
          <w:noProof/>
        </w:rPr>
        <w:t>La lutte contre la corruption et le blanchiment de capitaux nécessite des outils appropriés, y compris des solutions et des capacités numériques.</w:t>
      </w:r>
    </w:p>
    <w:p w14:paraId="50B4B704" w14:textId="77777777" w:rsidR="003B5F50" w:rsidRDefault="000D2D85">
      <w:pPr>
        <w:pStyle w:val="BodyText"/>
        <w:spacing w:before="120"/>
        <w:ind w:left="0" w:right="114"/>
        <w:rPr>
          <w:noProof/>
        </w:rPr>
      </w:pPr>
      <w:r>
        <w:rPr>
          <w:noProof/>
        </w:rPr>
        <w:t>Cet investissement fournira plusieurs outils et mesures de renforcement des capacités pour soutenir la réforme 1. Il s’agit notamment de solutions logicielles numériques pour les enquêtes financières et pour le registre central des comptes. Les capacités d’enquête financière des forces de police seront renforcées par des formations et des équipements, ainsi que par une réorganisation, qui créera le Centre national pour les infractions spéciales (NCODK) en collaboration avec les bureaux régionaux et les services d’analyse de l’Agence pénale nationale (NAKA). En outre, des mesures sont prises pour rendre le bureau du lanceur d’alerte pleinement opérationnel, afin de soutenir la lutte contre la corruption. Cela inclut la fourniture d'équipements techniques.</w:t>
      </w:r>
    </w:p>
    <w:p w14:paraId="50B4B705" w14:textId="77777777" w:rsidR="003B5F50" w:rsidRDefault="000D2D85">
      <w:pPr>
        <w:pStyle w:val="BodyText"/>
        <w:spacing w:before="121"/>
        <w:ind w:left="0"/>
        <w:rPr>
          <w:noProof/>
        </w:rPr>
      </w:pPr>
      <w:r>
        <w:rPr>
          <w:noProof/>
        </w:rPr>
        <w:t>La mise en œuvre de l’investissement est achevée au plus tard le 31 décembre 2023.</w:t>
      </w:r>
    </w:p>
    <w:p w14:paraId="50B4B706" w14:textId="77777777" w:rsidR="003B5F50" w:rsidRDefault="000D2D85">
      <w:pPr>
        <w:rPr>
          <w:rFonts w:ascii="Times New Roman" w:eastAsia="Times New Roman" w:hAnsi="Times New Roman" w:cs="Times New Roman"/>
          <w:noProof/>
        </w:rPr>
      </w:pPr>
      <w:r>
        <w:rPr>
          <w:noProof/>
        </w:rPr>
        <w:br w:type="page"/>
      </w:r>
    </w:p>
    <w:p w14:paraId="50B4B707" w14:textId="77777777" w:rsidR="003B5F50" w:rsidRDefault="000D2D85">
      <w:pPr>
        <w:pStyle w:val="P68B1DB1-Normal6"/>
        <w:spacing w:before="120" w:after="120"/>
        <w:jc w:val="both"/>
        <w:rPr>
          <w:bCs/>
          <w:noProof/>
        </w:rPr>
      </w:pPr>
      <w:r>
        <w:rPr>
          <w:noProof/>
        </w:rPr>
        <w:t>Réforme 2: Modernisation et renforcement des capacités des forces de police</w:t>
      </w:r>
    </w:p>
    <w:p w14:paraId="50B4B708" w14:textId="77777777" w:rsidR="003B5F50" w:rsidRDefault="000D2D85">
      <w:pPr>
        <w:pStyle w:val="BodyText"/>
        <w:spacing w:before="115"/>
        <w:ind w:left="0" w:right="111"/>
        <w:rPr>
          <w:noProof/>
        </w:rPr>
      </w:pPr>
      <w:r>
        <w:rPr>
          <w:noProof/>
        </w:rPr>
        <w:t>Les structures et les capacités des forces de police sont obsolètes et manquent de services spécialisés traitant des nouvelles formes de criminalité et d'analyse criminelle. La réforme révise l’organisation de la force de police, en renforçant les capacités d’analyse et un service de technologie de la criminalité, ainsi que les enquêtes sur la criminalité environnementale. Il met en place un service d’ingénieur pénal, des unités d’analyse criminelle et une unité de lutte contre la criminalité environnementale et le personnel et les équipe de manière appropriée.</w:t>
      </w:r>
    </w:p>
    <w:p w14:paraId="50B4B709" w14:textId="77777777" w:rsidR="003B5F50" w:rsidRDefault="000D2D85">
      <w:pPr>
        <w:pStyle w:val="BodyText"/>
        <w:spacing w:before="121"/>
        <w:ind w:left="0"/>
        <w:rPr>
          <w:noProof/>
        </w:rPr>
      </w:pPr>
      <w:r>
        <w:rPr>
          <w:noProof/>
        </w:rPr>
        <w:t>La mise en œuvre de la réforme est achevée au plus tard le 31 décembre 2021.</w:t>
      </w:r>
    </w:p>
    <w:p w14:paraId="19A8FD41" w14:textId="77777777" w:rsidR="003B5F50" w:rsidRDefault="003B5F50">
      <w:pPr>
        <w:pStyle w:val="BodyText"/>
        <w:spacing w:before="121"/>
        <w:ind w:left="0"/>
        <w:rPr>
          <w:noProof/>
        </w:rPr>
      </w:pPr>
    </w:p>
    <w:p w14:paraId="50B4B70A" w14:textId="77777777" w:rsidR="003B5F50" w:rsidRDefault="000D2D85">
      <w:pPr>
        <w:pStyle w:val="P68B1DB1-Normal6"/>
        <w:spacing w:before="120" w:after="120"/>
        <w:jc w:val="both"/>
        <w:rPr>
          <w:bCs/>
          <w:noProof/>
        </w:rPr>
      </w:pPr>
      <w:r>
        <w:rPr>
          <w:noProof/>
        </w:rPr>
        <w:t>Investissement 2: Équiper et numériser les forces de police</w:t>
      </w:r>
    </w:p>
    <w:p w14:paraId="50B4B70B" w14:textId="77777777" w:rsidR="003B5F50" w:rsidRDefault="000D2D85">
      <w:pPr>
        <w:pStyle w:val="BodyText"/>
        <w:spacing w:before="115"/>
        <w:ind w:left="0" w:right="118"/>
        <w:rPr>
          <w:noProof/>
        </w:rPr>
      </w:pPr>
      <w:r>
        <w:rPr>
          <w:noProof/>
        </w:rPr>
        <w:t>L’objectif de la mesure est de renforcer les capacités des forces de police et de numériser les processus afin de les rendre plus efficaces.</w:t>
      </w:r>
    </w:p>
    <w:p w14:paraId="50B4B70C" w14:textId="25ADED77" w:rsidR="003B5F50" w:rsidRDefault="000D2D85">
      <w:pPr>
        <w:pStyle w:val="BodyText"/>
        <w:spacing w:before="115"/>
        <w:ind w:left="0" w:right="118"/>
        <w:rPr>
          <w:noProof/>
        </w:rPr>
      </w:pPr>
      <w:r>
        <w:rPr>
          <w:noProof/>
        </w:rPr>
        <w:t xml:space="preserve">La mesure consiste en un certain nombre d’actions telles que la fourniture de formations et de véhicules, la rénovation de bâtiments ainsi que l’acquisition de solutions informatiques modernisées. </w:t>
      </w:r>
    </w:p>
    <w:p w14:paraId="05ECC392" w14:textId="77777777" w:rsidR="003B5F50" w:rsidRDefault="003B5F50">
      <w:pPr>
        <w:pStyle w:val="BodyText"/>
        <w:spacing w:before="115"/>
        <w:ind w:left="0" w:right="118"/>
        <w:rPr>
          <w:noProof/>
        </w:rPr>
      </w:pPr>
    </w:p>
    <w:p w14:paraId="50B4B70D" w14:textId="77777777" w:rsidR="003B5F50" w:rsidRDefault="000D2D85">
      <w:pPr>
        <w:pStyle w:val="P68B1DB1-Normal6"/>
        <w:spacing w:before="120" w:after="120"/>
        <w:jc w:val="both"/>
        <w:rPr>
          <w:bCs/>
          <w:noProof/>
        </w:rPr>
      </w:pPr>
      <w:r>
        <w:rPr>
          <w:noProof/>
        </w:rPr>
        <w:t>Réforme 3: Optimiser la gestion des crises</w:t>
      </w:r>
    </w:p>
    <w:p w14:paraId="50B4B70E" w14:textId="77777777" w:rsidR="003B5F50" w:rsidRDefault="000D2D85">
      <w:pPr>
        <w:pStyle w:val="BodyText"/>
        <w:spacing w:before="115"/>
        <w:ind w:left="0"/>
        <w:rPr>
          <w:noProof/>
        </w:rPr>
      </w:pPr>
      <w:r>
        <w:rPr>
          <w:noProof/>
        </w:rPr>
        <w:t>De multiples crises, y compris la pandémie, ont montré des faiblesses dans les mécanismes de réaction aux crises.</w:t>
      </w:r>
    </w:p>
    <w:p w14:paraId="50B4B70F" w14:textId="77777777" w:rsidR="003B5F50" w:rsidRDefault="000D2D85">
      <w:pPr>
        <w:pStyle w:val="BodyText"/>
        <w:spacing w:before="120"/>
        <w:ind w:left="0" w:right="109"/>
        <w:rPr>
          <w:noProof/>
        </w:rPr>
      </w:pPr>
      <w:r>
        <w:rPr>
          <w:noProof/>
        </w:rPr>
        <w:t xml:space="preserve">Cette réforme optimise la gestion des crises et les capacités respectives, ainsi que la coordination efficace des services de secours. Il s'agit notamment de définir clairement les rôles et les modalités de coopération des services d'intervention d'urgence du système intégré de sauvetage, d'établir des procédures communes pour la réaction aux crises et de mettre en place un mécanisme commun de coordination. Il établira également un réseau de centres de sécurité intégrés (voir l’investissement 3 de ce volet, </w:t>
      </w:r>
      <w:r>
        <w:rPr>
          <w:i/>
          <w:noProof/>
        </w:rPr>
        <w:t>Modernisation du système d’incendie et de secours).</w:t>
      </w:r>
    </w:p>
    <w:p w14:paraId="50B4B710" w14:textId="77777777" w:rsidR="003B5F50" w:rsidRDefault="000D2D85">
      <w:pPr>
        <w:pStyle w:val="BodyText"/>
        <w:spacing w:before="120"/>
        <w:ind w:left="0"/>
        <w:rPr>
          <w:noProof/>
        </w:rPr>
      </w:pPr>
      <w:r>
        <w:rPr>
          <w:noProof/>
        </w:rPr>
        <w:t>La mise en œuvre de la réforme est achevée au plus tard le 31 mars 2023.</w:t>
      </w:r>
    </w:p>
    <w:p w14:paraId="792789C4" w14:textId="77777777" w:rsidR="003B5F50" w:rsidRDefault="003B5F50">
      <w:pPr>
        <w:pStyle w:val="BodyText"/>
        <w:spacing w:before="120"/>
        <w:ind w:left="0"/>
        <w:rPr>
          <w:noProof/>
        </w:rPr>
      </w:pPr>
    </w:p>
    <w:p w14:paraId="50B4B711" w14:textId="77777777" w:rsidR="003B5F50" w:rsidRDefault="000D2D85">
      <w:pPr>
        <w:pStyle w:val="P68B1DB1-Normal6"/>
        <w:spacing w:before="120" w:after="120"/>
        <w:jc w:val="both"/>
        <w:rPr>
          <w:bCs/>
          <w:noProof/>
        </w:rPr>
      </w:pPr>
      <w:r>
        <w:rPr>
          <w:noProof/>
        </w:rPr>
        <w:t>Réforme 4: Audit et contrôle</w:t>
      </w:r>
    </w:p>
    <w:p w14:paraId="50B4B712" w14:textId="77777777" w:rsidR="003B5F50" w:rsidRDefault="000D2D85">
      <w:pPr>
        <w:pStyle w:val="BodyText"/>
        <w:spacing w:before="115"/>
        <w:ind w:left="0" w:right="110"/>
        <w:rPr>
          <w:noProof/>
        </w:rPr>
      </w:pPr>
      <w:r>
        <w:rPr>
          <w:rFonts w:eastAsia="MS Mincho" w:cs="Arial"/>
          <w:noProof/>
        </w:rPr>
        <w:t xml:space="preserve">L’objectif de la mesure est d’assurer </w:t>
      </w:r>
      <w:r>
        <w:rPr>
          <w:noProof/>
        </w:rPr>
        <w:t>une protection efficace des intérêts financiers de l’Union lors de la mise en œuvre de la facilité pour la reprise et la résilience, qui est subordonnée à la mise en place de mesures appropriées pour prévenir, détecter et corriger la fraude, la corruption et les conflits d’intérêts tels que définis à l’article 61 du règlement financier. Par conséquent, l’amélioration de l’environnement de contrôle et d’audit est une condition préalable à la mise en œuvre efficace du plan conformément au droit de l’Union et au droit national applicables. Cette réforme comprend une nouvelle mesure visant à protéger les intérêts financiers de l’Union dans le contexte de la FRR, en particulier l’adoption a) d’une méthode de gestion des risques de corruption et b) de procédures concernant la surveillance par NIKA de la mise en œuvre de cette méthode.</w:t>
      </w:r>
    </w:p>
    <w:p w14:paraId="50B4B713" w14:textId="77777777" w:rsidR="003B5F50" w:rsidRDefault="000D2D85">
      <w:pPr>
        <w:pStyle w:val="BodyText"/>
        <w:spacing w:before="121"/>
        <w:ind w:left="0" w:right="120"/>
        <w:rPr>
          <w:noProof/>
        </w:rPr>
      </w:pPr>
      <w:r>
        <w:rPr>
          <w:noProof/>
        </w:rPr>
        <w:t>Ce jalon est atteint avant la présentation de la sixième demande de paiement soumise à la Commission.</w:t>
      </w:r>
    </w:p>
    <w:p w14:paraId="1A2A2BDE" w14:textId="77777777" w:rsidR="003B5F50" w:rsidRDefault="003B5F50">
      <w:pPr>
        <w:pStyle w:val="BodyText"/>
        <w:spacing w:before="121"/>
        <w:ind w:left="0" w:right="120"/>
        <w:rPr>
          <w:noProof/>
        </w:rPr>
      </w:pPr>
    </w:p>
    <w:p w14:paraId="50B4B714" w14:textId="77777777" w:rsidR="003B5F50" w:rsidRDefault="000D2D85">
      <w:pPr>
        <w:pStyle w:val="P68B1DB1-BodyText53"/>
        <w:spacing w:before="121"/>
        <w:ind w:left="0" w:right="120"/>
        <w:rPr>
          <w:noProof/>
        </w:rPr>
      </w:pPr>
      <w:r>
        <w:rPr>
          <w:noProof/>
        </w:rPr>
        <w:t>Investissement 3: Modernisation du système d'incendie et de secours</w:t>
      </w:r>
    </w:p>
    <w:p w14:paraId="50B4B715" w14:textId="77777777" w:rsidR="003B5F50" w:rsidRDefault="000D2D85">
      <w:pPr>
        <w:pStyle w:val="BodyText"/>
        <w:spacing w:before="115"/>
        <w:ind w:left="0" w:right="118"/>
        <w:rPr>
          <w:noProof/>
        </w:rPr>
      </w:pPr>
      <w:r>
        <w:rPr>
          <w:noProof/>
        </w:rPr>
        <w:t>L’objectif de la mesure est de fournir l’infrastructure physique et numérique nécessaire à la modernisation du système de gestion de crise.</w:t>
      </w:r>
    </w:p>
    <w:p w14:paraId="50B4B716" w14:textId="77777777" w:rsidR="003B5F50" w:rsidRDefault="000D2D85">
      <w:pPr>
        <w:pStyle w:val="BodyText"/>
        <w:spacing w:before="115"/>
        <w:ind w:left="0" w:right="118"/>
        <w:rPr>
          <w:noProof/>
        </w:rPr>
      </w:pPr>
      <w:r>
        <w:rPr>
          <w:noProof/>
        </w:rPr>
        <w:t>L'investissement consiste en la mise en place d'un centre de sécurité intégré et en la construction et la rénovation de postes de lutte contre l'incendie.</w:t>
      </w:r>
    </w:p>
    <w:p w14:paraId="0B94A6CB" w14:textId="77777777" w:rsidR="003B5F50" w:rsidRDefault="003B5F50">
      <w:pPr>
        <w:pStyle w:val="BodyText"/>
        <w:spacing w:before="115"/>
        <w:ind w:left="0" w:right="118"/>
        <w:rPr>
          <w:noProof/>
        </w:rPr>
      </w:pPr>
    </w:p>
    <w:p w14:paraId="50B4B717" w14:textId="77777777" w:rsidR="003B5F50" w:rsidRDefault="000D2D85">
      <w:pPr>
        <w:pStyle w:val="P68B1DB1-Normal6"/>
        <w:spacing w:before="120" w:after="120"/>
        <w:jc w:val="both"/>
        <w:rPr>
          <w:bCs/>
          <w:noProof/>
        </w:rPr>
      </w:pPr>
      <w:r>
        <w:rPr>
          <w:noProof/>
        </w:rPr>
        <w:t>Investissement 4: Rationalisation, optimisation et renforcement des capacités administratives aux différents niveaux de gouvernement</w:t>
      </w:r>
    </w:p>
    <w:p w14:paraId="50B4B71A" w14:textId="45902CF7" w:rsidR="003B5F50" w:rsidRDefault="000D2D85">
      <w:pPr>
        <w:pStyle w:val="BodyText"/>
        <w:spacing w:before="116"/>
        <w:ind w:left="0" w:right="116"/>
        <w:rPr>
          <w:noProof/>
        </w:rPr>
      </w:pPr>
      <w:r>
        <w:rPr>
          <w:noProof/>
        </w:rPr>
        <w:t>L'investissement public est freiné par un manque de capacités administratives dans la mise en œuvre à plusieurs niveaux. Les investissements importants envisagés dans le plan impliquent la nécessité d’accroître encore les capacités de gestion de ces investissements. En outre, la fourniture de services est entravée par la fragmentation de la gouvernance au niveau municipal.</w:t>
      </w:r>
    </w:p>
    <w:p w14:paraId="50B4B71B" w14:textId="77777777" w:rsidR="003B5F50" w:rsidRDefault="000D2D85">
      <w:pPr>
        <w:pStyle w:val="BodyText"/>
        <w:spacing w:before="120"/>
        <w:ind w:left="0" w:right="110"/>
        <w:rPr>
          <w:noProof/>
        </w:rPr>
      </w:pPr>
      <w:r>
        <w:rPr>
          <w:noProof/>
        </w:rPr>
        <w:t>Cette réforme renforce les capacités administratives tant au niveau local qu’au niveau national pour mettre en œuvre les réformes et les investissements du plan slovaque pour la reprise et la résilience. À cette fin, l’autorité nationale de mise en œuvre et de coordination du PRR slovaque (NIKA) est mise en place. L’entrée en vigueur de la loi sur la facilité pour la reprise et la résilience est effective au moment de la première demande de paiement et ne s’écarte à ce moment-là d’aucune manière significative de la description fournie dans le plan slovaque final. Un système de répertoire pour l’enregistrement et le stockage de toutes les données pertinentes liées à la mise en œuvre du plan pour la reprise et la résilience – la réalisation des jalons et cibles, les données sur les bénéficiaires finaux, les contractants, les sous-traitants et les bénéficiaires effectifs – devrait être confirmé opérationnel au plus tard le 31 décembre 2021. La Slovaquie présente un rapport d’audit spécifique confirmant l’efficacité des fonctionnalités du système de répertoires.</w:t>
      </w:r>
    </w:p>
    <w:p w14:paraId="50B4B71C" w14:textId="77777777" w:rsidR="003B5F50" w:rsidRDefault="000D2D85">
      <w:pPr>
        <w:pStyle w:val="BodyText"/>
        <w:spacing w:before="120"/>
        <w:ind w:left="0" w:right="115"/>
        <w:rPr>
          <w:noProof/>
        </w:rPr>
      </w:pPr>
      <w:r>
        <w:rPr>
          <w:noProof/>
        </w:rPr>
        <w:t>Les activités médiatiques et de communication devraient également bénéficier d'un soutien. Les centres de services partagés à créer visent à améliorer l'efficacité de la prestation des services publics au niveau local, en particulier dans les régions défavorisées.</w:t>
      </w:r>
    </w:p>
    <w:p w14:paraId="50B4B71D" w14:textId="77777777" w:rsidR="003B5F50" w:rsidRDefault="000D2D85">
      <w:pPr>
        <w:pStyle w:val="BodyText"/>
        <w:spacing w:before="121"/>
        <w:ind w:left="0" w:right="89"/>
        <w:jc w:val="left"/>
        <w:rPr>
          <w:noProof/>
        </w:rPr>
      </w:pPr>
      <w:r>
        <w:rPr>
          <w:noProof/>
        </w:rPr>
        <w:t xml:space="preserve">La loi relative à la facilité pour la reprise et la résilience entre en vigueur le 31 décembre 2021 au plus tard. Le rapport d’audit confirmant les fonctionnalités du système de répertoires est achevé au plus tard le 31 décembre 2021. Le système informatique de NIKA est opérationnel au plus tard le 30 septembre 2022. </w:t>
      </w:r>
    </w:p>
    <w:p w14:paraId="50B4B71E" w14:textId="77777777" w:rsidR="003B5F50" w:rsidRDefault="003B5F50">
      <w:pPr>
        <w:rPr>
          <w:noProof/>
        </w:rPr>
        <w:sectPr w:rsidR="003B5F50" w:rsidSect="003E3DD3">
          <w:headerReference w:type="even" r:id="rId197"/>
          <w:headerReference w:type="default" r:id="rId198"/>
          <w:footerReference w:type="even" r:id="rId199"/>
          <w:footerReference w:type="default" r:id="rId200"/>
          <w:headerReference w:type="first" r:id="rId201"/>
          <w:footerReference w:type="first" r:id="rId202"/>
          <w:pgSz w:w="11910" w:h="16840"/>
          <w:pgMar w:top="1134" w:right="1134" w:bottom="1134" w:left="1134" w:header="567" w:footer="567" w:gutter="0"/>
          <w:cols w:space="708"/>
        </w:sectPr>
      </w:pPr>
    </w:p>
    <w:p w14:paraId="50B4B71F" w14:textId="4FB4FA61" w:rsidR="003B5F50" w:rsidRDefault="000D2D85">
      <w:pPr>
        <w:pStyle w:val="P68B1DB1-Normal54"/>
        <w:tabs>
          <w:tab w:val="left" w:pos="993"/>
        </w:tabs>
        <w:spacing w:before="120" w:after="120"/>
        <w:ind w:left="850"/>
        <w:jc w:val="both"/>
        <w:rPr>
          <w:bCs/>
          <w:noProof/>
        </w:rPr>
      </w:pPr>
      <w:r>
        <w:rPr>
          <w:noProof/>
        </w:rPr>
        <w:t>A.2. Étapes, cibles, indicateurs et calendrier pour le suivi et la mise en œuvre du soutien financier non remboursable</w:t>
      </w:r>
    </w:p>
    <w:p w14:paraId="50B4B721" w14:textId="77777777" w:rsidR="003B5F50" w:rsidRDefault="003B5F50">
      <w:pPr>
        <w:pStyle w:val="BodyText"/>
        <w:ind w:left="0"/>
        <w:jc w:val="left"/>
        <w:rPr>
          <w:b/>
          <w:noProof/>
          <w:sz w:val="20"/>
        </w:rPr>
      </w:pPr>
    </w:p>
    <w:tbl>
      <w:tblPr>
        <w:tblW w:w="157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1984"/>
        <w:gridCol w:w="1701"/>
        <w:gridCol w:w="851"/>
        <w:gridCol w:w="1275"/>
        <w:gridCol w:w="1276"/>
        <w:gridCol w:w="1418"/>
        <w:gridCol w:w="1275"/>
        <w:gridCol w:w="1276"/>
        <w:gridCol w:w="851"/>
        <w:gridCol w:w="2835"/>
      </w:tblGrid>
      <w:tr w:rsidR="003B5F50" w14:paraId="50B4B72F" w14:textId="77777777" w:rsidTr="00D60A93">
        <w:trPr>
          <w:trHeight w:val="904"/>
          <w:tblHeader/>
        </w:trPr>
        <w:tc>
          <w:tcPr>
            <w:tcW w:w="993" w:type="dxa"/>
            <w:vMerge w:val="restart"/>
            <w:shd w:val="clear" w:color="auto" w:fill="BCD6ED"/>
          </w:tcPr>
          <w:p w14:paraId="50B4B722" w14:textId="77777777" w:rsidR="003B5F50" w:rsidRDefault="003B5F50">
            <w:pPr>
              <w:pStyle w:val="TableParagraph"/>
              <w:spacing w:before="22"/>
              <w:rPr>
                <w:b/>
                <w:noProof/>
                <w:sz w:val="20"/>
                <w:szCs w:val="20"/>
              </w:rPr>
            </w:pPr>
          </w:p>
          <w:p w14:paraId="50B4B723" w14:textId="77777777" w:rsidR="003B5F50" w:rsidRDefault="000D2D85">
            <w:pPr>
              <w:pStyle w:val="P68B1DB1-TableParagraph55"/>
              <w:spacing w:line="256" w:lineRule="auto"/>
              <w:ind w:left="170" w:right="159" w:firstLine="57"/>
              <w:rPr>
                <w:noProof/>
              </w:rPr>
            </w:pPr>
            <w:r>
              <w:rPr>
                <w:noProof/>
              </w:rPr>
              <w:t>Seq. Num.</w:t>
            </w:r>
          </w:p>
        </w:tc>
        <w:tc>
          <w:tcPr>
            <w:tcW w:w="1984" w:type="dxa"/>
            <w:vMerge w:val="restart"/>
            <w:shd w:val="clear" w:color="auto" w:fill="BCD6ED"/>
          </w:tcPr>
          <w:p w14:paraId="50B4B724" w14:textId="77777777" w:rsidR="003B5F50" w:rsidRDefault="000D2D85">
            <w:pPr>
              <w:pStyle w:val="P68B1DB1-TableParagraph55"/>
              <w:spacing w:before="2" w:line="259" w:lineRule="auto"/>
              <w:ind w:left="201" w:right="190" w:firstLine="5"/>
              <w:jc w:val="center"/>
              <w:rPr>
                <w:noProof/>
              </w:rPr>
            </w:pPr>
            <w:r>
              <w:rPr>
                <w:noProof/>
              </w:rPr>
              <w:t>Mesure connexe (réforme ou investissement)</w:t>
            </w:r>
          </w:p>
        </w:tc>
        <w:tc>
          <w:tcPr>
            <w:tcW w:w="1701" w:type="dxa"/>
            <w:vMerge w:val="restart"/>
            <w:shd w:val="clear" w:color="auto" w:fill="BCD6ED"/>
          </w:tcPr>
          <w:p w14:paraId="50B4B725" w14:textId="77777777" w:rsidR="003B5F50" w:rsidRDefault="003B5F50">
            <w:pPr>
              <w:pStyle w:val="TableParagraph"/>
              <w:spacing w:before="22"/>
              <w:rPr>
                <w:b/>
                <w:noProof/>
                <w:sz w:val="20"/>
                <w:szCs w:val="20"/>
              </w:rPr>
            </w:pPr>
          </w:p>
          <w:p w14:paraId="50B4B727" w14:textId="50FF4CB8" w:rsidR="003B5F50" w:rsidRDefault="000D2D85">
            <w:pPr>
              <w:pStyle w:val="P68B1DB1-TableParagraph55"/>
              <w:ind w:left="144"/>
              <w:rPr>
                <w:noProof/>
              </w:rPr>
            </w:pPr>
            <w:r>
              <w:rPr>
                <w:noProof/>
              </w:rPr>
              <w:t>Étape/objectif</w:t>
            </w:r>
          </w:p>
        </w:tc>
        <w:tc>
          <w:tcPr>
            <w:tcW w:w="851" w:type="dxa"/>
            <w:vMerge w:val="restart"/>
            <w:shd w:val="clear" w:color="auto" w:fill="BCD6ED"/>
          </w:tcPr>
          <w:p w14:paraId="50B4B728" w14:textId="77777777" w:rsidR="003B5F50" w:rsidRDefault="003B5F50">
            <w:pPr>
              <w:pStyle w:val="TableParagraph"/>
              <w:spacing w:before="144"/>
              <w:rPr>
                <w:b/>
                <w:noProof/>
                <w:sz w:val="20"/>
                <w:szCs w:val="20"/>
              </w:rPr>
            </w:pPr>
          </w:p>
          <w:p w14:paraId="50B4B729" w14:textId="77777777" w:rsidR="003B5F50" w:rsidRDefault="000D2D85">
            <w:pPr>
              <w:pStyle w:val="P68B1DB1-TableParagraph55"/>
              <w:ind w:left="4"/>
              <w:jc w:val="center"/>
              <w:rPr>
                <w:noProof/>
              </w:rPr>
            </w:pPr>
            <w:r>
              <w:rPr>
                <w:noProof/>
              </w:rPr>
              <w:t>Nom</w:t>
            </w:r>
          </w:p>
        </w:tc>
        <w:tc>
          <w:tcPr>
            <w:tcW w:w="1275" w:type="dxa"/>
            <w:vMerge w:val="restart"/>
            <w:shd w:val="clear" w:color="auto" w:fill="BCD6ED"/>
          </w:tcPr>
          <w:p w14:paraId="50B4B72A" w14:textId="77777777" w:rsidR="003B5F50" w:rsidRDefault="000D2D85">
            <w:pPr>
              <w:pStyle w:val="P68B1DB1-TableParagraph55"/>
              <w:spacing w:before="127" w:line="259" w:lineRule="auto"/>
              <w:ind w:left="11"/>
              <w:jc w:val="center"/>
              <w:rPr>
                <w:noProof/>
              </w:rPr>
            </w:pPr>
            <w:r>
              <w:rPr>
                <w:noProof/>
              </w:rPr>
              <w:t>Indicateurs qualitatifs (pour les jalons)</w:t>
            </w:r>
          </w:p>
        </w:tc>
        <w:tc>
          <w:tcPr>
            <w:tcW w:w="3969" w:type="dxa"/>
            <w:gridSpan w:val="3"/>
            <w:shd w:val="clear" w:color="auto" w:fill="BCD6ED"/>
          </w:tcPr>
          <w:p w14:paraId="50B4B72B" w14:textId="77777777" w:rsidR="003B5F50" w:rsidRDefault="000D2D85">
            <w:pPr>
              <w:pStyle w:val="P68B1DB1-TableParagraph55"/>
              <w:spacing w:before="122" w:line="256" w:lineRule="auto"/>
              <w:ind w:left="1301" w:hanging="850"/>
              <w:rPr>
                <w:noProof/>
              </w:rPr>
            </w:pPr>
            <w:r>
              <w:rPr>
                <w:noProof/>
              </w:rPr>
              <w:t>Indicateurs quantitatifs (pour les objectifs)</w:t>
            </w:r>
          </w:p>
        </w:tc>
        <w:tc>
          <w:tcPr>
            <w:tcW w:w="2127" w:type="dxa"/>
            <w:gridSpan w:val="2"/>
            <w:shd w:val="clear" w:color="auto" w:fill="BCD6ED"/>
          </w:tcPr>
          <w:p w14:paraId="50B4B72C" w14:textId="77777777" w:rsidR="003B5F50" w:rsidRDefault="000D2D85">
            <w:pPr>
              <w:pStyle w:val="P68B1DB1-TableParagraph55"/>
              <w:spacing w:line="259" w:lineRule="auto"/>
              <w:ind w:left="118" w:right="105"/>
              <w:jc w:val="center"/>
              <w:rPr>
                <w:noProof/>
              </w:rPr>
            </w:pPr>
            <w:r>
              <w:rPr>
                <w:noProof/>
              </w:rPr>
              <w:t>Calendrier indicatif d'achèvement</w:t>
            </w:r>
          </w:p>
        </w:tc>
        <w:tc>
          <w:tcPr>
            <w:tcW w:w="2835" w:type="dxa"/>
            <w:vMerge w:val="restart"/>
            <w:shd w:val="clear" w:color="auto" w:fill="BCD6ED"/>
          </w:tcPr>
          <w:p w14:paraId="50B4B72D" w14:textId="77777777" w:rsidR="003B5F50" w:rsidRDefault="003B5F50">
            <w:pPr>
              <w:pStyle w:val="TableParagraph"/>
              <w:spacing w:before="22"/>
              <w:rPr>
                <w:b/>
                <w:noProof/>
                <w:sz w:val="20"/>
                <w:szCs w:val="20"/>
              </w:rPr>
            </w:pPr>
          </w:p>
          <w:p w14:paraId="50B4B72E" w14:textId="77777777" w:rsidR="003B5F50" w:rsidRDefault="000D2D85">
            <w:pPr>
              <w:pStyle w:val="P68B1DB1-TableParagraph55"/>
              <w:spacing w:line="256" w:lineRule="auto"/>
              <w:ind w:left="313" w:right="145" w:hanging="152"/>
              <w:rPr>
                <w:noProof/>
              </w:rPr>
            </w:pPr>
            <w:r>
              <w:rPr>
                <w:noProof/>
              </w:rPr>
              <w:t>Description et définition claire de chaque jalon et cible</w:t>
            </w:r>
          </w:p>
        </w:tc>
      </w:tr>
      <w:tr w:rsidR="00D60A93" w14:paraId="50B4B73B" w14:textId="77777777" w:rsidTr="00D60A93">
        <w:trPr>
          <w:trHeight w:val="657"/>
          <w:tblHeader/>
        </w:trPr>
        <w:tc>
          <w:tcPr>
            <w:tcW w:w="993" w:type="dxa"/>
            <w:vMerge/>
          </w:tcPr>
          <w:p w14:paraId="50B4B730" w14:textId="77777777" w:rsidR="003B5F50" w:rsidRDefault="003B5F50">
            <w:pPr>
              <w:rPr>
                <w:rFonts w:ascii="Times New Roman" w:hAnsi="Times New Roman" w:cs="Times New Roman"/>
                <w:noProof/>
                <w:sz w:val="20"/>
                <w:szCs w:val="20"/>
              </w:rPr>
            </w:pPr>
          </w:p>
        </w:tc>
        <w:tc>
          <w:tcPr>
            <w:tcW w:w="1984" w:type="dxa"/>
            <w:vMerge/>
          </w:tcPr>
          <w:p w14:paraId="50B4B731" w14:textId="77777777" w:rsidR="003B5F50" w:rsidRDefault="003B5F50">
            <w:pPr>
              <w:rPr>
                <w:rFonts w:ascii="Times New Roman" w:hAnsi="Times New Roman" w:cs="Times New Roman"/>
                <w:noProof/>
                <w:sz w:val="20"/>
                <w:szCs w:val="20"/>
              </w:rPr>
            </w:pPr>
          </w:p>
        </w:tc>
        <w:tc>
          <w:tcPr>
            <w:tcW w:w="1701" w:type="dxa"/>
            <w:vMerge/>
          </w:tcPr>
          <w:p w14:paraId="50B4B732" w14:textId="77777777" w:rsidR="003B5F50" w:rsidRDefault="003B5F50">
            <w:pPr>
              <w:rPr>
                <w:rFonts w:ascii="Times New Roman" w:hAnsi="Times New Roman" w:cs="Times New Roman"/>
                <w:noProof/>
                <w:sz w:val="20"/>
                <w:szCs w:val="20"/>
              </w:rPr>
            </w:pPr>
          </w:p>
        </w:tc>
        <w:tc>
          <w:tcPr>
            <w:tcW w:w="851" w:type="dxa"/>
            <w:vMerge/>
          </w:tcPr>
          <w:p w14:paraId="50B4B733" w14:textId="77777777" w:rsidR="003B5F50" w:rsidRDefault="003B5F50">
            <w:pPr>
              <w:rPr>
                <w:rFonts w:ascii="Times New Roman" w:hAnsi="Times New Roman" w:cs="Times New Roman"/>
                <w:noProof/>
                <w:sz w:val="20"/>
                <w:szCs w:val="20"/>
              </w:rPr>
            </w:pPr>
          </w:p>
        </w:tc>
        <w:tc>
          <w:tcPr>
            <w:tcW w:w="1275" w:type="dxa"/>
            <w:vMerge/>
          </w:tcPr>
          <w:p w14:paraId="50B4B734" w14:textId="77777777" w:rsidR="003B5F50" w:rsidRDefault="003B5F50">
            <w:pPr>
              <w:rPr>
                <w:rFonts w:ascii="Times New Roman" w:hAnsi="Times New Roman" w:cs="Times New Roman"/>
                <w:noProof/>
                <w:sz w:val="20"/>
                <w:szCs w:val="20"/>
              </w:rPr>
            </w:pPr>
          </w:p>
        </w:tc>
        <w:tc>
          <w:tcPr>
            <w:tcW w:w="1276" w:type="dxa"/>
            <w:shd w:val="clear" w:color="auto" w:fill="BCD6ED"/>
          </w:tcPr>
          <w:p w14:paraId="50B4B735" w14:textId="77777777" w:rsidR="003B5F50" w:rsidRDefault="000D2D85">
            <w:pPr>
              <w:pStyle w:val="P68B1DB1-TableParagraph56"/>
              <w:spacing w:line="261" w:lineRule="auto"/>
              <w:ind w:left="204" w:right="193" w:firstLine="64"/>
              <w:rPr>
                <w:noProof/>
              </w:rPr>
            </w:pPr>
            <w:r>
              <w:rPr>
                <w:noProof/>
              </w:rPr>
              <w:t>Unité de mesure</w:t>
            </w:r>
          </w:p>
        </w:tc>
        <w:tc>
          <w:tcPr>
            <w:tcW w:w="1418" w:type="dxa"/>
            <w:shd w:val="clear" w:color="auto" w:fill="BCD6ED"/>
          </w:tcPr>
          <w:p w14:paraId="50B4B736" w14:textId="77777777" w:rsidR="003B5F50" w:rsidRDefault="000D2D85">
            <w:pPr>
              <w:pStyle w:val="P68B1DB1-TableParagraph55"/>
              <w:spacing w:before="123"/>
              <w:ind w:left="281"/>
              <w:rPr>
                <w:noProof/>
              </w:rPr>
            </w:pPr>
            <w:r>
              <w:rPr>
                <w:noProof/>
              </w:rPr>
              <w:t>Données de référence</w:t>
            </w:r>
          </w:p>
        </w:tc>
        <w:tc>
          <w:tcPr>
            <w:tcW w:w="1275" w:type="dxa"/>
            <w:shd w:val="clear" w:color="auto" w:fill="BCD6ED"/>
          </w:tcPr>
          <w:p w14:paraId="50B4B737" w14:textId="77777777" w:rsidR="003B5F50" w:rsidRDefault="000D2D85">
            <w:pPr>
              <w:pStyle w:val="P68B1DB1-TableParagraph55"/>
              <w:spacing w:before="123"/>
              <w:ind w:left="222"/>
              <w:rPr>
                <w:noProof/>
              </w:rPr>
            </w:pPr>
            <w:r>
              <w:rPr>
                <w:noProof/>
              </w:rPr>
              <w:t>Objectif</w:t>
            </w:r>
          </w:p>
        </w:tc>
        <w:tc>
          <w:tcPr>
            <w:tcW w:w="1276" w:type="dxa"/>
            <w:shd w:val="clear" w:color="auto" w:fill="BCD6ED"/>
          </w:tcPr>
          <w:p w14:paraId="50B4B738" w14:textId="77777777" w:rsidR="003B5F50" w:rsidRDefault="000D2D85">
            <w:pPr>
              <w:pStyle w:val="P68B1DB1-TableParagraph55"/>
              <w:spacing w:before="123"/>
              <w:ind w:left="36" w:right="30"/>
              <w:jc w:val="center"/>
              <w:rPr>
                <w:noProof/>
              </w:rPr>
            </w:pPr>
            <w:r>
              <w:rPr>
                <w:noProof/>
              </w:rPr>
              <w:t>Trimestre</w:t>
            </w:r>
          </w:p>
        </w:tc>
        <w:tc>
          <w:tcPr>
            <w:tcW w:w="851" w:type="dxa"/>
            <w:shd w:val="clear" w:color="auto" w:fill="BCD6ED"/>
          </w:tcPr>
          <w:p w14:paraId="50B4B739" w14:textId="77777777" w:rsidR="003B5F50" w:rsidRDefault="000D2D85">
            <w:pPr>
              <w:pStyle w:val="P68B1DB1-TableParagraph55"/>
              <w:spacing w:before="123"/>
              <w:ind w:left="22" w:right="13"/>
              <w:jc w:val="center"/>
              <w:rPr>
                <w:noProof/>
              </w:rPr>
            </w:pPr>
            <w:r>
              <w:rPr>
                <w:noProof/>
              </w:rPr>
              <w:t>Année</w:t>
            </w:r>
          </w:p>
        </w:tc>
        <w:tc>
          <w:tcPr>
            <w:tcW w:w="2835" w:type="dxa"/>
            <w:vMerge/>
          </w:tcPr>
          <w:p w14:paraId="50B4B73A" w14:textId="77777777" w:rsidR="003B5F50" w:rsidRDefault="003B5F50">
            <w:pPr>
              <w:rPr>
                <w:rFonts w:ascii="Times New Roman" w:hAnsi="Times New Roman" w:cs="Times New Roman"/>
                <w:noProof/>
                <w:sz w:val="20"/>
                <w:szCs w:val="20"/>
              </w:rPr>
            </w:pPr>
          </w:p>
        </w:tc>
      </w:tr>
      <w:tr w:rsidR="00D60A93" w14:paraId="50B4B747" w14:textId="77777777" w:rsidTr="00D60A93">
        <w:trPr>
          <w:trHeight w:val="3136"/>
        </w:trPr>
        <w:tc>
          <w:tcPr>
            <w:tcW w:w="993" w:type="dxa"/>
            <w:shd w:val="clear" w:color="auto" w:fill="C5EECE"/>
          </w:tcPr>
          <w:p w14:paraId="50B4B73C" w14:textId="77777777" w:rsidR="003B5F50" w:rsidRDefault="000D2D85">
            <w:pPr>
              <w:pStyle w:val="P68B1DB1-TableParagraph57"/>
              <w:spacing w:line="223" w:lineRule="exact"/>
              <w:ind w:left="9" w:right="1"/>
              <w:jc w:val="center"/>
              <w:rPr>
                <w:noProof/>
              </w:rPr>
            </w:pPr>
            <w:r>
              <w:rPr>
                <w:noProof/>
              </w:rPr>
              <w:t>1</w:t>
            </w:r>
          </w:p>
        </w:tc>
        <w:tc>
          <w:tcPr>
            <w:tcW w:w="1984" w:type="dxa"/>
            <w:shd w:val="clear" w:color="auto" w:fill="C5EECE"/>
          </w:tcPr>
          <w:p w14:paraId="50B4B73D" w14:textId="77777777" w:rsidR="003B5F50" w:rsidRDefault="000D2D85">
            <w:pPr>
              <w:pStyle w:val="P68B1DB1-TableParagraph57"/>
              <w:spacing w:line="259" w:lineRule="auto"/>
              <w:ind w:left="110" w:right="124"/>
              <w:rPr>
                <w:noProof/>
              </w:rPr>
            </w:pPr>
            <w:r>
              <w:rPr>
                <w:noProof/>
              </w:rPr>
              <w:t>16 – Lutte contre la corruption et le blanchiment de capitaux – Réforme 1: Rendre la lutte contre la corruption et la LBC plus efficace</w:t>
            </w:r>
          </w:p>
        </w:tc>
        <w:tc>
          <w:tcPr>
            <w:tcW w:w="1701" w:type="dxa"/>
            <w:shd w:val="clear" w:color="auto" w:fill="C5EECE"/>
          </w:tcPr>
          <w:p w14:paraId="50B4B73E" w14:textId="77777777" w:rsidR="003B5F50" w:rsidRDefault="000D2D85">
            <w:pPr>
              <w:pStyle w:val="P68B1DB1-TableParagraph57"/>
              <w:spacing w:line="223" w:lineRule="exact"/>
              <w:ind w:left="1" w:right="92"/>
              <w:jc w:val="center"/>
              <w:rPr>
                <w:noProof/>
              </w:rPr>
            </w:pPr>
            <w:r>
              <w:rPr>
                <w:noProof/>
              </w:rPr>
              <w:t>Étape</w:t>
            </w:r>
          </w:p>
        </w:tc>
        <w:tc>
          <w:tcPr>
            <w:tcW w:w="851" w:type="dxa"/>
            <w:shd w:val="clear" w:color="auto" w:fill="C5EECE"/>
          </w:tcPr>
          <w:p w14:paraId="50B4B73F" w14:textId="77777777" w:rsidR="003B5F50" w:rsidRDefault="000D2D85">
            <w:pPr>
              <w:pStyle w:val="P68B1DB1-TableParagraph57"/>
              <w:spacing w:line="259" w:lineRule="auto"/>
              <w:ind w:left="108" w:right="170"/>
              <w:rPr>
                <w:noProof/>
              </w:rPr>
            </w:pPr>
            <w:r>
              <w:rPr>
                <w:noProof/>
              </w:rPr>
              <w:t>Réformes visant à rationaliser et à améliorer les enquêtes financières</w:t>
            </w:r>
          </w:p>
        </w:tc>
        <w:tc>
          <w:tcPr>
            <w:tcW w:w="1275" w:type="dxa"/>
            <w:shd w:val="clear" w:color="auto" w:fill="C5EECE"/>
          </w:tcPr>
          <w:p w14:paraId="50B4B740" w14:textId="77777777" w:rsidR="003B5F50" w:rsidRDefault="000D2D85">
            <w:pPr>
              <w:pStyle w:val="P68B1DB1-TableParagraph57"/>
              <w:spacing w:line="259" w:lineRule="auto"/>
              <w:ind w:left="107" w:right="69"/>
              <w:rPr>
                <w:noProof/>
              </w:rPr>
            </w:pPr>
            <w:r>
              <w:rPr>
                <w:noProof/>
              </w:rPr>
              <w:t>Entrée en vigueur de la loi no 312/2020 sur le gel des avoirs et d’une loi établissant un registre central des comptes</w:t>
            </w:r>
          </w:p>
        </w:tc>
        <w:tc>
          <w:tcPr>
            <w:tcW w:w="1276" w:type="dxa"/>
            <w:shd w:val="clear" w:color="auto" w:fill="C5EECE"/>
          </w:tcPr>
          <w:p w14:paraId="50B4B741" w14:textId="77777777" w:rsidR="003B5F50" w:rsidRDefault="003B5F50">
            <w:pPr>
              <w:pStyle w:val="TableParagraph"/>
              <w:rPr>
                <w:noProof/>
                <w:sz w:val="20"/>
                <w:szCs w:val="20"/>
              </w:rPr>
            </w:pPr>
          </w:p>
        </w:tc>
        <w:tc>
          <w:tcPr>
            <w:tcW w:w="1418" w:type="dxa"/>
            <w:shd w:val="clear" w:color="auto" w:fill="C5EECE"/>
          </w:tcPr>
          <w:p w14:paraId="50B4B742" w14:textId="77777777" w:rsidR="003B5F50" w:rsidRDefault="003B5F50">
            <w:pPr>
              <w:pStyle w:val="TableParagraph"/>
              <w:rPr>
                <w:noProof/>
                <w:sz w:val="20"/>
                <w:szCs w:val="20"/>
              </w:rPr>
            </w:pPr>
          </w:p>
        </w:tc>
        <w:tc>
          <w:tcPr>
            <w:tcW w:w="1275" w:type="dxa"/>
            <w:shd w:val="clear" w:color="auto" w:fill="C5EECE"/>
          </w:tcPr>
          <w:p w14:paraId="50B4B743" w14:textId="77777777" w:rsidR="003B5F50" w:rsidRDefault="003B5F50">
            <w:pPr>
              <w:pStyle w:val="TableParagraph"/>
              <w:rPr>
                <w:noProof/>
                <w:sz w:val="20"/>
                <w:szCs w:val="20"/>
              </w:rPr>
            </w:pPr>
          </w:p>
        </w:tc>
        <w:tc>
          <w:tcPr>
            <w:tcW w:w="1276" w:type="dxa"/>
            <w:shd w:val="clear" w:color="auto" w:fill="C5EECE"/>
          </w:tcPr>
          <w:p w14:paraId="50B4B744" w14:textId="77777777" w:rsidR="003B5F50" w:rsidRDefault="000D2D85">
            <w:pPr>
              <w:pStyle w:val="P68B1DB1-TableParagraph57"/>
              <w:spacing w:line="223" w:lineRule="exact"/>
              <w:ind w:left="36" w:right="27"/>
              <w:jc w:val="center"/>
              <w:rPr>
                <w:noProof/>
              </w:rPr>
            </w:pPr>
            <w:r>
              <w:rPr>
                <w:noProof/>
              </w:rPr>
              <w:t>T1</w:t>
            </w:r>
          </w:p>
        </w:tc>
        <w:tc>
          <w:tcPr>
            <w:tcW w:w="851" w:type="dxa"/>
            <w:shd w:val="clear" w:color="auto" w:fill="C5EECE"/>
          </w:tcPr>
          <w:p w14:paraId="50B4B745" w14:textId="77777777" w:rsidR="003B5F50" w:rsidRDefault="000D2D85">
            <w:pPr>
              <w:pStyle w:val="P68B1DB1-TableParagraph57"/>
              <w:spacing w:line="223" w:lineRule="exact"/>
              <w:ind w:left="22" w:right="7"/>
              <w:jc w:val="center"/>
              <w:rPr>
                <w:noProof/>
              </w:rPr>
            </w:pPr>
            <w:r>
              <w:rPr>
                <w:noProof/>
              </w:rPr>
              <w:t>2022</w:t>
            </w:r>
          </w:p>
        </w:tc>
        <w:tc>
          <w:tcPr>
            <w:tcW w:w="2835" w:type="dxa"/>
            <w:shd w:val="clear" w:color="auto" w:fill="C5EECE"/>
          </w:tcPr>
          <w:p w14:paraId="50B4B746" w14:textId="77777777" w:rsidR="003B5F50" w:rsidRDefault="000D2D85">
            <w:pPr>
              <w:pStyle w:val="P68B1DB1-TableParagraph57"/>
              <w:spacing w:line="259" w:lineRule="auto"/>
              <w:ind w:left="112" w:right="147"/>
              <w:rPr>
                <w:noProof/>
              </w:rPr>
            </w:pPr>
            <w:r>
              <w:rPr>
                <w:noProof/>
              </w:rPr>
              <w:t>Entrée en vigueur de la législation qui établit un cadre pour la mise en service du registre central des comptes. Le pouvoir de la police de contrôler les biens en cas de divergence entre les revenus légaux et les biens usagés sera étendu. Un bureau chargé de la gestion des avoirs saisis est opérationnel et les possibilités de gel des avoirs ont été élargies.</w:t>
            </w:r>
          </w:p>
        </w:tc>
      </w:tr>
      <w:tr w:rsidR="00D60A93" w14:paraId="50B4B757" w14:textId="77777777" w:rsidTr="00D60A93">
        <w:trPr>
          <w:trHeight w:val="1533"/>
        </w:trPr>
        <w:tc>
          <w:tcPr>
            <w:tcW w:w="993" w:type="dxa"/>
            <w:shd w:val="clear" w:color="auto" w:fill="C5EECE"/>
          </w:tcPr>
          <w:p w14:paraId="50B4B748" w14:textId="77777777" w:rsidR="003B5F50" w:rsidRDefault="000D2D85">
            <w:pPr>
              <w:pStyle w:val="P68B1DB1-TableParagraph57"/>
              <w:spacing w:line="225" w:lineRule="exact"/>
              <w:ind w:left="9" w:right="1"/>
              <w:jc w:val="center"/>
              <w:rPr>
                <w:noProof/>
              </w:rPr>
            </w:pPr>
            <w:r>
              <w:rPr>
                <w:noProof/>
              </w:rPr>
              <w:t>2</w:t>
            </w:r>
          </w:p>
        </w:tc>
        <w:tc>
          <w:tcPr>
            <w:tcW w:w="1984" w:type="dxa"/>
            <w:shd w:val="clear" w:color="auto" w:fill="C5EECE"/>
          </w:tcPr>
          <w:p w14:paraId="50B4B749" w14:textId="77777777" w:rsidR="003B5F50" w:rsidRDefault="000D2D85">
            <w:pPr>
              <w:pStyle w:val="P68B1DB1-TableParagraph57"/>
              <w:spacing w:line="259" w:lineRule="auto"/>
              <w:ind w:left="110" w:right="124"/>
              <w:rPr>
                <w:noProof/>
              </w:rPr>
            </w:pPr>
            <w:r>
              <w:rPr>
                <w:noProof/>
              </w:rPr>
              <w:t>16 - Lutte contre la corruption et le blanchiment de capitaux - Investissement 1: Outils et capacités de lutte contre la corruption et le blanchiment de capitaux</w:t>
            </w:r>
          </w:p>
        </w:tc>
        <w:tc>
          <w:tcPr>
            <w:tcW w:w="1701" w:type="dxa"/>
            <w:shd w:val="clear" w:color="auto" w:fill="C5EECE"/>
          </w:tcPr>
          <w:p w14:paraId="50B4B74A"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74B" w14:textId="77777777" w:rsidR="003B5F50" w:rsidRDefault="000D2D85">
            <w:pPr>
              <w:pStyle w:val="P68B1DB1-TableParagraph57"/>
              <w:spacing w:line="259" w:lineRule="auto"/>
              <w:ind w:left="108" w:right="170"/>
              <w:rPr>
                <w:noProof/>
              </w:rPr>
            </w:pPr>
            <w:r>
              <w:rPr>
                <w:noProof/>
              </w:rPr>
              <w:t>Fournir les infrastructures nécessaires pour soutenir la lutte contre le blanchiment de capitaux et la corruption</w:t>
            </w:r>
          </w:p>
        </w:tc>
        <w:tc>
          <w:tcPr>
            <w:tcW w:w="1275" w:type="dxa"/>
            <w:shd w:val="clear" w:color="auto" w:fill="C5EECE"/>
          </w:tcPr>
          <w:p w14:paraId="50B4B74C" w14:textId="77777777" w:rsidR="003B5F50" w:rsidRDefault="000D2D85">
            <w:pPr>
              <w:pStyle w:val="P68B1DB1-TableParagraph57"/>
              <w:spacing w:line="259" w:lineRule="auto"/>
              <w:ind w:left="107" w:right="181"/>
              <w:rPr>
                <w:noProof/>
              </w:rPr>
            </w:pPr>
            <w:r>
              <w:rPr>
                <w:noProof/>
              </w:rPr>
              <w:t>L’infrastructure liée à la lutte contre le blanchiment de capitaux et aux lanceurs d’alerte est pleinement opérationnelle.</w:t>
            </w:r>
          </w:p>
        </w:tc>
        <w:tc>
          <w:tcPr>
            <w:tcW w:w="1276" w:type="dxa"/>
            <w:shd w:val="clear" w:color="auto" w:fill="C5EECE"/>
          </w:tcPr>
          <w:p w14:paraId="50B4B74D" w14:textId="77777777" w:rsidR="003B5F50" w:rsidRDefault="003B5F50">
            <w:pPr>
              <w:pStyle w:val="TableParagraph"/>
              <w:rPr>
                <w:noProof/>
                <w:sz w:val="20"/>
                <w:szCs w:val="20"/>
              </w:rPr>
            </w:pPr>
          </w:p>
        </w:tc>
        <w:tc>
          <w:tcPr>
            <w:tcW w:w="1418" w:type="dxa"/>
            <w:shd w:val="clear" w:color="auto" w:fill="C5EECE"/>
          </w:tcPr>
          <w:p w14:paraId="50B4B74E" w14:textId="77777777" w:rsidR="003B5F50" w:rsidRDefault="003B5F50">
            <w:pPr>
              <w:pStyle w:val="TableParagraph"/>
              <w:rPr>
                <w:noProof/>
                <w:sz w:val="20"/>
                <w:szCs w:val="20"/>
              </w:rPr>
            </w:pPr>
          </w:p>
        </w:tc>
        <w:tc>
          <w:tcPr>
            <w:tcW w:w="1275" w:type="dxa"/>
            <w:shd w:val="clear" w:color="auto" w:fill="C5EECE"/>
          </w:tcPr>
          <w:p w14:paraId="50B4B74F" w14:textId="77777777" w:rsidR="003B5F50" w:rsidRDefault="003B5F50">
            <w:pPr>
              <w:pStyle w:val="TableParagraph"/>
              <w:rPr>
                <w:noProof/>
                <w:sz w:val="20"/>
                <w:szCs w:val="20"/>
              </w:rPr>
            </w:pPr>
          </w:p>
        </w:tc>
        <w:tc>
          <w:tcPr>
            <w:tcW w:w="1276" w:type="dxa"/>
            <w:shd w:val="clear" w:color="auto" w:fill="C5EECE"/>
          </w:tcPr>
          <w:p w14:paraId="50B4B750" w14:textId="77777777" w:rsidR="003B5F50" w:rsidRDefault="000D2D85">
            <w:pPr>
              <w:pStyle w:val="P68B1DB1-TableParagraph57"/>
              <w:spacing w:line="225" w:lineRule="exact"/>
              <w:ind w:left="36" w:right="27"/>
              <w:jc w:val="center"/>
              <w:rPr>
                <w:noProof/>
              </w:rPr>
            </w:pPr>
            <w:r>
              <w:rPr>
                <w:noProof/>
              </w:rPr>
              <w:t>T4</w:t>
            </w:r>
          </w:p>
        </w:tc>
        <w:tc>
          <w:tcPr>
            <w:tcW w:w="851" w:type="dxa"/>
            <w:shd w:val="clear" w:color="auto" w:fill="C5EECE"/>
          </w:tcPr>
          <w:p w14:paraId="50B4B751" w14:textId="77777777" w:rsidR="003B5F50" w:rsidRDefault="000D2D85">
            <w:pPr>
              <w:pStyle w:val="P68B1DB1-TableParagraph57"/>
              <w:spacing w:line="225" w:lineRule="exact"/>
              <w:ind w:left="22" w:right="7"/>
              <w:jc w:val="center"/>
              <w:rPr>
                <w:noProof/>
              </w:rPr>
            </w:pPr>
            <w:r>
              <w:rPr>
                <w:noProof/>
              </w:rPr>
              <w:t>2023</w:t>
            </w:r>
          </w:p>
        </w:tc>
        <w:tc>
          <w:tcPr>
            <w:tcW w:w="2835" w:type="dxa"/>
            <w:shd w:val="clear" w:color="auto" w:fill="C5EECE"/>
          </w:tcPr>
          <w:p w14:paraId="50B4B752" w14:textId="77777777" w:rsidR="003B5F50" w:rsidRDefault="000D2D85">
            <w:pPr>
              <w:pStyle w:val="P68B1DB1-TableParagraph57"/>
              <w:spacing w:line="225" w:lineRule="exact"/>
              <w:ind w:left="112"/>
              <w:jc w:val="both"/>
              <w:rPr>
                <w:noProof/>
              </w:rPr>
            </w:pPr>
            <w:r>
              <w:rPr>
                <w:noProof/>
              </w:rPr>
              <w:t>Achèvement des étapes suivantes:</w:t>
            </w:r>
          </w:p>
          <w:p w14:paraId="50B4B753" w14:textId="223662BA" w:rsidR="003B5F50" w:rsidRDefault="000D2D85">
            <w:pPr>
              <w:pStyle w:val="P68B1DB1-TableParagraph57"/>
              <w:numPr>
                <w:ilvl w:val="0"/>
                <w:numId w:val="42"/>
              </w:numPr>
              <w:tabs>
                <w:tab w:val="left" w:pos="334"/>
              </w:tabs>
              <w:spacing w:before="178" w:line="256" w:lineRule="auto"/>
              <w:ind w:right="97" w:firstLine="62"/>
              <w:jc w:val="both"/>
              <w:rPr>
                <w:noProof/>
              </w:rPr>
            </w:pPr>
            <w:r>
              <w:rPr>
                <w:noProof/>
              </w:rPr>
              <w:t>Achat de l’outil logiciel «go AML» jusqu’au 4e trimestre 2022 et mise en œuvre d’ici le 3e trimestre 2023.</w:t>
            </w:r>
          </w:p>
          <w:p w14:paraId="50B4B754" w14:textId="1B764E51" w:rsidR="003B5F50" w:rsidRDefault="000D2D85">
            <w:pPr>
              <w:pStyle w:val="P68B1DB1-TableParagraph57"/>
              <w:numPr>
                <w:ilvl w:val="0"/>
                <w:numId w:val="42"/>
              </w:numPr>
              <w:tabs>
                <w:tab w:val="left" w:pos="334"/>
              </w:tabs>
              <w:spacing w:before="178" w:line="256" w:lineRule="auto"/>
              <w:ind w:right="97" w:firstLine="62"/>
              <w:jc w:val="both"/>
              <w:rPr>
                <w:noProof/>
              </w:rPr>
            </w:pPr>
            <w:r>
              <w:rPr>
                <w:noProof/>
              </w:rPr>
              <w:t xml:space="preserve"> Lancement d’une version test du registre central des comptes avec toutes les fonctionnalités prédéfinies dans la loi, avec accès aux données jusqu’au deuxième trimestre de 2022, puis lancement de la version finale au quatrième trimestre de 2022.</w:t>
            </w:r>
          </w:p>
          <w:p w14:paraId="50B4B755" w14:textId="604DB300" w:rsidR="003B5F50" w:rsidRDefault="000D2D85">
            <w:pPr>
              <w:pStyle w:val="P68B1DB1-TableParagraph57"/>
              <w:numPr>
                <w:ilvl w:val="0"/>
                <w:numId w:val="42"/>
              </w:numPr>
              <w:tabs>
                <w:tab w:val="left" w:pos="334"/>
              </w:tabs>
              <w:spacing w:before="178" w:line="256" w:lineRule="auto"/>
              <w:ind w:right="97" w:firstLine="62"/>
              <w:jc w:val="both"/>
              <w:rPr>
                <w:noProof/>
              </w:rPr>
            </w:pPr>
            <w:r>
              <w:rPr>
                <w:noProof/>
              </w:rPr>
              <w:t>Mise en service et équipement technique complet du bureau de protection des lanceurs d’alerte jusqu’au T3/2022.</w:t>
            </w:r>
          </w:p>
          <w:p w14:paraId="50B4B756" w14:textId="4FB3BBB6" w:rsidR="003B5F50" w:rsidRDefault="000D2D85">
            <w:pPr>
              <w:pStyle w:val="P68B1DB1-TableParagraph57"/>
              <w:numPr>
                <w:ilvl w:val="0"/>
                <w:numId w:val="42"/>
              </w:numPr>
              <w:tabs>
                <w:tab w:val="left" w:pos="334"/>
              </w:tabs>
              <w:spacing w:before="178" w:line="256" w:lineRule="auto"/>
              <w:ind w:right="97" w:firstLine="62"/>
              <w:jc w:val="both"/>
              <w:rPr>
                <w:noProof/>
              </w:rPr>
            </w:pPr>
            <w:r>
              <w:rPr>
                <w:noProof/>
              </w:rPr>
              <w:t>Adaptation des locaux et des équipements TIC des unités NCODK et NAKA pour les enquêtes financières et la vérification de l’origine des actifs par niveau régional (modèles 1 + 4) au quatrième trimestre de 2023.</w:t>
            </w:r>
          </w:p>
        </w:tc>
      </w:tr>
      <w:tr w:rsidR="00D60A93" w14:paraId="50B4B764" w14:textId="77777777" w:rsidTr="00D60A93">
        <w:trPr>
          <w:trHeight w:val="3211"/>
        </w:trPr>
        <w:tc>
          <w:tcPr>
            <w:tcW w:w="993" w:type="dxa"/>
            <w:shd w:val="clear" w:color="auto" w:fill="C5EECE"/>
          </w:tcPr>
          <w:p w14:paraId="50B4B758" w14:textId="77777777" w:rsidR="003B5F50" w:rsidRDefault="000D2D85">
            <w:pPr>
              <w:pStyle w:val="P68B1DB1-TableParagraph57"/>
              <w:spacing w:line="225" w:lineRule="exact"/>
              <w:ind w:left="9" w:right="1"/>
              <w:jc w:val="center"/>
              <w:rPr>
                <w:noProof/>
              </w:rPr>
            </w:pPr>
            <w:r>
              <w:rPr>
                <w:noProof/>
              </w:rPr>
              <w:t>3</w:t>
            </w:r>
          </w:p>
        </w:tc>
        <w:tc>
          <w:tcPr>
            <w:tcW w:w="1984" w:type="dxa"/>
            <w:shd w:val="clear" w:color="auto" w:fill="C5EECE"/>
          </w:tcPr>
          <w:p w14:paraId="50B4B759" w14:textId="77777777" w:rsidR="003B5F50" w:rsidRDefault="000D2D85">
            <w:pPr>
              <w:pStyle w:val="P68B1DB1-TableParagraph57"/>
              <w:spacing w:line="259" w:lineRule="auto"/>
              <w:ind w:left="110" w:right="124"/>
              <w:rPr>
                <w:noProof/>
              </w:rPr>
            </w:pPr>
            <w:r>
              <w:rPr>
                <w:noProof/>
              </w:rPr>
              <w:t>16 - Lutte contre la corruption et le blanchiment de capitaux - Investissement 1: Outils et capacités de lutte contre la corruption et le blanchiment de capitaux</w:t>
            </w:r>
          </w:p>
        </w:tc>
        <w:tc>
          <w:tcPr>
            <w:tcW w:w="1701" w:type="dxa"/>
            <w:shd w:val="clear" w:color="auto" w:fill="C5EECE"/>
          </w:tcPr>
          <w:p w14:paraId="50B4B75A" w14:textId="77777777" w:rsidR="003B5F50" w:rsidRDefault="000D2D85">
            <w:pPr>
              <w:pStyle w:val="P68B1DB1-TableParagraph57"/>
              <w:spacing w:line="225" w:lineRule="exact"/>
              <w:ind w:left="1" w:right="92"/>
              <w:jc w:val="center"/>
              <w:rPr>
                <w:noProof/>
              </w:rPr>
            </w:pPr>
            <w:r>
              <w:rPr>
                <w:noProof/>
              </w:rPr>
              <w:t>Objectif</w:t>
            </w:r>
          </w:p>
        </w:tc>
        <w:tc>
          <w:tcPr>
            <w:tcW w:w="851" w:type="dxa"/>
            <w:shd w:val="clear" w:color="auto" w:fill="C5EECE"/>
          </w:tcPr>
          <w:p w14:paraId="50B4B75B" w14:textId="77777777" w:rsidR="003B5F50" w:rsidRDefault="000D2D85">
            <w:pPr>
              <w:pStyle w:val="P68B1DB1-TableParagraph57"/>
              <w:spacing w:line="259" w:lineRule="auto"/>
              <w:ind w:left="108" w:right="170"/>
              <w:rPr>
                <w:noProof/>
              </w:rPr>
            </w:pPr>
            <w:r>
              <w:rPr>
                <w:noProof/>
              </w:rPr>
              <w:t>Formation des agents de police aux enquêtes financières et aux activités d'analyse</w:t>
            </w:r>
          </w:p>
        </w:tc>
        <w:tc>
          <w:tcPr>
            <w:tcW w:w="1275" w:type="dxa"/>
            <w:shd w:val="clear" w:color="auto" w:fill="C5EECE"/>
          </w:tcPr>
          <w:p w14:paraId="50B4B75C" w14:textId="77777777" w:rsidR="003B5F50" w:rsidRDefault="003B5F50">
            <w:pPr>
              <w:pStyle w:val="TableParagraph"/>
              <w:spacing w:line="259" w:lineRule="auto"/>
              <w:ind w:left="107" w:right="181"/>
              <w:rPr>
                <w:noProof/>
                <w:color w:val="006000"/>
                <w:sz w:val="20"/>
                <w:szCs w:val="20"/>
              </w:rPr>
            </w:pPr>
          </w:p>
        </w:tc>
        <w:tc>
          <w:tcPr>
            <w:tcW w:w="1276" w:type="dxa"/>
            <w:shd w:val="clear" w:color="auto" w:fill="C5EECE"/>
          </w:tcPr>
          <w:p w14:paraId="50B4B75D" w14:textId="77777777" w:rsidR="003B5F50" w:rsidRDefault="000D2D85">
            <w:pPr>
              <w:pStyle w:val="P68B1DB1-TableParagraph57"/>
              <w:rPr>
                <w:noProof/>
              </w:rPr>
            </w:pPr>
            <w:r>
              <w:rPr>
                <w:noProof/>
              </w:rPr>
              <w:t>% du personnel formé</w:t>
            </w:r>
          </w:p>
        </w:tc>
        <w:tc>
          <w:tcPr>
            <w:tcW w:w="1418" w:type="dxa"/>
            <w:shd w:val="clear" w:color="auto" w:fill="C5EECE"/>
          </w:tcPr>
          <w:p w14:paraId="50B4B75E" w14:textId="77777777" w:rsidR="003B5F50" w:rsidRDefault="000D2D85">
            <w:pPr>
              <w:pStyle w:val="P68B1DB1-TableParagraph57"/>
              <w:rPr>
                <w:noProof/>
              </w:rPr>
            </w:pPr>
            <w:r>
              <w:rPr>
                <w:noProof/>
              </w:rPr>
              <w:t>0</w:t>
            </w:r>
          </w:p>
        </w:tc>
        <w:tc>
          <w:tcPr>
            <w:tcW w:w="1275" w:type="dxa"/>
            <w:shd w:val="clear" w:color="auto" w:fill="C5EECE"/>
          </w:tcPr>
          <w:p w14:paraId="50B4B75F" w14:textId="77777777" w:rsidR="003B5F50" w:rsidRDefault="000D2D85">
            <w:pPr>
              <w:pStyle w:val="P68B1DB1-TableParagraph57"/>
              <w:rPr>
                <w:noProof/>
              </w:rPr>
            </w:pPr>
            <w:r>
              <w:rPr>
                <w:noProof/>
              </w:rPr>
              <w:t>100</w:t>
            </w:r>
          </w:p>
        </w:tc>
        <w:tc>
          <w:tcPr>
            <w:tcW w:w="1276" w:type="dxa"/>
            <w:shd w:val="clear" w:color="auto" w:fill="C5EECE"/>
          </w:tcPr>
          <w:p w14:paraId="50B4B760" w14:textId="77777777" w:rsidR="003B5F50" w:rsidRDefault="000D2D85">
            <w:pPr>
              <w:pStyle w:val="P68B1DB1-TableParagraph57"/>
              <w:spacing w:line="225" w:lineRule="exact"/>
              <w:ind w:left="36" w:right="27"/>
              <w:jc w:val="center"/>
              <w:rPr>
                <w:noProof/>
              </w:rPr>
            </w:pPr>
            <w:r>
              <w:rPr>
                <w:noProof/>
              </w:rPr>
              <w:t>T4</w:t>
            </w:r>
          </w:p>
        </w:tc>
        <w:tc>
          <w:tcPr>
            <w:tcW w:w="851" w:type="dxa"/>
            <w:shd w:val="clear" w:color="auto" w:fill="C5EECE"/>
          </w:tcPr>
          <w:p w14:paraId="50B4B761" w14:textId="77777777" w:rsidR="003B5F50" w:rsidRDefault="000D2D85">
            <w:pPr>
              <w:pStyle w:val="P68B1DB1-TableParagraph57"/>
              <w:spacing w:line="225" w:lineRule="exact"/>
              <w:ind w:left="22" w:right="7"/>
              <w:jc w:val="center"/>
              <w:rPr>
                <w:noProof/>
              </w:rPr>
            </w:pPr>
            <w:r>
              <w:rPr>
                <w:noProof/>
              </w:rPr>
              <w:t>2023</w:t>
            </w:r>
          </w:p>
        </w:tc>
        <w:tc>
          <w:tcPr>
            <w:tcW w:w="2835" w:type="dxa"/>
            <w:shd w:val="clear" w:color="auto" w:fill="C5EECE"/>
          </w:tcPr>
          <w:p w14:paraId="50B4B763" w14:textId="0B3BD0DE" w:rsidR="003B5F50" w:rsidRDefault="000D2D85">
            <w:pPr>
              <w:pStyle w:val="P68B1DB1-TableParagraph58"/>
              <w:spacing w:line="259" w:lineRule="auto"/>
              <w:ind w:left="112" w:right="147"/>
              <w:rPr>
                <w:noProof/>
              </w:rPr>
            </w:pPr>
            <w:r>
              <w:rPr>
                <w:noProof/>
                <w:color w:val="006000"/>
              </w:rPr>
              <w:t>Création du centre d’analyse NAKA et des bureaux régionaux d’analyse et d’enquête financière du NAKA, ainsi que des bureaux régionaux d’analyse et d’enquête financière du centre national des infractions spéciales (NCODK) au premier trimestre 2022. Tous les</w:t>
            </w:r>
            <w:r>
              <w:rPr>
                <w:noProof/>
              </w:rPr>
              <w:t xml:space="preserve"> </w:t>
            </w:r>
            <w:r>
              <w:rPr>
                <w:noProof/>
                <w:color w:val="006000"/>
              </w:rPr>
              <w:t>membres nommés des unités nouvellement créées des forces de police ont participé à des formations, des ateliers et des séminaires avec la participation de conférenciers étrangers et nationaux, ainsi qu'à une coopération en matière de formation avec le CEPOL et EUROPOL.</w:t>
            </w:r>
          </w:p>
        </w:tc>
      </w:tr>
      <w:tr w:rsidR="00D60A93" w14:paraId="50B4B772" w14:textId="77777777" w:rsidTr="00D60A93">
        <w:trPr>
          <w:trHeight w:val="3211"/>
        </w:trPr>
        <w:tc>
          <w:tcPr>
            <w:tcW w:w="993" w:type="dxa"/>
            <w:shd w:val="clear" w:color="auto" w:fill="C5EECE"/>
          </w:tcPr>
          <w:p w14:paraId="50B4B765" w14:textId="77777777" w:rsidR="003B5F50" w:rsidRDefault="000D2D85">
            <w:pPr>
              <w:pStyle w:val="P68B1DB1-TableParagraph57"/>
              <w:spacing w:line="225" w:lineRule="exact"/>
              <w:ind w:left="9" w:right="1"/>
              <w:jc w:val="center"/>
              <w:rPr>
                <w:noProof/>
              </w:rPr>
            </w:pPr>
            <w:r>
              <w:rPr>
                <w:noProof/>
              </w:rPr>
              <w:t>4</w:t>
            </w:r>
          </w:p>
        </w:tc>
        <w:tc>
          <w:tcPr>
            <w:tcW w:w="1984" w:type="dxa"/>
            <w:shd w:val="clear" w:color="auto" w:fill="C5EECE"/>
          </w:tcPr>
          <w:p w14:paraId="50B4B766" w14:textId="77777777" w:rsidR="003B5F50" w:rsidRDefault="000D2D85">
            <w:pPr>
              <w:pStyle w:val="P68B1DB1-TableParagraph57"/>
              <w:spacing w:line="259" w:lineRule="auto"/>
              <w:ind w:left="110" w:right="124"/>
              <w:rPr>
                <w:noProof/>
              </w:rPr>
            </w:pPr>
            <w:r>
              <w:rPr>
                <w:noProof/>
              </w:rPr>
              <w:t xml:space="preserve">16 - Lutte contre la corruption et le blanchiment d'argent - Réforme </w:t>
            </w:r>
          </w:p>
          <w:p w14:paraId="50B4B767" w14:textId="77777777" w:rsidR="003B5F50" w:rsidRDefault="000D2D85">
            <w:pPr>
              <w:pStyle w:val="P68B1DB1-TableParagraph57"/>
              <w:spacing w:line="259" w:lineRule="auto"/>
              <w:ind w:left="110" w:right="124"/>
              <w:rPr>
                <w:noProof/>
              </w:rPr>
            </w:pPr>
            <w:r>
              <w:rPr>
                <w:noProof/>
              </w:rPr>
              <w:t>2: Modernisation et</w:t>
            </w:r>
          </w:p>
          <w:p w14:paraId="50B4B768" w14:textId="77777777" w:rsidR="003B5F50" w:rsidRDefault="000D2D85">
            <w:pPr>
              <w:pStyle w:val="P68B1DB1-TableParagraph57"/>
              <w:spacing w:line="259" w:lineRule="auto"/>
              <w:ind w:left="110" w:right="124"/>
              <w:rPr>
                <w:noProof/>
              </w:rPr>
            </w:pPr>
            <w:r>
              <w:rPr>
                <w:noProof/>
              </w:rPr>
              <w:t>renforcement des capacités des forces de police</w:t>
            </w:r>
          </w:p>
        </w:tc>
        <w:tc>
          <w:tcPr>
            <w:tcW w:w="1701" w:type="dxa"/>
            <w:shd w:val="clear" w:color="auto" w:fill="C5EECE"/>
          </w:tcPr>
          <w:p w14:paraId="50B4B769"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76A" w14:textId="77777777" w:rsidR="003B5F50" w:rsidRDefault="000D2D85">
            <w:pPr>
              <w:pStyle w:val="P68B1DB1-TableParagraph57"/>
              <w:spacing w:line="259" w:lineRule="auto"/>
              <w:ind w:left="108" w:right="170"/>
              <w:rPr>
                <w:noProof/>
              </w:rPr>
            </w:pPr>
            <w:r>
              <w:rPr>
                <w:noProof/>
              </w:rPr>
              <w:t>Mise en œuvre de changements organisationnels dans la police afin d’accroître l’efficacité de la détection de la criminalité, des enquêtes et de la détection de la corruption</w:t>
            </w:r>
          </w:p>
        </w:tc>
        <w:tc>
          <w:tcPr>
            <w:tcW w:w="1275" w:type="dxa"/>
            <w:shd w:val="clear" w:color="auto" w:fill="C5EECE"/>
          </w:tcPr>
          <w:p w14:paraId="50B4B76B" w14:textId="77777777" w:rsidR="003B5F50" w:rsidRDefault="000D2D85">
            <w:pPr>
              <w:pStyle w:val="P68B1DB1-TableParagraph57"/>
              <w:spacing w:line="259" w:lineRule="auto"/>
              <w:ind w:left="107" w:right="181"/>
              <w:rPr>
                <w:noProof/>
              </w:rPr>
            </w:pPr>
            <w:r>
              <w:rPr>
                <w:noProof/>
              </w:rPr>
              <w:t>Le changement organisationnel de la police est efficace.</w:t>
            </w:r>
          </w:p>
        </w:tc>
        <w:tc>
          <w:tcPr>
            <w:tcW w:w="1276" w:type="dxa"/>
            <w:shd w:val="clear" w:color="auto" w:fill="C5EECE"/>
          </w:tcPr>
          <w:p w14:paraId="50B4B76C" w14:textId="77777777" w:rsidR="003B5F50" w:rsidRDefault="003B5F50">
            <w:pPr>
              <w:pStyle w:val="TableParagraph"/>
              <w:rPr>
                <w:noProof/>
                <w:color w:val="006000"/>
                <w:sz w:val="20"/>
                <w:szCs w:val="20"/>
              </w:rPr>
            </w:pPr>
          </w:p>
        </w:tc>
        <w:tc>
          <w:tcPr>
            <w:tcW w:w="1418" w:type="dxa"/>
            <w:shd w:val="clear" w:color="auto" w:fill="C5EECE"/>
          </w:tcPr>
          <w:p w14:paraId="50B4B76D" w14:textId="77777777" w:rsidR="003B5F50" w:rsidRDefault="003B5F50">
            <w:pPr>
              <w:pStyle w:val="TableParagraph"/>
              <w:rPr>
                <w:noProof/>
                <w:color w:val="006000"/>
                <w:sz w:val="20"/>
                <w:szCs w:val="20"/>
              </w:rPr>
            </w:pPr>
          </w:p>
        </w:tc>
        <w:tc>
          <w:tcPr>
            <w:tcW w:w="1275" w:type="dxa"/>
            <w:shd w:val="clear" w:color="auto" w:fill="C5EECE"/>
          </w:tcPr>
          <w:p w14:paraId="50B4B76E" w14:textId="77777777" w:rsidR="003B5F50" w:rsidRDefault="003B5F50">
            <w:pPr>
              <w:pStyle w:val="TableParagraph"/>
              <w:rPr>
                <w:noProof/>
                <w:color w:val="006000"/>
                <w:sz w:val="20"/>
                <w:szCs w:val="20"/>
              </w:rPr>
            </w:pPr>
          </w:p>
        </w:tc>
        <w:tc>
          <w:tcPr>
            <w:tcW w:w="1276" w:type="dxa"/>
            <w:shd w:val="clear" w:color="auto" w:fill="C5EECE"/>
          </w:tcPr>
          <w:p w14:paraId="50B4B76F" w14:textId="77777777" w:rsidR="003B5F50" w:rsidRDefault="000D2D85">
            <w:pPr>
              <w:pStyle w:val="P68B1DB1-TableParagraph57"/>
              <w:spacing w:line="225" w:lineRule="exact"/>
              <w:ind w:left="36" w:right="27"/>
              <w:jc w:val="center"/>
              <w:rPr>
                <w:noProof/>
              </w:rPr>
            </w:pPr>
            <w:r>
              <w:rPr>
                <w:noProof/>
              </w:rPr>
              <w:t>T4</w:t>
            </w:r>
          </w:p>
        </w:tc>
        <w:tc>
          <w:tcPr>
            <w:tcW w:w="851" w:type="dxa"/>
            <w:shd w:val="clear" w:color="auto" w:fill="C5EECE"/>
          </w:tcPr>
          <w:p w14:paraId="50B4B770" w14:textId="77777777" w:rsidR="003B5F50" w:rsidRDefault="000D2D85">
            <w:pPr>
              <w:pStyle w:val="P68B1DB1-TableParagraph57"/>
              <w:spacing w:line="225" w:lineRule="exact"/>
              <w:ind w:left="22" w:right="7"/>
              <w:jc w:val="center"/>
              <w:rPr>
                <w:noProof/>
              </w:rPr>
            </w:pPr>
            <w:r>
              <w:rPr>
                <w:noProof/>
              </w:rPr>
              <w:t>2021</w:t>
            </w:r>
          </w:p>
        </w:tc>
        <w:tc>
          <w:tcPr>
            <w:tcW w:w="2835" w:type="dxa"/>
            <w:shd w:val="clear" w:color="auto" w:fill="C5EECE"/>
          </w:tcPr>
          <w:p w14:paraId="50B4B771" w14:textId="77777777" w:rsidR="003B5F50" w:rsidRDefault="000D2D85">
            <w:pPr>
              <w:pStyle w:val="P68B1DB1-Normal59"/>
              <w:spacing w:line="259" w:lineRule="auto"/>
              <w:ind w:left="112" w:right="147"/>
              <w:rPr>
                <w:noProof/>
              </w:rPr>
            </w:pPr>
            <w:r>
              <w:rPr>
                <w:noProof/>
              </w:rPr>
              <w:t>Changements organisationnels visant à créer une unité de détection et d'enquête sur la criminalité environnementale (centre et régions), à étendre les capacités d'analyse de la police au niveau régional, à créer une nouvelle unité pour les services de technologie criminelle (centre et régions).</w:t>
            </w:r>
          </w:p>
        </w:tc>
      </w:tr>
      <w:tr w:rsidR="00D60A93" w14:paraId="50B4B77E" w14:textId="77777777" w:rsidTr="00D60A93">
        <w:trPr>
          <w:trHeight w:val="3211"/>
        </w:trPr>
        <w:tc>
          <w:tcPr>
            <w:tcW w:w="993" w:type="dxa"/>
            <w:shd w:val="clear" w:color="auto" w:fill="C5EECE"/>
          </w:tcPr>
          <w:p w14:paraId="50B4B773" w14:textId="77777777" w:rsidR="003B5F50" w:rsidRDefault="000D2D85">
            <w:pPr>
              <w:pStyle w:val="P68B1DB1-TableParagraph57"/>
              <w:spacing w:line="225" w:lineRule="exact"/>
              <w:ind w:left="9" w:right="1"/>
              <w:jc w:val="center"/>
              <w:rPr>
                <w:noProof/>
              </w:rPr>
            </w:pPr>
            <w:r>
              <w:rPr>
                <w:noProof/>
              </w:rPr>
              <w:t>5</w:t>
            </w:r>
          </w:p>
        </w:tc>
        <w:tc>
          <w:tcPr>
            <w:tcW w:w="1984" w:type="dxa"/>
            <w:shd w:val="clear" w:color="auto" w:fill="C5EECE"/>
          </w:tcPr>
          <w:p w14:paraId="50B4B774" w14:textId="77777777" w:rsidR="003B5F50" w:rsidRDefault="000D2D85">
            <w:pPr>
              <w:pStyle w:val="P68B1DB1-TableParagraph57"/>
              <w:spacing w:line="259" w:lineRule="auto"/>
              <w:ind w:left="110" w:right="124"/>
              <w:rPr>
                <w:noProof/>
              </w:rPr>
            </w:pPr>
            <w:r>
              <w:rPr>
                <w:noProof/>
              </w:rPr>
              <w:t>16 - Lutte contre la corruption et le blanchiment de capitaux - Investissement 2: Équiper et numériser les forces de police – formation</w:t>
            </w:r>
          </w:p>
        </w:tc>
        <w:tc>
          <w:tcPr>
            <w:tcW w:w="1701" w:type="dxa"/>
            <w:shd w:val="clear" w:color="auto" w:fill="C5EECE"/>
          </w:tcPr>
          <w:p w14:paraId="50B4B775" w14:textId="77777777" w:rsidR="003B5F50" w:rsidRDefault="000D2D85">
            <w:pPr>
              <w:pStyle w:val="P68B1DB1-TableParagraph57"/>
              <w:spacing w:line="225" w:lineRule="exact"/>
              <w:ind w:left="1" w:right="92"/>
              <w:jc w:val="center"/>
              <w:rPr>
                <w:noProof/>
              </w:rPr>
            </w:pPr>
            <w:r>
              <w:rPr>
                <w:noProof/>
              </w:rPr>
              <w:t>Objectif</w:t>
            </w:r>
          </w:p>
        </w:tc>
        <w:tc>
          <w:tcPr>
            <w:tcW w:w="851" w:type="dxa"/>
            <w:shd w:val="clear" w:color="auto" w:fill="C5EECE"/>
          </w:tcPr>
          <w:p w14:paraId="50B4B776" w14:textId="77777777" w:rsidR="003B5F50" w:rsidRDefault="000D2D85">
            <w:pPr>
              <w:pStyle w:val="P68B1DB1-TableParagraph57"/>
              <w:spacing w:line="259" w:lineRule="auto"/>
              <w:ind w:left="108" w:right="170"/>
              <w:rPr>
                <w:noProof/>
              </w:rPr>
            </w:pPr>
            <w:r>
              <w:rPr>
                <w:noProof/>
              </w:rPr>
              <w:t>La formation liée à la réforme de la police est mise en œuvre</w:t>
            </w:r>
          </w:p>
        </w:tc>
        <w:tc>
          <w:tcPr>
            <w:tcW w:w="1275" w:type="dxa"/>
            <w:shd w:val="clear" w:color="auto" w:fill="C5EECE"/>
          </w:tcPr>
          <w:p w14:paraId="50B4B777" w14:textId="77777777" w:rsidR="003B5F50" w:rsidRDefault="003B5F50">
            <w:pPr>
              <w:pStyle w:val="TableParagraph"/>
              <w:spacing w:line="259" w:lineRule="auto"/>
              <w:ind w:left="107" w:right="181"/>
              <w:rPr>
                <w:noProof/>
                <w:color w:val="006000"/>
                <w:sz w:val="20"/>
                <w:szCs w:val="20"/>
              </w:rPr>
            </w:pPr>
          </w:p>
        </w:tc>
        <w:tc>
          <w:tcPr>
            <w:tcW w:w="1276" w:type="dxa"/>
            <w:shd w:val="clear" w:color="auto" w:fill="C5EECE"/>
          </w:tcPr>
          <w:p w14:paraId="50B4B778" w14:textId="77777777" w:rsidR="003B5F50" w:rsidRDefault="000D2D85">
            <w:pPr>
              <w:pStyle w:val="P68B1DB1-TableParagraph57"/>
              <w:rPr>
                <w:noProof/>
              </w:rPr>
            </w:pPr>
            <w:r>
              <w:rPr>
                <w:noProof/>
              </w:rPr>
              <w:t>% du personnel formé</w:t>
            </w:r>
          </w:p>
        </w:tc>
        <w:tc>
          <w:tcPr>
            <w:tcW w:w="1418" w:type="dxa"/>
            <w:shd w:val="clear" w:color="auto" w:fill="C5EECE"/>
          </w:tcPr>
          <w:p w14:paraId="50B4B779" w14:textId="77777777" w:rsidR="003B5F50" w:rsidRDefault="000D2D85">
            <w:pPr>
              <w:pStyle w:val="P68B1DB1-TableParagraph57"/>
              <w:rPr>
                <w:noProof/>
              </w:rPr>
            </w:pPr>
            <w:r>
              <w:rPr>
                <w:noProof/>
              </w:rPr>
              <w:t>0</w:t>
            </w:r>
          </w:p>
        </w:tc>
        <w:tc>
          <w:tcPr>
            <w:tcW w:w="1275" w:type="dxa"/>
            <w:shd w:val="clear" w:color="auto" w:fill="C5EECE"/>
          </w:tcPr>
          <w:p w14:paraId="50B4B77A" w14:textId="77777777" w:rsidR="003B5F50" w:rsidRDefault="000D2D85">
            <w:pPr>
              <w:pStyle w:val="P68B1DB1-TableParagraph57"/>
              <w:rPr>
                <w:noProof/>
              </w:rPr>
            </w:pPr>
            <w:r>
              <w:rPr>
                <w:noProof/>
              </w:rPr>
              <w:t>100</w:t>
            </w:r>
          </w:p>
        </w:tc>
        <w:tc>
          <w:tcPr>
            <w:tcW w:w="1276" w:type="dxa"/>
            <w:shd w:val="clear" w:color="auto" w:fill="C5EECE"/>
          </w:tcPr>
          <w:p w14:paraId="50B4B77B" w14:textId="77777777" w:rsidR="003B5F50" w:rsidRDefault="000D2D85">
            <w:pPr>
              <w:pStyle w:val="P68B1DB1-TableParagraph57"/>
              <w:spacing w:line="225" w:lineRule="exact"/>
              <w:ind w:left="36" w:right="27"/>
              <w:jc w:val="center"/>
              <w:rPr>
                <w:noProof/>
              </w:rPr>
            </w:pPr>
            <w:r>
              <w:rPr>
                <w:noProof/>
              </w:rPr>
              <w:t>T4</w:t>
            </w:r>
          </w:p>
        </w:tc>
        <w:tc>
          <w:tcPr>
            <w:tcW w:w="851" w:type="dxa"/>
            <w:shd w:val="clear" w:color="auto" w:fill="C5EECE"/>
          </w:tcPr>
          <w:p w14:paraId="50B4B77C" w14:textId="77777777" w:rsidR="003B5F50" w:rsidRDefault="000D2D85">
            <w:pPr>
              <w:pStyle w:val="P68B1DB1-TableParagraph57"/>
              <w:spacing w:line="225" w:lineRule="exact"/>
              <w:ind w:left="22" w:right="7"/>
              <w:jc w:val="center"/>
              <w:rPr>
                <w:noProof/>
              </w:rPr>
            </w:pPr>
            <w:r>
              <w:rPr>
                <w:noProof/>
              </w:rPr>
              <w:t>2024</w:t>
            </w:r>
          </w:p>
        </w:tc>
        <w:tc>
          <w:tcPr>
            <w:tcW w:w="2835" w:type="dxa"/>
            <w:shd w:val="clear" w:color="auto" w:fill="C5EECE"/>
          </w:tcPr>
          <w:p w14:paraId="50B4B77D" w14:textId="77777777" w:rsidR="003B5F50" w:rsidRDefault="000D2D85">
            <w:pPr>
              <w:pStyle w:val="P68B1DB1-Normal59"/>
              <w:spacing w:line="259" w:lineRule="auto"/>
              <w:ind w:left="112" w:right="147"/>
              <w:rPr>
                <w:noProof/>
              </w:rPr>
            </w:pPr>
            <w:r>
              <w:rPr>
                <w:noProof/>
              </w:rPr>
              <w:t>Tous les agents nommés dans les unités nouvellement créées des forces de police (criminalité environnementale, analyses criminelles, services de technologie criminelle) sont formés. Au moins 300 policiers sont formés pour améliorer la qualité de la communication avec les victimes d'actes criminels.</w:t>
            </w:r>
          </w:p>
        </w:tc>
      </w:tr>
      <w:tr w:rsidR="00D60A93" w14:paraId="50B4B78A" w14:textId="77777777" w:rsidTr="00D60A93">
        <w:trPr>
          <w:trHeight w:val="3211"/>
        </w:trPr>
        <w:tc>
          <w:tcPr>
            <w:tcW w:w="993" w:type="dxa"/>
            <w:shd w:val="clear" w:color="auto" w:fill="C5EECE"/>
          </w:tcPr>
          <w:p w14:paraId="50B4B77F" w14:textId="77777777" w:rsidR="003B5F50" w:rsidRDefault="000D2D85">
            <w:pPr>
              <w:pStyle w:val="P68B1DB1-TableParagraph57"/>
              <w:spacing w:line="225" w:lineRule="exact"/>
              <w:ind w:left="9" w:right="1"/>
              <w:jc w:val="center"/>
              <w:rPr>
                <w:noProof/>
              </w:rPr>
            </w:pPr>
            <w:r>
              <w:rPr>
                <w:noProof/>
              </w:rPr>
              <w:t>6</w:t>
            </w:r>
          </w:p>
        </w:tc>
        <w:tc>
          <w:tcPr>
            <w:tcW w:w="1984" w:type="dxa"/>
            <w:shd w:val="clear" w:color="auto" w:fill="C5EECE"/>
          </w:tcPr>
          <w:p w14:paraId="50B4B780" w14:textId="77777777" w:rsidR="003B5F50" w:rsidRDefault="000D2D85">
            <w:pPr>
              <w:pStyle w:val="P68B1DB1-TableParagraph57"/>
              <w:spacing w:line="259" w:lineRule="auto"/>
              <w:ind w:left="110" w:right="124"/>
              <w:rPr>
                <w:noProof/>
              </w:rPr>
            </w:pPr>
            <w:r>
              <w:rPr>
                <w:noProof/>
              </w:rPr>
              <w:t>16 - Lutte contre la corruption et le blanchiment de capitaux - Investissement 2: Équiper et numériser les forces de police – renouvellement du parc automobile</w:t>
            </w:r>
          </w:p>
        </w:tc>
        <w:tc>
          <w:tcPr>
            <w:tcW w:w="1701" w:type="dxa"/>
            <w:shd w:val="clear" w:color="auto" w:fill="C5EECE"/>
          </w:tcPr>
          <w:p w14:paraId="50B4B781" w14:textId="77777777" w:rsidR="003B5F50" w:rsidRDefault="000D2D85">
            <w:pPr>
              <w:pStyle w:val="P68B1DB1-TableParagraph57"/>
              <w:spacing w:line="225" w:lineRule="exact"/>
              <w:ind w:left="1" w:right="92"/>
              <w:jc w:val="center"/>
              <w:rPr>
                <w:noProof/>
              </w:rPr>
            </w:pPr>
            <w:r>
              <w:rPr>
                <w:noProof/>
              </w:rPr>
              <w:t>Objectif</w:t>
            </w:r>
          </w:p>
        </w:tc>
        <w:tc>
          <w:tcPr>
            <w:tcW w:w="851" w:type="dxa"/>
            <w:shd w:val="clear" w:color="auto" w:fill="C5EECE"/>
          </w:tcPr>
          <w:p w14:paraId="50B4B782" w14:textId="77777777" w:rsidR="003B5F50" w:rsidRDefault="000D2D85">
            <w:pPr>
              <w:pStyle w:val="P68B1DB1-TableParagraph57"/>
              <w:spacing w:line="259" w:lineRule="auto"/>
              <w:ind w:left="108" w:right="170"/>
              <w:rPr>
                <w:noProof/>
              </w:rPr>
            </w:pPr>
            <w:r>
              <w:rPr>
                <w:noProof/>
              </w:rPr>
              <w:t>Achat de véhicules neufs (10 % du parc) de véhicules électriques et hybrides</w:t>
            </w:r>
          </w:p>
        </w:tc>
        <w:tc>
          <w:tcPr>
            <w:tcW w:w="1275" w:type="dxa"/>
            <w:shd w:val="clear" w:color="auto" w:fill="C5EECE"/>
          </w:tcPr>
          <w:p w14:paraId="50B4B783" w14:textId="77777777" w:rsidR="003B5F50" w:rsidRDefault="003B5F50">
            <w:pPr>
              <w:pStyle w:val="TableParagraph"/>
              <w:spacing w:line="259" w:lineRule="auto"/>
              <w:ind w:left="107" w:right="181"/>
              <w:rPr>
                <w:noProof/>
                <w:color w:val="006000"/>
                <w:sz w:val="20"/>
                <w:szCs w:val="20"/>
              </w:rPr>
            </w:pPr>
          </w:p>
        </w:tc>
        <w:tc>
          <w:tcPr>
            <w:tcW w:w="1276" w:type="dxa"/>
            <w:shd w:val="clear" w:color="auto" w:fill="C5EECE"/>
          </w:tcPr>
          <w:p w14:paraId="50B4B784" w14:textId="77777777" w:rsidR="003B5F50" w:rsidRDefault="000D2D85">
            <w:pPr>
              <w:pStyle w:val="P68B1DB1-TableParagraph57"/>
              <w:rPr>
                <w:noProof/>
              </w:rPr>
            </w:pPr>
            <w:r>
              <w:rPr>
                <w:noProof/>
              </w:rPr>
              <w:t>Numéro</w:t>
            </w:r>
          </w:p>
        </w:tc>
        <w:tc>
          <w:tcPr>
            <w:tcW w:w="1418" w:type="dxa"/>
            <w:shd w:val="clear" w:color="auto" w:fill="C5EECE"/>
          </w:tcPr>
          <w:p w14:paraId="50B4B785" w14:textId="77777777" w:rsidR="003B5F50" w:rsidRDefault="000D2D85">
            <w:pPr>
              <w:pStyle w:val="P68B1DB1-TableParagraph57"/>
              <w:rPr>
                <w:noProof/>
              </w:rPr>
            </w:pPr>
            <w:r>
              <w:rPr>
                <w:noProof/>
              </w:rPr>
              <w:t>0</w:t>
            </w:r>
          </w:p>
        </w:tc>
        <w:tc>
          <w:tcPr>
            <w:tcW w:w="1275" w:type="dxa"/>
            <w:shd w:val="clear" w:color="auto" w:fill="C5EECE"/>
          </w:tcPr>
          <w:p w14:paraId="50B4B786" w14:textId="77777777" w:rsidR="003B5F50" w:rsidRDefault="000D2D85">
            <w:pPr>
              <w:pStyle w:val="P68B1DB1-TableParagraph57"/>
              <w:rPr>
                <w:noProof/>
              </w:rPr>
            </w:pPr>
            <w:r>
              <w:rPr>
                <w:noProof/>
              </w:rPr>
              <w:t>700</w:t>
            </w:r>
          </w:p>
        </w:tc>
        <w:tc>
          <w:tcPr>
            <w:tcW w:w="1276" w:type="dxa"/>
            <w:shd w:val="clear" w:color="auto" w:fill="C5EECE"/>
          </w:tcPr>
          <w:p w14:paraId="50B4B787" w14:textId="77777777" w:rsidR="003B5F50" w:rsidRDefault="000D2D85">
            <w:pPr>
              <w:pStyle w:val="P68B1DB1-TableParagraph57"/>
              <w:spacing w:line="225" w:lineRule="exact"/>
              <w:ind w:left="36" w:right="27"/>
              <w:jc w:val="center"/>
              <w:rPr>
                <w:noProof/>
              </w:rPr>
            </w:pPr>
            <w:r>
              <w:rPr>
                <w:noProof/>
              </w:rPr>
              <w:t>T4</w:t>
            </w:r>
          </w:p>
        </w:tc>
        <w:tc>
          <w:tcPr>
            <w:tcW w:w="851" w:type="dxa"/>
            <w:shd w:val="clear" w:color="auto" w:fill="C5EECE"/>
          </w:tcPr>
          <w:p w14:paraId="50B4B788" w14:textId="77777777" w:rsidR="003B5F50" w:rsidRDefault="000D2D85">
            <w:pPr>
              <w:pStyle w:val="P68B1DB1-TableParagraph57"/>
              <w:spacing w:line="225" w:lineRule="exact"/>
              <w:ind w:left="22" w:right="7"/>
              <w:jc w:val="center"/>
              <w:rPr>
                <w:noProof/>
              </w:rPr>
            </w:pPr>
            <w:r>
              <w:rPr>
                <w:noProof/>
              </w:rPr>
              <w:t>2022</w:t>
            </w:r>
          </w:p>
        </w:tc>
        <w:tc>
          <w:tcPr>
            <w:tcW w:w="2835" w:type="dxa"/>
            <w:shd w:val="clear" w:color="auto" w:fill="C5EECE"/>
          </w:tcPr>
          <w:p w14:paraId="50B4B789" w14:textId="77777777" w:rsidR="003B5F50" w:rsidRDefault="000D2D85">
            <w:pPr>
              <w:pStyle w:val="P68B1DB1-Normal59"/>
              <w:spacing w:line="259" w:lineRule="auto"/>
              <w:ind w:left="112" w:right="147"/>
              <w:rPr>
                <w:noProof/>
              </w:rPr>
            </w:pPr>
            <w:r>
              <w:rPr>
                <w:noProof/>
              </w:rPr>
              <w:t>Parmi l’objectif global de renouvellement de 705 véhicules du parc de la police par des véhicules électriques et hybrides (326 véhicules d’ici au T2/2022 et 379 véhicules d’ici au T4/2022), au moins 700 véhicules de police sont remplacés.</w:t>
            </w:r>
          </w:p>
        </w:tc>
      </w:tr>
      <w:tr w:rsidR="00D60A93" w14:paraId="50B4B797" w14:textId="77777777" w:rsidTr="00D60A93">
        <w:trPr>
          <w:trHeight w:val="3211"/>
        </w:trPr>
        <w:tc>
          <w:tcPr>
            <w:tcW w:w="993" w:type="dxa"/>
            <w:shd w:val="clear" w:color="auto" w:fill="C5EECE"/>
          </w:tcPr>
          <w:p w14:paraId="50B4B78B" w14:textId="77777777" w:rsidR="003B5F50" w:rsidRDefault="000D2D85">
            <w:pPr>
              <w:pStyle w:val="P68B1DB1-TableParagraph57"/>
              <w:spacing w:line="225" w:lineRule="exact"/>
              <w:ind w:left="9" w:right="1"/>
              <w:jc w:val="center"/>
              <w:rPr>
                <w:noProof/>
              </w:rPr>
            </w:pPr>
            <w:r>
              <w:rPr>
                <w:noProof/>
              </w:rPr>
              <w:t>7</w:t>
            </w:r>
          </w:p>
        </w:tc>
        <w:tc>
          <w:tcPr>
            <w:tcW w:w="1984" w:type="dxa"/>
            <w:shd w:val="clear" w:color="auto" w:fill="C5EECE"/>
          </w:tcPr>
          <w:p w14:paraId="50B4B78C" w14:textId="77777777" w:rsidR="003B5F50" w:rsidRDefault="000D2D85">
            <w:pPr>
              <w:pStyle w:val="P68B1DB1-TableParagraph57"/>
              <w:spacing w:line="259" w:lineRule="auto"/>
              <w:ind w:left="110" w:right="124"/>
              <w:rPr>
                <w:noProof/>
              </w:rPr>
            </w:pPr>
            <w:r>
              <w:rPr>
                <w:noProof/>
              </w:rPr>
              <w:t>16 - Lutte contre la corruption et le blanchiment de capitaux - Investissement 2: Équiper et numériser les forces de police – Reconstru-</w:t>
            </w:r>
          </w:p>
          <w:p w14:paraId="50B4B78D" w14:textId="77777777" w:rsidR="003B5F50" w:rsidRDefault="000D2D85">
            <w:pPr>
              <w:pStyle w:val="P68B1DB1-TableParagraph57"/>
              <w:spacing w:line="259" w:lineRule="auto"/>
              <w:ind w:left="110" w:right="124"/>
              <w:rPr>
                <w:noProof/>
              </w:rPr>
            </w:pPr>
            <w:r>
              <w:rPr>
                <w:noProof/>
              </w:rPr>
              <w:t>ction de bâtiments</w:t>
            </w:r>
          </w:p>
        </w:tc>
        <w:tc>
          <w:tcPr>
            <w:tcW w:w="1701" w:type="dxa"/>
            <w:shd w:val="clear" w:color="auto" w:fill="C5EECE"/>
          </w:tcPr>
          <w:p w14:paraId="50B4B78E"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78F" w14:textId="77777777" w:rsidR="003B5F50" w:rsidRDefault="000D2D85">
            <w:pPr>
              <w:pStyle w:val="P68B1DB1-TableParagraph57"/>
              <w:spacing w:line="259" w:lineRule="auto"/>
              <w:ind w:left="108" w:right="170"/>
              <w:rPr>
                <w:noProof/>
              </w:rPr>
            </w:pPr>
            <w:r>
              <w:rPr>
                <w:noProof/>
              </w:rPr>
              <w:t>Étendue de la surface au sol rénovée des bâtiments de la police afin de réduire l'intensité énergétique des bâtiments (en m²)</w:t>
            </w:r>
          </w:p>
        </w:tc>
        <w:tc>
          <w:tcPr>
            <w:tcW w:w="1275" w:type="dxa"/>
            <w:shd w:val="clear" w:color="auto" w:fill="C5EECE"/>
          </w:tcPr>
          <w:p w14:paraId="50B4B790" w14:textId="77777777" w:rsidR="003B5F50" w:rsidRDefault="003B5F50">
            <w:pPr>
              <w:pStyle w:val="TableParagraph"/>
              <w:spacing w:line="259" w:lineRule="auto"/>
              <w:ind w:left="107" w:right="181"/>
              <w:rPr>
                <w:noProof/>
                <w:color w:val="006000"/>
                <w:sz w:val="20"/>
                <w:szCs w:val="20"/>
              </w:rPr>
            </w:pPr>
          </w:p>
        </w:tc>
        <w:tc>
          <w:tcPr>
            <w:tcW w:w="1276" w:type="dxa"/>
            <w:shd w:val="clear" w:color="auto" w:fill="C5EECE"/>
          </w:tcPr>
          <w:p w14:paraId="50B4B791" w14:textId="77777777" w:rsidR="003B5F50" w:rsidRDefault="000D2D85">
            <w:pPr>
              <w:pStyle w:val="P68B1DB1-TableParagraph57"/>
              <w:rPr>
                <w:noProof/>
              </w:rPr>
            </w:pPr>
            <w:r>
              <w:rPr>
                <w:noProof/>
              </w:rPr>
              <w:t>Numéro</w:t>
            </w:r>
          </w:p>
        </w:tc>
        <w:tc>
          <w:tcPr>
            <w:tcW w:w="1418" w:type="dxa"/>
            <w:shd w:val="clear" w:color="auto" w:fill="C5EECE"/>
          </w:tcPr>
          <w:p w14:paraId="50B4B792" w14:textId="77777777" w:rsidR="003B5F50" w:rsidRDefault="000D2D85">
            <w:pPr>
              <w:pStyle w:val="P68B1DB1-TableParagraph57"/>
              <w:rPr>
                <w:noProof/>
              </w:rPr>
            </w:pPr>
            <w:r>
              <w:rPr>
                <w:noProof/>
              </w:rPr>
              <w:t>0</w:t>
            </w:r>
          </w:p>
        </w:tc>
        <w:tc>
          <w:tcPr>
            <w:tcW w:w="1275" w:type="dxa"/>
            <w:shd w:val="clear" w:color="auto" w:fill="C5EECE"/>
          </w:tcPr>
          <w:p w14:paraId="50B4B793" w14:textId="77777777" w:rsidR="003B5F50" w:rsidRDefault="000D2D85">
            <w:pPr>
              <w:pStyle w:val="P68B1DB1-TableParagraph60"/>
              <w:rPr>
                <w:noProof/>
                <w:color w:val="006000"/>
                <w:szCs w:val="20"/>
              </w:rPr>
            </w:pPr>
            <w:r>
              <w:rPr>
                <w:noProof/>
                <w:color w:val="006000"/>
                <w:szCs w:val="20"/>
              </w:rPr>
              <w:t>45</w:t>
            </w:r>
            <w:r>
              <w:rPr>
                <w:noProof/>
                <w:color w:val="006100"/>
              </w:rPr>
              <w:t xml:space="preserve"> </w:t>
            </w:r>
            <w:r>
              <w:rPr>
                <w:noProof/>
                <w:color w:val="006000"/>
                <w:szCs w:val="20"/>
              </w:rPr>
              <w:t>000</w:t>
            </w:r>
          </w:p>
        </w:tc>
        <w:tc>
          <w:tcPr>
            <w:tcW w:w="1276" w:type="dxa"/>
            <w:shd w:val="clear" w:color="auto" w:fill="C5EECE"/>
          </w:tcPr>
          <w:p w14:paraId="50B4B794" w14:textId="77777777" w:rsidR="003B5F50" w:rsidRDefault="000D2D85">
            <w:pPr>
              <w:pStyle w:val="P68B1DB1-TableParagraph57"/>
              <w:spacing w:line="225" w:lineRule="exact"/>
              <w:ind w:left="36" w:right="27"/>
              <w:jc w:val="center"/>
              <w:rPr>
                <w:noProof/>
              </w:rPr>
            </w:pPr>
            <w:r>
              <w:rPr>
                <w:noProof/>
              </w:rPr>
              <w:t>T2</w:t>
            </w:r>
          </w:p>
        </w:tc>
        <w:tc>
          <w:tcPr>
            <w:tcW w:w="851" w:type="dxa"/>
            <w:shd w:val="clear" w:color="auto" w:fill="C5EECE"/>
          </w:tcPr>
          <w:p w14:paraId="50B4B795" w14:textId="77777777" w:rsidR="003B5F50" w:rsidRDefault="000D2D85">
            <w:pPr>
              <w:pStyle w:val="P68B1DB1-TableParagraph57"/>
              <w:spacing w:line="225" w:lineRule="exact"/>
              <w:ind w:left="22" w:right="7"/>
              <w:jc w:val="center"/>
              <w:rPr>
                <w:noProof/>
              </w:rPr>
            </w:pPr>
            <w:r>
              <w:rPr>
                <w:noProof/>
              </w:rPr>
              <w:t>2025</w:t>
            </w:r>
          </w:p>
        </w:tc>
        <w:tc>
          <w:tcPr>
            <w:tcW w:w="2835" w:type="dxa"/>
            <w:shd w:val="clear" w:color="auto" w:fill="C5EECE"/>
          </w:tcPr>
          <w:p w14:paraId="50B4B796" w14:textId="3E505B91" w:rsidR="003B5F50" w:rsidRDefault="000D2D85">
            <w:pPr>
              <w:pStyle w:val="P68B1DB1-Normal61"/>
              <w:spacing w:line="259" w:lineRule="auto"/>
              <w:ind w:left="112" w:right="147"/>
              <w:rPr>
                <w:rFonts w:ascii="Times New Roman" w:hAnsi="Times New Roman" w:cs="Times New Roman"/>
                <w:noProof/>
                <w:color w:val="006000"/>
                <w:szCs w:val="20"/>
              </w:rPr>
            </w:pPr>
            <w:r>
              <w:rPr>
                <w:rFonts w:ascii="Times New Roman" w:hAnsi="Times New Roman" w:cs="Times New Roman"/>
                <w:noProof/>
                <w:color w:val="006100"/>
                <w:szCs w:val="20"/>
              </w:rPr>
              <w:t>Des protocoles d’acceptation signés pour la</w:t>
            </w:r>
            <w:r>
              <w:rPr>
                <w:rFonts w:ascii="Times New Roman" w:hAnsi="Times New Roman" w:cs="Times New Roman"/>
                <w:noProof/>
                <w:color w:val="006000"/>
                <w:szCs w:val="20"/>
              </w:rPr>
              <w:t xml:space="preserve"> rénovation de 45</w:t>
            </w:r>
            <w:r>
              <w:rPr>
                <w:rFonts w:ascii="Times New Roman" w:hAnsi="Times New Roman"/>
                <w:noProof/>
                <w:color w:val="006100"/>
              </w:rPr>
              <w:t> </w:t>
            </w:r>
            <w:r>
              <w:rPr>
                <w:rFonts w:ascii="Times New Roman" w:hAnsi="Times New Roman" w:cs="Times New Roman"/>
                <w:noProof/>
                <w:color w:val="006000"/>
                <w:szCs w:val="20"/>
              </w:rPr>
              <w:t xml:space="preserve">000 mètres carrés dans les bâtiments de la police sont fournis, ainsi que les évaluations énergétiques du projet et les certificats de performance énergétique démontrant des économies d’énergie d’au moins 30 % en moyenne. </w:t>
            </w:r>
          </w:p>
        </w:tc>
      </w:tr>
      <w:tr w:rsidR="00D60A93" w14:paraId="50B4B7A3" w14:textId="77777777" w:rsidTr="00D60A93">
        <w:trPr>
          <w:trHeight w:val="3211"/>
        </w:trPr>
        <w:tc>
          <w:tcPr>
            <w:tcW w:w="993" w:type="dxa"/>
            <w:shd w:val="clear" w:color="auto" w:fill="C5EECE"/>
          </w:tcPr>
          <w:p w14:paraId="50B4B798" w14:textId="77777777" w:rsidR="003B5F50" w:rsidRDefault="000D2D85">
            <w:pPr>
              <w:pStyle w:val="P68B1DB1-TableParagraph57"/>
              <w:spacing w:line="225" w:lineRule="exact"/>
              <w:ind w:left="9" w:right="1"/>
              <w:jc w:val="center"/>
              <w:rPr>
                <w:noProof/>
              </w:rPr>
            </w:pPr>
            <w:r>
              <w:rPr>
                <w:noProof/>
              </w:rPr>
              <w:t>8</w:t>
            </w:r>
          </w:p>
        </w:tc>
        <w:tc>
          <w:tcPr>
            <w:tcW w:w="1984" w:type="dxa"/>
            <w:shd w:val="clear" w:color="auto" w:fill="C5EECE"/>
          </w:tcPr>
          <w:p w14:paraId="50B4B799" w14:textId="77777777" w:rsidR="003B5F50" w:rsidRDefault="000D2D85">
            <w:pPr>
              <w:pStyle w:val="P68B1DB1-TableParagraph57"/>
              <w:spacing w:line="259" w:lineRule="auto"/>
              <w:ind w:left="110" w:right="124"/>
              <w:rPr>
                <w:noProof/>
              </w:rPr>
            </w:pPr>
            <w:r>
              <w:rPr>
                <w:noProof/>
              </w:rPr>
              <w:t>16 - Lutte contre la corruption et le blanchiment de capitaux - Investissement 2: Équipement et numérisation des forces de police – modules nouveaux ou améliorés du système d’information sur l’enregistrement des résidents étrangers (IS ECU)</w:t>
            </w:r>
          </w:p>
        </w:tc>
        <w:tc>
          <w:tcPr>
            <w:tcW w:w="1701" w:type="dxa"/>
            <w:shd w:val="clear" w:color="auto" w:fill="C5EECE"/>
          </w:tcPr>
          <w:p w14:paraId="50B4B79A"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79B" w14:textId="77777777" w:rsidR="003B5F50" w:rsidRDefault="000D2D85">
            <w:pPr>
              <w:pStyle w:val="P68B1DB1-TableParagraph57"/>
              <w:spacing w:line="259" w:lineRule="auto"/>
              <w:ind w:left="108" w:right="170"/>
              <w:rPr>
                <w:noProof/>
              </w:rPr>
            </w:pPr>
            <w:r>
              <w:rPr>
                <w:noProof/>
              </w:rPr>
              <w:t>Électronique des procédures de délivrance de permis de séjour pour simplifier les procédures pour le public</w:t>
            </w:r>
          </w:p>
        </w:tc>
        <w:tc>
          <w:tcPr>
            <w:tcW w:w="1275" w:type="dxa"/>
            <w:shd w:val="clear" w:color="auto" w:fill="C5EECE"/>
          </w:tcPr>
          <w:p w14:paraId="50B4B79C" w14:textId="77777777" w:rsidR="003B5F50" w:rsidRDefault="000D2D85">
            <w:pPr>
              <w:pStyle w:val="P68B1DB1-TableParagraph57"/>
              <w:spacing w:line="259" w:lineRule="auto"/>
              <w:ind w:left="107" w:right="181"/>
              <w:rPr>
                <w:noProof/>
              </w:rPr>
            </w:pPr>
            <w:r>
              <w:rPr>
                <w:noProof/>
              </w:rPr>
              <w:t>Livraison des modules nouveaux ou améliorés</w:t>
            </w:r>
          </w:p>
        </w:tc>
        <w:tc>
          <w:tcPr>
            <w:tcW w:w="1276" w:type="dxa"/>
            <w:shd w:val="clear" w:color="auto" w:fill="C5EECE"/>
          </w:tcPr>
          <w:p w14:paraId="50B4B79D" w14:textId="77777777" w:rsidR="003B5F50" w:rsidRDefault="003B5F50">
            <w:pPr>
              <w:pStyle w:val="TableParagraph"/>
              <w:rPr>
                <w:noProof/>
                <w:color w:val="006000"/>
                <w:sz w:val="20"/>
                <w:szCs w:val="20"/>
              </w:rPr>
            </w:pPr>
          </w:p>
        </w:tc>
        <w:tc>
          <w:tcPr>
            <w:tcW w:w="1418" w:type="dxa"/>
            <w:shd w:val="clear" w:color="auto" w:fill="C5EECE"/>
          </w:tcPr>
          <w:p w14:paraId="50B4B79E" w14:textId="77777777" w:rsidR="003B5F50" w:rsidRDefault="003B5F50">
            <w:pPr>
              <w:pStyle w:val="TableParagraph"/>
              <w:rPr>
                <w:noProof/>
                <w:color w:val="006000"/>
                <w:sz w:val="20"/>
                <w:szCs w:val="20"/>
              </w:rPr>
            </w:pPr>
          </w:p>
        </w:tc>
        <w:tc>
          <w:tcPr>
            <w:tcW w:w="1275" w:type="dxa"/>
            <w:shd w:val="clear" w:color="auto" w:fill="C5EECE"/>
          </w:tcPr>
          <w:p w14:paraId="50B4B79F" w14:textId="77777777" w:rsidR="003B5F50" w:rsidRDefault="003B5F50">
            <w:pPr>
              <w:pStyle w:val="TableParagraph"/>
              <w:rPr>
                <w:noProof/>
                <w:color w:val="006000"/>
                <w:sz w:val="20"/>
                <w:szCs w:val="20"/>
              </w:rPr>
            </w:pPr>
          </w:p>
        </w:tc>
        <w:tc>
          <w:tcPr>
            <w:tcW w:w="1276" w:type="dxa"/>
            <w:shd w:val="clear" w:color="auto" w:fill="C5EECE"/>
          </w:tcPr>
          <w:p w14:paraId="50B4B7A0" w14:textId="77777777" w:rsidR="003B5F50" w:rsidRDefault="000D2D85">
            <w:pPr>
              <w:pStyle w:val="P68B1DB1-TableParagraph57"/>
              <w:spacing w:line="225" w:lineRule="exact"/>
              <w:ind w:left="36" w:right="27"/>
              <w:jc w:val="center"/>
              <w:rPr>
                <w:noProof/>
              </w:rPr>
            </w:pPr>
            <w:r>
              <w:rPr>
                <w:noProof/>
              </w:rPr>
              <w:t>T4</w:t>
            </w:r>
          </w:p>
        </w:tc>
        <w:tc>
          <w:tcPr>
            <w:tcW w:w="851" w:type="dxa"/>
            <w:shd w:val="clear" w:color="auto" w:fill="C5EECE"/>
          </w:tcPr>
          <w:p w14:paraId="50B4B7A1" w14:textId="77777777" w:rsidR="003B5F50" w:rsidRDefault="000D2D85">
            <w:pPr>
              <w:pStyle w:val="P68B1DB1-TableParagraph57"/>
              <w:spacing w:line="225" w:lineRule="exact"/>
              <w:ind w:left="22" w:right="7"/>
              <w:jc w:val="center"/>
              <w:rPr>
                <w:noProof/>
              </w:rPr>
            </w:pPr>
            <w:r>
              <w:rPr>
                <w:noProof/>
              </w:rPr>
              <w:t>2024</w:t>
            </w:r>
          </w:p>
        </w:tc>
        <w:tc>
          <w:tcPr>
            <w:tcW w:w="2835" w:type="dxa"/>
            <w:shd w:val="clear" w:color="auto" w:fill="C5EECE"/>
          </w:tcPr>
          <w:p w14:paraId="50B4B7A2" w14:textId="3A84F7F1" w:rsidR="003B5F50" w:rsidRDefault="000D2D85">
            <w:pPr>
              <w:pStyle w:val="P68B1DB1-Normal59"/>
              <w:spacing w:line="259" w:lineRule="auto"/>
              <w:ind w:left="112" w:right="147"/>
              <w:rPr>
                <w:noProof/>
                <w:color w:val="006100"/>
              </w:rPr>
            </w:pPr>
            <w:r>
              <w:rPr>
                <w:noProof/>
              </w:rPr>
              <w:t>Les modules nouveaux ou améliorés du système d'information sur les résidents étrangers seront livrés avec les fonctionnalités clés suivantes: des dispositifs de sécurité numérique renforcés lors de l’introduction d’une demande de séjour pour les ressortissants de pays tiers, du renouvellement du séjour, de l’enregistrement du séjour pour les résidents de l’Union européenne, de l’informatisation de la demande de document, des modules de notification et de l’informatisation de la communication au cours de la procédure.</w:t>
            </w:r>
          </w:p>
        </w:tc>
      </w:tr>
      <w:tr w:rsidR="00D60A93" w14:paraId="50B4B7B0" w14:textId="77777777" w:rsidTr="00D60A93">
        <w:trPr>
          <w:trHeight w:val="3211"/>
        </w:trPr>
        <w:tc>
          <w:tcPr>
            <w:tcW w:w="993" w:type="dxa"/>
            <w:shd w:val="clear" w:color="auto" w:fill="C5EECE"/>
          </w:tcPr>
          <w:p w14:paraId="50B4B7A4" w14:textId="77777777" w:rsidR="003B5F50" w:rsidRDefault="000D2D85">
            <w:pPr>
              <w:pStyle w:val="P68B1DB1-TableParagraph57"/>
              <w:spacing w:line="225" w:lineRule="exact"/>
              <w:ind w:left="9" w:right="1"/>
              <w:jc w:val="center"/>
              <w:rPr>
                <w:noProof/>
              </w:rPr>
            </w:pPr>
            <w:r>
              <w:rPr>
                <w:noProof/>
              </w:rPr>
              <w:t>9</w:t>
            </w:r>
          </w:p>
        </w:tc>
        <w:tc>
          <w:tcPr>
            <w:tcW w:w="1984" w:type="dxa"/>
            <w:shd w:val="clear" w:color="auto" w:fill="C5EECE"/>
          </w:tcPr>
          <w:p w14:paraId="50B4B7A5" w14:textId="77777777" w:rsidR="003B5F50" w:rsidRDefault="000D2D85">
            <w:pPr>
              <w:pStyle w:val="P68B1DB1-TableParagraph57"/>
              <w:spacing w:line="259" w:lineRule="auto"/>
              <w:ind w:left="110" w:right="124"/>
              <w:rPr>
                <w:noProof/>
              </w:rPr>
            </w:pPr>
            <w:r>
              <w:rPr>
                <w:noProof/>
              </w:rPr>
              <w:t>16 - Lutte contre la corruption et le blanchiment de capitaux - Investissement 2: Équipement et numérisation des forces de police – Système automatisé de détection des infractions routières</w:t>
            </w:r>
          </w:p>
        </w:tc>
        <w:tc>
          <w:tcPr>
            <w:tcW w:w="1701" w:type="dxa"/>
            <w:shd w:val="clear" w:color="auto" w:fill="C5EECE"/>
          </w:tcPr>
          <w:p w14:paraId="50B4B7A6"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7A7" w14:textId="77777777" w:rsidR="003B5F50" w:rsidRDefault="000D2D85">
            <w:pPr>
              <w:pStyle w:val="P68B1DB1-TableParagraph57"/>
              <w:spacing w:line="259" w:lineRule="auto"/>
              <w:ind w:left="108" w:right="170"/>
              <w:rPr>
                <w:noProof/>
              </w:rPr>
            </w:pPr>
            <w:r>
              <w:rPr>
                <w:noProof/>
              </w:rPr>
              <w:t>Mise à niveau du système de détection des infractions routières</w:t>
            </w:r>
          </w:p>
        </w:tc>
        <w:tc>
          <w:tcPr>
            <w:tcW w:w="1275" w:type="dxa"/>
            <w:shd w:val="clear" w:color="auto" w:fill="C5EECE"/>
          </w:tcPr>
          <w:p w14:paraId="50B4B7A8" w14:textId="77777777" w:rsidR="003B5F50" w:rsidRDefault="000D2D85">
            <w:pPr>
              <w:pStyle w:val="P68B1DB1-TableParagraph57"/>
              <w:spacing w:line="259" w:lineRule="auto"/>
              <w:ind w:left="107" w:right="181"/>
              <w:rPr>
                <w:noProof/>
              </w:rPr>
            </w:pPr>
            <w:r>
              <w:rPr>
                <w:noProof/>
              </w:rPr>
              <w:t xml:space="preserve">Protocoles d'acceptation </w:t>
            </w:r>
          </w:p>
        </w:tc>
        <w:tc>
          <w:tcPr>
            <w:tcW w:w="1276" w:type="dxa"/>
            <w:shd w:val="clear" w:color="auto" w:fill="C5EECE"/>
          </w:tcPr>
          <w:p w14:paraId="50B4B7A9" w14:textId="77777777" w:rsidR="003B5F50" w:rsidRDefault="003B5F50">
            <w:pPr>
              <w:pStyle w:val="TableParagraph"/>
              <w:rPr>
                <w:noProof/>
                <w:color w:val="006000"/>
                <w:sz w:val="20"/>
                <w:szCs w:val="20"/>
              </w:rPr>
            </w:pPr>
          </w:p>
        </w:tc>
        <w:tc>
          <w:tcPr>
            <w:tcW w:w="1418" w:type="dxa"/>
            <w:shd w:val="clear" w:color="auto" w:fill="C5EECE"/>
          </w:tcPr>
          <w:p w14:paraId="50B4B7AA" w14:textId="77777777" w:rsidR="003B5F50" w:rsidRDefault="003B5F50">
            <w:pPr>
              <w:pStyle w:val="TableParagraph"/>
              <w:rPr>
                <w:noProof/>
                <w:color w:val="006000"/>
                <w:sz w:val="20"/>
                <w:szCs w:val="20"/>
              </w:rPr>
            </w:pPr>
          </w:p>
        </w:tc>
        <w:tc>
          <w:tcPr>
            <w:tcW w:w="1275" w:type="dxa"/>
            <w:shd w:val="clear" w:color="auto" w:fill="C5EECE"/>
          </w:tcPr>
          <w:p w14:paraId="50B4B7AB" w14:textId="77777777" w:rsidR="003B5F50" w:rsidRDefault="003B5F50">
            <w:pPr>
              <w:pStyle w:val="TableParagraph"/>
              <w:rPr>
                <w:noProof/>
                <w:color w:val="006000"/>
                <w:sz w:val="20"/>
                <w:szCs w:val="20"/>
              </w:rPr>
            </w:pPr>
          </w:p>
        </w:tc>
        <w:tc>
          <w:tcPr>
            <w:tcW w:w="1276" w:type="dxa"/>
            <w:shd w:val="clear" w:color="auto" w:fill="C5EECE"/>
          </w:tcPr>
          <w:p w14:paraId="50B4B7AC" w14:textId="77777777" w:rsidR="003B5F50" w:rsidRDefault="000D2D85">
            <w:pPr>
              <w:pStyle w:val="P68B1DB1-TableParagraph57"/>
              <w:spacing w:line="225" w:lineRule="exact"/>
              <w:ind w:left="36" w:right="27"/>
              <w:jc w:val="center"/>
              <w:rPr>
                <w:noProof/>
              </w:rPr>
            </w:pPr>
            <w:r>
              <w:rPr>
                <w:noProof/>
              </w:rPr>
              <w:t>T2</w:t>
            </w:r>
          </w:p>
        </w:tc>
        <w:tc>
          <w:tcPr>
            <w:tcW w:w="851" w:type="dxa"/>
            <w:shd w:val="clear" w:color="auto" w:fill="C5EECE"/>
          </w:tcPr>
          <w:p w14:paraId="50B4B7AD" w14:textId="77777777" w:rsidR="003B5F50" w:rsidRDefault="000D2D85">
            <w:pPr>
              <w:pStyle w:val="P68B1DB1-TableParagraph57"/>
              <w:spacing w:line="225" w:lineRule="exact"/>
              <w:ind w:left="22" w:right="7"/>
              <w:jc w:val="center"/>
              <w:rPr>
                <w:noProof/>
              </w:rPr>
            </w:pPr>
            <w:r>
              <w:rPr>
                <w:noProof/>
              </w:rPr>
              <w:t>2026</w:t>
            </w:r>
          </w:p>
        </w:tc>
        <w:tc>
          <w:tcPr>
            <w:tcW w:w="2835" w:type="dxa"/>
            <w:shd w:val="clear" w:color="auto" w:fill="C5EECE"/>
          </w:tcPr>
          <w:p w14:paraId="50B4B7AF" w14:textId="5ACA4467" w:rsidR="003B5F50" w:rsidRDefault="000D2D85">
            <w:pPr>
              <w:pStyle w:val="P68B1DB1-TableParagraph57"/>
              <w:spacing w:line="259" w:lineRule="auto"/>
              <w:rPr>
                <w:noProof/>
              </w:rPr>
            </w:pPr>
            <w:r>
              <w:rPr>
                <w:noProof/>
              </w:rPr>
              <w:t>Le système automatisé d'enregistrement des infractions aux règles de circulation routière est modernisé. Les nouvelles fonctionnalités incluent: 1) l'enregistrement et l'identification des infractions au code de la route, 2) les modifications apportées au système existant de génération automatique des décisions et 3) les statistiques, les rapports et les analyses.</w:t>
            </w:r>
          </w:p>
        </w:tc>
      </w:tr>
      <w:tr w:rsidR="00D60A93" w14:paraId="50B4B7BC" w14:textId="77777777" w:rsidTr="00D60A93">
        <w:trPr>
          <w:trHeight w:val="3211"/>
        </w:trPr>
        <w:tc>
          <w:tcPr>
            <w:tcW w:w="993" w:type="dxa"/>
            <w:shd w:val="clear" w:color="auto" w:fill="C5EECE"/>
          </w:tcPr>
          <w:p w14:paraId="50B4B7B1" w14:textId="77777777" w:rsidR="003B5F50" w:rsidRDefault="000D2D85">
            <w:pPr>
              <w:pStyle w:val="P68B1DB1-TableParagraph57"/>
              <w:spacing w:line="225" w:lineRule="exact"/>
              <w:ind w:left="9" w:right="1"/>
              <w:jc w:val="center"/>
              <w:rPr>
                <w:noProof/>
              </w:rPr>
            </w:pPr>
            <w:r>
              <w:rPr>
                <w:noProof/>
              </w:rPr>
              <w:t>18</w:t>
            </w:r>
          </w:p>
        </w:tc>
        <w:tc>
          <w:tcPr>
            <w:tcW w:w="1984" w:type="dxa"/>
            <w:shd w:val="clear" w:color="auto" w:fill="C5EECE"/>
          </w:tcPr>
          <w:p w14:paraId="50B4B7B2" w14:textId="77777777" w:rsidR="003B5F50" w:rsidRDefault="000D2D85">
            <w:pPr>
              <w:pStyle w:val="P68B1DB1-TableParagraph57"/>
              <w:spacing w:line="259" w:lineRule="auto"/>
              <w:ind w:left="110" w:right="124"/>
              <w:rPr>
                <w:noProof/>
              </w:rPr>
            </w:pPr>
            <w:r>
              <w:rPr>
                <w:noProof/>
              </w:rPr>
              <w:t>16 - Lutte contre la corruption et le blanchiment de capitaux - Investissement 2: Équiper et numériser les forces de police – Plateforme d’intelligence artificielle</w:t>
            </w:r>
          </w:p>
        </w:tc>
        <w:tc>
          <w:tcPr>
            <w:tcW w:w="1701" w:type="dxa"/>
            <w:shd w:val="clear" w:color="auto" w:fill="C5EECE"/>
          </w:tcPr>
          <w:p w14:paraId="50B4B7B3"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7B4" w14:textId="77777777" w:rsidR="003B5F50" w:rsidRDefault="000D2D85">
            <w:pPr>
              <w:pStyle w:val="P68B1DB1-TableParagraph57"/>
              <w:spacing w:line="259" w:lineRule="auto"/>
              <w:ind w:left="108" w:right="170"/>
              <w:rPr>
                <w:noProof/>
              </w:rPr>
            </w:pPr>
            <w:r>
              <w:rPr>
                <w:noProof/>
              </w:rPr>
              <w:t>Nouvelle plateforme d'intelligence artificielle</w:t>
            </w:r>
          </w:p>
        </w:tc>
        <w:tc>
          <w:tcPr>
            <w:tcW w:w="1275" w:type="dxa"/>
            <w:shd w:val="clear" w:color="auto" w:fill="C5EECE"/>
          </w:tcPr>
          <w:p w14:paraId="50B4B7B5" w14:textId="77777777" w:rsidR="003B5F50" w:rsidRDefault="000D2D85">
            <w:pPr>
              <w:pStyle w:val="P68B1DB1-TableParagraph57"/>
              <w:spacing w:line="259" w:lineRule="auto"/>
              <w:ind w:left="107" w:right="181"/>
              <w:rPr>
                <w:noProof/>
              </w:rPr>
            </w:pPr>
            <w:r>
              <w:rPr>
                <w:noProof/>
              </w:rPr>
              <w:t>Livraison de la nouvelle plateforme d'intelligence artificielle</w:t>
            </w:r>
          </w:p>
        </w:tc>
        <w:tc>
          <w:tcPr>
            <w:tcW w:w="1276" w:type="dxa"/>
            <w:shd w:val="clear" w:color="auto" w:fill="C5EECE"/>
          </w:tcPr>
          <w:p w14:paraId="50B4B7B6" w14:textId="77777777" w:rsidR="003B5F50" w:rsidRDefault="003B5F50">
            <w:pPr>
              <w:pStyle w:val="TableParagraph"/>
              <w:rPr>
                <w:noProof/>
                <w:color w:val="006000"/>
                <w:sz w:val="20"/>
                <w:szCs w:val="20"/>
              </w:rPr>
            </w:pPr>
          </w:p>
        </w:tc>
        <w:tc>
          <w:tcPr>
            <w:tcW w:w="1418" w:type="dxa"/>
            <w:shd w:val="clear" w:color="auto" w:fill="C5EECE"/>
          </w:tcPr>
          <w:p w14:paraId="50B4B7B7" w14:textId="77777777" w:rsidR="003B5F50" w:rsidRDefault="003B5F50">
            <w:pPr>
              <w:pStyle w:val="TableParagraph"/>
              <w:rPr>
                <w:noProof/>
                <w:color w:val="006000"/>
                <w:sz w:val="20"/>
                <w:szCs w:val="20"/>
              </w:rPr>
            </w:pPr>
          </w:p>
        </w:tc>
        <w:tc>
          <w:tcPr>
            <w:tcW w:w="1275" w:type="dxa"/>
            <w:shd w:val="clear" w:color="auto" w:fill="C5EECE"/>
          </w:tcPr>
          <w:p w14:paraId="50B4B7B8" w14:textId="77777777" w:rsidR="003B5F50" w:rsidRDefault="003B5F50">
            <w:pPr>
              <w:pStyle w:val="TableParagraph"/>
              <w:rPr>
                <w:noProof/>
                <w:color w:val="006000"/>
                <w:sz w:val="20"/>
                <w:szCs w:val="20"/>
              </w:rPr>
            </w:pPr>
          </w:p>
        </w:tc>
        <w:tc>
          <w:tcPr>
            <w:tcW w:w="1276" w:type="dxa"/>
            <w:shd w:val="clear" w:color="auto" w:fill="C5EECE"/>
          </w:tcPr>
          <w:p w14:paraId="50B4B7B9" w14:textId="77777777" w:rsidR="003B5F50" w:rsidRDefault="000D2D85">
            <w:pPr>
              <w:pStyle w:val="P68B1DB1-TableParagraph57"/>
              <w:spacing w:line="225" w:lineRule="exact"/>
              <w:ind w:left="36" w:right="27"/>
              <w:jc w:val="center"/>
              <w:rPr>
                <w:noProof/>
              </w:rPr>
            </w:pPr>
            <w:r>
              <w:rPr>
                <w:noProof/>
              </w:rPr>
              <w:t>T2</w:t>
            </w:r>
          </w:p>
        </w:tc>
        <w:tc>
          <w:tcPr>
            <w:tcW w:w="851" w:type="dxa"/>
            <w:shd w:val="clear" w:color="auto" w:fill="C5EECE"/>
          </w:tcPr>
          <w:p w14:paraId="50B4B7BA" w14:textId="77777777" w:rsidR="003B5F50" w:rsidRDefault="000D2D85">
            <w:pPr>
              <w:pStyle w:val="P68B1DB1-TableParagraph57"/>
              <w:spacing w:line="225" w:lineRule="exact"/>
              <w:ind w:left="22" w:right="7"/>
              <w:jc w:val="center"/>
              <w:rPr>
                <w:noProof/>
              </w:rPr>
            </w:pPr>
            <w:r>
              <w:rPr>
                <w:noProof/>
              </w:rPr>
              <w:t>2026</w:t>
            </w:r>
          </w:p>
        </w:tc>
        <w:tc>
          <w:tcPr>
            <w:tcW w:w="2835" w:type="dxa"/>
            <w:shd w:val="clear" w:color="auto" w:fill="C5EECE"/>
          </w:tcPr>
          <w:p w14:paraId="50B4B7BB" w14:textId="77777777" w:rsidR="003B5F50" w:rsidRDefault="000D2D85">
            <w:pPr>
              <w:pStyle w:val="P68B1DB1-Normal59"/>
              <w:spacing w:line="259" w:lineRule="auto"/>
              <w:rPr>
                <w:noProof/>
              </w:rPr>
            </w:pPr>
            <w:r>
              <w:rPr>
                <w:noProof/>
              </w:rPr>
              <w:t>Une nouvelle plateforme d’intelligence artificielle sera mise en place.</w:t>
            </w:r>
          </w:p>
        </w:tc>
      </w:tr>
      <w:tr w:rsidR="00D60A93" w14:paraId="50B4B7C8" w14:textId="77777777" w:rsidTr="00D60A93">
        <w:trPr>
          <w:trHeight w:val="3211"/>
        </w:trPr>
        <w:tc>
          <w:tcPr>
            <w:tcW w:w="993" w:type="dxa"/>
            <w:shd w:val="clear" w:color="auto" w:fill="C5EECE"/>
          </w:tcPr>
          <w:p w14:paraId="50B4B7BD" w14:textId="77777777" w:rsidR="003B5F50" w:rsidRDefault="000D2D85">
            <w:pPr>
              <w:pStyle w:val="P68B1DB1-TableParagraph57"/>
              <w:spacing w:line="225" w:lineRule="exact"/>
              <w:ind w:left="9" w:right="1"/>
              <w:jc w:val="center"/>
              <w:rPr>
                <w:noProof/>
              </w:rPr>
            </w:pPr>
            <w:r>
              <w:rPr>
                <w:noProof/>
              </w:rPr>
              <w:t>10</w:t>
            </w:r>
          </w:p>
        </w:tc>
        <w:tc>
          <w:tcPr>
            <w:tcW w:w="1984" w:type="dxa"/>
            <w:shd w:val="clear" w:color="auto" w:fill="C5EECE"/>
          </w:tcPr>
          <w:p w14:paraId="50B4B7BE" w14:textId="77777777" w:rsidR="003B5F50" w:rsidRDefault="000D2D85">
            <w:pPr>
              <w:pStyle w:val="P68B1DB1-TableParagraph57"/>
              <w:spacing w:line="259" w:lineRule="auto"/>
              <w:ind w:left="110" w:right="124"/>
              <w:rPr>
                <w:noProof/>
              </w:rPr>
            </w:pPr>
            <w:r>
              <w:rPr>
                <w:noProof/>
              </w:rPr>
              <w:t>16 - Lutte contre la corruption et le blanchiment de capitaux - Réforme 3: Optimiser la gestion des crises</w:t>
            </w:r>
          </w:p>
        </w:tc>
        <w:tc>
          <w:tcPr>
            <w:tcW w:w="1701" w:type="dxa"/>
            <w:shd w:val="clear" w:color="auto" w:fill="C5EECE"/>
          </w:tcPr>
          <w:p w14:paraId="50B4B7BF"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7C0" w14:textId="77777777" w:rsidR="003B5F50" w:rsidRDefault="000D2D85">
            <w:pPr>
              <w:pStyle w:val="P68B1DB1-TableParagraph57"/>
              <w:spacing w:line="259" w:lineRule="auto"/>
              <w:ind w:left="108" w:right="170"/>
              <w:rPr>
                <w:noProof/>
              </w:rPr>
            </w:pPr>
            <w:r>
              <w:rPr>
                <w:noProof/>
              </w:rPr>
              <w:t>Entrée en vigueur de la gestion optimisée des crises</w:t>
            </w:r>
          </w:p>
        </w:tc>
        <w:tc>
          <w:tcPr>
            <w:tcW w:w="1275" w:type="dxa"/>
            <w:shd w:val="clear" w:color="auto" w:fill="C5EECE"/>
          </w:tcPr>
          <w:p w14:paraId="50B4B7C1" w14:textId="77777777" w:rsidR="003B5F50" w:rsidRDefault="000D2D85">
            <w:pPr>
              <w:pStyle w:val="P68B1DB1-TableParagraph57"/>
              <w:spacing w:line="259" w:lineRule="auto"/>
              <w:ind w:left="107" w:right="181"/>
              <w:rPr>
                <w:noProof/>
              </w:rPr>
            </w:pPr>
            <w:r>
              <w:rPr>
                <w:noProof/>
              </w:rPr>
              <w:t>Entrée en vigueur de la loi modifiée 129/2002 relative au système intégré de sauvetage</w:t>
            </w:r>
          </w:p>
        </w:tc>
        <w:tc>
          <w:tcPr>
            <w:tcW w:w="1276" w:type="dxa"/>
            <w:shd w:val="clear" w:color="auto" w:fill="C5EECE"/>
          </w:tcPr>
          <w:p w14:paraId="50B4B7C2" w14:textId="77777777" w:rsidR="003B5F50" w:rsidRDefault="003B5F50">
            <w:pPr>
              <w:pStyle w:val="TableParagraph"/>
              <w:rPr>
                <w:noProof/>
                <w:color w:val="006000"/>
                <w:sz w:val="20"/>
                <w:szCs w:val="20"/>
              </w:rPr>
            </w:pPr>
          </w:p>
        </w:tc>
        <w:tc>
          <w:tcPr>
            <w:tcW w:w="1418" w:type="dxa"/>
            <w:shd w:val="clear" w:color="auto" w:fill="C5EECE"/>
          </w:tcPr>
          <w:p w14:paraId="50B4B7C3" w14:textId="77777777" w:rsidR="003B5F50" w:rsidRDefault="003B5F50">
            <w:pPr>
              <w:pStyle w:val="TableParagraph"/>
              <w:rPr>
                <w:noProof/>
                <w:color w:val="006000"/>
                <w:sz w:val="20"/>
                <w:szCs w:val="20"/>
              </w:rPr>
            </w:pPr>
          </w:p>
        </w:tc>
        <w:tc>
          <w:tcPr>
            <w:tcW w:w="1275" w:type="dxa"/>
            <w:shd w:val="clear" w:color="auto" w:fill="C5EECE"/>
          </w:tcPr>
          <w:p w14:paraId="50B4B7C4" w14:textId="77777777" w:rsidR="003B5F50" w:rsidRDefault="003B5F50">
            <w:pPr>
              <w:pStyle w:val="TableParagraph"/>
              <w:rPr>
                <w:noProof/>
                <w:color w:val="006000"/>
                <w:sz w:val="20"/>
                <w:szCs w:val="20"/>
              </w:rPr>
            </w:pPr>
          </w:p>
        </w:tc>
        <w:tc>
          <w:tcPr>
            <w:tcW w:w="1276" w:type="dxa"/>
            <w:shd w:val="clear" w:color="auto" w:fill="C5EECE"/>
          </w:tcPr>
          <w:p w14:paraId="50B4B7C5" w14:textId="77777777" w:rsidR="003B5F50" w:rsidRDefault="000D2D85">
            <w:pPr>
              <w:pStyle w:val="P68B1DB1-TableParagraph57"/>
              <w:spacing w:line="225" w:lineRule="exact"/>
              <w:ind w:left="36" w:right="27"/>
              <w:jc w:val="center"/>
              <w:rPr>
                <w:noProof/>
              </w:rPr>
            </w:pPr>
            <w:r>
              <w:rPr>
                <w:noProof/>
              </w:rPr>
              <w:t>T1</w:t>
            </w:r>
          </w:p>
        </w:tc>
        <w:tc>
          <w:tcPr>
            <w:tcW w:w="851" w:type="dxa"/>
            <w:shd w:val="clear" w:color="auto" w:fill="C5EECE"/>
          </w:tcPr>
          <w:p w14:paraId="50B4B7C6" w14:textId="77777777" w:rsidR="003B5F50" w:rsidRDefault="000D2D85">
            <w:pPr>
              <w:pStyle w:val="P68B1DB1-TableParagraph57"/>
              <w:spacing w:line="225" w:lineRule="exact"/>
              <w:ind w:left="22" w:right="7"/>
              <w:jc w:val="center"/>
              <w:rPr>
                <w:noProof/>
              </w:rPr>
            </w:pPr>
            <w:r>
              <w:rPr>
                <w:noProof/>
              </w:rPr>
              <w:t>2023</w:t>
            </w:r>
          </w:p>
        </w:tc>
        <w:tc>
          <w:tcPr>
            <w:tcW w:w="2835" w:type="dxa"/>
            <w:shd w:val="clear" w:color="auto" w:fill="C5EECE"/>
          </w:tcPr>
          <w:p w14:paraId="50B4B7C7" w14:textId="77777777" w:rsidR="003B5F50" w:rsidRDefault="000D2D85">
            <w:pPr>
              <w:pStyle w:val="P68B1DB1-Normal59"/>
              <w:spacing w:line="259" w:lineRule="auto"/>
              <w:rPr>
                <w:noProof/>
              </w:rPr>
            </w:pPr>
            <w:r>
              <w:rPr>
                <w:noProof/>
              </w:rPr>
              <w:t>Le concept d'optimisation de la gestion des crises définit clairement les relations entre les services d'intervention d'urgence du système intégré de sauvetage, établit des procédures communes pour faire face aux situations de crise, prévoit une coordination conjointe entre les composantes, en tenant compte à la fois des niveaux stratégique et opérationnel de la gestion des crises, et propose un réseau de centres de sécurité intégrés. La législation entrera en vigueur au plus tard au premier trimestre 2023.</w:t>
            </w:r>
          </w:p>
        </w:tc>
      </w:tr>
      <w:tr w:rsidR="00D60A93" w14:paraId="50B4B7D7" w14:textId="77777777" w:rsidTr="00D60A93">
        <w:trPr>
          <w:trHeight w:val="3211"/>
        </w:trPr>
        <w:tc>
          <w:tcPr>
            <w:tcW w:w="993" w:type="dxa"/>
            <w:shd w:val="clear" w:color="auto" w:fill="C5EECE"/>
          </w:tcPr>
          <w:p w14:paraId="50B4B7C9" w14:textId="77777777" w:rsidR="003B5F50" w:rsidRDefault="000D2D85">
            <w:pPr>
              <w:pStyle w:val="P68B1DB1-TableParagraph57"/>
              <w:spacing w:line="225" w:lineRule="exact"/>
              <w:ind w:left="9" w:right="1"/>
              <w:jc w:val="center"/>
              <w:rPr>
                <w:noProof/>
              </w:rPr>
            </w:pPr>
            <w:r>
              <w:rPr>
                <w:noProof/>
              </w:rPr>
              <w:t>11</w:t>
            </w:r>
          </w:p>
        </w:tc>
        <w:tc>
          <w:tcPr>
            <w:tcW w:w="1984" w:type="dxa"/>
            <w:shd w:val="clear" w:color="auto" w:fill="C5EECE"/>
          </w:tcPr>
          <w:p w14:paraId="50B4B7CA" w14:textId="77777777" w:rsidR="003B5F50" w:rsidRDefault="000D2D85">
            <w:pPr>
              <w:pStyle w:val="P68B1DB1-TableParagraph57"/>
              <w:spacing w:line="259" w:lineRule="auto"/>
              <w:ind w:left="110" w:right="124"/>
              <w:rPr>
                <w:noProof/>
              </w:rPr>
            </w:pPr>
            <w:r>
              <w:rPr>
                <w:noProof/>
              </w:rPr>
              <w:t>16 - Lutte contre la corruption et le blanchiment d'argent - Investissement 3:Modernisa-</w:t>
            </w:r>
          </w:p>
          <w:p w14:paraId="50B4B7CB" w14:textId="77777777" w:rsidR="003B5F50" w:rsidRDefault="000D2D85">
            <w:pPr>
              <w:pStyle w:val="P68B1DB1-TableParagraph57"/>
              <w:spacing w:line="259" w:lineRule="auto"/>
              <w:ind w:left="110" w:right="124"/>
              <w:rPr>
                <w:noProof/>
              </w:rPr>
            </w:pPr>
            <w:r>
              <w:rPr>
                <w:noProof/>
              </w:rPr>
              <w:t>mise en place du système d'incendie et de secours – mise en place d'un réseau de centres intégrés de sécurité</w:t>
            </w:r>
          </w:p>
        </w:tc>
        <w:tc>
          <w:tcPr>
            <w:tcW w:w="1701" w:type="dxa"/>
            <w:shd w:val="clear" w:color="auto" w:fill="C5EECE"/>
          </w:tcPr>
          <w:p w14:paraId="50B4B7CC"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7CD" w14:textId="77777777" w:rsidR="003B5F50" w:rsidRDefault="000D2D85">
            <w:pPr>
              <w:pStyle w:val="P68B1DB1-TableParagraph57"/>
              <w:spacing w:line="259" w:lineRule="auto"/>
              <w:ind w:left="108" w:right="170"/>
              <w:rPr>
                <w:noProof/>
              </w:rPr>
            </w:pPr>
            <w:r>
              <w:rPr>
                <w:noProof/>
              </w:rPr>
              <w:t>Mise en place d'un centre de sécurité intégré et d'un centre de sécurité intégré virtuel</w:t>
            </w:r>
          </w:p>
        </w:tc>
        <w:tc>
          <w:tcPr>
            <w:tcW w:w="1275" w:type="dxa"/>
            <w:shd w:val="clear" w:color="auto" w:fill="C5EECE"/>
          </w:tcPr>
          <w:p w14:paraId="50B4B7CE" w14:textId="77777777" w:rsidR="003B5F50" w:rsidRDefault="000D2D85">
            <w:pPr>
              <w:pStyle w:val="P68B1DB1-TableParagraph57"/>
              <w:spacing w:line="259" w:lineRule="auto"/>
              <w:ind w:left="107" w:right="181"/>
              <w:rPr>
                <w:noProof/>
              </w:rPr>
            </w:pPr>
            <w:r>
              <w:rPr>
                <w:noProof/>
              </w:rPr>
              <w:t>Rénovation du Centre intégré de sécurité et lancement du Centre virtuel intégré de sécurité</w:t>
            </w:r>
          </w:p>
        </w:tc>
        <w:tc>
          <w:tcPr>
            <w:tcW w:w="1276" w:type="dxa"/>
            <w:shd w:val="clear" w:color="auto" w:fill="C5EECE"/>
          </w:tcPr>
          <w:p w14:paraId="50B4B7CF" w14:textId="77777777" w:rsidR="003B5F50" w:rsidRDefault="003B5F50">
            <w:pPr>
              <w:pStyle w:val="TableParagraph"/>
              <w:rPr>
                <w:noProof/>
                <w:color w:val="006000"/>
                <w:sz w:val="20"/>
                <w:szCs w:val="20"/>
              </w:rPr>
            </w:pPr>
          </w:p>
        </w:tc>
        <w:tc>
          <w:tcPr>
            <w:tcW w:w="1418" w:type="dxa"/>
            <w:shd w:val="clear" w:color="auto" w:fill="C5EECE"/>
          </w:tcPr>
          <w:p w14:paraId="50B4B7D0" w14:textId="77777777" w:rsidR="003B5F50" w:rsidRDefault="003B5F50">
            <w:pPr>
              <w:pStyle w:val="TableParagraph"/>
              <w:rPr>
                <w:noProof/>
                <w:color w:val="006000"/>
                <w:sz w:val="20"/>
                <w:szCs w:val="20"/>
              </w:rPr>
            </w:pPr>
          </w:p>
        </w:tc>
        <w:tc>
          <w:tcPr>
            <w:tcW w:w="1275" w:type="dxa"/>
            <w:shd w:val="clear" w:color="auto" w:fill="C5EECE"/>
          </w:tcPr>
          <w:p w14:paraId="50B4B7D1" w14:textId="77777777" w:rsidR="003B5F50" w:rsidRDefault="003B5F50">
            <w:pPr>
              <w:pStyle w:val="TableParagraph"/>
              <w:rPr>
                <w:noProof/>
                <w:color w:val="006000"/>
                <w:sz w:val="20"/>
                <w:szCs w:val="20"/>
              </w:rPr>
            </w:pPr>
          </w:p>
        </w:tc>
        <w:tc>
          <w:tcPr>
            <w:tcW w:w="1276" w:type="dxa"/>
            <w:shd w:val="clear" w:color="auto" w:fill="C5EECE"/>
          </w:tcPr>
          <w:p w14:paraId="50B4B7D2" w14:textId="77777777" w:rsidR="003B5F50" w:rsidRDefault="000D2D85">
            <w:pPr>
              <w:pStyle w:val="P68B1DB1-TableParagraph57"/>
              <w:spacing w:line="225" w:lineRule="exact"/>
              <w:ind w:left="36" w:right="27"/>
              <w:jc w:val="center"/>
              <w:rPr>
                <w:noProof/>
              </w:rPr>
            </w:pPr>
            <w:r>
              <w:rPr>
                <w:noProof/>
              </w:rPr>
              <w:t>T2</w:t>
            </w:r>
          </w:p>
        </w:tc>
        <w:tc>
          <w:tcPr>
            <w:tcW w:w="851" w:type="dxa"/>
            <w:shd w:val="clear" w:color="auto" w:fill="C5EECE"/>
          </w:tcPr>
          <w:p w14:paraId="50B4B7D3" w14:textId="77777777" w:rsidR="003B5F50" w:rsidRDefault="000D2D85">
            <w:pPr>
              <w:pStyle w:val="P68B1DB1-TableParagraph57"/>
              <w:spacing w:line="225" w:lineRule="exact"/>
              <w:ind w:left="22" w:right="7"/>
              <w:jc w:val="center"/>
              <w:rPr>
                <w:noProof/>
              </w:rPr>
            </w:pPr>
            <w:r>
              <w:rPr>
                <w:noProof/>
              </w:rPr>
              <w:t>2026</w:t>
            </w:r>
          </w:p>
        </w:tc>
        <w:tc>
          <w:tcPr>
            <w:tcW w:w="2835" w:type="dxa"/>
            <w:shd w:val="clear" w:color="auto" w:fill="C5EECE"/>
          </w:tcPr>
          <w:p w14:paraId="50B4B7D4" w14:textId="77777777" w:rsidR="003B5F50" w:rsidRDefault="000D2D85">
            <w:pPr>
              <w:pStyle w:val="P68B1DB1-TableParagraph57"/>
              <w:spacing w:line="259" w:lineRule="auto"/>
              <w:ind w:left="112" w:right="309"/>
              <w:jc w:val="both"/>
              <w:rPr>
                <w:noProof/>
              </w:rPr>
            </w:pPr>
            <w:r>
              <w:rPr>
                <w:noProof/>
              </w:rPr>
              <w:t>La rénovation d’un centre de sécurité intégré, à partir duquel les services d’urgence seront déployés, sera assurée. </w:t>
            </w:r>
          </w:p>
          <w:p w14:paraId="50B4B7D5" w14:textId="77777777" w:rsidR="003B5F50" w:rsidRDefault="000D2D85">
            <w:pPr>
              <w:pStyle w:val="P68B1DB1-TableParagraph57"/>
              <w:spacing w:line="259" w:lineRule="auto"/>
              <w:ind w:left="112" w:right="309"/>
              <w:jc w:val="both"/>
              <w:rPr>
                <w:noProof/>
                <w:u w:val="single"/>
              </w:rPr>
            </w:pPr>
            <w:r>
              <w:rPr>
                <w:noProof/>
              </w:rPr>
              <w:t>La version d'essai du centre virtuel intégré de sécurité sera opérationnelle, y compris</w:t>
            </w:r>
            <w:r>
              <w:rPr>
                <w:noProof/>
                <w:u w:val="single"/>
              </w:rPr>
              <w:t xml:space="preserve"> </w:t>
            </w:r>
            <w:r>
              <w:rPr>
                <w:noProof/>
              </w:rPr>
              <w:t>l'intégration des lignes téléphoniques 112, 158, 150, 18300, 155 et la modernisation de l'infrastructure matérielle, ainsi qu'un plan de migration de la production complète préparant le lancement sera livré.</w:t>
            </w:r>
          </w:p>
          <w:p w14:paraId="50B4B7D6" w14:textId="77777777" w:rsidR="003B5F50" w:rsidRDefault="003B5F50">
            <w:pPr>
              <w:spacing w:line="259" w:lineRule="auto"/>
              <w:rPr>
                <w:rFonts w:ascii="Times New Roman" w:hAnsi="Times New Roman" w:cs="Times New Roman"/>
                <w:noProof/>
                <w:color w:val="006000"/>
                <w:sz w:val="20"/>
                <w:szCs w:val="20"/>
              </w:rPr>
            </w:pPr>
          </w:p>
        </w:tc>
      </w:tr>
      <w:tr w:rsidR="00D60A93" w14:paraId="50B4B7E5" w14:textId="77777777" w:rsidTr="00D60A93">
        <w:trPr>
          <w:trHeight w:val="3211"/>
        </w:trPr>
        <w:tc>
          <w:tcPr>
            <w:tcW w:w="993" w:type="dxa"/>
            <w:shd w:val="clear" w:color="auto" w:fill="C5EECE"/>
          </w:tcPr>
          <w:p w14:paraId="50B4B7D8" w14:textId="77777777" w:rsidR="003B5F50" w:rsidRDefault="000D2D85">
            <w:pPr>
              <w:pStyle w:val="P68B1DB1-TableParagraph57"/>
              <w:spacing w:line="225" w:lineRule="exact"/>
              <w:ind w:left="9" w:right="1"/>
              <w:jc w:val="center"/>
              <w:rPr>
                <w:noProof/>
              </w:rPr>
            </w:pPr>
            <w:r>
              <w:rPr>
                <w:noProof/>
              </w:rPr>
              <w:t>12</w:t>
            </w:r>
          </w:p>
        </w:tc>
        <w:tc>
          <w:tcPr>
            <w:tcW w:w="1984" w:type="dxa"/>
            <w:shd w:val="clear" w:color="auto" w:fill="C5EECE"/>
          </w:tcPr>
          <w:p w14:paraId="50B4B7D9" w14:textId="77777777" w:rsidR="003B5F50" w:rsidRDefault="000D2D85">
            <w:pPr>
              <w:pStyle w:val="P68B1DB1-TableParagraph57"/>
              <w:spacing w:line="259" w:lineRule="auto"/>
              <w:ind w:left="110" w:right="124"/>
              <w:rPr>
                <w:noProof/>
              </w:rPr>
            </w:pPr>
            <w:r>
              <w:rPr>
                <w:noProof/>
              </w:rPr>
              <w:t>16 - Lutte contre la corruption et le blanchiment d'argent - Investissement 3:Modernisa-</w:t>
            </w:r>
          </w:p>
          <w:p w14:paraId="50B4B7DA" w14:textId="77777777" w:rsidR="003B5F50" w:rsidRDefault="000D2D85">
            <w:pPr>
              <w:pStyle w:val="P68B1DB1-TableParagraph57"/>
              <w:spacing w:line="259" w:lineRule="auto"/>
              <w:ind w:left="110" w:right="124"/>
              <w:rPr>
                <w:noProof/>
              </w:rPr>
            </w:pPr>
            <w:r>
              <w:rPr>
                <w:noProof/>
              </w:rPr>
              <w:t>tion de l'incendie et du sauvetage</w:t>
            </w:r>
          </w:p>
          <w:p w14:paraId="50B4B7DB" w14:textId="77777777" w:rsidR="003B5F50" w:rsidRDefault="000D2D85">
            <w:pPr>
              <w:pStyle w:val="P68B1DB1-TableParagraph57"/>
              <w:spacing w:line="259" w:lineRule="auto"/>
              <w:ind w:left="110" w:right="124"/>
              <w:rPr>
                <w:noProof/>
              </w:rPr>
            </w:pPr>
            <w:r>
              <w:rPr>
                <w:noProof/>
              </w:rPr>
              <w:t>renouvellement du système des bâtiments des casernes de pompiers</w:t>
            </w:r>
          </w:p>
        </w:tc>
        <w:tc>
          <w:tcPr>
            <w:tcW w:w="1701" w:type="dxa"/>
            <w:shd w:val="clear" w:color="auto" w:fill="C5EECE"/>
          </w:tcPr>
          <w:p w14:paraId="50B4B7DC" w14:textId="77777777" w:rsidR="003B5F50" w:rsidRDefault="000D2D85">
            <w:pPr>
              <w:pStyle w:val="P68B1DB1-TableParagraph57"/>
              <w:spacing w:line="225" w:lineRule="exact"/>
              <w:ind w:left="1" w:right="92"/>
              <w:jc w:val="center"/>
              <w:rPr>
                <w:noProof/>
              </w:rPr>
            </w:pPr>
            <w:r>
              <w:rPr>
                <w:noProof/>
              </w:rPr>
              <w:t>Objectif</w:t>
            </w:r>
          </w:p>
        </w:tc>
        <w:tc>
          <w:tcPr>
            <w:tcW w:w="851" w:type="dxa"/>
            <w:shd w:val="clear" w:color="auto" w:fill="C5EECE"/>
          </w:tcPr>
          <w:p w14:paraId="50B4B7DD" w14:textId="77777777" w:rsidR="003B5F50" w:rsidRDefault="000D2D85">
            <w:pPr>
              <w:pStyle w:val="P68B1DB1-TableParagraph57"/>
              <w:spacing w:line="259" w:lineRule="auto"/>
              <w:ind w:left="108" w:right="170"/>
              <w:rPr>
                <w:noProof/>
              </w:rPr>
            </w:pPr>
            <w:r>
              <w:rPr>
                <w:noProof/>
              </w:rPr>
              <w:t>Modernisation des postes de lutte contre l'incendie</w:t>
            </w:r>
          </w:p>
        </w:tc>
        <w:tc>
          <w:tcPr>
            <w:tcW w:w="1275" w:type="dxa"/>
            <w:shd w:val="clear" w:color="auto" w:fill="C5EECE"/>
          </w:tcPr>
          <w:p w14:paraId="50B4B7DE" w14:textId="77777777" w:rsidR="003B5F50" w:rsidRDefault="003B5F50">
            <w:pPr>
              <w:pStyle w:val="TableParagraph"/>
              <w:spacing w:line="259" w:lineRule="auto"/>
              <w:ind w:left="107" w:right="181"/>
              <w:rPr>
                <w:noProof/>
                <w:color w:val="006000"/>
                <w:sz w:val="20"/>
                <w:szCs w:val="20"/>
              </w:rPr>
            </w:pPr>
          </w:p>
        </w:tc>
        <w:tc>
          <w:tcPr>
            <w:tcW w:w="1276" w:type="dxa"/>
            <w:shd w:val="clear" w:color="auto" w:fill="C5EECE"/>
          </w:tcPr>
          <w:p w14:paraId="50B4B7DF" w14:textId="77777777" w:rsidR="003B5F50" w:rsidRDefault="000D2D85">
            <w:pPr>
              <w:pStyle w:val="P68B1DB1-TableParagraph57"/>
              <w:rPr>
                <w:noProof/>
              </w:rPr>
            </w:pPr>
            <w:r>
              <w:rPr>
                <w:noProof/>
              </w:rPr>
              <w:t>Numéro</w:t>
            </w:r>
          </w:p>
        </w:tc>
        <w:tc>
          <w:tcPr>
            <w:tcW w:w="1418" w:type="dxa"/>
            <w:shd w:val="clear" w:color="auto" w:fill="C5EECE"/>
          </w:tcPr>
          <w:p w14:paraId="50B4B7E0" w14:textId="77777777" w:rsidR="003B5F50" w:rsidRDefault="000D2D85">
            <w:pPr>
              <w:pStyle w:val="P68B1DB1-TableParagraph57"/>
              <w:rPr>
                <w:noProof/>
              </w:rPr>
            </w:pPr>
            <w:r>
              <w:rPr>
                <w:noProof/>
              </w:rPr>
              <w:t>0</w:t>
            </w:r>
          </w:p>
        </w:tc>
        <w:tc>
          <w:tcPr>
            <w:tcW w:w="1275" w:type="dxa"/>
            <w:shd w:val="clear" w:color="auto" w:fill="C5EECE"/>
          </w:tcPr>
          <w:p w14:paraId="50B4B7E1" w14:textId="77777777" w:rsidR="003B5F50" w:rsidRDefault="000D2D85">
            <w:pPr>
              <w:pStyle w:val="P68B1DB1-TableParagraph57"/>
              <w:rPr>
                <w:noProof/>
              </w:rPr>
            </w:pPr>
            <w:r>
              <w:rPr>
                <w:noProof/>
              </w:rPr>
              <w:t>2</w:t>
            </w:r>
          </w:p>
        </w:tc>
        <w:tc>
          <w:tcPr>
            <w:tcW w:w="1276" w:type="dxa"/>
            <w:shd w:val="clear" w:color="auto" w:fill="C5EECE"/>
          </w:tcPr>
          <w:p w14:paraId="50B4B7E2" w14:textId="77777777" w:rsidR="003B5F50" w:rsidRDefault="000D2D85">
            <w:pPr>
              <w:pStyle w:val="P68B1DB1-TableParagraph57"/>
              <w:spacing w:line="225" w:lineRule="exact"/>
              <w:ind w:left="36" w:right="27"/>
              <w:jc w:val="center"/>
              <w:rPr>
                <w:noProof/>
              </w:rPr>
            </w:pPr>
            <w:r>
              <w:rPr>
                <w:noProof/>
              </w:rPr>
              <w:t>T2</w:t>
            </w:r>
          </w:p>
        </w:tc>
        <w:tc>
          <w:tcPr>
            <w:tcW w:w="851" w:type="dxa"/>
            <w:shd w:val="clear" w:color="auto" w:fill="C5EECE"/>
          </w:tcPr>
          <w:p w14:paraId="50B4B7E3" w14:textId="77777777" w:rsidR="003B5F50" w:rsidRDefault="000D2D85">
            <w:pPr>
              <w:pStyle w:val="P68B1DB1-TableParagraph57"/>
              <w:spacing w:line="225" w:lineRule="exact"/>
              <w:ind w:left="22" w:right="7"/>
              <w:jc w:val="center"/>
              <w:rPr>
                <w:noProof/>
              </w:rPr>
            </w:pPr>
            <w:r>
              <w:rPr>
                <w:noProof/>
              </w:rPr>
              <w:t>2026</w:t>
            </w:r>
          </w:p>
        </w:tc>
        <w:tc>
          <w:tcPr>
            <w:tcW w:w="2835" w:type="dxa"/>
            <w:shd w:val="clear" w:color="auto" w:fill="C5EECE"/>
          </w:tcPr>
          <w:p w14:paraId="50B4B7E4" w14:textId="77777777" w:rsidR="003B5F50" w:rsidRDefault="000D2D85">
            <w:pPr>
              <w:pStyle w:val="P68B1DB1-Normal59"/>
              <w:spacing w:line="259" w:lineRule="auto"/>
              <w:ind w:left="112" w:right="309"/>
              <w:jc w:val="both"/>
              <w:rPr>
                <w:noProof/>
              </w:rPr>
            </w:pPr>
            <w:r>
              <w:rPr>
                <w:noProof/>
              </w:rPr>
              <w:t>Un nouveau poste de lutte contre les incendies a été construit et un poste de lutte contre les incendies existant a été rénové. Une économie d’énergie d’au moins 30 % doit être réalisée pour la station de lutte contre l’incendie rénovée.</w:t>
            </w:r>
          </w:p>
        </w:tc>
      </w:tr>
      <w:tr w:rsidR="00D60A93" w14:paraId="50B4B7F1" w14:textId="77777777" w:rsidTr="00D60A93">
        <w:trPr>
          <w:trHeight w:val="3211"/>
        </w:trPr>
        <w:tc>
          <w:tcPr>
            <w:tcW w:w="993" w:type="dxa"/>
            <w:shd w:val="clear" w:color="auto" w:fill="C5EECE"/>
          </w:tcPr>
          <w:p w14:paraId="50B4B7E6" w14:textId="77777777" w:rsidR="003B5F50" w:rsidRDefault="000D2D85">
            <w:pPr>
              <w:pStyle w:val="P68B1DB1-TableParagraph57"/>
              <w:spacing w:line="225" w:lineRule="exact"/>
              <w:ind w:left="9" w:right="1"/>
              <w:jc w:val="center"/>
              <w:rPr>
                <w:noProof/>
              </w:rPr>
            </w:pPr>
            <w:r>
              <w:rPr>
                <w:noProof/>
              </w:rPr>
              <w:t>13</w:t>
            </w:r>
          </w:p>
        </w:tc>
        <w:tc>
          <w:tcPr>
            <w:tcW w:w="1984" w:type="dxa"/>
            <w:shd w:val="clear" w:color="auto" w:fill="C5EECE"/>
          </w:tcPr>
          <w:p w14:paraId="50B4B7E7" w14:textId="77777777" w:rsidR="003B5F50" w:rsidRDefault="000D2D85">
            <w:pPr>
              <w:pStyle w:val="P68B1DB1-Normal59"/>
              <w:spacing w:line="259" w:lineRule="auto"/>
              <w:ind w:left="110" w:right="124"/>
              <w:rPr>
                <w:noProof/>
              </w:rPr>
            </w:pPr>
            <w:r>
              <w:rPr>
                <w:noProof/>
              </w:rPr>
              <w:t>16 - Lutte contre la corruption et le blanchiment de capitaux - Investissement 4: Renforcement des capacités administratives aux différents niveaux de gouvernement - création d'une autorité nationale de mise en œuvre et de coordination</w:t>
            </w:r>
          </w:p>
        </w:tc>
        <w:tc>
          <w:tcPr>
            <w:tcW w:w="1701" w:type="dxa"/>
            <w:shd w:val="clear" w:color="auto" w:fill="C5EECE"/>
          </w:tcPr>
          <w:p w14:paraId="50B4B7E8"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7E9" w14:textId="77777777" w:rsidR="003B5F50" w:rsidRDefault="000D2D85">
            <w:pPr>
              <w:pStyle w:val="P68B1DB1-TableParagraph57"/>
              <w:spacing w:line="259" w:lineRule="auto"/>
              <w:ind w:left="108" w:right="170"/>
              <w:rPr>
                <w:noProof/>
              </w:rPr>
            </w:pPr>
            <w:r>
              <w:rPr>
                <w:noProof/>
              </w:rPr>
              <w:t>Réduire au minimum le risque de mise en œuvre en mettant en place un organe de coordination, de financement et de mise en œuvre (NIKA) pour la facilité pour la reprise et la résilience</w:t>
            </w:r>
          </w:p>
        </w:tc>
        <w:tc>
          <w:tcPr>
            <w:tcW w:w="1275" w:type="dxa"/>
            <w:shd w:val="clear" w:color="auto" w:fill="C5EECE"/>
          </w:tcPr>
          <w:p w14:paraId="50B4B7EA" w14:textId="77777777" w:rsidR="003B5F50" w:rsidRDefault="000D2D85">
            <w:pPr>
              <w:pStyle w:val="P68B1DB1-TableParagraph57"/>
              <w:spacing w:line="259" w:lineRule="auto"/>
              <w:ind w:left="107" w:right="181"/>
              <w:rPr>
                <w:noProof/>
              </w:rPr>
            </w:pPr>
            <w:r>
              <w:rPr>
                <w:noProof/>
              </w:rPr>
              <w:t>Établissement et renforcement des capacités de l’autorité responsable du PRR</w:t>
            </w:r>
          </w:p>
        </w:tc>
        <w:tc>
          <w:tcPr>
            <w:tcW w:w="1276" w:type="dxa"/>
            <w:shd w:val="clear" w:color="auto" w:fill="C5EECE"/>
          </w:tcPr>
          <w:p w14:paraId="50B4B7EB" w14:textId="77777777" w:rsidR="003B5F50" w:rsidRDefault="003B5F50">
            <w:pPr>
              <w:pStyle w:val="TableParagraph"/>
              <w:rPr>
                <w:noProof/>
                <w:color w:val="006000"/>
                <w:sz w:val="20"/>
                <w:szCs w:val="20"/>
              </w:rPr>
            </w:pPr>
          </w:p>
        </w:tc>
        <w:tc>
          <w:tcPr>
            <w:tcW w:w="1418" w:type="dxa"/>
            <w:shd w:val="clear" w:color="auto" w:fill="C5EECE"/>
          </w:tcPr>
          <w:p w14:paraId="50B4B7EC" w14:textId="77777777" w:rsidR="003B5F50" w:rsidRDefault="003B5F50">
            <w:pPr>
              <w:pStyle w:val="TableParagraph"/>
              <w:rPr>
                <w:noProof/>
                <w:color w:val="006000"/>
                <w:sz w:val="20"/>
                <w:szCs w:val="20"/>
              </w:rPr>
            </w:pPr>
          </w:p>
        </w:tc>
        <w:tc>
          <w:tcPr>
            <w:tcW w:w="1275" w:type="dxa"/>
            <w:shd w:val="clear" w:color="auto" w:fill="C5EECE"/>
          </w:tcPr>
          <w:p w14:paraId="50B4B7ED" w14:textId="77777777" w:rsidR="003B5F50" w:rsidRDefault="003B5F50">
            <w:pPr>
              <w:pStyle w:val="TableParagraph"/>
              <w:rPr>
                <w:noProof/>
                <w:color w:val="006000"/>
                <w:sz w:val="20"/>
                <w:szCs w:val="20"/>
              </w:rPr>
            </w:pPr>
          </w:p>
        </w:tc>
        <w:tc>
          <w:tcPr>
            <w:tcW w:w="1276" w:type="dxa"/>
            <w:shd w:val="clear" w:color="auto" w:fill="C5EECE"/>
          </w:tcPr>
          <w:p w14:paraId="50B4B7EE" w14:textId="77777777" w:rsidR="003B5F50" w:rsidRDefault="000D2D85">
            <w:pPr>
              <w:pStyle w:val="P68B1DB1-TableParagraph57"/>
              <w:spacing w:line="225" w:lineRule="exact"/>
              <w:ind w:left="36" w:right="27"/>
              <w:jc w:val="center"/>
              <w:rPr>
                <w:noProof/>
              </w:rPr>
            </w:pPr>
            <w:r>
              <w:rPr>
                <w:noProof/>
              </w:rPr>
              <w:t>T3</w:t>
            </w:r>
          </w:p>
        </w:tc>
        <w:tc>
          <w:tcPr>
            <w:tcW w:w="851" w:type="dxa"/>
            <w:shd w:val="clear" w:color="auto" w:fill="C5EECE"/>
          </w:tcPr>
          <w:p w14:paraId="50B4B7EF" w14:textId="77777777" w:rsidR="003B5F50" w:rsidRDefault="000D2D85">
            <w:pPr>
              <w:pStyle w:val="P68B1DB1-TableParagraph57"/>
              <w:spacing w:line="225" w:lineRule="exact"/>
              <w:ind w:left="22" w:right="7"/>
              <w:jc w:val="center"/>
              <w:rPr>
                <w:noProof/>
              </w:rPr>
            </w:pPr>
            <w:r>
              <w:rPr>
                <w:noProof/>
              </w:rPr>
              <w:t>2022</w:t>
            </w:r>
          </w:p>
        </w:tc>
        <w:tc>
          <w:tcPr>
            <w:tcW w:w="2835" w:type="dxa"/>
            <w:shd w:val="clear" w:color="auto" w:fill="C5EECE"/>
          </w:tcPr>
          <w:p w14:paraId="50B4B7F0" w14:textId="77777777" w:rsidR="003B5F50" w:rsidRDefault="000D2D85">
            <w:pPr>
              <w:pStyle w:val="P68B1DB1-Normal59"/>
              <w:spacing w:line="259" w:lineRule="auto"/>
              <w:ind w:left="112" w:right="309"/>
              <w:jc w:val="both"/>
              <w:rPr>
                <w:noProof/>
              </w:rPr>
            </w:pPr>
            <w:r>
              <w:rPr>
                <w:noProof/>
              </w:rPr>
              <w:t>NIKA sera établi d'ici le troisième trimestre 2021. Il sera l’organe de coordination, de financement et de mise en œuvre de la facilité pour la reprise et la résilience. Les étapes suivantes comprennent: Renforcement des capacités du NIKA et de l’audit gouvernemental d’ici au quatrième trimestre 2021. Un nouveau système informatique aux fins de NIKA est en place d’ici au troisième trimestre 2022.</w:t>
            </w:r>
          </w:p>
        </w:tc>
      </w:tr>
      <w:tr w:rsidR="00D60A93" w14:paraId="50B4B7FE" w14:textId="77777777" w:rsidTr="00D60A93">
        <w:trPr>
          <w:trHeight w:val="3211"/>
        </w:trPr>
        <w:tc>
          <w:tcPr>
            <w:tcW w:w="993" w:type="dxa"/>
            <w:shd w:val="clear" w:color="auto" w:fill="C5EECE"/>
          </w:tcPr>
          <w:p w14:paraId="50B4B7F2" w14:textId="77777777" w:rsidR="003B5F50" w:rsidRDefault="000D2D85">
            <w:pPr>
              <w:pStyle w:val="P68B1DB1-TableParagraph57"/>
              <w:spacing w:line="225" w:lineRule="exact"/>
              <w:ind w:left="9" w:right="1"/>
              <w:jc w:val="center"/>
              <w:rPr>
                <w:noProof/>
              </w:rPr>
            </w:pPr>
            <w:r>
              <w:rPr>
                <w:noProof/>
              </w:rPr>
              <w:t>14</w:t>
            </w:r>
          </w:p>
        </w:tc>
        <w:tc>
          <w:tcPr>
            <w:tcW w:w="1984" w:type="dxa"/>
            <w:shd w:val="clear" w:color="auto" w:fill="C5EECE"/>
          </w:tcPr>
          <w:p w14:paraId="50B4B7F3" w14:textId="77777777" w:rsidR="003B5F50" w:rsidRDefault="000D2D85">
            <w:pPr>
              <w:pStyle w:val="P68B1DB1-TableParagraph57"/>
              <w:spacing w:line="259" w:lineRule="auto"/>
              <w:ind w:left="110" w:right="98"/>
              <w:rPr>
                <w:noProof/>
              </w:rPr>
            </w:pPr>
            <w:r>
              <w:rPr>
                <w:noProof/>
              </w:rPr>
              <w:t>16 - Lutte contre la corruption et le blanchiment de capitaux - Investissement 4: Renforcer les capacités administratives aux différents niveaux de gouvernement</w:t>
            </w:r>
          </w:p>
          <w:p w14:paraId="50B4B7F4" w14:textId="77777777" w:rsidR="003B5F50" w:rsidRDefault="000D2D85">
            <w:pPr>
              <w:pStyle w:val="P68B1DB1-Normal59"/>
              <w:spacing w:line="259" w:lineRule="auto"/>
              <w:ind w:left="110" w:right="124"/>
              <w:rPr>
                <w:noProof/>
              </w:rPr>
            </w:pPr>
            <w:r>
              <w:rPr>
                <w:noProof/>
              </w:rPr>
              <w:t>– création d'une autorité nationale de mise en œuvre et de coordination</w:t>
            </w:r>
          </w:p>
        </w:tc>
        <w:tc>
          <w:tcPr>
            <w:tcW w:w="1701" w:type="dxa"/>
            <w:shd w:val="clear" w:color="auto" w:fill="C5EECE"/>
          </w:tcPr>
          <w:p w14:paraId="50B4B7F5"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7F6" w14:textId="77777777" w:rsidR="003B5F50" w:rsidRDefault="000D2D85">
            <w:pPr>
              <w:pStyle w:val="P68B1DB1-TableParagraph57"/>
              <w:spacing w:line="259" w:lineRule="auto"/>
              <w:ind w:left="108" w:right="170"/>
              <w:rPr>
                <w:noProof/>
              </w:rPr>
            </w:pPr>
            <w:r>
              <w:rPr>
                <w:noProof/>
              </w:rPr>
              <w:t>Audit des contrôles &amp;: base juridique</w:t>
            </w:r>
          </w:p>
        </w:tc>
        <w:tc>
          <w:tcPr>
            <w:tcW w:w="1275" w:type="dxa"/>
            <w:shd w:val="clear" w:color="auto" w:fill="C5EECE"/>
          </w:tcPr>
          <w:p w14:paraId="50B4B7F7" w14:textId="77777777" w:rsidR="003B5F50" w:rsidRDefault="000D2D85">
            <w:pPr>
              <w:pStyle w:val="P68B1DB1-TableParagraph57"/>
              <w:spacing w:line="259" w:lineRule="auto"/>
              <w:ind w:left="107" w:right="181"/>
              <w:rPr>
                <w:noProof/>
              </w:rPr>
            </w:pPr>
            <w:r>
              <w:rPr>
                <w:noProof/>
              </w:rPr>
              <w:t xml:space="preserve">Entrée en vigueur de la </w:t>
            </w:r>
            <w:r>
              <w:rPr>
                <w:i/>
                <w:noProof/>
              </w:rPr>
              <w:t>législation relative à la facilité pour la reprise et la résilience</w:t>
            </w:r>
          </w:p>
        </w:tc>
        <w:tc>
          <w:tcPr>
            <w:tcW w:w="1276" w:type="dxa"/>
            <w:shd w:val="clear" w:color="auto" w:fill="C5EECE"/>
          </w:tcPr>
          <w:p w14:paraId="50B4B7F8" w14:textId="77777777" w:rsidR="003B5F50" w:rsidRDefault="003B5F50">
            <w:pPr>
              <w:pStyle w:val="TableParagraph"/>
              <w:rPr>
                <w:noProof/>
                <w:color w:val="006000"/>
                <w:sz w:val="20"/>
                <w:szCs w:val="20"/>
              </w:rPr>
            </w:pPr>
          </w:p>
        </w:tc>
        <w:tc>
          <w:tcPr>
            <w:tcW w:w="1418" w:type="dxa"/>
            <w:shd w:val="clear" w:color="auto" w:fill="C5EECE"/>
          </w:tcPr>
          <w:p w14:paraId="50B4B7F9" w14:textId="77777777" w:rsidR="003B5F50" w:rsidRDefault="003B5F50">
            <w:pPr>
              <w:pStyle w:val="TableParagraph"/>
              <w:rPr>
                <w:noProof/>
                <w:color w:val="006000"/>
                <w:sz w:val="20"/>
                <w:szCs w:val="20"/>
              </w:rPr>
            </w:pPr>
          </w:p>
        </w:tc>
        <w:tc>
          <w:tcPr>
            <w:tcW w:w="1275" w:type="dxa"/>
            <w:shd w:val="clear" w:color="auto" w:fill="C5EECE"/>
          </w:tcPr>
          <w:p w14:paraId="50B4B7FA" w14:textId="77777777" w:rsidR="003B5F50" w:rsidRDefault="003B5F50">
            <w:pPr>
              <w:pStyle w:val="TableParagraph"/>
              <w:rPr>
                <w:noProof/>
                <w:color w:val="006000"/>
                <w:sz w:val="20"/>
                <w:szCs w:val="20"/>
              </w:rPr>
            </w:pPr>
          </w:p>
        </w:tc>
        <w:tc>
          <w:tcPr>
            <w:tcW w:w="1276" w:type="dxa"/>
            <w:shd w:val="clear" w:color="auto" w:fill="C5EECE"/>
          </w:tcPr>
          <w:p w14:paraId="50B4B7FB" w14:textId="77777777" w:rsidR="003B5F50" w:rsidRDefault="000D2D85">
            <w:pPr>
              <w:pStyle w:val="P68B1DB1-TableParagraph57"/>
              <w:spacing w:line="225" w:lineRule="exact"/>
              <w:ind w:left="36" w:right="27"/>
              <w:jc w:val="center"/>
              <w:rPr>
                <w:noProof/>
              </w:rPr>
            </w:pPr>
            <w:r>
              <w:rPr>
                <w:noProof/>
              </w:rPr>
              <w:t>T4</w:t>
            </w:r>
          </w:p>
        </w:tc>
        <w:tc>
          <w:tcPr>
            <w:tcW w:w="851" w:type="dxa"/>
            <w:shd w:val="clear" w:color="auto" w:fill="C5EECE"/>
          </w:tcPr>
          <w:p w14:paraId="50B4B7FC" w14:textId="77777777" w:rsidR="003B5F50" w:rsidRDefault="000D2D85">
            <w:pPr>
              <w:pStyle w:val="P68B1DB1-TableParagraph57"/>
              <w:spacing w:line="225" w:lineRule="exact"/>
              <w:ind w:left="22" w:right="7"/>
              <w:jc w:val="center"/>
              <w:rPr>
                <w:noProof/>
              </w:rPr>
            </w:pPr>
            <w:r>
              <w:rPr>
                <w:noProof/>
              </w:rPr>
              <w:t>2021</w:t>
            </w:r>
          </w:p>
        </w:tc>
        <w:tc>
          <w:tcPr>
            <w:tcW w:w="2835" w:type="dxa"/>
            <w:shd w:val="clear" w:color="auto" w:fill="C5EECE"/>
          </w:tcPr>
          <w:p w14:paraId="50B4B7FD" w14:textId="77777777" w:rsidR="003B5F50" w:rsidRDefault="000D2D85">
            <w:pPr>
              <w:pStyle w:val="P68B1DB1-Normal59"/>
              <w:spacing w:line="259" w:lineRule="auto"/>
              <w:ind w:left="112" w:right="309"/>
              <w:jc w:val="both"/>
              <w:rPr>
                <w:noProof/>
              </w:rPr>
            </w:pPr>
            <w:r>
              <w:rPr>
                <w:noProof/>
              </w:rPr>
              <w:t xml:space="preserve">L’approbation parlementaire et l’entrée en vigueur légale de la </w:t>
            </w:r>
            <w:r>
              <w:rPr>
                <w:i/>
                <w:noProof/>
              </w:rPr>
              <w:t xml:space="preserve">loi relative à la facilité pour la reprise et la résilience </w:t>
            </w:r>
            <w:r>
              <w:rPr>
                <w:noProof/>
              </w:rPr>
              <w:t>doivent être achevées avant la première demande de paiement.</w:t>
            </w:r>
          </w:p>
        </w:tc>
      </w:tr>
      <w:tr w:rsidR="00D60A93" w14:paraId="50B4B80B" w14:textId="77777777" w:rsidTr="00D60A93">
        <w:trPr>
          <w:trHeight w:val="1108"/>
        </w:trPr>
        <w:tc>
          <w:tcPr>
            <w:tcW w:w="993" w:type="dxa"/>
            <w:shd w:val="clear" w:color="auto" w:fill="C5EECE"/>
          </w:tcPr>
          <w:p w14:paraId="50B4B7FF" w14:textId="77777777" w:rsidR="003B5F50" w:rsidRDefault="000D2D85">
            <w:pPr>
              <w:pStyle w:val="P68B1DB1-TableParagraph57"/>
              <w:spacing w:line="225" w:lineRule="exact"/>
              <w:ind w:left="9" w:right="1"/>
              <w:jc w:val="center"/>
              <w:rPr>
                <w:noProof/>
              </w:rPr>
            </w:pPr>
            <w:r>
              <w:rPr>
                <w:noProof/>
              </w:rPr>
              <w:t>15</w:t>
            </w:r>
          </w:p>
        </w:tc>
        <w:tc>
          <w:tcPr>
            <w:tcW w:w="1984" w:type="dxa"/>
            <w:shd w:val="clear" w:color="auto" w:fill="C5EECE"/>
          </w:tcPr>
          <w:p w14:paraId="50B4B800" w14:textId="77777777" w:rsidR="003B5F50" w:rsidRDefault="000D2D85">
            <w:pPr>
              <w:pStyle w:val="P68B1DB1-Normal59"/>
              <w:spacing w:line="259" w:lineRule="auto"/>
              <w:ind w:left="110" w:right="98"/>
              <w:rPr>
                <w:noProof/>
              </w:rPr>
            </w:pPr>
            <w:r>
              <w:rPr>
                <w:noProof/>
              </w:rPr>
              <w:t>16 - Lutte contre la corruption et le blanchiment de capitaux - Investissement 4: Renforcement des capacités administratives aux différents niveaux de gouvernement - Mise en place d'une autorité nationale de mise en œuvre et de coordination</w:t>
            </w:r>
          </w:p>
        </w:tc>
        <w:tc>
          <w:tcPr>
            <w:tcW w:w="1701" w:type="dxa"/>
            <w:shd w:val="clear" w:color="auto" w:fill="C5EECE"/>
          </w:tcPr>
          <w:p w14:paraId="50B4B801"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802" w14:textId="77777777" w:rsidR="003B5F50" w:rsidRDefault="000D2D85">
            <w:pPr>
              <w:pStyle w:val="P68B1DB1-TableParagraph57"/>
              <w:spacing w:line="259" w:lineRule="auto"/>
              <w:ind w:left="108" w:right="170"/>
              <w:rPr>
                <w:noProof/>
              </w:rPr>
            </w:pPr>
            <w:r>
              <w:rPr>
                <w:noProof/>
              </w:rPr>
              <w:t>Système de répertoire des PRR: informations pour le suivi de la mise en œuvre du PRR</w:t>
            </w:r>
          </w:p>
        </w:tc>
        <w:tc>
          <w:tcPr>
            <w:tcW w:w="1275" w:type="dxa"/>
            <w:shd w:val="clear" w:color="auto" w:fill="C5EECE"/>
          </w:tcPr>
          <w:p w14:paraId="50B4B803" w14:textId="77777777" w:rsidR="003B5F50" w:rsidRDefault="000D2D85">
            <w:pPr>
              <w:pStyle w:val="P68B1DB1-TableParagraph57"/>
              <w:spacing w:line="259" w:lineRule="auto"/>
              <w:ind w:left="107" w:right="181"/>
              <w:rPr>
                <w:noProof/>
              </w:rPr>
            </w:pPr>
            <w:r>
              <w:rPr>
                <w:noProof/>
              </w:rPr>
              <w:t>Rapport d’audit confirmant les fonctionnalités du système de répertoires</w:t>
            </w:r>
          </w:p>
        </w:tc>
        <w:tc>
          <w:tcPr>
            <w:tcW w:w="1276" w:type="dxa"/>
            <w:shd w:val="clear" w:color="auto" w:fill="C5EECE"/>
          </w:tcPr>
          <w:p w14:paraId="50B4B804" w14:textId="77777777" w:rsidR="003B5F50" w:rsidRDefault="003B5F50">
            <w:pPr>
              <w:pStyle w:val="TableParagraph"/>
              <w:rPr>
                <w:noProof/>
                <w:color w:val="006000"/>
                <w:sz w:val="20"/>
                <w:szCs w:val="20"/>
              </w:rPr>
            </w:pPr>
          </w:p>
        </w:tc>
        <w:tc>
          <w:tcPr>
            <w:tcW w:w="1418" w:type="dxa"/>
            <w:shd w:val="clear" w:color="auto" w:fill="C5EECE"/>
          </w:tcPr>
          <w:p w14:paraId="50B4B805" w14:textId="77777777" w:rsidR="003B5F50" w:rsidRDefault="003B5F50">
            <w:pPr>
              <w:pStyle w:val="TableParagraph"/>
              <w:rPr>
                <w:noProof/>
                <w:color w:val="006000"/>
                <w:sz w:val="20"/>
                <w:szCs w:val="20"/>
              </w:rPr>
            </w:pPr>
          </w:p>
        </w:tc>
        <w:tc>
          <w:tcPr>
            <w:tcW w:w="1275" w:type="dxa"/>
            <w:shd w:val="clear" w:color="auto" w:fill="C5EECE"/>
          </w:tcPr>
          <w:p w14:paraId="50B4B806" w14:textId="77777777" w:rsidR="003B5F50" w:rsidRDefault="003B5F50">
            <w:pPr>
              <w:pStyle w:val="TableParagraph"/>
              <w:rPr>
                <w:noProof/>
                <w:color w:val="006000"/>
                <w:sz w:val="20"/>
                <w:szCs w:val="20"/>
              </w:rPr>
            </w:pPr>
          </w:p>
        </w:tc>
        <w:tc>
          <w:tcPr>
            <w:tcW w:w="1276" w:type="dxa"/>
            <w:shd w:val="clear" w:color="auto" w:fill="C5EECE"/>
          </w:tcPr>
          <w:p w14:paraId="50B4B807" w14:textId="77777777" w:rsidR="003B5F50" w:rsidRDefault="000D2D85">
            <w:pPr>
              <w:pStyle w:val="P68B1DB1-TableParagraph57"/>
              <w:spacing w:line="225" w:lineRule="exact"/>
              <w:ind w:left="36" w:right="27"/>
              <w:jc w:val="center"/>
              <w:rPr>
                <w:noProof/>
              </w:rPr>
            </w:pPr>
            <w:r>
              <w:rPr>
                <w:noProof/>
              </w:rPr>
              <w:t>T4</w:t>
            </w:r>
          </w:p>
        </w:tc>
        <w:tc>
          <w:tcPr>
            <w:tcW w:w="851" w:type="dxa"/>
            <w:shd w:val="clear" w:color="auto" w:fill="C5EECE"/>
          </w:tcPr>
          <w:p w14:paraId="50B4B808" w14:textId="77777777" w:rsidR="003B5F50" w:rsidRDefault="000D2D85">
            <w:pPr>
              <w:pStyle w:val="P68B1DB1-TableParagraph57"/>
              <w:spacing w:line="225" w:lineRule="exact"/>
              <w:ind w:left="22" w:right="7"/>
              <w:jc w:val="center"/>
              <w:rPr>
                <w:noProof/>
              </w:rPr>
            </w:pPr>
            <w:r>
              <w:rPr>
                <w:noProof/>
              </w:rPr>
              <w:t>2021</w:t>
            </w:r>
          </w:p>
        </w:tc>
        <w:tc>
          <w:tcPr>
            <w:tcW w:w="2835" w:type="dxa"/>
            <w:shd w:val="clear" w:color="auto" w:fill="C5EECE"/>
          </w:tcPr>
          <w:p w14:paraId="50B4B809" w14:textId="77777777" w:rsidR="003B5F50" w:rsidRDefault="000D2D85">
            <w:pPr>
              <w:pStyle w:val="P68B1DB1-TableParagraph57"/>
              <w:spacing w:line="259" w:lineRule="auto"/>
              <w:ind w:left="112" w:right="131"/>
              <w:rPr>
                <w:noProof/>
              </w:rPr>
            </w:pPr>
            <w:r>
              <w:rPr>
                <w:noProof/>
              </w:rPr>
              <w:t>Un système de répertoire, qui peut prendre la forme d’une feuille Excel, pour le suivi de la mise en œuvre du PRR est en place et opérationnel.</w:t>
            </w:r>
          </w:p>
          <w:p w14:paraId="50B4B80A" w14:textId="77777777" w:rsidR="003B5F50" w:rsidRDefault="000D2D85">
            <w:pPr>
              <w:pStyle w:val="P68B1DB1-TableParagraph58"/>
              <w:spacing w:before="153" w:line="259" w:lineRule="auto"/>
              <w:ind w:left="112" w:right="147"/>
              <w:rPr>
                <w:noProof/>
              </w:rPr>
            </w:pPr>
            <w:r>
              <w:rPr>
                <w:noProof/>
                <w:color w:val="006000"/>
              </w:rPr>
              <w:t>Le système comprend, au minimum, les fonctionnalités suivantes:</w:t>
            </w:r>
            <w:r>
              <w:rPr>
                <w:noProof/>
              </w:rPr>
              <w:t xml:space="preserve"> </w:t>
            </w:r>
            <w:r>
              <w:rPr>
                <w:noProof/>
                <w:color w:val="006000"/>
              </w:rPr>
              <w:t>la collecte de données et le suivi de la réalisation des jalons et cibles; collecter, stocker et garantir l’accès aux données requises par l’article 22, paragraphe 2, point d) i) à iii), du règlement FRR.</w:t>
            </w:r>
          </w:p>
        </w:tc>
      </w:tr>
      <w:tr w:rsidR="00D60A93" w14:paraId="50B4B818" w14:textId="77777777" w:rsidTr="00D60A93">
        <w:trPr>
          <w:trHeight w:val="3211"/>
        </w:trPr>
        <w:tc>
          <w:tcPr>
            <w:tcW w:w="993" w:type="dxa"/>
            <w:shd w:val="clear" w:color="auto" w:fill="C5EECE"/>
          </w:tcPr>
          <w:p w14:paraId="50B4B80C" w14:textId="77777777" w:rsidR="003B5F50" w:rsidRDefault="000D2D85">
            <w:pPr>
              <w:pStyle w:val="P68B1DB1-TableParagraph57"/>
              <w:spacing w:line="225" w:lineRule="exact"/>
              <w:ind w:left="9" w:right="1"/>
              <w:jc w:val="center"/>
              <w:rPr>
                <w:noProof/>
              </w:rPr>
            </w:pPr>
            <w:r>
              <w:rPr>
                <w:noProof/>
              </w:rPr>
              <w:t>16</w:t>
            </w:r>
          </w:p>
        </w:tc>
        <w:tc>
          <w:tcPr>
            <w:tcW w:w="1984" w:type="dxa"/>
            <w:shd w:val="clear" w:color="auto" w:fill="C5EECE"/>
          </w:tcPr>
          <w:p w14:paraId="50B4B80D" w14:textId="77777777" w:rsidR="003B5F50" w:rsidRDefault="000D2D85">
            <w:pPr>
              <w:pStyle w:val="P68B1DB1-TableParagraph57"/>
              <w:spacing w:line="259" w:lineRule="auto"/>
              <w:ind w:left="110" w:right="131"/>
              <w:rPr>
                <w:noProof/>
              </w:rPr>
            </w:pPr>
            <w:r>
              <w:rPr>
                <w:noProof/>
              </w:rPr>
              <w:t>16 - Lutte contre la corruption et le blanchiment d'argent - Investissement 4:Renforcement de l'administration</w:t>
            </w:r>
          </w:p>
          <w:p w14:paraId="50B4B80E" w14:textId="77777777" w:rsidR="003B5F50" w:rsidRDefault="000D2D85">
            <w:pPr>
              <w:pStyle w:val="P68B1DB1-Normal59"/>
              <w:spacing w:line="259" w:lineRule="auto"/>
              <w:ind w:left="110" w:right="98"/>
              <w:rPr>
                <w:noProof/>
              </w:rPr>
            </w:pPr>
            <w:r>
              <w:rPr>
                <w:noProof/>
              </w:rPr>
              <w:t>capacité à différents niveaux de gouvernement – création de centres de services partagés</w:t>
            </w:r>
          </w:p>
        </w:tc>
        <w:tc>
          <w:tcPr>
            <w:tcW w:w="1701" w:type="dxa"/>
            <w:shd w:val="clear" w:color="auto" w:fill="C5EECE"/>
          </w:tcPr>
          <w:p w14:paraId="50B4B80F" w14:textId="77777777" w:rsidR="003B5F50" w:rsidRDefault="000D2D85">
            <w:pPr>
              <w:pStyle w:val="P68B1DB1-TableParagraph57"/>
              <w:spacing w:line="225" w:lineRule="exact"/>
              <w:ind w:left="1" w:right="92"/>
              <w:jc w:val="center"/>
              <w:rPr>
                <w:noProof/>
              </w:rPr>
            </w:pPr>
            <w:r>
              <w:rPr>
                <w:noProof/>
              </w:rPr>
              <w:t>Objectif</w:t>
            </w:r>
          </w:p>
        </w:tc>
        <w:tc>
          <w:tcPr>
            <w:tcW w:w="851" w:type="dxa"/>
            <w:shd w:val="clear" w:color="auto" w:fill="C5EECE"/>
          </w:tcPr>
          <w:p w14:paraId="50B4B810" w14:textId="77777777" w:rsidR="003B5F50" w:rsidRDefault="000D2D85">
            <w:pPr>
              <w:pStyle w:val="P68B1DB1-TableParagraph57"/>
              <w:spacing w:line="259" w:lineRule="auto"/>
              <w:ind w:left="108" w:right="170"/>
              <w:rPr>
                <w:noProof/>
              </w:rPr>
            </w:pPr>
            <w:r>
              <w:rPr>
                <w:noProof/>
              </w:rPr>
              <w:t>Création de centres de services partagés.</w:t>
            </w:r>
          </w:p>
        </w:tc>
        <w:tc>
          <w:tcPr>
            <w:tcW w:w="1275" w:type="dxa"/>
            <w:shd w:val="clear" w:color="auto" w:fill="C5EECE"/>
          </w:tcPr>
          <w:p w14:paraId="50B4B811" w14:textId="77777777" w:rsidR="003B5F50" w:rsidRDefault="003B5F50">
            <w:pPr>
              <w:pStyle w:val="TableParagraph"/>
              <w:spacing w:line="259" w:lineRule="auto"/>
              <w:ind w:left="107" w:right="181"/>
              <w:rPr>
                <w:noProof/>
                <w:color w:val="006000"/>
                <w:sz w:val="20"/>
                <w:szCs w:val="20"/>
              </w:rPr>
            </w:pPr>
          </w:p>
        </w:tc>
        <w:tc>
          <w:tcPr>
            <w:tcW w:w="1276" w:type="dxa"/>
            <w:shd w:val="clear" w:color="auto" w:fill="C5EECE"/>
          </w:tcPr>
          <w:p w14:paraId="50B4B812" w14:textId="77777777" w:rsidR="003B5F50" w:rsidRDefault="003B5F50">
            <w:pPr>
              <w:pStyle w:val="TableParagraph"/>
              <w:rPr>
                <w:noProof/>
                <w:color w:val="006000"/>
                <w:sz w:val="20"/>
                <w:szCs w:val="20"/>
              </w:rPr>
            </w:pPr>
          </w:p>
        </w:tc>
        <w:tc>
          <w:tcPr>
            <w:tcW w:w="1418" w:type="dxa"/>
            <w:shd w:val="clear" w:color="auto" w:fill="C5EECE"/>
          </w:tcPr>
          <w:p w14:paraId="50B4B813" w14:textId="77777777" w:rsidR="003B5F50" w:rsidRDefault="000D2D85">
            <w:pPr>
              <w:pStyle w:val="P68B1DB1-TableParagraph57"/>
              <w:rPr>
                <w:noProof/>
              </w:rPr>
            </w:pPr>
            <w:r>
              <w:rPr>
                <w:noProof/>
              </w:rPr>
              <w:t>0</w:t>
            </w:r>
          </w:p>
        </w:tc>
        <w:tc>
          <w:tcPr>
            <w:tcW w:w="1275" w:type="dxa"/>
            <w:shd w:val="clear" w:color="auto" w:fill="C5EECE"/>
          </w:tcPr>
          <w:p w14:paraId="50B4B814" w14:textId="77777777" w:rsidR="003B5F50" w:rsidRDefault="000D2D85">
            <w:pPr>
              <w:pStyle w:val="P68B1DB1-TableParagraph57"/>
              <w:rPr>
                <w:noProof/>
              </w:rPr>
            </w:pPr>
            <w:r>
              <w:rPr>
                <w:noProof/>
              </w:rPr>
              <w:t>20</w:t>
            </w:r>
          </w:p>
        </w:tc>
        <w:tc>
          <w:tcPr>
            <w:tcW w:w="1276" w:type="dxa"/>
            <w:shd w:val="clear" w:color="auto" w:fill="C5EECE"/>
          </w:tcPr>
          <w:p w14:paraId="50B4B815" w14:textId="77777777" w:rsidR="003B5F50" w:rsidRDefault="000D2D85">
            <w:pPr>
              <w:pStyle w:val="P68B1DB1-TableParagraph57"/>
              <w:spacing w:line="225" w:lineRule="exact"/>
              <w:ind w:left="36" w:right="27"/>
              <w:jc w:val="center"/>
              <w:rPr>
                <w:noProof/>
              </w:rPr>
            </w:pPr>
            <w:r>
              <w:rPr>
                <w:noProof/>
              </w:rPr>
              <w:t>T4</w:t>
            </w:r>
          </w:p>
        </w:tc>
        <w:tc>
          <w:tcPr>
            <w:tcW w:w="851" w:type="dxa"/>
            <w:shd w:val="clear" w:color="auto" w:fill="C5EECE"/>
          </w:tcPr>
          <w:p w14:paraId="50B4B816" w14:textId="77777777" w:rsidR="003B5F50" w:rsidRDefault="000D2D85">
            <w:pPr>
              <w:pStyle w:val="P68B1DB1-TableParagraph57"/>
              <w:spacing w:line="225" w:lineRule="exact"/>
              <w:ind w:left="22" w:right="7"/>
              <w:jc w:val="center"/>
              <w:rPr>
                <w:noProof/>
              </w:rPr>
            </w:pPr>
            <w:r>
              <w:rPr>
                <w:noProof/>
              </w:rPr>
              <w:t>2024</w:t>
            </w:r>
          </w:p>
        </w:tc>
        <w:tc>
          <w:tcPr>
            <w:tcW w:w="2835" w:type="dxa"/>
            <w:shd w:val="clear" w:color="auto" w:fill="C5EECE"/>
          </w:tcPr>
          <w:p w14:paraId="50B4B817" w14:textId="77777777" w:rsidR="003B5F50" w:rsidRDefault="000D2D85">
            <w:pPr>
              <w:pStyle w:val="P68B1DB1-Normal59"/>
              <w:spacing w:line="259" w:lineRule="auto"/>
              <w:ind w:left="112" w:right="131"/>
              <w:rPr>
                <w:noProof/>
              </w:rPr>
            </w:pPr>
            <w:r>
              <w:rPr>
                <w:noProof/>
              </w:rPr>
              <w:t>20 centres de services partagés sont mis en place en mettant l’accent sur les régions les plus en retard. Ces centres de services partagés contribuent à la mise en commun des capacités au niveau local en matière de fourniture de services publics.</w:t>
            </w:r>
          </w:p>
        </w:tc>
      </w:tr>
      <w:tr w:rsidR="00D60A93" w14:paraId="50B4B824" w14:textId="77777777" w:rsidTr="00D60A93">
        <w:trPr>
          <w:trHeight w:val="3211"/>
        </w:trPr>
        <w:tc>
          <w:tcPr>
            <w:tcW w:w="993" w:type="dxa"/>
            <w:shd w:val="clear" w:color="auto" w:fill="C5EECE"/>
          </w:tcPr>
          <w:p w14:paraId="50B4B819" w14:textId="77777777" w:rsidR="003B5F50" w:rsidRDefault="000D2D85">
            <w:pPr>
              <w:pStyle w:val="P68B1DB1-TableParagraph57"/>
              <w:spacing w:line="225" w:lineRule="exact"/>
              <w:ind w:left="9" w:right="1"/>
              <w:jc w:val="center"/>
              <w:rPr>
                <w:noProof/>
              </w:rPr>
            </w:pPr>
            <w:r>
              <w:rPr>
                <w:noProof/>
              </w:rPr>
              <w:t>19</w:t>
            </w:r>
          </w:p>
        </w:tc>
        <w:tc>
          <w:tcPr>
            <w:tcW w:w="1984" w:type="dxa"/>
            <w:shd w:val="clear" w:color="auto" w:fill="C5EECE"/>
          </w:tcPr>
          <w:p w14:paraId="50B4B81A" w14:textId="146E7F00" w:rsidR="003B5F50" w:rsidRDefault="000D2D85">
            <w:pPr>
              <w:pStyle w:val="P68B1DB1-Normal59"/>
              <w:spacing w:line="259" w:lineRule="auto"/>
              <w:ind w:left="110" w:right="131"/>
              <w:rPr>
                <w:noProof/>
              </w:rPr>
            </w:pPr>
            <w:r>
              <w:rPr>
                <w:noProof/>
              </w:rPr>
              <w:t>16 - Lutte contre la corruption et le blanchiment de capitaux - Investissement 4: Renforcement des capacités administratives aux différents niveaux de gouvernement – Nouveau matériel pour l’administration publique</w:t>
            </w:r>
          </w:p>
        </w:tc>
        <w:tc>
          <w:tcPr>
            <w:tcW w:w="1701" w:type="dxa"/>
            <w:shd w:val="clear" w:color="auto" w:fill="C5EECE"/>
          </w:tcPr>
          <w:p w14:paraId="50B4B81B"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81C" w14:textId="2B3D99E6" w:rsidR="003B5F50" w:rsidRDefault="000D2D85">
            <w:pPr>
              <w:pStyle w:val="P68B1DB1-TableParagraph57"/>
              <w:spacing w:line="259" w:lineRule="auto"/>
              <w:ind w:left="108" w:right="170"/>
              <w:rPr>
                <w:noProof/>
              </w:rPr>
            </w:pPr>
            <w:r>
              <w:rPr>
                <w:noProof/>
              </w:rPr>
              <w:t>Nouveau matériel pour l’administration publique (ministère de l’intérieur de la République slovaque)</w:t>
            </w:r>
          </w:p>
        </w:tc>
        <w:tc>
          <w:tcPr>
            <w:tcW w:w="1275" w:type="dxa"/>
            <w:shd w:val="clear" w:color="auto" w:fill="C5EECE"/>
          </w:tcPr>
          <w:p w14:paraId="50B4B81D" w14:textId="4334A84F" w:rsidR="003B5F50" w:rsidRDefault="000D2D85">
            <w:pPr>
              <w:pStyle w:val="P68B1DB1-TableParagraph58"/>
              <w:spacing w:line="259" w:lineRule="auto"/>
              <w:ind w:left="107" w:right="181"/>
              <w:rPr>
                <w:noProof/>
                <w:color w:val="006000"/>
              </w:rPr>
            </w:pPr>
            <w:r>
              <w:rPr>
                <w:noProof/>
                <w:color w:val="006000"/>
              </w:rPr>
              <w:t>Livraison du nouveau matériel (y compris, par exemple, les périphériques, accessoires, logiciels nécessaires pour assurer la fonctionnalité ou les services du matériel) pour le ministère de l’intérieur de la République slovaque et ses organisations et départements subordonnés</w:t>
            </w:r>
            <w:r>
              <w:rPr>
                <w:noProof/>
              </w:rPr>
              <w:t xml:space="preserve"> </w:t>
            </w:r>
          </w:p>
        </w:tc>
        <w:tc>
          <w:tcPr>
            <w:tcW w:w="1276" w:type="dxa"/>
            <w:shd w:val="clear" w:color="auto" w:fill="C5EECE"/>
          </w:tcPr>
          <w:p w14:paraId="50B4B81E" w14:textId="77777777" w:rsidR="003B5F50" w:rsidRDefault="003B5F50">
            <w:pPr>
              <w:pStyle w:val="TableParagraph"/>
              <w:rPr>
                <w:noProof/>
                <w:color w:val="006000"/>
                <w:sz w:val="20"/>
                <w:szCs w:val="20"/>
              </w:rPr>
            </w:pPr>
          </w:p>
        </w:tc>
        <w:tc>
          <w:tcPr>
            <w:tcW w:w="1418" w:type="dxa"/>
            <w:shd w:val="clear" w:color="auto" w:fill="C5EECE"/>
          </w:tcPr>
          <w:p w14:paraId="50B4B81F" w14:textId="77777777" w:rsidR="003B5F50" w:rsidRDefault="003B5F50">
            <w:pPr>
              <w:pStyle w:val="TableParagraph"/>
              <w:rPr>
                <w:noProof/>
                <w:color w:val="006000"/>
                <w:sz w:val="20"/>
                <w:szCs w:val="20"/>
              </w:rPr>
            </w:pPr>
          </w:p>
        </w:tc>
        <w:tc>
          <w:tcPr>
            <w:tcW w:w="1275" w:type="dxa"/>
            <w:shd w:val="clear" w:color="auto" w:fill="C5EECE"/>
          </w:tcPr>
          <w:p w14:paraId="50B4B820" w14:textId="77777777" w:rsidR="003B5F50" w:rsidRDefault="003B5F50">
            <w:pPr>
              <w:pStyle w:val="TableParagraph"/>
              <w:rPr>
                <w:noProof/>
                <w:color w:val="006000"/>
                <w:sz w:val="20"/>
                <w:szCs w:val="20"/>
              </w:rPr>
            </w:pPr>
          </w:p>
        </w:tc>
        <w:tc>
          <w:tcPr>
            <w:tcW w:w="1276" w:type="dxa"/>
            <w:shd w:val="clear" w:color="auto" w:fill="C5EECE"/>
          </w:tcPr>
          <w:p w14:paraId="50B4B821" w14:textId="77777777" w:rsidR="003B5F50" w:rsidRDefault="000D2D85">
            <w:pPr>
              <w:pStyle w:val="P68B1DB1-TableParagraph57"/>
              <w:spacing w:line="225" w:lineRule="exact"/>
              <w:ind w:left="36" w:right="27"/>
              <w:jc w:val="center"/>
              <w:rPr>
                <w:noProof/>
              </w:rPr>
            </w:pPr>
            <w:r>
              <w:rPr>
                <w:noProof/>
              </w:rPr>
              <w:t>T2</w:t>
            </w:r>
          </w:p>
        </w:tc>
        <w:tc>
          <w:tcPr>
            <w:tcW w:w="851" w:type="dxa"/>
            <w:shd w:val="clear" w:color="auto" w:fill="C5EECE"/>
          </w:tcPr>
          <w:p w14:paraId="50B4B822" w14:textId="77777777" w:rsidR="003B5F50" w:rsidRDefault="000D2D85">
            <w:pPr>
              <w:pStyle w:val="P68B1DB1-TableParagraph57"/>
              <w:spacing w:line="225" w:lineRule="exact"/>
              <w:ind w:left="22" w:right="7"/>
              <w:jc w:val="center"/>
              <w:rPr>
                <w:noProof/>
              </w:rPr>
            </w:pPr>
            <w:r>
              <w:rPr>
                <w:noProof/>
              </w:rPr>
              <w:t>2026</w:t>
            </w:r>
          </w:p>
        </w:tc>
        <w:tc>
          <w:tcPr>
            <w:tcW w:w="2835" w:type="dxa"/>
            <w:shd w:val="clear" w:color="auto" w:fill="C5EECE"/>
          </w:tcPr>
          <w:p w14:paraId="50B4B823" w14:textId="3357C627" w:rsidR="003B5F50" w:rsidRDefault="000D2D85">
            <w:pPr>
              <w:pStyle w:val="P68B1DB1-Normlny8"/>
              <w:ind w:left="112" w:right="131"/>
              <w:rPr>
                <w:rFonts w:ascii="Times New Roman" w:hAnsi="Times New Roman" w:cs="Times New Roman"/>
                <w:noProof/>
                <w:color w:val="006000"/>
              </w:rPr>
            </w:pPr>
            <w:r>
              <w:rPr>
                <w:rFonts w:ascii="Times New Roman" w:hAnsi="Times New Roman" w:cs="Times New Roman"/>
                <w:noProof/>
                <w:color w:val="006000"/>
              </w:rPr>
              <w:t>Un nouvel équipement matériel (y compris, par exemple, les périphériques, accessoires et logiciels nécessaires pour assurer la fonctionnalité ou les services matériels) sera fourni au ministère de l’intérieur de la République slovaque et à ses organisations et départements subordonnés, qui appartiennent au ministère de l’intérieur de la République slovaque sur le plan organisationnel, y compris les unités de police chargées de la lutte contre la corruption et le blanchiment d’argent et des enquêtes sur les infractions PIF, pour un montant de 30</w:t>
            </w:r>
            <w:r>
              <w:rPr>
                <w:rFonts w:ascii="Times New Roman" w:hAnsi="Times New Roman"/>
                <w:noProof/>
                <w:color w:val="006100"/>
              </w:rPr>
              <w:t> </w:t>
            </w:r>
            <w:r>
              <w:rPr>
                <w:rFonts w:ascii="Times New Roman" w:hAnsi="Times New Roman" w:cs="Times New Roman"/>
                <w:noProof/>
                <w:color w:val="006000"/>
              </w:rPr>
              <w:t>000</w:t>
            </w:r>
            <w:r>
              <w:rPr>
                <w:rFonts w:ascii="Times New Roman" w:hAnsi="Times New Roman"/>
                <w:noProof/>
                <w:color w:val="006100"/>
              </w:rPr>
              <w:t> </w:t>
            </w:r>
            <w:r>
              <w:rPr>
                <w:rFonts w:ascii="Times New Roman" w:hAnsi="Times New Roman" w:cs="Times New Roman"/>
                <w:noProof/>
                <w:color w:val="006000"/>
              </w:rPr>
              <w:t>000 EUR.</w:t>
            </w:r>
          </w:p>
        </w:tc>
      </w:tr>
      <w:tr w:rsidR="00D60A93" w14:paraId="50B4B833" w14:textId="77777777" w:rsidTr="00D60A93">
        <w:trPr>
          <w:trHeight w:val="3211"/>
        </w:trPr>
        <w:tc>
          <w:tcPr>
            <w:tcW w:w="993" w:type="dxa"/>
            <w:shd w:val="clear" w:color="auto" w:fill="C5EECE"/>
          </w:tcPr>
          <w:p w14:paraId="50B4B825" w14:textId="77777777" w:rsidR="003B5F50" w:rsidRDefault="000D2D85">
            <w:pPr>
              <w:pStyle w:val="P68B1DB1-TableParagraph57"/>
              <w:spacing w:line="225" w:lineRule="exact"/>
              <w:ind w:left="9" w:right="1"/>
              <w:jc w:val="center"/>
              <w:rPr>
                <w:noProof/>
              </w:rPr>
            </w:pPr>
            <w:r>
              <w:rPr>
                <w:noProof/>
              </w:rPr>
              <w:t>20</w:t>
            </w:r>
          </w:p>
        </w:tc>
        <w:tc>
          <w:tcPr>
            <w:tcW w:w="1984" w:type="dxa"/>
            <w:shd w:val="clear" w:color="auto" w:fill="C5EECE"/>
          </w:tcPr>
          <w:p w14:paraId="50B4B826" w14:textId="6F649FCB" w:rsidR="003B5F50" w:rsidRDefault="000D2D85">
            <w:pPr>
              <w:pStyle w:val="P68B1DB1-Normal59"/>
              <w:spacing w:line="259" w:lineRule="auto"/>
              <w:ind w:left="110" w:right="131"/>
              <w:rPr>
                <w:noProof/>
              </w:rPr>
            </w:pPr>
            <w:r>
              <w:rPr>
                <w:noProof/>
              </w:rPr>
              <w:t>16 - Lutte contre la corruption et le blanchiment de capitaux - Investissement 4: Renforcement des capacités administratives aux différents niveaux de gouvernement – Nouveaux équipements informatiques pour l’administration publique</w:t>
            </w:r>
          </w:p>
        </w:tc>
        <w:tc>
          <w:tcPr>
            <w:tcW w:w="1701" w:type="dxa"/>
            <w:shd w:val="clear" w:color="auto" w:fill="C5EECE"/>
          </w:tcPr>
          <w:p w14:paraId="50B4B827"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828" w14:textId="32D5BBCB" w:rsidR="003B5F50" w:rsidRDefault="000D2D85">
            <w:pPr>
              <w:pStyle w:val="P68B1DB1-TableParagraph57"/>
              <w:spacing w:line="259" w:lineRule="auto"/>
              <w:ind w:left="108" w:right="170"/>
              <w:rPr>
                <w:noProof/>
              </w:rPr>
            </w:pPr>
            <w:r>
              <w:rPr>
                <w:noProof/>
              </w:rPr>
              <w:t>Nouveaux équipements informatiques pour l'administration publique.</w:t>
            </w:r>
          </w:p>
        </w:tc>
        <w:tc>
          <w:tcPr>
            <w:tcW w:w="1275" w:type="dxa"/>
            <w:shd w:val="clear" w:color="auto" w:fill="C5EECE"/>
          </w:tcPr>
          <w:p w14:paraId="50B4B829" w14:textId="3159E0A7" w:rsidR="003B5F50" w:rsidRDefault="000D2D85">
            <w:pPr>
              <w:pStyle w:val="P68B1DB1-TableParagraph57"/>
              <w:spacing w:line="259" w:lineRule="auto"/>
              <w:ind w:left="107" w:right="181"/>
              <w:rPr>
                <w:noProof/>
              </w:rPr>
            </w:pPr>
            <w:r>
              <w:rPr>
                <w:noProof/>
              </w:rPr>
              <w:t>Livraison du nouvel équipement informatique (par exemple, matériel et périphériques nécessaires, accessoires et logiciels pour garantir la fonctionnalité matérielle, licences, systèmes opérationnels et matériel pour la sécurité de l’infrastructure informatique, équipement informatique pour centre d’appels, infrastructure de réseau informatique et composants de réseau ou services connexes) pour l’administration publique</w:t>
            </w:r>
          </w:p>
        </w:tc>
        <w:tc>
          <w:tcPr>
            <w:tcW w:w="1276" w:type="dxa"/>
            <w:shd w:val="clear" w:color="auto" w:fill="C5EECE"/>
          </w:tcPr>
          <w:p w14:paraId="50B4B82A" w14:textId="77777777" w:rsidR="003B5F50" w:rsidRDefault="003B5F50">
            <w:pPr>
              <w:pStyle w:val="TableParagraph"/>
              <w:rPr>
                <w:noProof/>
                <w:color w:val="006000"/>
                <w:sz w:val="20"/>
                <w:szCs w:val="20"/>
              </w:rPr>
            </w:pPr>
          </w:p>
        </w:tc>
        <w:tc>
          <w:tcPr>
            <w:tcW w:w="1418" w:type="dxa"/>
            <w:shd w:val="clear" w:color="auto" w:fill="C5EECE"/>
          </w:tcPr>
          <w:p w14:paraId="50B4B82B" w14:textId="77777777" w:rsidR="003B5F50" w:rsidRDefault="003B5F50">
            <w:pPr>
              <w:pStyle w:val="TableParagraph"/>
              <w:rPr>
                <w:noProof/>
                <w:color w:val="006000"/>
                <w:sz w:val="20"/>
                <w:szCs w:val="20"/>
              </w:rPr>
            </w:pPr>
          </w:p>
        </w:tc>
        <w:tc>
          <w:tcPr>
            <w:tcW w:w="1275" w:type="dxa"/>
            <w:shd w:val="clear" w:color="auto" w:fill="C5EECE"/>
          </w:tcPr>
          <w:p w14:paraId="50B4B82C" w14:textId="77777777" w:rsidR="003B5F50" w:rsidRDefault="003B5F50">
            <w:pPr>
              <w:pStyle w:val="TableParagraph"/>
              <w:rPr>
                <w:noProof/>
                <w:color w:val="006000"/>
                <w:sz w:val="20"/>
                <w:szCs w:val="20"/>
              </w:rPr>
            </w:pPr>
          </w:p>
        </w:tc>
        <w:tc>
          <w:tcPr>
            <w:tcW w:w="1276" w:type="dxa"/>
            <w:shd w:val="clear" w:color="auto" w:fill="C5EECE"/>
          </w:tcPr>
          <w:p w14:paraId="50B4B82D" w14:textId="77777777" w:rsidR="003B5F50" w:rsidRDefault="000D2D85">
            <w:pPr>
              <w:pStyle w:val="P68B1DB1-TableParagraph57"/>
              <w:spacing w:line="225" w:lineRule="exact"/>
              <w:ind w:left="36" w:right="27"/>
              <w:jc w:val="center"/>
              <w:rPr>
                <w:noProof/>
              </w:rPr>
            </w:pPr>
            <w:r>
              <w:rPr>
                <w:noProof/>
              </w:rPr>
              <w:t>T2</w:t>
            </w:r>
          </w:p>
        </w:tc>
        <w:tc>
          <w:tcPr>
            <w:tcW w:w="851" w:type="dxa"/>
            <w:shd w:val="clear" w:color="auto" w:fill="C5EECE"/>
          </w:tcPr>
          <w:p w14:paraId="50B4B82E" w14:textId="77777777" w:rsidR="003B5F50" w:rsidRDefault="000D2D85">
            <w:pPr>
              <w:pStyle w:val="P68B1DB1-TableParagraph57"/>
              <w:spacing w:line="225" w:lineRule="exact"/>
              <w:ind w:left="22" w:right="7"/>
              <w:jc w:val="center"/>
              <w:rPr>
                <w:noProof/>
              </w:rPr>
            </w:pPr>
            <w:r>
              <w:rPr>
                <w:noProof/>
              </w:rPr>
              <w:t>2026</w:t>
            </w:r>
          </w:p>
        </w:tc>
        <w:tc>
          <w:tcPr>
            <w:tcW w:w="2835" w:type="dxa"/>
            <w:shd w:val="clear" w:color="auto" w:fill="C5EECE"/>
          </w:tcPr>
          <w:p w14:paraId="50B4B832" w14:textId="24454F8A" w:rsidR="003B5F50" w:rsidRDefault="000D2D85">
            <w:pPr>
              <w:pStyle w:val="P68B1DB1-TableParagraph57"/>
              <w:spacing w:line="223" w:lineRule="exact"/>
              <w:rPr>
                <w:noProof/>
              </w:rPr>
            </w:pPr>
            <w:r>
              <w:rPr>
                <w:noProof/>
              </w:rPr>
              <w:t xml:space="preserve">De nouveaux équipements informatiques (par exemple, le matériel et les périphériques, accessoires et logiciels nécessaires pour garantir la fonctionnalité du matériel, les licences, les systèmes opérationnels et le matériel pour la sécurité de l’infrastructure informatique, le matériel informatique pour le centre d’appels, l’infrastructure de réseau informatique et les composants de réseau ou les services connexes) destinés aux institutions de l’administration publique autres que le ministère de l’intérieur de la République slovaque et à ses organisations et départements subordonnés doivent être fournis. La livraison doit inclure de nouveaux équipements pour stocker et sauvegarder les données et assurer le fonctionnement sécurisé du centre de données. Le montant total de l'investissement s'élève à 31 172 711,83 EUR. </w:t>
            </w:r>
          </w:p>
        </w:tc>
      </w:tr>
      <w:tr w:rsidR="00D60A93" w14:paraId="50B4B842" w14:textId="77777777" w:rsidTr="00D60A93">
        <w:trPr>
          <w:trHeight w:val="3211"/>
        </w:trPr>
        <w:tc>
          <w:tcPr>
            <w:tcW w:w="993" w:type="dxa"/>
            <w:shd w:val="clear" w:color="auto" w:fill="C5EECE"/>
          </w:tcPr>
          <w:p w14:paraId="50B4B834" w14:textId="77777777" w:rsidR="003B5F50" w:rsidRDefault="000D2D85">
            <w:pPr>
              <w:pStyle w:val="P68B1DB1-TableParagraph57"/>
              <w:spacing w:line="225" w:lineRule="exact"/>
              <w:ind w:left="9" w:right="1"/>
              <w:jc w:val="center"/>
              <w:rPr>
                <w:noProof/>
              </w:rPr>
            </w:pPr>
            <w:r>
              <w:rPr>
                <w:noProof/>
              </w:rPr>
              <w:t>17</w:t>
            </w:r>
          </w:p>
        </w:tc>
        <w:tc>
          <w:tcPr>
            <w:tcW w:w="1984" w:type="dxa"/>
            <w:shd w:val="clear" w:color="auto" w:fill="C5EECE"/>
          </w:tcPr>
          <w:p w14:paraId="50B4B835" w14:textId="77777777" w:rsidR="003B5F50" w:rsidRDefault="000D2D85">
            <w:pPr>
              <w:pStyle w:val="P68B1DB1-Normal59"/>
              <w:spacing w:line="259" w:lineRule="auto"/>
              <w:ind w:left="110" w:right="131"/>
              <w:rPr>
                <w:noProof/>
              </w:rPr>
            </w:pPr>
            <w:r>
              <w:rPr>
                <w:noProof/>
              </w:rPr>
              <w:t>Réforme 4: Audit et contrôle</w:t>
            </w:r>
          </w:p>
        </w:tc>
        <w:tc>
          <w:tcPr>
            <w:tcW w:w="1701" w:type="dxa"/>
            <w:shd w:val="clear" w:color="auto" w:fill="C5EECE"/>
          </w:tcPr>
          <w:p w14:paraId="50B4B836" w14:textId="77777777" w:rsidR="003B5F50" w:rsidRDefault="000D2D85">
            <w:pPr>
              <w:pStyle w:val="P68B1DB1-TableParagraph57"/>
              <w:spacing w:line="225" w:lineRule="exact"/>
              <w:ind w:left="1" w:right="92"/>
              <w:jc w:val="center"/>
              <w:rPr>
                <w:noProof/>
              </w:rPr>
            </w:pPr>
            <w:r>
              <w:rPr>
                <w:noProof/>
              </w:rPr>
              <w:t>Étape</w:t>
            </w:r>
          </w:p>
        </w:tc>
        <w:tc>
          <w:tcPr>
            <w:tcW w:w="851" w:type="dxa"/>
            <w:shd w:val="clear" w:color="auto" w:fill="C5EECE"/>
          </w:tcPr>
          <w:p w14:paraId="50B4B837" w14:textId="77777777" w:rsidR="003B5F50" w:rsidRDefault="000D2D85">
            <w:pPr>
              <w:pStyle w:val="P68B1DB1-TableParagraph57"/>
              <w:spacing w:line="259" w:lineRule="auto"/>
              <w:ind w:left="108" w:right="192"/>
              <w:rPr>
                <w:noProof/>
              </w:rPr>
            </w:pPr>
            <w:r>
              <w:rPr>
                <w:noProof/>
              </w:rPr>
              <w:t>Adoption a) d'une méthodologie de gestion des risques de corruption et</w:t>
            </w:r>
          </w:p>
          <w:p w14:paraId="50B4B838" w14:textId="77777777" w:rsidR="003B5F50" w:rsidRDefault="000D2D85">
            <w:pPr>
              <w:pStyle w:val="P68B1DB1-TableParagraph57"/>
              <w:spacing w:line="259" w:lineRule="auto"/>
              <w:ind w:left="108" w:right="170"/>
              <w:rPr>
                <w:noProof/>
              </w:rPr>
            </w:pPr>
            <w:r>
              <w:rPr>
                <w:noProof/>
              </w:rPr>
              <w:t>b) des procédures relatives à la supervision par NIKA de la mise en œuvre de cette méthodologie</w:t>
            </w:r>
          </w:p>
        </w:tc>
        <w:tc>
          <w:tcPr>
            <w:tcW w:w="1275" w:type="dxa"/>
            <w:shd w:val="clear" w:color="auto" w:fill="C5EECE"/>
          </w:tcPr>
          <w:p w14:paraId="50B4B839" w14:textId="77777777" w:rsidR="003B5F50" w:rsidRDefault="000D2D85">
            <w:pPr>
              <w:pStyle w:val="P68B1DB1-TableParagraph57"/>
              <w:spacing w:line="259" w:lineRule="auto"/>
              <w:ind w:left="107" w:right="181"/>
              <w:rPr>
                <w:noProof/>
              </w:rPr>
            </w:pPr>
            <w:r>
              <w:rPr>
                <w:noProof/>
              </w:rPr>
              <w:t>Adoption et publication de la méthode révisée de gestion des risques de corruption applicable à tous les organismes mettant en œuvre la FRR et adoption de la procédure de l’organisme de coordination pour la surveillance de la mise en œuvre de cette méthode</w:t>
            </w:r>
          </w:p>
        </w:tc>
        <w:tc>
          <w:tcPr>
            <w:tcW w:w="1276" w:type="dxa"/>
            <w:shd w:val="clear" w:color="auto" w:fill="C5EECE"/>
          </w:tcPr>
          <w:p w14:paraId="50B4B83A" w14:textId="77777777" w:rsidR="003B5F50" w:rsidRDefault="003B5F50">
            <w:pPr>
              <w:pStyle w:val="TableParagraph"/>
              <w:rPr>
                <w:noProof/>
                <w:color w:val="006000"/>
                <w:sz w:val="20"/>
                <w:szCs w:val="20"/>
              </w:rPr>
            </w:pPr>
          </w:p>
        </w:tc>
        <w:tc>
          <w:tcPr>
            <w:tcW w:w="1418" w:type="dxa"/>
            <w:shd w:val="clear" w:color="auto" w:fill="C5EECE"/>
          </w:tcPr>
          <w:p w14:paraId="50B4B83B" w14:textId="77777777" w:rsidR="003B5F50" w:rsidRDefault="003B5F50">
            <w:pPr>
              <w:pStyle w:val="TableParagraph"/>
              <w:rPr>
                <w:noProof/>
                <w:color w:val="006000"/>
                <w:sz w:val="20"/>
                <w:szCs w:val="20"/>
              </w:rPr>
            </w:pPr>
          </w:p>
        </w:tc>
        <w:tc>
          <w:tcPr>
            <w:tcW w:w="1275" w:type="dxa"/>
            <w:shd w:val="clear" w:color="auto" w:fill="C5EECE"/>
          </w:tcPr>
          <w:p w14:paraId="50B4B83C" w14:textId="77777777" w:rsidR="003B5F50" w:rsidRDefault="003B5F50">
            <w:pPr>
              <w:pStyle w:val="TableParagraph"/>
              <w:rPr>
                <w:noProof/>
                <w:color w:val="006000"/>
                <w:sz w:val="20"/>
                <w:szCs w:val="20"/>
              </w:rPr>
            </w:pPr>
          </w:p>
        </w:tc>
        <w:tc>
          <w:tcPr>
            <w:tcW w:w="1276" w:type="dxa"/>
            <w:shd w:val="clear" w:color="auto" w:fill="C5EECE"/>
          </w:tcPr>
          <w:p w14:paraId="50B4B83D" w14:textId="77777777" w:rsidR="003B5F50" w:rsidRDefault="000D2D85">
            <w:pPr>
              <w:pStyle w:val="P68B1DB1-TableParagraph57"/>
              <w:spacing w:line="225" w:lineRule="exact"/>
              <w:ind w:left="36" w:right="27"/>
              <w:jc w:val="center"/>
              <w:rPr>
                <w:noProof/>
              </w:rPr>
            </w:pPr>
            <w:r>
              <w:rPr>
                <w:noProof/>
              </w:rPr>
              <w:t>T2</w:t>
            </w:r>
          </w:p>
        </w:tc>
        <w:tc>
          <w:tcPr>
            <w:tcW w:w="851" w:type="dxa"/>
            <w:shd w:val="clear" w:color="auto" w:fill="C5EECE"/>
          </w:tcPr>
          <w:p w14:paraId="50B4B83E" w14:textId="77777777" w:rsidR="003B5F50" w:rsidRDefault="000D2D85">
            <w:pPr>
              <w:pStyle w:val="P68B1DB1-TableParagraph57"/>
              <w:spacing w:line="225" w:lineRule="exact"/>
              <w:ind w:left="22" w:right="7"/>
              <w:jc w:val="center"/>
              <w:rPr>
                <w:noProof/>
              </w:rPr>
            </w:pPr>
            <w:r>
              <w:rPr>
                <w:noProof/>
              </w:rPr>
              <w:t>2025</w:t>
            </w:r>
          </w:p>
        </w:tc>
        <w:tc>
          <w:tcPr>
            <w:tcW w:w="2835" w:type="dxa"/>
            <w:shd w:val="clear" w:color="auto" w:fill="C5EECE"/>
          </w:tcPr>
          <w:p w14:paraId="50B4B83F" w14:textId="77777777" w:rsidR="003B5F50" w:rsidRDefault="000D2D85">
            <w:pPr>
              <w:pStyle w:val="P68B1DB1-TableParagraph57"/>
              <w:spacing w:line="256" w:lineRule="auto"/>
              <w:rPr>
                <w:noProof/>
              </w:rPr>
            </w:pPr>
            <w:r>
              <w:rPr>
                <w:noProof/>
              </w:rPr>
              <w:t>Le bureau du gouvernement adopte la méthodologie révisée pour la gestion des risques de corruption.</w:t>
            </w:r>
          </w:p>
          <w:p w14:paraId="50B4B840" w14:textId="77777777" w:rsidR="003B5F50" w:rsidRDefault="000D2D85">
            <w:pPr>
              <w:pStyle w:val="P68B1DB1-TableParagraph57"/>
              <w:spacing w:before="1" w:line="259" w:lineRule="auto"/>
              <w:ind w:right="147"/>
              <w:rPr>
                <w:noProof/>
              </w:rPr>
            </w:pPr>
            <w:r>
              <w:rPr>
                <w:noProof/>
              </w:rPr>
              <w:t>La méthode est contraignante pour tous les organismes mettant en œuvre la FRR et prévoit des normes minimales pour la gestion des risques de corruption.</w:t>
            </w:r>
          </w:p>
          <w:p w14:paraId="50B4B841" w14:textId="77777777" w:rsidR="003B5F50" w:rsidRDefault="000D2D85">
            <w:pPr>
              <w:pStyle w:val="P68B1DB1-Normal59"/>
              <w:spacing w:line="223" w:lineRule="exact"/>
              <w:rPr>
                <w:noProof/>
              </w:rPr>
            </w:pPr>
            <w:r>
              <w:rPr>
                <w:noProof/>
              </w:rPr>
              <w:t>L’organisme de coordination adopte en outre une procédure de suivi de la mise en œuvre de la méthode de gestion des risques de corruption.</w:t>
            </w:r>
          </w:p>
        </w:tc>
      </w:tr>
    </w:tbl>
    <w:p w14:paraId="50B4B843" w14:textId="77777777" w:rsidR="003B5F50" w:rsidRDefault="003B5F50">
      <w:pPr>
        <w:pStyle w:val="BodyText"/>
        <w:spacing w:before="3"/>
        <w:ind w:left="0"/>
        <w:jc w:val="left"/>
        <w:rPr>
          <w:b/>
          <w:noProof/>
          <w:sz w:val="2"/>
        </w:rPr>
      </w:pPr>
    </w:p>
    <w:p w14:paraId="50B4B844" w14:textId="77777777" w:rsidR="003B5F50" w:rsidRDefault="003B5F50">
      <w:pPr>
        <w:pStyle w:val="BodyText"/>
        <w:spacing w:before="3"/>
        <w:ind w:left="0"/>
        <w:jc w:val="left"/>
        <w:rPr>
          <w:b/>
          <w:noProof/>
          <w:sz w:val="2"/>
        </w:rPr>
      </w:pPr>
    </w:p>
    <w:p w14:paraId="50B4B845" w14:textId="77777777" w:rsidR="003B5F50" w:rsidRDefault="003B5F50">
      <w:pPr>
        <w:pStyle w:val="BodyText"/>
        <w:spacing w:before="3"/>
        <w:ind w:left="0"/>
        <w:jc w:val="left"/>
        <w:rPr>
          <w:b/>
          <w:noProof/>
          <w:sz w:val="2"/>
        </w:rPr>
      </w:pPr>
    </w:p>
    <w:p w14:paraId="50B4B846" w14:textId="77777777" w:rsidR="003B5F50" w:rsidRDefault="003B5F50">
      <w:pPr>
        <w:pStyle w:val="BodyText"/>
        <w:spacing w:before="3"/>
        <w:ind w:left="0"/>
        <w:jc w:val="left"/>
        <w:rPr>
          <w:b/>
          <w:noProof/>
          <w:sz w:val="2"/>
        </w:rPr>
      </w:pPr>
    </w:p>
    <w:p w14:paraId="50B4B847" w14:textId="77777777" w:rsidR="003B5F50" w:rsidRDefault="003B5F50">
      <w:pPr>
        <w:pStyle w:val="BodyText"/>
        <w:spacing w:before="3"/>
        <w:ind w:left="0"/>
        <w:jc w:val="left"/>
        <w:rPr>
          <w:b/>
          <w:noProof/>
          <w:sz w:val="2"/>
        </w:rPr>
      </w:pPr>
    </w:p>
    <w:p w14:paraId="50B4B848" w14:textId="77777777" w:rsidR="003B5F50" w:rsidRDefault="003B5F50">
      <w:pPr>
        <w:pStyle w:val="BodyText"/>
        <w:spacing w:before="3"/>
        <w:ind w:left="0"/>
        <w:jc w:val="left"/>
        <w:rPr>
          <w:b/>
          <w:noProof/>
          <w:sz w:val="2"/>
        </w:rPr>
      </w:pPr>
    </w:p>
    <w:p w14:paraId="50B4B849" w14:textId="77777777" w:rsidR="003B5F50" w:rsidRDefault="003B5F50">
      <w:pPr>
        <w:spacing w:line="259" w:lineRule="auto"/>
        <w:rPr>
          <w:noProof/>
          <w:sz w:val="20"/>
        </w:rPr>
        <w:sectPr w:rsidR="003B5F50" w:rsidSect="003E3DD3">
          <w:headerReference w:type="even" r:id="rId203"/>
          <w:headerReference w:type="default" r:id="rId204"/>
          <w:footerReference w:type="even" r:id="rId205"/>
          <w:footerReference w:type="default" r:id="rId206"/>
          <w:headerReference w:type="first" r:id="rId207"/>
          <w:footerReference w:type="first" r:id="rId208"/>
          <w:pgSz w:w="16840" w:h="11910" w:orient="landscape"/>
          <w:pgMar w:top="1134" w:right="1134" w:bottom="1134" w:left="1134" w:header="567" w:footer="567" w:gutter="0"/>
          <w:cols w:space="708"/>
        </w:sectPr>
      </w:pPr>
    </w:p>
    <w:p w14:paraId="50B4B84A" w14:textId="0481D2A7" w:rsidR="003B5F50" w:rsidRDefault="000D2D85">
      <w:pPr>
        <w:pStyle w:val="P68B1DB1-Heading218"/>
        <w:rPr>
          <w:noProof/>
        </w:rPr>
      </w:pPr>
      <w:r>
        <w:rPr>
          <w:noProof/>
        </w:rPr>
        <w:t xml:space="preserve">Élément 17: SLOVAQUIE NUMÉRIQUE (ÉTAT DU MOBILE, CYBERSÉCURITÉ, INTERNET RAPIDE POUR TOUS, ÉCONOMIE NUMÉRIQUE) </w:t>
      </w:r>
    </w:p>
    <w:p w14:paraId="50B4B84B" w14:textId="77777777" w:rsidR="003B5F50" w:rsidRDefault="000D2D85">
      <w:pPr>
        <w:pStyle w:val="NormalWeb"/>
        <w:rPr>
          <w:noProof/>
        </w:rPr>
      </w:pPr>
      <w:r>
        <w:rPr>
          <w:noProof/>
        </w:rPr>
        <w:t xml:space="preserve">L’objectif de ce volet du plan slovaque pour la reprise et la résilience est de réaliser des progrès substantiels en Slovaquie sur la voie d’une société et d’une économie préparées au numérique. Cet objectif est atteint au moyen de mesures visant à numériser l’administration publique et la fourniture de services publics, à améliorer la cybersécurité grâce à des approches normalisées de prévention et de résolution des incidents dans toutes les entités de l’administration publique, à une stratégie globale en matière de compétences numériques et à un soutien aux projets plurinationaux de l’Union et aux investissements dans le développement de technologies et d’infrastructures numériques. </w:t>
      </w:r>
    </w:p>
    <w:p w14:paraId="50B4B84C" w14:textId="234EFA9D" w:rsidR="003B5F50" w:rsidRDefault="000D2D85">
      <w:pPr>
        <w:pStyle w:val="NormalWeb"/>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B84D" w14:textId="77777777" w:rsidR="003B5F50" w:rsidRDefault="000D2D85">
      <w:pPr>
        <w:pStyle w:val="NormalWeb"/>
        <w:rPr>
          <w:noProof/>
        </w:rPr>
      </w:pPr>
      <w:r>
        <w:rPr>
          <w:noProof/>
        </w:rPr>
        <w:t>Les mesures relevant de ce volet contribuent à donner suite aux recommandations par pays adressées à la Slovaquie, en particulier en ce qui concerne les compétences numériques (recommandation par pays no 2, 2020), la transformation numérique (recommandation par pays no 3, 2020), l’environnement des entreprises et la qualité des services publics (recommandation par pays no 4, 2020), la recherche et l’innovation (recommandation par pays no 3, 2019) et la compétitivité des PME (recommandation par pays no 3, 2019).</w:t>
      </w:r>
    </w:p>
    <w:p w14:paraId="50B4B84E" w14:textId="77777777" w:rsidR="003B5F50" w:rsidRDefault="003B5F50">
      <w:pPr>
        <w:spacing w:before="120" w:after="120" w:line="240" w:lineRule="auto"/>
        <w:jc w:val="both"/>
        <w:rPr>
          <w:rFonts w:ascii="Times New Roman" w:hAnsi="Times New Roman"/>
          <w:noProof/>
        </w:rPr>
      </w:pPr>
    </w:p>
    <w:p w14:paraId="50B4B84F" w14:textId="77777777" w:rsidR="003B5F50" w:rsidRDefault="000D2D85">
      <w:pPr>
        <w:pStyle w:val="P68B1DB1-Normal44"/>
        <w:spacing w:before="120" w:after="120" w:line="240" w:lineRule="auto"/>
        <w:jc w:val="both"/>
        <w:rPr>
          <w:i/>
          <w:noProof/>
          <w:color w:val="4F81BD"/>
        </w:rPr>
      </w:pPr>
      <w:r>
        <w:rPr>
          <w:noProof/>
        </w:rPr>
        <w:t xml:space="preserve">A.1. </w:t>
      </w:r>
      <w:r>
        <w:rPr>
          <w:noProof/>
        </w:rPr>
        <w:tab/>
        <w:t>Description des réformes et des investissements pour le soutien financier non remboursable</w:t>
      </w:r>
    </w:p>
    <w:p w14:paraId="50B4B850" w14:textId="77777777" w:rsidR="003B5F50" w:rsidRDefault="003B5F50">
      <w:pPr>
        <w:spacing w:before="120" w:after="120" w:line="240" w:lineRule="auto"/>
        <w:jc w:val="both"/>
        <w:rPr>
          <w:rFonts w:ascii="Times New Roman" w:hAnsi="Times New Roman"/>
          <w:noProof/>
        </w:rPr>
      </w:pPr>
    </w:p>
    <w:p w14:paraId="50B4B851" w14:textId="77777777" w:rsidR="003B5F50" w:rsidRDefault="000D2D85">
      <w:pPr>
        <w:pStyle w:val="P68B1DB1-Normal19"/>
        <w:spacing w:before="120" w:after="120" w:line="240" w:lineRule="auto"/>
        <w:jc w:val="both"/>
        <w:rPr>
          <w:noProof/>
        </w:rPr>
      </w:pPr>
      <w:r>
        <w:rPr>
          <w:noProof/>
        </w:rPr>
        <w:t xml:space="preserve">Réforme 1: Créer des solutions d'administration en ligne pour les situations de vie prioritaires </w:t>
      </w:r>
    </w:p>
    <w:p w14:paraId="50B4B852" w14:textId="77777777" w:rsidR="003B5F50" w:rsidRDefault="000D2D85">
      <w:pPr>
        <w:pStyle w:val="NormalWeb"/>
        <w:rPr>
          <w:noProof/>
        </w:rPr>
      </w:pPr>
      <w:r>
        <w:rPr>
          <w:noProof/>
        </w:rPr>
        <w:t xml:space="preserve">Cette réforme conduira à l’élaboration et à l’adoption par le ministère de l’investissement, du développement régional et de l’informatisation (MIRRI) d’un plan d’investissement pour les «situations de vie» prioritaires des citoyens et des entreprises. L'objectif est de permettre aux citoyens et aux entreprises de résoudre administrativement de telles situations de vie en un seul endroit rapidement et facilement. </w:t>
      </w:r>
    </w:p>
    <w:p w14:paraId="50B4B853" w14:textId="77777777" w:rsidR="003B5F50" w:rsidRDefault="000D2D85">
      <w:pPr>
        <w:pStyle w:val="NormalWeb"/>
        <w:rPr>
          <w:noProof/>
        </w:rPr>
      </w:pPr>
      <w:r>
        <w:rPr>
          <w:noProof/>
        </w:rPr>
        <w:t xml:space="preserve">Le plan d’investissement recense 16 situations de vie prioritaires, décrit l’état actuel et futur des processus et dresse la liste des actions d’investissement qui doivent être menées dans les entités administratives et leurs systèmes d’information. Les situations de vie prioritaires sont sélectionnées conformément à la liste des situations de vie surveillées par le référentiel eGov et en tenant compte des situations de vie figurant à l’annexe II du règlement sur le portail numérique unique. </w:t>
      </w:r>
    </w:p>
    <w:p w14:paraId="50B4B854" w14:textId="77777777" w:rsidR="003B5F50" w:rsidRDefault="000D2D85">
      <w:pPr>
        <w:pStyle w:val="NormalWeb"/>
        <w:rPr>
          <w:noProof/>
        </w:rPr>
      </w:pPr>
      <w:r>
        <w:rPr>
          <w:noProof/>
        </w:rPr>
        <w:t>La réforme conduira à l’introduction d’un ensemble de modifications législatives visant à déployer de nouveaux services publics numériques de conception unifiée.</w:t>
      </w:r>
    </w:p>
    <w:p w14:paraId="50B4B855" w14:textId="77777777" w:rsidR="003B5F50" w:rsidRDefault="000D2D85">
      <w:pPr>
        <w:pStyle w:val="NormalWeb"/>
        <w:rPr>
          <w:noProof/>
        </w:rPr>
      </w:pPr>
      <w:r>
        <w:rPr>
          <w:noProof/>
        </w:rPr>
        <w:t>La mise en œuvre de la réforme est achevée au plus tard le 31 décembre 2023.</w:t>
      </w:r>
    </w:p>
    <w:p w14:paraId="50B4B856" w14:textId="77777777" w:rsidR="003B5F50" w:rsidRDefault="003B5F50">
      <w:pPr>
        <w:spacing w:before="120" w:after="120" w:line="240" w:lineRule="auto"/>
        <w:jc w:val="both"/>
        <w:rPr>
          <w:rFonts w:ascii="Times New Roman" w:hAnsi="Times New Roman"/>
          <w:noProof/>
        </w:rPr>
      </w:pPr>
    </w:p>
    <w:p w14:paraId="50B4B857" w14:textId="77777777" w:rsidR="003B5F50" w:rsidRDefault="000D2D85">
      <w:pPr>
        <w:pStyle w:val="P68B1DB1-Normal19"/>
        <w:spacing w:before="120" w:after="120" w:line="240" w:lineRule="auto"/>
        <w:jc w:val="both"/>
        <w:rPr>
          <w:rFonts w:eastAsia="Times New Roman" w:cs="Calibri"/>
          <w:noProof/>
        </w:rPr>
      </w:pPr>
      <w:r>
        <w:rPr>
          <w:noProof/>
        </w:rPr>
        <w:t>Réforme 2: Gestion centralisée des ressources informatiques</w:t>
      </w:r>
    </w:p>
    <w:p w14:paraId="50B4B859" w14:textId="1BCE701E" w:rsidR="003B5F50" w:rsidRDefault="000D2D85">
      <w:pPr>
        <w:pStyle w:val="NormalWeb"/>
        <w:rPr>
          <w:noProof/>
        </w:rPr>
      </w:pPr>
      <w:r>
        <w:rPr>
          <w:noProof/>
        </w:rPr>
        <w:t>Dans le cadre de cette réforme, une plateforme centrale de passation de marchés est déployée pour l’achat et l’utilisation de ressources informatiques. Ces ressources sont ensuite mises à disposition pour le développement de systèmes d’information dans l’administration publique, l’objectif général étant de réduire le temps et les coûts de ces développements.</w:t>
      </w:r>
    </w:p>
    <w:p w14:paraId="50B4B85A" w14:textId="77777777" w:rsidR="003B5F50" w:rsidRDefault="000D2D85">
      <w:pPr>
        <w:pStyle w:val="NormalWeb"/>
        <w:rPr>
          <w:rFonts w:eastAsia="Times New Roman" w:cs="Calibri"/>
          <w:noProof/>
        </w:rPr>
      </w:pPr>
      <w:r>
        <w:rPr>
          <w:noProof/>
        </w:rPr>
        <w:t xml:space="preserve">Les ressources informatiques sont achetées de manière centralisée au moyen d’un contrat-cadre et les entités de l’administration publique ont le droit de les utiliser au moyen d’une plateforme centrale, une place de marché numérique. Des réductions de coûts sont réalisées grâce à un achat et à une répartition plus efficaces des capacités informatiques. </w:t>
      </w:r>
    </w:p>
    <w:p w14:paraId="50B4B85B" w14:textId="77777777" w:rsidR="003B5F50" w:rsidRDefault="000D2D85">
      <w:pPr>
        <w:pStyle w:val="NormalWeb"/>
        <w:rPr>
          <w:rFonts w:eastAsia="Times New Roman" w:cs="Calibri"/>
          <w:noProof/>
        </w:rPr>
      </w:pPr>
      <w:r>
        <w:rPr>
          <w:noProof/>
        </w:rPr>
        <w:t xml:space="preserve">La plateforme est mise en place en deux étapes: </w:t>
      </w:r>
    </w:p>
    <w:p w14:paraId="50B4B85C" w14:textId="77777777" w:rsidR="003B5F50" w:rsidRDefault="000D2D85">
      <w:pPr>
        <w:pStyle w:val="NormalWeb"/>
        <w:numPr>
          <w:ilvl w:val="0"/>
          <w:numId w:val="43"/>
        </w:numPr>
        <w:tabs>
          <w:tab w:val="left" w:pos="426"/>
        </w:tabs>
        <w:ind w:left="0" w:firstLine="0"/>
        <w:rPr>
          <w:rFonts w:eastAsia="Times New Roman" w:cs="Calibri"/>
          <w:noProof/>
        </w:rPr>
      </w:pPr>
      <w:r>
        <w:rPr>
          <w:noProof/>
        </w:rPr>
        <w:t xml:space="preserve">Tout d'abord, un catalogue est créé pour les ressources informatiques sur la base de conditions d'éligibilité claires dans lesquelles les ressources peuvent être enregistrées dans le catalogue. La sécurité des systèmes, les exigences de l'architecture de référence et la qualité des services et des produits sont pris en compte. </w:t>
      </w:r>
    </w:p>
    <w:p w14:paraId="50B4B85D" w14:textId="77777777" w:rsidR="003B5F50" w:rsidRDefault="000D2D85">
      <w:pPr>
        <w:pStyle w:val="NormalWeb"/>
        <w:numPr>
          <w:ilvl w:val="0"/>
          <w:numId w:val="43"/>
        </w:numPr>
        <w:tabs>
          <w:tab w:val="left" w:pos="426"/>
        </w:tabs>
        <w:ind w:left="0" w:firstLine="0"/>
        <w:rPr>
          <w:rFonts w:eastAsia="Times New Roman" w:cs="Calibri"/>
          <w:noProof/>
        </w:rPr>
      </w:pPr>
      <w:r>
        <w:rPr>
          <w:noProof/>
        </w:rPr>
        <w:t>Deuxièmement, l'acquisition de ces ressources sera réalisée par MIRRI dans le but de les mettre à la disposition des utilisateurs dans la qualité et la quantité nécessaires.</w:t>
      </w:r>
    </w:p>
    <w:p w14:paraId="50B4B85E" w14:textId="77777777" w:rsidR="003B5F50" w:rsidRDefault="000D2D85">
      <w:pPr>
        <w:pStyle w:val="NormalWeb"/>
        <w:rPr>
          <w:rFonts w:eastAsia="Times New Roman" w:cs="Calibri"/>
          <w:noProof/>
        </w:rPr>
      </w:pPr>
      <w:r>
        <w:rPr>
          <w:noProof/>
        </w:rPr>
        <w:t>La plateforme fournit une fonctionnalité d’évaluation de la valeur des investissements informatiques en surveillant les coûts, les déclarations, les transactions et les rendements.</w:t>
      </w:r>
    </w:p>
    <w:p w14:paraId="50B4B85F" w14:textId="77777777" w:rsidR="003B5F50" w:rsidRDefault="000D2D85">
      <w:pPr>
        <w:pStyle w:val="NormalWeb"/>
        <w:rPr>
          <w:noProof/>
        </w:rPr>
      </w:pPr>
      <w:r>
        <w:rPr>
          <w:noProof/>
        </w:rPr>
        <w:t>La mise en œuvre de la réforme est achevée au plus tard le 31 décembre 2023.</w:t>
      </w:r>
    </w:p>
    <w:p w14:paraId="50B4B860" w14:textId="77777777" w:rsidR="003B5F50" w:rsidRDefault="003B5F50">
      <w:pPr>
        <w:spacing w:before="120" w:after="120" w:line="240" w:lineRule="auto"/>
        <w:jc w:val="both"/>
        <w:rPr>
          <w:rFonts w:ascii="Times New Roman" w:hAnsi="Times New Roman"/>
          <w:noProof/>
        </w:rPr>
      </w:pPr>
    </w:p>
    <w:p w14:paraId="50B4B861" w14:textId="77777777" w:rsidR="003B5F50" w:rsidRDefault="000D2D85">
      <w:pPr>
        <w:pStyle w:val="P68B1DB1-Normal19"/>
        <w:spacing w:before="120" w:after="120" w:line="240" w:lineRule="auto"/>
        <w:jc w:val="both"/>
        <w:rPr>
          <w:rFonts w:eastAsia="Times New Roman" w:cs="Calibri"/>
          <w:noProof/>
        </w:rPr>
      </w:pPr>
      <w:r>
        <w:rPr>
          <w:noProof/>
        </w:rPr>
        <w:t>Investissement 1: De meilleurs services pour les citoyens et les entreprises</w:t>
      </w:r>
    </w:p>
    <w:p w14:paraId="50B4B862" w14:textId="77777777" w:rsidR="003B5F50" w:rsidRDefault="000D2D85">
      <w:pPr>
        <w:pStyle w:val="NormalWeb"/>
        <w:rPr>
          <w:rFonts w:eastAsia="MS Mincho" w:cs="Arial"/>
          <w:noProof/>
        </w:rPr>
      </w:pPr>
      <w:r>
        <w:rPr>
          <w:noProof/>
        </w:rPr>
        <w:t xml:space="preserve">L'objectif de cette mesure est d'accroître l'utilisation des services d'administration en ligne. </w:t>
      </w:r>
    </w:p>
    <w:p w14:paraId="50B4B863" w14:textId="77777777" w:rsidR="003B5F50" w:rsidRDefault="000D2D85">
      <w:pPr>
        <w:pStyle w:val="P68B1DB1-Normal35"/>
        <w:spacing w:before="120" w:after="120" w:line="240" w:lineRule="auto"/>
        <w:jc w:val="both"/>
        <w:rPr>
          <w:noProof/>
        </w:rPr>
      </w:pPr>
      <w:r>
        <w:rPr>
          <w:noProof/>
        </w:rPr>
        <w:t>Cette mesure consiste à lancer 16 situations de vie prioritaires et à les mettre à la disposition du public à l'aide de solutions d'administration en ligne.</w:t>
      </w:r>
    </w:p>
    <w:p w14:paraId="50B4B864" w14:textId="77777777" w:rsidR="003B5F50" w:rsidRDefault="003B5F50">
      <w:pPr>
        <w:spacing w:before="120" w:after="120" w:line="240" w:lineRule="auto"/>
        <w:jc w:val="both"/>
        <w:rPr>
          <w:rFonts w:ascii="Times New Roman" w:eastAsia="Times New Roman" w:hAnsi="Times New Roman" w:cs="Calibri"/>
          <w:noProof/>
        </w:rPr>
      </w:pPr>
    </w:p>
    <w:p w14:paraId="50B4B865" w14:textId="77777777" w:rsidR="003B5F50" w:rsidRDefault="000D2D85">
      <w:pPr>
        <w:pStyle w:val="P68B1DB1-Normal19"/>
        <w:spacing w:before="120" w:after="120" w:line="240" w:lineRule="auto"/>
        <w:jc w:val="both"/>
        <w:rPr>
          <w:noProof/>
        </w:rPr>
      </w:pPr>
      <w:r>
        <w:rPr>
          <w:noProof/>
        </w:rPr>
        <w:t>Investissement 2: Transformation numérique de la prestation des services publics</w:t>
      </w:r>
    </w:p>
    <w:p w14:paraId="50B4B866" w14:textId="1060A5F5" w:rsidR="003B5F50" w:rsidRDefault="000D2D85">
      <w:pPr>
        <w:pStyle w:val="P68B1DB1-Normal35"/>
        <w:spacing w:before="120" w:after="120" w:line="240" w:lineRule="auto"/>
        <w:jc w:val="both"/>
        <w:rPr>
          <w:noProof/>
        </w:rPr>
      </w:pPr>
      <w:r>
        <w:rPr>
          <w:noProof/>
        </w:rPr>
        <w:t xml:space="preserve">L’objectif de cette mesure est de numériser l’administration publique. </w:t>
      </w:r>
    </w:p>
    <w:p w14:paraId="50B4B867" w14:textId="4CF06AA4" w:rsidR="003B5F50" w:rsidRDefault="000D2D85">
      <w:pPr>
        <w:pStyle w:val="NormalWeb"/>
        <w:rPr>
          <w:noProof/>
        </w:rPr>
      </w:pPr>
      <w:r>
        <w:rPr>
          <w:noProof/>
        </w:rPr>
        <w:t>Cette mesure consiste en un certain nombre d’actions, à savoir i) la numérisation des processus de 34 sections de l’administration publique, ii) l’intégration d’entités publiques supplémentaires dans le système économique central (CES) et iii) la numérisation du système de paiements instantanés pour le Trésor public.</w:t>
      </w:r>
    </w:p>
    <w:p w14:paraId="50B4B868" w14:textId="77777777" w:rsidR="003B5F50" w:rsidRDefault="003B5F50">
      <w:pPr>
        <w:spacing w:before="120" w:after="120" w:line="240" w:lineRule="auto"/>
        <w:jc w:val="both"/>
        <w:rPr>
          <w:rFonts w:ascii="Times New Roman" w:hAnsi="Times New Roman"/>
          <w:b/>
          <w:noProof/>
        </w:rPr>
      </w:pPr>
    </w:p>
    <w:p w14:paraId="50B4B869" w14:textId="77777777" w:rsidR="003B5F50" w:rsidRDefault="000D2D85">
      <w:pPr>
        <w:pStyle w:val="P68B1DB1-Normal19"/>
        <w:spacing w:before="120" w:after="120" w:line="240" w:lineRule="auto"/>
        <w:jc w:val="both"/>
        <w:rPr>
          <w:noProof/>
        </w:rPr>
      </w:pPr>
      <w:r>
        <w:rPr>
          <w:noProof/>
        </w:rPr>
        <w:t>Réforme 3: Gérer la transformation numérique de l'économie et de la société</w:t>
      </w:r>
    </w:p>
    <w:p w14:paraId="50B4B86A" w14:textId="77777777" w:rsidR="003B5F50" w:rsidRDefault="000D2D85">
      <w:pPr>
        <w:pStyle w:val="NormalWeb"/>
        <w:rPr>
          <w:noProof/>
        </w:rPr>
      </w:pPr>
      <w:r>
        <w:rPr>
          <w:noProof/>
        </w:rPr>
        <w:t xml:space="preserve">Cette réforme introduit une nouvelle structure de gouvernance pour les réformes et les investissements dans l’économie numérique en associant les organismes compétents à différents niveaux. Au niveau politique, le conseil gouvernemental pour la numérisation de l’administration publique et le marché unique numérique, en tant qu’organe consultatif, de coordination et d’initiative du gouvernement sur les questions liées à la numérisation, surveille la mise en œuvre et la réalisation des réformes et des projets dans le domaine de l’économie numérique. Au niveau opérationnel, la section «Stratégie numérique» du MIRRI veille à la mise en œuvre des réformes et des investissements, ainsi qu’au respect des jalons et cibles fixés. Au niveau de l’évaluation, l’unité d’analyse du MIRRI veille à la cohérence thématique des interventions avec les priorités des politiques/documents stratégiques (RIS3, SACI, stratégie de transformation numérique à l’horizon 2030 pour la Slovaquie). Au niveau de la consultation, le groupe de travail sur la transformation numérique de la Slovaquie assiste la section «Stratégie numérique» de l’IRRIM dans la mise en œuvre des réformes et des investissements dans l’économie numérique. </w:t>
      </w:r>
    </w:p>
    <w:p w14:paraId="50B4B86B" w14:textId="77777777" w:rsidR="003B5F50" w:rsidRDefault="000D2D85">
      <w:pPr>
        <w:pStyle w:val="NormalWeb"/>
        <w:rPr>
          <w:noProof/>
        </w:rPr>
      </w:pPr>
      <w:r>
        <w:rPr>
          <w:noProof/>
        </w:rPr>
        <w:t>Dans le cadre de cette réforme, le MIRRI adoptera un nouveau document stratégique – Plan d’action pour la transformation numérique de la Slovaquie pour les années 2023-2026.</w:t>
      </w:r>
    </w:p>
    <w:p w14:paraId="50B4B86C" w14:textId="77777777" w:rsidR="003B5F50" w:rsidRDefault="000D2D85">
      <w:pPr>
        <w:pStyle w:val="NormalWeb"/>
        <w:rPr>
          <w:noProof/>
        </w:rPr>
      </w:pPr>
      <w:r>
        <w:rPr>
          <w:noProof/>
        </w:rPr>
        <w:t>La mise en œuvre de la réforme est achevée au plus tard le 30 juin 2026.</w:t>
      </w:r>
    </w:p>
    <w:p w14:paraId="50B4B86D" w14:textId="77777777" w:rsidR="003B5F50" w:rsidRDefault="003B5F50">
      <w:pPr>
        <w:spacing w:before="120" w:after="120" w:line="240" w:lineRule="auto"/>
        <w:jc w:val="both"/>
        <w:rPr>
          <w:rFonts w:ascii="Times New Roman" w:hAnsi="Times New Roman"/>
          <w:noProof/>
        </w:rPr>
      </w:pPr>
    </w:p>
    <w:p w14:paraId="50B4B86E" w14:textId="77777777" w:rsidR="003B5F50" w:rsidRDefault="000D2D85">
      <w:pPr>
        <w:pStyle w:val="P68B1DB1-Normal19"/>
        <w:spacing w:before="120" w:after="120" w:line="240" w:lineRule="auto"/>
        <w:jc w:val="both"/>
        <w:rPr>
          <w:noProof/>
        </w:rPr>
      </w:pPr>
      <w:r>
        <w:rPr>
          <w:noProof/>
        </w:rPr>
        <w:t>Investissement 3: S'engager dans des projets multinationaux européens liés à l'économie numérique</w:t>
      </w:r>
    </w:p>
    <w:p w14:paraId="50B4B86F" w14:textId="77777777" w:rsidR="003B5F50" w:rsidRDefault="000D2D85">
      <w:pPr>
        <w:pStyle w:val="NormalWeb"/>
        <w:rPr>
          <w:rFonts w:eastAsia="MS Mincho" w:cs="Arial"/>
          <w:noProof/>
        </w:rPr>
      </w:pPr>
      <w:r>
        <w:rPr>
          <w:noProof/>
        </w:rPr>
        <w:t xml:space="preserve">L’objectif de cette mesure est d’accroître la compétitivité de la Slovaquie dans l’économie numérique. Cette mesure consiste à mettre en service un supercalculateur, à créer un réseau de pôles européens d’innovation numérique en Slovaquie et à soutenir la participation de la Slovaquie à des projets multinationaux européens. </w:t>
      </w:r>
    </w:p>
    <w:p w14:paraId="50B4B870" w14:textId="77777777" w:rsidR="003B5F50" w:rsidRDefault="000D2D85">
      <w:pPr>
        <w:pStyle w:val="NormalWeb"/>
        <w:rPr>
          <w:noProof/>
        </w:rPr>
      </w:pPr>
      <w:r>
        <w:rPr>
          <w:noProof/>
        </w:rPr>
        <w:t xml:space="preserve">La FRR prend en charge une partie des coûts de cet investissement. Cet investissement peut également bénéficier d’un soutien d’autres programmes ou instruments de l’Union pour des coûts qui ne sont pas soutenus par la FRR. </w:t>
      </w:r>
    </w:p>
    <w:p w14:paraId="50B4B871" w14:textId="77777777" w:rsidR="003B5F50" w:rsidRDefault="003B5F50">
      <w:pPr>
        <w:spacing w:before="120" w:after="120" w:line="240" w:lineRule="auto"/>
        <w:jc w:val="both"/>
        <w:rPr>
          <w:rFonts w:ascii="Times New Roman" w:hAnsi="Times New Roman"/>
          <w:b/>
          <w:noProof/>
        </w:rPr>
      </w:pPr>
    </w:p>
    <w:p w14:paraId="50B4B872" w14:textId="77777777" w:rsidR="003B5F50" w:rsidRDefault="000D2D85">
      <w:pPr>
        <w:pStyle w:val="P68B1DB1-Normal19"/>
        <w:spacing w:before="120" w:after="120" w:line="240" w:lineRule="auto"/>
        <w:jc w:val="both"/>
        <w:rPr>
          <w:bCs/>
          <w:noProof/>
        </w:rPr>
      </w:pPr>
      <w:r>
        <w:rPr>
          <w:noProof/>
        </w:rPr>
        <w:t>Investissement 4: Soutien à des projets visant le développement de technologies et d’infrastructures numériques</w:t>
      </w:r>
    </w:p>
    <w:p w14:paraId="50B4B873" w14:textId="77777777" w:rsidR="003B5F50" w:rsidRDefault="000D2D85">
      <w:pPr>
        <w:pStyle w:val="NormalWeb"/>
        <w:rPr>
          <w:noProof/>
        </w:rPr>
      </w:pPr>
      <w:r>
        <w:rPr>
          <w:noProof/>
        </w:rPr>
        <w:t xml:space="preserve">L’objectif de cette mesure est de développer les technologies et les infrastructures numériques. </w:t>
      </w:r>
    </w:p>
    <w:p w14:paraId="50B4B874" w14:textId="77777777" w:rsidR="003B5F50" w:rsidRDefault="000D2D85">
      <w:pPr>
        <w:pStyle w:val="P68B1DB1-Normal35"/>
        <w:spacing w:before="120" w:after="120" w:line="240" w:lineRule="auto"/>
        <w:jc w:val="both"/>
        <w:rPr>
          <w:noProof/>
        </w:rPr>
      </w:pPr>
      <w:r>
        <w:rPr>
          <w:noProof/>
        </w:rPr>
        <w:t>Cette mesure consiste à accorder un soutien à des projets relevant de programmes de l’UE gérés directement ou de projets sélectionnés au niveau national.</w:t>
      </w:r>
    </w:p>
    <w:p w14:paraId="50B4B876" w14:textId="28D324E2" w:rsidR="003B5F50" w:rsidRDefault="000D2D85">
      <w:pPr>
        <w:pStyle w:val="NormalWeb"/>
        <w:rPr>
          <w:noProof/>
        </w:rPr>
      </w:pPr>
      <w:r>
        <w:rPr>
          <w:noProof/>
        </w:rPr>
        <w:t>La FRR prend en charge une partie des coûts de cet investissement. Cet investissement peut également bénéficier d’un soutien d’autres programmes ou instruments de l’Union pour des coûts qui ne sont pas soutenus par la FRR.</w:t>
      </w:r>
    </w:p>
    <w:p w14:paraId="3737119E" w14:textId="77777777" w:rsidR="003B5F50" w:rsidRDefault="003B5F50">
      <w:pPr>
        <w:spacing w:before="120" w:after="120" w:line="240" w:lineRule="auto"/>
        <w:jc w:val="both"/>
        <w:rPr>
          <w:rFonts w:ascii="Times New Roman" w:hAnsi="Times New Roman"/>
          <w:noProof/>
        </w:rPr>
      </w:pPr>
    </w:p>
    <w:p w14:paraId="50B4B877" w14:textId="77777777" w:rsidR="003B5F50" w:rsidRDefault="000D2D85">
      <w:pPr>
        <w:pStyle w:val="P68B1DB1-Normal19"/>
        <w:spacing w:before="120" w:after="120" w:line="240" w:lineRule="auto"/>
        <w:jc w:val="both"/>
        <w:rPr>
          <w:noProof/>
        </w:rPr>
      </w:pPr>
      <w:r>
        <w:rPr>
          <w:noProof/>
        </w:rPr>
        <w:t xml:space="preserve">Investissement 5: Hackathons </w:t>
      </w:r>
    </w:p>
    <w:p w14:paraId="50B4B878" w14:textId="77777777" w:rsidR="003B5F50" w:rsidRDefault="000D2D85">
      <w:pPr>
        <w:pStyle w:val="NormalWeb"/>
        <w:rPr>
          <w:noProof/>
        </w:rPr>
      </w:pPr>
      <w:r>
        <w:rPr>
          <w:noProof/>
        </w:rPr>
        <w:t xml:space="preserve">L’objectif de cette mesure est de concevoir des solutions numériques pour relever les défis de société. </w:t>
      </w:r>
    </w:p>
    <w:p w14:paraId="50B4B879" w14:textId="77777777" w:rsidR="003B5F50" w:rsidRDefault="000D2D85">
      <w:pPr>
        <w:pStyle w:val="NormalWeb"/>
        <w:rPr>
          <w:noProof/>
        </w:rPr>
      </w:pPr>
      <w:r>
        <w:rPr>
          <w:noProof/>
        </w:rPr>
        <w:t>Cette mesure consiste à organiser des hackathons en collaboration avec des organismes de l'administration publique et impliquant des représentants des catégories suivantes: les start-ups, les autres entreprises, les instituts de recherche, les universités et leurs étudiants, ou d’autres spécialistes.</w:t>
      </w:r>
    </w:p>
    <w:p w14:paraId="50B4B87A" w14:textId="77777777" w:rsidR="003B5F50" w:rsidRDefault="003B5F50">
      <w:pPr>
        <w:spacing w:before="120" w:after="120" w:line="240" w:lineRule="auto"/>
        <w:jc w:val="both"/>
        <w:rPr>
          <w:rFonts w:ascii="Times New Roman" w:hAnsi="Times New Roman"/>
          <w:b/>
          <w:noProof/>
        </w:rPr>
      </w:pPr>
    </w:p>
    <w:p w14:paraId="50B4B87B" w14:textId="77777777" w:rsidR="003B5F50" w:rsidRDefault="000D2D85">
      <w:pPr>
        <w:pStyle w:val="P68B1DB1-Normal19"/>
        <w:spacing w:before="120" w:after="120" w:line="240" w:lineRule="auto"/>
        <w:jc w:val="both"/>
        <w:rPr>
          <w:noProof/>
        </w:rPr>
      </w:pPr>
      <w:r>
        <w:rPr>
          <w:noProof/>
        </w:rPr>
        <w:t>Réforme 4: Normalisation des solutions techniques et procédurales en matière de cybersécurité (ITVS – Technologies de l’information pour l’administration publique)</w:t>
      </w:r>
    </w:p>
    <w:p w14:paraId="50B4B87C" w14:textId="77777777" w:rsidR="003B5F50" w:rsidRDefault="000D2D85">
      <w:pPr>
        <w:pStyle w:val="NormalWeb"/>
        <w:rPr>
          <w:noProof/>
        </w:rPr>
      </w:pPr>
      <w:r>
        <w:rPr>
          <w:noProof/>
        </w:rPr>
        <w:t xml:space="preserve">Les exigences actuelles en matière de cybersécurité dans l’administration publique divergent en termes d’élaboration, de qualité et de clarté. Les solutions de cybersécurité individualisées entraînent des coûts globaux plus élevés, ainsi que des ambiguïtés pour un certain nombre d’opérateurs de services. En outre, les lignes directrices méthodologiques applicables en matière de cybersécurité sont obsolètes et ne sont pas adaptées à leur finalité dans un environnement de cybermenaces en évolution rapide. L’objectif de cette réforme est de mettre à jour les exigences applicables en matière de cybersécurité et d’accroître la normalisation des solutions pour toutes les entités de l’administration publique. </w:t>
      </w:r>
    </w:p>
    <w:p w14:paraId="50B4B87D" w14:textId="77777777" w:rsidR="003B5F50" w:rsidRDefault="000D2D85">
      <w:pPr>
        <w:pStyle w:val="NormalWeb"/>
        <w:rPr>
          <w:rFonts w:eastAsia="Calibri" w:cs="Times New Roman"/>
          <w:noProof/>
        </w:rPr>
      </w:pPr>
      <w:r>
        <w:rPr>
          <w:noProof/>
        </w:rPr>
        <w:t>Plus précisément, la réforme conduira à l’élaboration d’un cadre méthodologique unique pour la cybersécurité; la création d’un manuel de procédure pour l’évaluation de la cybersécurité; création d’un service central d’expertise pour la mise en œuvre des mesures de cybersécurité; la définition de catégories d’organisations aux fins de la cybersécurité; définition des exigences de base en matière de protection de la cybersécurité dans l’administration publique.</w:t>
      </w:r>
    </w:p>
    <w:p w14:paraId="50B4B87E" w14:textId="77777777" w:rsidR="003B5F50" w:rsidRDefault="000D2D85">
      <w:pPr>
        <w:pStyle w:val="NormalWeb"/>
        <w:rPr>
          <w:rFonts w:eastAsia="Calibri" w:cs="Times New Roman"/>
          <w:noProof/>
        </w:rPr>
      </w:pPr>
      <w:r>
        <w:rPr>
          <w:noProof/>
        </w:rPr>
        <w:t>Le concept national d’informatisation de l’administration publique (NKIVS) fixe le cadre de la normalisation des exigences en matière de cybersécurité.</w:t>
      </w:r>
    </w:p>
    <w:p w14:paraId="50B4B87F" w14:textId="77777777" w:rsidR="003B5F50" w:rsidRDefault="000D2D85">
      <w:pPr>
        <w:pStyle w:val="NormalWeb"/>
        <w:rPr>
          <w:noProof/>
        </w:rPr>
      </w:pPr>
      <w:r>
        <w:rPr>
          <w:noProof/>
        </w:rPr>
        <w:t>La mise en œuvre de la réforme est achevée au plus tard le 31 décembre 2025.</w:t>
      </w:r>
    </w:p>
    <w:p w14:paraId="50B4B880" w14:textId="77777777" w:rsidR="003B5F50" w:rsidRDefault="003B5F50">
      <w:pPr>
        <w:spacing w:before="120" w:after="120" w:line="240" w:lineRule="auto"/>
        <w:jc w:val="both"/>
        <w:rPr>
          <w:rFonts w:ascii="Times New Roman" w:hAnsi="Times New Roman"/>
          <w:noProof/>
        </w:rPr>
      </w:pPr>
    </w:p>
    <w:p w14:paraId="50B4B881" w14:textId="77777777" w:rsidR="003B5F50" w:rsidRDefault="000D2D85">
      <w:pPr>
        <w:pStyle w:val="P68B1DB1-Normal19"/>
        <w:spacing w:before="120" w:after="120" w:line="240" w:lineRule="auto"/>
        <w:jc w:val="both"/>
        <w:rPr>
          <w:noProof/>
        </w:rPr>
      </w:pPr>
      <w:r>
        <w:rPr>
          <w:noProof/>
        </w:rPr>
        <w:t>Réforme n° 5: Formation et compétences en matière de cybersécurité (ITVS – Technologies de l’information pour l’administration publique)</w:t>
      </w:r>
    </w:p>
    <w:p w14:paraId="50B4B882" w14:textId="77777777" w:rsidR="003B5F50" w:rsidRDefault="000D2D85">
      <w:pPr>
        <w:pStyle w:val="NormalWeb"/>
        <w:rPr>
          <w:noProof/>
        </w:rPr>
      </w:pPr>
      <w:r>
        <w:rPr>
          <w:noProof/>
        </w:rPr>
        <w:t xml:space="preserve">L’objectif de cette mesure est de renforcer les compétences en matière de cybersécurité dans l’administration publique. </w:t>
      </w:r>
    </w:p>
    <w:p w14:paraId="50B4B883" w14:textId="77777777" w:rsidR="003B5F50" w:rsidRDefault="000D2D85">
      <w:pPr>
        <w:pStyle w:val="NormalWeb"/>
        <w:rPr>
          <w:noProof/>
        </w:rPr>
      </w:pPr>
      <w:r>
        <w:rPr>
          <w:noProof/>
        </w:rPr>
        <w:t>Cette mesure consiste à dispenser des formations en cybersécurité et à mettre en place des centres de compétences.</w:t>
      </w:r>
    </w:p>
    <w:p w14:paraId="50B4B884" w14:textId="77777777" w:rsidR="003B5F50" w:rsidRDefault="003B5F50">
      <w:pPr>
        <w:spacing w:before="120" w:after="120" w:line="240" w:lineRule="auto"/>
        <w:jc w:val="both"/>
        <w:rPr>
          <w:rFonts w:ascii="Times New Roman" w:hAnsi="Times New Roman"/>
          <w:noProof/>
        </w:rPr>
      </w:pPr>
    </w:p>
    <w:p w14:paraId="50B4B885" w14:textId="77777777" w:rsidR="003B5F50" w:rsidRDefault="000D2D85">
      <w:pPr>
        <w:pStyle w:val="P68B1DB1-Normal19"/>
        <w:spacing w:before="120" w:after="120" w:line="240" w:lineRule="auto"/>
        <w:jc w:val="both"/>
        <w:rPr>
          <w:bCs/>
          <w:noProof/>
        </w:rPr>
      </w:pPr>
      <w:r>
        <w:rPr>
          <w:noProof/>
        </w:rPr>
        <w:t>Investissement 6: Mesures préventives, rapidité de détection et de résolution des incidents (ITVS – Technologies de l’information pour l’administration publique)</w:t>
      </w:r>
    </w:p>
    <w:p w14:paraId="50B4B886" w14:textId="77777777" w:rsidR="003B5F50" w:rsidRDefault="000D2D85">
      <w:pPr>
        <w:pStyle w:val="NormalWeb"/>
        <w:rPr>
          <w:rFonts w:eastAsia="MS Mincho" w:cs="Arial"/>
          <w:noProof/>
        </w:rPr>
      </w:pPr>
      <w:r>
        <w:rPr>
          <w:noProof/>
        </w:rPr>
        <w:t xml:space="preserve">L’objectif de cette mesure est d’accroître la résilience et la sécurité en matière de cybersécurité des infrastructures critiques de l’administration publique. </w:t>
      </w:r>
    </w:p>
    <w:p w14:paraId="50B4B887" w14:textId="77777777" w:rsidR="003B5F50" w:rsidRDefault="000D2D85">
      <w:pPr>
        <w:pStyle w:val="NormalWeb"/>
        <w:rPr>
          <w:noProof/>
        </w:rPr>
      </w:pPr>
      <w:r>
        <w:rPr>
          <w:noProof/>
        </w:rPr>
        <w:t>Cette mesure consiste à développer davantage un système de réaction rapide pour la cybersécurité de l’administration publique et à reconstruire et/ou à remplacer des éléments (par exemple, les infrastructures et équipements techniques et physiques) d’espaces sécurisés pour les infrastructures critiques.</w:t>
      </w:r>
    </w:p>
    <w:p w14:paraId="6684A447" w14:textId="77777777" w:rsidR="003B5F50" w:rsidRDefault="003B5F50">
      <w:pPr>
        <w:rPr>
          <w:rFonts w:ascii="Times New Roman" w:hAnsi="Times New Roman"/>
          <w:b/>
          <w:noProof/>
        </w:rPr>
      </w:pPr>
    </w:p>
    <w:p w14:paraId="50B4B88A" w14:textId="77777777" w:rsidR="003B5F50" w:rsidRDefault="000D2D85">
      <w:pPr>
        <w:pStyle w:val="P68B1DB1-Normal19"/>
        <w:spacing w:before="120" w:after="120" w:line="240" w:lineRule="auto"/>
        <w:jc w:val="both"/>
        <w:rPr>
          <w:noProof/>
        </w:rPr>
      </w:pPr>
      <w:r>
        <w:rPr>
          <w:noProof/>
        </w:rPr>
        <w:t xml:space="preserve">Réforme 6: Une approche stratégique de l’éducation aux compétences numériques en coopération avec les représentants des principales parties prenantes </w:t>
      </w:r>
    </w:p>
    <w:p w14:paraId="50B4B88B" w14:textId="77777777" w:rsidR="003B5F50" w:rsidRDefault="000D2D85">
      <w:pPr>
        <w:pStyle w:val="NormalWeb"/>
        <w:rPr>
          <w:noProof/>
        </w:rPr>
      </w:pPr>
      <w:r>
        <w:rPr>
          <w:noProof/>
        </w:rPr>
        <w:t xml:space="preserve">Cette réforme élabore une stratégie nationale cohérente pour le développement des compétences numériques par l’apprentissage tout au long de la vie, couvrant les personnes en âge de produire et en âge de post-production. La stratégie est élaborée par le MIRRI en coopération avec les ministères compétents et les représentants des principales parties prenantes. </w:t>
      </w:r>
    </w:p>
    <w:p w14:paraId="50B4B88C" w14:textId="77777777" w:rsidR="003B5F50" w:rsidRDefault="000D2D85">
      <w:pPr>
        <w:pStyle w:val="NormalWeb"/>
        <w:rPr>
          <w:rFonts w:eastAsia="Calibri" w:cs="Times New Roman"/>
          <w:noProof/>
        </w:rPr>
      </w:pPr>
      <w:r>
        <w:rPr>
          <w:noProof/>
        </w:rPr>
        <w:t>La stratégie comprend une analyse de l’état d’avancement des compétences numériques en Slovaquie, un recensement des obstacles existants à leur développement, une vision de l’apprentissage pour la période suivante, ainsi que des recommandations de mesures à l’intention des autorités publiques pour améliorer la situation et atteindre les objectifs. La stratégie propose également un système de financement et de soutien durable à long terme pour les compétences numériques, tout en visant à créer un environnement attrayant pour prévenir la fuite des cerveaux et attirer des experts et des chercheurs étrangers.</w:t>
      </w:r>
    </w:p>
    <w:p w14:paraId="50B4B88D" w14:textId="77777777" w:rsidR="003B5F50" w:rsidRDefault="000D2D85">
      <w:pPr>
        <w:pStyle w:val="NormalWeb"/>
        <w:rPr>
          <w:rFonts w:eastAsia="Calibri" w:cs="Times New Roman"/>
          <w:noProof/>
        </w:rPr>
      </w:pPr>
      <w:r>
        <w:rPr>
          <w:noProof/>
        </w:rPr>
        <w:t>La réforme est achevée au plus tard le 31 décembre 2022.</w:t>
      </w:r>
    </w:p>
    <w:p w14:paraId="50B4B88E" w14:textId="3E37E23B" w:rsidR="003B5F50" w:rsidRDefault="000D2D85">
      <w:pPr>
        <w:pStyle w:val="P68B1DB1-Normal20"/>
        <w:rPr>
          <w:b/>
          <w:noProof/>
        </w:rPr>
      </w:pPr>
      <w:r>
        <w:rPr>
          <w:noProof/>
        </w:rPr>
        <w:br w:type="page"/>
      </w:r>
    </w:p>
    <w:p w14:paraId="00EEC44F" w14:textId="77777777" w:rsidR="003B5F50" w:rsidRDefault="003B5F50">
      <w:pPr>
        <w:spacing w:before="120" w:after="120" w:line="240" w:lineRule="auto"/>
        <w:jc w:val="both"/>
        <w:rPr>
          <w:rFonts w:ascii="Times New Roman" w:hAnsi="Times New Roman"/>
          <w:b/>
          <w:noProof/>
        </w:rPr>
      </w:pPr>
    </w:p>
    <w:p w14:paraId="50B4B88F" w14:textId="77777777" w:rsidR="003B5F50" w:rsidRDefault="000D2D85">
      <w:pPr>
        <w:pStyle w:val="P68B1DB1-Normal19"/>
        <w:spacing w:before="120" w:after="120" w:line="240" w:lineRule="auto"/>
        <w:jc w:val="both"/>
        <w:rPr>
          <w:noProof/>
        </w:rPr>
      </w:pPr>
      <w:r>
        <w:rPr>
          <w:noProof/>
        </w:rPr>
        <w:t xml:space="preserve">Investissement 7: Compétences numériques des personnes âgées ou défavorisées </w:t>
      </w:r>
    </w:p>
    <w:p w14:paraId="50B4B890" w14:textId="77777777" w:rsidR="003B5F50" w:rsidRDefault="000D2D85">
      <w:pPr>
        <w:pStyle w:val="NormalWeb"/>
        <w:rPr>
          <w:noProof/>
        </w:rPr>
      </w:pPr>
      <w:r>
        <w:rPr>
          <w:noProof/>
        </w:rPr>
        <w:t>L’objectif de cette mesure est de former des personnes âgées ou défavorisées à l’acquisition de compétences numériques.</w:t>
      </w:r>
    </w:p>
    <w:p w14:paraId="50B4B891" w14:textId="77777777" w:rsidR="003B5F50" w:rsidRDefault="000D2D85">
      <w:pPr>
        <w:pStyle w:val="NormalWeb"/>
        <w:rPr>
          <w:noProof/>
        </w:rPr>
      </w:pPr>
      <w:r>
        <w:rPr>
          <w:noProof/>
        </w:rPr>
        <w:t>Cette mesure consiste à dispenser des formations aux compétences numériques aux personnes âgées ou défavorisées et à équiper chaque participant d’équipements numériques.</w:t>
      </w:r>
    </w:p>
    <w:p w14:paraId="50B4B892" w14:textId="77777777" w:rsidR="003B5F50" w:rsidRDefault="003B5F50">
      <w:pPr>
        <w:spacing w:before="120" w:after="120" w:line="240" w:lineRule="auto"/>
        <w:ind w:left="1276"/>
        <w:jc w:val="both"/>
        <w:rPr>
          <w:rFonts w:ascii="Times New Roman" w:eastAsia="Times New Roman" w:hAnsi="Times New Roman"/>
          <w:b/>
          <w:bCs/>
          <w:noProof/>
        </w:rPr>
      </w:pPr>
    </w:p>
    <w:p w14:paraId="50B4B893" w14:textId="77777777" w:rsidR="003B5F50" w:rsidRDefault="003B5F50">
      <w:pPr>
        <w:spacing w:before="120" w:after="120" w:line="240" w:lineRule="auto"/>
        <w:ind w:left="850"/>
        <w:rPr>
          <w:rFonts w:ascii="Times New Roman" w:hAnsi="Times New Roman"/>
          <w:noProof/>
        </w:rPr>
        <w:sectPr w:rsidR="003B5F50" w:rsidSect="003E3DD3">
          <w:headerReference w:type="even" r:id="rId209"/>
          <w:headerReference w:type="default" r:id="rId210"/>
          <w:footerReference w:type="even" r:id="rId211"/>
          <w:footerReference w:type="default" r:id="rId212"/>
          <w:headerReference w:type="first" r:id="rId213"/>
          <w:footerReference w:type="first" r:id="rId214"/>
          <w:pgSz w:w="11910" w:h="16840"/>
          <w:pgMar w:top="1134" w:right="1134" w:bottom="1134" w:left="1134" w:header="567" w:footer="567" w:gutter="0"/>
          <w:cols w:space="708"/>
        </w:sectPr>
      </w:pPr>
    </w:p>
    <w:p w14:paraId="50B4B894" w14:textId="77777777" w:rsidR="003B5F50" w:rsidRDefault="003B5F50">
      <w:pPr>
        <w:spacing w:before="120" w:after="120" w:line="240" w:lineRule="auto"/>
        <w:jc w:val="both"/>
        <w:rPr>
          <w:rFonts w:ascii="Times New Roman" w:hAnsi="Times New Roman"/>
          <w:b/>
          <w:noProof/>
          <w:u w:val="single"/>
        </w:rPr>
      </w:pPr>
    </w:p>
    <w:p w14:paraId="50B4B895" w14:textId="77777777" w:rsidR="003B5F50" w:rsidRDefault="000D2D85">
      <w:pPr>
        <w:pStyle w:val="P68B1DB1-Normal44"/>
        <w:spacing w:before="120" w:after="120" w:line="240" w:lineRule="auto"/>
        <w:ind w:left="850"/>
        <w:jc w:val="both"/>
        <w:rPr>
          <w:noProof/>
        </w:rPr>
      </w:pPr>
      <w:r>
        <w:rPr>
          <w:noProof/>
        </w:rPr>
        <w:t xml:space="preserve">A.2. </w:t>
      </w:r>
      <w:r>
        <w:rPr>
          <w:noProof/>
        </w:rPr>
        <w:tab/>
        <w:t>Étapes, cibles, indicateurs et calendrier pour le suivi et la mise en œuvre du soutien financier non remboursable</w:t>
      </w:r>
    </w:p>
    <w:tbl>
      <w:tblPr>
        <w:tblpPr w:leftFromText="180" w:rightFromText="180" w:vertAnchor="text" w:tblpXSpec="center" w:tblpY="1"/>
        <w:tblOverlap w:val="never"/>
        <w:tblW w:w="53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855"/>
        <w:gridCol w:w="1975"/>
        <w:gridCol w:w="1279"/>
        <w:gridCol w:w="988"/>
        <w:gridCol w:w="1702"/>
        <w:gridCol w:w="1132"/>
        <w:gridCol w:w="1135"/>
        <w:gridCol w:w="1419"/>
        <w:gridCol w:w="1415"/>
        <w:gridCol w:w="998"/>
        <w:gridCol w:w="2691"/>
      </w:tblGrid>
      <w:tr w:rsidR="003B5F50" w14:paraId="50B4B8A5" w14:textId="77777777" w:rsidTr="00F8541A">
        <w:trPr>
          <w:trHeight w:val="841"/>
          <w:tblHeader/>
          <w:jc w:val="center"/>
        </w:trPr>
        <w:tc>
          <w:tcPr>
            <w:tcW w:w="274" w:type="pct"/>
            <w:vMerge w:val="restart"/>
            <w:shd w:val="clear" w:color="auto" w:fill="BDD7EE"/>
            <w:vAlign w:val="center"/>
            <w:hideMark/>
          </w:tcPr>
          <w:p w14:paraId="50B4B897" w14:textId="77777777" w:rsidR="003B5F50" w:rsidRDefault="000D2D85">
            <w:pPr>
              <w:pStyle w:val="P68B1DB1-Normal13"/>
              <w:jc w:val="center"/>
              <w:rPr>
                <w:rFonts w:eastAsia="Times New Roman"/>
                <w:bCs/>
                <w:noProof/>
                <w:szCs w:val="20"/>
              </w:rPr>
            </w:pPr>
            <w:r>
              <w:rPr>
                <w:noProof/>
              </w:rPr>
              <w:t>Seq. Num.</w:t>
            </w:r>
          </w:p>
          <w:p w14:paraId="50B4B898" w14:textId="77777777" w:rsidR="003B5F50" w:rsidRDefault="000D2D85">
            <w:pPr>
              <w:pStyle w:val="P68B1DB1-Normal13"/>
              <w:jc w:val="center"/>
              <w:rPr>
                <w:rFonts w:eastAsia="Times New Roman"/>
                <w:bCs/>
                <w:noProof/>
                <w:szCs w:val="20"/>
              </w:rPr>
            </w:pPr>
            <w:r>
              <w:rPr>
                <w:noProof/>
              </w:rPr>
              <w:t> </w:t>
            </w:r>
          </w:p>
        </w:tc>
        <w:tc>
          <w:tcPr>
            <w:tcW w:w="633" w:type="pct"/>
            <w:vMerge w:val="restart"/>
            <w:shd w:val="clear" w:color="auto" w:fill="BDD7EE"/>
            <w:vAlign w:val="center"/>
            <w:hideMark/>
          </w:tcPr>
          <w:p w14:paraId="50B4B899" w14:textId="77777777" w:rsidR="003B5F50" w:rsidRDefault="000D2D85">
            <w:pPr>
              <w:pStyle w:val="P68B1DB1-Normal13"/>
              <w:jc w:val="center"/>
              <w:rPr>
                <w:rFonts w:eastAsia="Times New Roman"/>
                <w:bCs/>
                <w:noProof/>
                <w:szCs w:val="20"/>
              </w:rPr>
            </w:pPr>
            <w:r>
              <w:rPr>
                <w:noProof/>
              </w:rPr>
              <w:t>Mesure connexe (réforme ou investissement)</w:t>
            </w:r>
          </w:p>
          <w:p w14:paraId="50B4B89A" w14:textId="77777777" w:rsidR="003B5F50" w:rsidRDefault="000D2D85">
            <w:pPr>
              <w:pStyle w:val="P68B1DB1-Normal13"/>
              <w:jc w:val="center"/>
              <w:rPr>
                <w:rFonts w:eastAsia="Times New Roman"/>
                <w:bCs/>
                <w:noProof/>
                <w:szCs w:val="20"/>
              </w:rPr>
            </w:pPr>
            <w:r>
              <w:rPr>
                <w:noProof/>
              </w:rPr>
              <w:t> </w:t>
            </w:r>
          </w:p>
        </w:tc>
        <w:tc>
          <w:tcPr>
            <w:tcW w:w="410" w:type="pct"/>
            <w:vMerge w:val="restart"/>
            <w:shd w:val="clear" w:color="auto" w:fill="BDD7EE"/>
            <w:vAlign w:val="center"/>
            <w:hideMark/>
          </w:tcPr>
          <w:p w14:paraId="50B4B89B" w14:textId="77777777" w:rsidR="003B5F50" w:rsidRDefault="000D2D85">
            <w:pPr>
              <w:pStyle w:val="P68B1DB1-Normal13"/>
              <w:jc w:val="center"/>
              <w:rPr>
                <w:rFonts w:eastAsia="Times New Roman"/>
                <w:bCs/>
                <w:noProof/>
                <w:szCs w:val="20"/>
              </w:rPr>
            </w:pPr>
            <w:r>
              <w:rPr>
                <w:noProof/>
              </w:rPr>
              <w:t>Étape/cible</w:t>
            </w:r>
          </w:p>
          <w:p w14:paraId="50B4B89C" w14:textId="77777777" w:rsidR="003B5F50" w:rsidRDefault="000D2D85">
            <w:pPr>
              <w:pStyle w:val="P68B1DB1-Normal13"/>
              <w:jc w:val="center"/>
              <w:rPr>
                <w:rFonts w:eastAsia="Times New Roman"/>
                <w:bCs/>
                <w:noProof/>
                <w:szCs w:val="20"/>
              </w:rPr>
            </w:pPr>
            <w:r>
              <w:rPr>
                <w:noProof/>
              </w:rPr>
              <w:t> </w:t>
            </w:r>
          </w:p>
        </w:tc>
        <w:tc>
          <w:tcPr>
            <w:tcW w:w="317" w:type="pct"/>
            <w:vMerge w:val="restart"/>
            <w:shd w:val="clear" w:color="auto" w:fill="BDD7EE"/>
            <w:vAlign w:val="center"/>
            <w:hideMark/>
          </w:tcPr>
          <w:p w14:paraId="50B4B89D" w14:textId="77777777" w:rsidR="003B5F50" w:rsidRDefault="000D2D85">
            <w:pPr>
              <w:pStyle w:val="P68B1DB1-Normal13"/>
              <w:jc w:val="center"/>
              <w:rPr>
                <w:rFonts w:eastAsia="Times New Roman"/>
                <w:bCs/>
                <w:noProof/>
                <w:szCs w:val="20"/>
              </w:rPr>
            </w:pPr>
            <w:r>
              <w:rPr>
                <w:noProof/>
              </w:rPr>
              <w:t>Nom</w:t>
            </w:r>
          </w:p>
          <w:p w14:paraId="50B4B89E" w14:textId="77777777" w:rsidR="003B5F50" w:rsidRDefault="000D2D85">
            <w:pPr>
              <w:pStyle w:val="P68B1DB1-Normal13"/>
              <w:jc w:val="center"/>
              <w:rPr>
                <w:rFonts w:eastAsia="Times New Roman"/>
                <w:bCs/>
                <w:noProof/>
                <w:szCs w:val="20"/>
              </w:rPr>
            </w:pPr>
            <w:r>
              <w:rPr>
                <w:noProof/>
              </w:rPr>
              <w:t> </w:t>
            </w:r>
          </w:p>
        </w:tc>
        <w:tc>
          <w:tcPr>
            <w:tcW w:w="546" w:type="pct"/>
            <w:vMerge w:val="restart"/>
            <w:shd w:val="clear" w:color="auto" w:fill="BDD7EE"/>
            <w:vAlign w:val="center"/>
            <w:hideMark/>
          </w:tcPr>
          <w:p w14:paraId="50B4B89F" w14:textId="77777777" w:rsidR="003B5F50" w:rsidRDefault="000D2D85">
            <w:pPr>
              <w:pStyle w:val="P68B1DB1-Normal13"/>
              <w:jc w:val="center"/>
              <w:rPr>
                <w:rFonts w:eastAsia="Times New Roman"/>
                <w:bCs/>
                <w:noProof/>
                <w:szCs w:val="20"/>
              </w:rPr>
            </w:pPr>
            <w:r>
              <w:rPr>
                <w:noProof/>
              </w:rPr>
              <w:t>Indicateurs qualitatifs (pour les jalons)</w:t>
            </w:r>
          </w:p>
          <w:p w14:paraId="50B4B8A0" w14:textId="77777777" w:rsidR="003B5F50" w:rsidRDefault="000D2D85">
            <w:pPr>
              <w:pStyle w:val="P68B1DB1-Normal13"/>
              <w:jc w:val="center"/>
              <w:rPr>
                <w:rFonts w:eastAsia="Times New Roman"/>
                <w:bCs/>
                <w:noProof/>
                <w:szCs w:val="20"/>
              </w:rPr>
            </w:pPr>
            <w:r>
              <w:rPr>
                <w:noProof/>
              </w:rPr>
              <w:t> </w:t>
            </w:r>
          </w:p>
        </w:tc>
        <w:tc>
          <w:tcPr>
            <w:tcW w:w="1182" w:type="pct"/>
            <w:gridSpan w:val="3"/>
            <w:shd w:val="clear" w:color="auto" w:fill="BDD7EE"/>
            <w:vAlign w:val="center"/>
            <w:hideMark/>
          </w:tcPr>
          <w:p w14:paraId="50B4B8A1" w14:textId="77777777" w:rsidR="003B5F50" w:rsidRDefault="000D2D85">
            <w:pPr>
              <w:pStyle w:val="P68B1DB1-Normal13"/>
              <w:jc w:val="center"/>
              <w:rPr>
                <w:rFonts w:eastAsia="Times New Roman"/>
                <w:bCs/>
                <w:noProof/>
                <w:szCs w:val="20"/>
              </w:rPr>
            </w:pPr>
            <w:r>
              <w:rPr>
                <w:noProof/>
              </w:rPr>
              <w:t>Indicateurs quantitatifs (pour les objectifs)</w:t>
            </w:r>
          </w:p>
        </w:tc>
        <w:tc>
          <w:tcPr>
            <w:tcW w:w="774" w:type="pct"/>
            <w:gridSpan w:val="2"/>
            <w:shd w:val="clear" w:color="auto" w:fill="BDD7EE"/>
            <w:vAlign w:val="center"/>
            <w:hideMark/>
          </w:tcPr>
          <w:p w14:paraId="50B4B8A2" w14:textId="77777777" w:rsidR="003B5F50" w:rsidRDefault="000D2D85">
            <w:pPr>
              <w:pStyle w:val="P68B1DB1-Normal13"/>
              <w:jc w:val="center"/>
              <w:rPr>
                <w:rFonts w:eastAsia="Times New Roman"/>
                <w:bCs/>
                <w:noProof/>
                <w:szCs w:val="20"/>
              </w:rPr>
            </w:pPr>
            <w:r>
              <w:rPr>
                <w:noProof/>
              </w:rPr>
              <w:t xml:space="preserve">Calendrier indicatif d'achèvement </w:t>
            </w:r>
          </w:p>
        </w:tc>
        <w:tc>
          <w:tcPr>
            <w:tcW w:w="863" w:type="pct"/>
            <w:vMerge w:val="restart"/>
            <w:shd w:val="clear" w:color="auto" w:fill="BDD7EE"/>
            <w:vAlign w:val="center"/>
            <w:hideMark/>
          </w:tcPr>
          <w:p w14:paraId="50B4B8A3" w14:textId="77777777" w:rsidR="003B5F50" w:rsidRDefault="000D2D85">
            <w:pPr>
              <w:pStyle w:val="P68B1DB1-Normal13"/>
              <w:jc w:val="center"/>
              <w:rPr>
                <w:rFonts w:eastAsia="Times New Roman"/>
                <w:bCs/>
                <w:noProof/>
                <w:szCs w:val="20"/>
              </w:rPr>
            </w:pPr>
            <w:r>
              <w:rPr>
                <w:noProof/>
              </w:rPr>
              <w:t>Description et définition claire de chaque jalon et cible</w:t>
            </w:r>
          </w:p>
          <w:p w14:paraId="50B4B8A4" w14:textId="77777777" w:rsidR="003B5F50" w:rsidRDefault="000D2D85">
            <w:pPr>
              <w:pStyle w:val="P68B1DB1-Normal13"/>
              <w:jc w:val="center"/>
              <w:rPr>
                <w:rFonts w:eastAsia="Times New Roman"/>
                <w:bCs/>
                <w:noProof/>
                <w:szCs w:val="20"/>
              </w:rPr>
            </w:pPr>
            <w:r>
              <w:rPr>
                <w:noProof/>
              </w:rPr>
              <w:t> </w:t>
            </w:r>
          </w:p>
        </w:tc>
      </w:tr>
      <w:tr w:rsidR="003B5F50" w14:paraId="50B4B8B1" w14:textId="77777777" w:rsidTr="00F8541A">
        <w:trPr>
          <w:trHeight w:val="718"/>
          <w:tblHeader/>
          <w:jc w:val="center"/>
        </w:trPr>
        <w:tc>
          <w:tcPr>
            <w:tcW w:w="274" w:type="pct"/>
            <w:vMerge/>
            <w:vAlign w:val="center"/>
            <w:hideMark/>
          </w:tcPr>
          <w:p w14:paraId="50B4B8A6" w14:textId="77777777" w:rsidR="003B5F50" w:rsidRDefault="003B5F50">
            <w:pPr>
              <w:spacing w:after="0"/>
              <w:rPr>
                <w:rFonts w:ascii="Times New Roman" w:eastAsia="Times New Roman" w:hAnsi="Times New Roman"/>
                <w:b/>
                <w:noProof/>
                <w:sz w:val="20"/>
                <w:szCs w:val="20"/>
              </w:rPr>
            </w:pPr>
          </w:p>
        </w:tc>
        <w:tc>
          <w:tcPr>
            <w:tcW w:w="633" w:type="pct"/>
            <w:vMerge/>
            <w:vAlign w:val="center"/>
            <w:hideMark/>
          </w:tcPr>
          <w:p w14:paraId="50B4B8A7" w14:textId="77777777" w:rsidR="003B5F50" w:rsidRDefault="003B5F50">
            <w:pPr>
              <w:spacing w:after="0"/>
              <w:rPr>
                <w:rFonts w:ascii="Times New Roman" w:eastAsia="Times New Roman" w:hAnsi="Times New Roman"/>
                <w:b/>
                <w:noProof/>
                <w:sz w:val="20"/>
                <w:szCs w:val="20"/>
              </w:rPr>
            </w:pPr>
          </w:p>
        </w:tc>
        <w:tc>
          <w:tcPr>
            <w:tcW w:w="410" w:type="pct"/>
            <w:vMerge/>
            <w:vAlign w:val="center"/>
            <w:hideMark/>
          </w:tcPr>
          <w:p w14:paraId="50B4B8A8" w14:textId="77777777" w:rsidR="003B5F50" w:rsidRDefault="003B5F50">
            <w:pPr>
              <w:spacing w:after="0"/>
              <w:rPr>
                <w:rFonts w:ascii="Times New Roman" w:eastAsia="Times New Roman" w:hAnsi="Times New Roman"/>
                <w:b/>
                <w:noProof/>
                <w:sz w:val="20"/>
                <w:szCs w:val="20"/>
              </w:rPr>
            </w:pPr>
          </w:p>
        </w:tc>
        <w:tc>
          <w:tcPr>
            <w:tcW w:w="317" w:type="pct"/>
            <w:vMerge/>
            <w:vAlign w:val="center"/>
            <w:hideMark/>
          </w:tcPr>
          <w:p w14:paraId="50B4B8A9" w14:textId="77777777" w:rsidR="003B5F50" w:rsidRDefault="003B5F50">
            <w:pPr>
              <w:spacing w:after="0"/>
              <w:rPr>
                <w:rFonts w:ascii="Times New Roman" w:eastAsia="Times New Roman" w:hAnsi="Times New Roman"/>
                <w:b/>
                <w:noProof/>
                <w:sz w:val="20"/>
                <w:szCs w:val="20"/>
              </w:rPr>
            </w:pPr>
          </w:p>
        </w:tc>
        <w:tc>
          <w:tcPr>
            <w:tcW w:w="546" w:type="pct"/>
            <w:vMerge/>
            <w:vAlign w:val="center"/>
            <w:hideMark/>
          </w:tcPr>
          <w:p w14:paraId="50B4B8AA" w14:textId="77777777" w:rsidR="003B5F50" w:rsidRDefault="003B5F50">
            <w:pPr>
              <w:spacing w:after="0"/>
              <w:rPr>
                <w:rFonts w:ascii="Times New Roman" w:eastAsia="Times New Roman" w:hAnsi="Times New Roman"/>
                <w:b/>
                <w:noProof/>
                <w:sz w:val="20"/>
                <w:szCs w:val="20"/>
              </w:rPr>
            </w:pPr>
          </w:p>
        </w:tc>
        <w:tc>
          <w:tcPr>
            <w:tcW w:w="363" w:type="pct"/>
            <w:shd w:val="clear" w:color="auto" w:fill="BDD7EE"/>
            <w:vAlign w:val="center"/>
            <w:hideMark/>
          </w:tcPr>
          <w:p w14:paraId="50B4B8AB" w14:textId="77777777" w:rsidR="003B5F50" w:rsidRDefault="000D2D85">
            <w:pPr>
              <w:pStyle w:val="P68B1DB1-Normal13"/>
              <w:spacing w:after="0"/>
              <w:jc w:val="center"/>
              <w:rPr>
                <w:rFonts w:eastAsia="Times New Roman"/>
                <w:noProof/>
                <w:szCs w:val="20"/>
              </w:rPr>
            </w:pPr>
            <w:r>
              <w:rPr>
                <w:noProof/>
              </w:rPr>
              <w:t>Unité de mesure</w:t>
            </w:r>
          </w:p>
        </w:tc>
        <w:tc>
          <w:tcPr>
            <w:tcW w:w="364" w:type="pct"/>
            <w:shd w:val="clear" w:color="auto" w:fill="BDD7EE"/>
            <w:vAlign w:val="center"/>
            <w:hideMark/>
          </w:tcPr>
          <w:p w14:paraId="50B4B8AC" w14:textId="47502F9F" w:rsidR="003B5F50" w:rsidRDefault="000D2D85">
            <w:pPr>
              <w:pStyle w:val="P68B1DB1-Normal13"/>
              <w:spacing w:after="0"/>
              <w:jc w:val="center"/>
              <w:rPr>
                <w:rFonts w:eastAsia="Times New Roman"/>
                <w:noProof/>
                <w:szCs w:val="20"/>
              </w:rPr>
            </w:pPr>
            <w:r>
              <w:rPr>
                <w:noProof/>
              </w:rPr>
              <w:t>Données de référence</w:t>
            </w:r>
          </w:p>
        </w:tc>
        <w:tc>
          <w:tcPr>
            <w:tcW w:w="455" w:type="pct"/>
            <w:shd w:val="clear" w:color="auto" w:fill="BDD7EE"/>
            <w:vAlign w:val="center"/>
            <w:hideMark/>
          </w:tcPr>
          <w:p w14:paraId="50B4B8AD" w14:textId="77777777" w:rsidR="003B5F50" w:rsidRDefault="000D2D85">
            <w:pPr>
              <w:pStyle w:val="P68B1DB1-Normal13"/>
              <w:spacing w:after="0"/>
              <w:jc w:val="center"/>
              <w:rPr>
                <w:rFonts w:eastAsia="Times New Roman"/>
                <w:noProof/>
                <w:szCs w:val="20"/>
              </w:rPr>
            </w:pPr>
            <w:r>
              <w:rPr>
                <w:noProof/>
              </w:rPr>
              <w:t>Objectif</w:t>
            </w:r>
          </w:p>
        </w:tc>
        <w:tc>
          <w:tcPr>
            <w:tcW w:w="454" w:type="pct"/>
            <w:shd w:val="clear" w:color="auto" w:fill="BDD7EE"/>
            <w:vAlign w:val="center"/>
            <w:hideMark/>
          </w:tcPr>
          <w:p w14:paraId="50B4B8AE" w14:textId="77777777" w:rsidR="003B5F50" w:rsidRDefault="000D2D85">
            <w:pPr>
              <w:pStyle w:val="P68B1DB1-Normal13"/>
              <w:spacing w:after="0"/>
              <w:jc w:val="center"/>
              <w:rPr>
                <w:rFonts w:eastAsia="Times New Roman"/>
                <w:noProof/>
                <w:szCs w:val="20"/>
              </w:rPr>
            </w:pPr>
            <w:r>
              <w:rPr>
                <w:noProof/>
              </w:rPr>
              <w:t>Trimestre</w:t>
            </w:r>
          </w:p>
        </w:tc>
        <w:tc>
          <w:tcPr>
            <w:tcW w:w="319" w:type="pct"/>
            <w:shd w:val="clear" w:color="auto" w:fill="BDD7EE"/>
            <w:vAlign w:val="center"/>
            <w:hideMark/>
          </w:tcPr>
          <w:p w14:paraId="50B4B8AF" w14:textId="77777777" w:rsidR="003B5F50" w:rsidRDefault="000D2D85">
            <w:pPr>
              <w:pStyle w:val="P68B1DB1-Normal13"/>
              <w:spacing w:after="0"/>
              <w:jc w:val="center"/>
              <w:rPr>
                <w:rFonts w:eastAsia="Times New Roman"/>
                <w:noProof/>
                <w:szCs w:val="20"/>
              </w:rPr>
            </w:pPr>
            <w:r>
              <w:rPr>
                <w:noProof/>
              </w:rPr>
              <w:t>Année</w:t>
            </w:r>
          </w:p>
        </w:tc>
        <w:tc>
          <w:tcPr>
            <w:tcW w:w="863" w:type="pct"/>
            <w:vMerge/>
            <w:vAlign w:val="center"/>
            <w:hideMark/>
          </w:tcPr>
          <w:p w14:paraId="50B4B8B0" w14:textId="77777777" w:rsidR="003B5F50" w:rsidRDefault="003B5F50">
            <w:pPr>
              <w:spacing w:after="0"/>
              <w:rPr>
                <w:rFonts w:ascii="Times New Roman" w:eastAsia="Times New Roman" w:hAnsi="Times New Roman"/>
                <w:noProof/>
                <w:sz w:val="20"/>
                <w:szCs w:val="20"/>
              </w:rPr>
            </w:pPr>
          </w:p>
        </w:tc>
      </w:tr>
      <w:tr w:rsidR="003B5F50" w14:paraId="50B4B8BD" w14:textId="77777777" w:rsidTr="00F8541A">
        <w:trPr>
          <w:trHeight w:val="961"/>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B2" w14:textId="77777777" w:rsidR="003B5F50" w:rsidRDefault="000D2D85">
            <w:pPr>
              <w:pStyle w:val="P68B1DB1-Normal14"/>
              <w:spacing w:after="0"/>
              <w:rPr>
                <w:rFonts w:eastAsia="Times New Roman"/>
                <w:noProof/>
                <w:szCs w:val="20"/>
              </w:rPr>
            </w:pPr>
            <w:r>
              <w:rPr>
                <w:noProof/>
              </w:rPr>
              <w:t>1</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8B3" w14:textId="77777777" w:rsidR="003B5F50" w:rsidRDefault="000D2D85">
            <w:pPr>
              <w:pStyle w:val="P68B1DB1-Normal14"/>
              <w:spacing w:after="0"/>
              <w:rPr>
                <w:rFonts w:eastAsia="Times New Roman"/>
                <w:noProof/>
                <w:szCs w:val="20"/>
              </w:rPr>
            </w:pPr>
            <w:r>
              <w:rPr>
                <w:noProof/>
              </w:rPr>
              <w:t>17 – Slovaquie numérique – Réforme 1: Créer des solutions d'administration en ligne pour les situations de vie prioritaires</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8B4" w14:textId="77777777" w:rsidR="003B5F50" w:rsidRDefault="000D2D85">
            <w:pPr>
              <w:pStyle w:val="P68B1DB1-Normal14"/>
              <w:spacing w:after="0"/>
              <w:rPr>
                <w:rFonts w:eastAsia="Times New Roman"/>
                <w:noProof/>
                <w:szCs w:val="20"/>
              </w:rPr>
            </w:pPr>
            <w:r>
              <w:rPr>
                <w:noProof/>
              </w:rPr>
              <w:t>Étape</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8B5" w14:textId="77777777" w:rsidR="003B5F50" w:rsidRDefault="000D2D85">
            <w:pPr>
              <w:pStyle w:val="P68B1DB1-Normal14"/>
              <w:spacing w:after="0"/>
              <w:rPr>
                <w:rFonts w:eastAsia="Times New Roman"/>
                <w:noProof/>
                <w:szCs w:val="20"/>
              </w:rPr>
            </w:pPr>
            <w:r>
              <w:rPr>
                <w:noProof/>
              </w:rPr>
              <w:t>Plan d'investissement pour les situations de vie prioritaires</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8B6" w14:textId="77777777" w:rsidR="003B5F50" w:rsidRDefault="000D2D85">
            <w:pPr>
              <w:pStyle w:val="P68B1DB1-Normal14"/>
              <w:spacing w:after="0"/>
              <w:rPr>
                <w:rFonts w:eastAsia="Times New Roman"/>
                <w:noProof/>
                <w:szCs w:val="20"/>
              </w:rPr>
            </w:pPr>
            <w:r>
              <w:rPr>
                <w:noProof/>
              </w:rPr>
              <w:t>Publication de la liste des priorités approuvée par le MIRRI</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8B7" w14:textId="77777777" w:rsidR="003B5F50" w:rsidRDefault="000D2D85">
            <w:pPr>
              <w:pStyle w:val="P68B1DB1-Normal14"/>
              <w:spacing w:after="0"/>
              <w:rPr>
                <w:rFonts w:eastAsia="Times New Roman"/>
                <w:noProof/>
                <w:szCs w:val="20"/>
              </w:rPr>
            </w:pPr>
            <w:r>
              <w:rPr>
                <w:noProof/>
              </w:rPr>
              <w:t> </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8B8" w14:textId="77777777" w:rsidR="003B5F50" w:rsidRDefault="000D2D85">
            <w:pPr>
              <w:pStyle w:val="P68B1DB1-Normal14"/>
              <w:spacing w:after="0"/>
              <w:rPr>
                <w:rFonts w:eastAsia="Times New Roman"/>
                <w:noProof/>
                <w:szCs w:val="20"/>
              </w:rPr>
            </w:pPr>
            <w:r>
              <w:rPr>
                <w:noProof/>
              </w:rPr>
              <w:t> </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8B9" w14:textId="77777777" w:rsidR="003B5F50" w:rsidRDefault="000D2D85">
            <w:pPr>
              <w:pStyle w:val="P68B1DB1-Normal14"/>
              <w:spacing w:after="0"/>
              <w:rPr>
                <w:rFonts w:eastAsia="Times New Roman"/>
                <w:noProof/>
                <w:szCs w:val="20"/>
              </w:rPr>
            </w:pPr>
            <w:r>
              <w:rPr>
                <w:noProof/>
              </w:rPr>
              <w:t> </w:t>
            </w: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8BA" w14:textId="77777777" w:rsidR="003B5F50" w:rsidRDefault="000D2D85">
            <w:pPr>
              <w:pStyle w:val="P68B1DB1-Normal14"/>
              <w:spacing w:after="0"/>
              <w:rPr>
                <w:rFonts w:eastAsia="Times New Roman"/>
                <w:noProof/>
                <w:szCs w:val="20"/>
              </w:rPr>
            </w:pPr>
            <w:r>
              <w:rPr>
                <w:noProof/>
              </w:rPr>
              <w:t>T4</w:t>
            </w:r>
          </w:p>
        </w:tc>
        <w:tc>
          <w:tcPr>
            <w:tcW w:w="319" w:type="pct"/>
            <w:tcBorders>
              <w:top w:val="single" w:sz="4" w:space="0" w:color="auto"/>
              <w:left w:val="single" w:sz="4" w:space="0" w:color="auto"/>
              <w:bottom w:val="single" w:sz="4" w:space="0" w:color="auto"/>
              <w:right w:val="single" w:sz="4" w:space="0" w:color="auto"/>
            </w:tcBorders>
            <w:shd w:val="clear" w:color="auto" w:fill="C6EFCE"/>
            <w:noWrap/>
            <w:hideMark/>
          </w:tcPr>
          <w:p w14:paraId="50B4B8BB" w14:textId="77777777" w:rsidR="003B5F50" w:rsidRDefault="000D2D85">
            <w:pPr>
              <w:pStyle w:val="P68B1DB1-Normal14"/>
              <w:spacing w:after="0"/>
              <w:rPr>
                <w:rFonts w:eastAsia="Times New Roman"/>
                <w:noProof/>
                <w:szCs w:val="20"/>
              </w:rPr>
            </w:pPr>
            <w:r>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8BC" w14:textId="77777777" w:rsidR="003B5F50" w:rsidRDefault="000D2D85">
            <w:pPr>
              <w:pStyle w:val="P68B1DB1-Normal16"/>
              <w:spacing w:after="0"/>
              <w:rPr>
                <w:rFonts w:eastAsia="Times New Roman"/>
                <w:noProof/>
                <w:color w:val="006100"/>
                <w:szCs w:val="20"/>
              </w:rPr>
            </w:pPr>
            <w:r>
              <w:rPr>
                <w:noProof/>
                <w:color w:val="006100"/>
              </w:rPr>
              <w:t>Publication de la liste des services électroniques prioritaires approuvés par le RS IRM, sur la base du critère de référence eGOV</w:t>
            </w:r>
            <w:r>
              <w:rPr>
                <w:noProof/>
              </w:rPr>
              <w:t xml:space="preserve"> </w:t>
            </w:r>
            <w:r>
              <w:rPr>
                <w:noProof/>
                <w:color w:val="006100"/>
              </w:rPr>
              <w:t xml:space="preserve">et compte tenu de l’annexe II du règlement sur le portail numérique unique. </w:t>
            </w:r>
          </w:p>
        </w:tc>
      </w:tr>
      <w:tr w:rsidR="003B5F50" w14:paraId="50B4B8CA" w14:textId="77777777" w:rsidTr="00F8541A">
        <w:trPr>
          <w:trHeight w:val="1154"/>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BE" w14:textId="77777777" w:rsidR="003B5F50" w:rsidRDefault="000D2D85">
            <w:pPr>
              <w:pStyle w:val="P68B1DB1-Normal14"/>
              <w:spacing w:after="0"/>
              <w:rPr>
                <w:rFonts w:eastAsia="Times New Roman"/>
                <w:noProof/>
                <w:szCs w:val="20"/>
              </w:rPr>
            </w:pPr>
            <w:r>
              <w:rPr>
                <w:noProof/>
              </w:rPr>
              <w:t>2</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8BF" w14:textId="77777777" w:rsidR="003B5F50" w:rsidRDefault="000D2D85">
            <w:pPr>
              <w:pStyle w:val="P68B1DB1-Normal14"/>
              <w:spacing w:after="0"/>
              <w:rPr>
                <w:rFonts w:eastAsia="Times New Roman"/>
                <w:noProof/>
                <w:szCs w:val="20"/>
              </w:rPr>
            </w:pPr>
            <w:r>
              <w:rPr>
                <w:noProof/>
              </w:rPr>
              <w:t>17 – Slovaquie numérique – Réforme 1: Créer des solutions d'administration en ligne pour les situations de vie prioritaires</w:t>
            </w:r>
          </w:p>
        </w:tc>
        <w:tc>
          <w:tcPr>
            <w:tcW w:w="410" w:type="pct"/>
            <w:tcBorders>
              <w:top w:val="single" w:sz="4" w:space="0" w:color="auto"/>
              <w:left w:val="single" w:sz="4" w:space="0" w:color="auto"/>
              <w:bottom w:val="single" w:sz="4" w:space="0" w:color="auto"/>
              <w:right w:val="single" w:sz="4" w:space="0" w:color="auto"/>
            </w:tcBorders>
            <w:shd w:val="clear" w:color="auto" w:fill="C6EFCE"/>
            <w:hideMark/>
          </w:tcPr>
          <w:p w14:paraId="50B4B8C0" w14:textId="77777777" w:rsidR="003B5F50" w:rsidRDefault="000D2D85">
            <w:pPr>
              <w:pStyle w:val="P68B1DB1-Normal14"/>
              <w:spacing w:after="0"/>
              <w:rPr>
                <w:rFonts w:eastAsia="Times New Roman"/>
                <w:noProof/>
                <w:szCs w:val="20"/>
              </w:rPr>
            </w:pPr>
            <w:r>
              <w:rPr>
                <w:noProof/>
              </w:rPr>
              <w:t>Étape</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8C1" w14:textId="77777777" w:rsidR="003B5F50" w:rsidRDefault="000D2D85">
            <w:pPr>
              <w:pStyle w:val="P68B1DB1-Normal14"/>
              <w:spacing w:after="0"/>
              <w:rPr>
                <w:rFonts w:eastAsia="Times New Roman"/>
                <w:noProof/>
                <w:szCs w:val="20"/>
              </w:rPr>
            </w:pPr>
            <w:r>
              <w:rPr>
                <w:noProof/>
              </w:rPr>
              <w:t>Feuille de route des situations de vie prioritaires</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8C2" w14:textId="77777777" w:rsidR="003B5F50" w:rsidRDefault="000D2D85">
            <w:pPr>
              <w:pStyle w:val="P68B1DB1-Normal14"/>
              <w:spacing w:after="0"/>
              <w:rPr>
                <w:rFonts w:eastAsia="Times New Roman"/>
                <w:noProof/>
                <w:szCs w:val="20"/>
              </w:rPr>
            </w:pPr>
            <w:r>
              <w:rPr>
                <w:noProof/>
              </w:rPr>
              <w:t>Publication de la feuille de route</w:t>
            </w:r>
          </w:p>
        </w:tc>
        <w:tc>
          <w:tcPr>
            <w:tcW w:w="363" w:type="pct"/>
            <w:tcBorders>
              <w:top w:val="single" w:sz="4" w:space="0" w:color="auto"/>
              <w:left w:val="single" w:sz="4" w:space="0" w:color="auto"/>
              <w:bottom w:val="single" w:sz="4" w:space="0" w:color="auto"/>
              <w:right w:val="single" w:sz="4" w:space="0" w:color="auto"/>
            </w:tcBorders>
            <w:shd w:val="clear" w:color="auto" w:fill="C6EFCE"/>
            <w:hideMark/>
          </w:tcPr>
          <w:p w14:paraId="50B4B8C3" w14:textId="77777777" w:rsidR="003B5F50" w:rsidRDefault="003B5F50">
            <w:pPr>
              <w:spacing w:after="0"/>
              <w:rPr>
                <w:rFonts w:ascii="Times New Roman" w:eastAsia="Times New Roman" w:hAnsi="Times New Roman"/>
                <w:noProof/>
                <w:color w:val="006100"/>
                <w:sz w:val="20"/>
                <w:szCs w:val="20"/>
              </w:rPr>
            </w:pPr>
          </w:p>
        </w:tc>
        <w:tc>
          <w:tcPr>
            <w:tcW w:w="364" w:type="pct"/>
            <w:tcBorders>
              <w:top w:val="single" w:sz="4" w:space="0" w:color="auto"/>
              <w:left w:val="single" w:sz="4" w:space="0" w:color="auto"/>
              <w:bottom w:val="single" w:sz="4" w:space="0" w:color="auto"/>
              <w:right w:val="single" w:sz="4" w:space="0" w:color="auto"/>
            </w:tcBorders>
            <w:shd w:val="clear" w:color="auto" w:fill="C6EFCE"/>
            <w:hideMark/>
          </w:tcPr>
          <w:p w14:paraId="50B4B8C4" w14:textId="77777777" w:rsidR="003B5F50" w:rsidRDefault="003B5F50">
            <w:pPr>
              <w:spacing w:after="0"/>
              <w:rPr>
                <w:rFonts w:ascii="Times New Roman" w:eastAsia="Times New Roman" w:hAnsi="Times New Roman"/>
                <w:noProof/>
                <w:color w:val="006100"/>
                <w:sz w:val="20"/>
                <w:szCs w:val="20"/>
              </w:rPr>
            </w:pPr>
          </w:p>
        </w:tc>
        <w:tc>
          <w:tcPr>
            <w:tcW w:w="455" w:type="pct"/>
            <w:tcBorders>
              <w:top w:val="single" w:sz="4" w:space="0" w:color="auto"/>
              <w:left w:val="single" w:sz="4" w:space="0" w:color="auto"/>
              <w:bottom w:val="single" w:sz="4" w:space="0" w:color="auto"/>
              <w:right w:val="single" w:sz="4" w:space="0" w:color="auto"/>
            </w:tcBorders>
            <w:shd w:val="clear" w:color="auto" w:fill="C6EFCE"/>
            <w:hideMark/>
          </w:tcPr>
          <w:p w14:paraId="50B4B8C5" w14:textId="77777777" w:rsidR="003B5F50" w:rsidRDefault="003B5F50">
            <w:pPr>
              <w:spacing w:after="0"/>
              <w:rPr>
                <w:rFonts w:ascii="Times New Roman" w:eastAsia="Times New Roman" w:hAnsi="Times New Roman"/>
                <w:noProof/>
                <w:color w:val="006100"/>
                <w:sz w:val="20"/>
                <w:szCs w:val="20"/>
              </w:rPr>
            </w:pPr>
          </w:p>
        </w:tc>
        <w:tc>
          <w:tcPr>
            <w:tcW w:w="454" w:type="pct"/>
            <w:tcBorders>
              <w:top w:val="single" w:sz="4" w:space="0" w:color="auto"/>
              <w:left w:val="single" w:sz="4" w:space="0" w:color="auto"/>
              <w:bottom w:val="single" w:sz="4" w:space="0" w:color="auto"/>
              <w:right w:val="single" w:sz="4" w:space="0" w:color="auto"/>
            </w:tcBorders>
            <w:shd w:val="clear" w:color="auto" w:fill="C6EFCE"/>
            <w:hideMark/>
          </w:tcPr>
          <w:p w14:paraId="50B4B8C6" w14:textId="77777777" w:rsidR="003B5F50" w:rsidRDefault="000D2D85">
            <w:pPr>
              <w:pStyle w:val="P68B1DB1-Normal14"/>
              <w:spacing w:after="0"/>
              <w:rPr>
                <w:rFonts w:eastAsia="Times New Roman"/>
                <w:noProof/>
                <w:szCs w:val="20"/>
              </w:rPr>
            </w:pPr>
            <w:r>
              <w:rPr>
                <w:noProof/>
              </w:rPr>
              <w:t>T4</w:t>
            </w:r>
          </w:p>
        </w:tc>
        <w:tc>
          <w:tcPr>
            <w:tcW w:w="319" w:type="pct"/>
            <w:tcBorders>
              <w:top w:val="single" w:sz="4" w:space="0" w:color="auto"/>
              <w:left w:val="single" w:sz="4" w:space="0" w:color="auto"/>
              <w:bottom w:val="single" w:sz="4" w:space="0" w:color="auto"/>
              <w:right w:val="single" w:sz="4" w:space="0" w:color="auto"/>
            </w:tcBorders>
            <w:shd w:val="clear" w:color="auto" w:fill="C6EFCE"/>
            <w:hideMark/>
          </w:tcPr>
          <w:p w14:paraId="50B4B8C7" w14:textId="77777777" w:rsidR="003B5F50" w:rsidRDefault="000D2D85">
            <w:pPr>
              <w:pStyle w:val="P68B1DB1-Normal14"/>
              <w:spacing w:after="0"/>
              <w:rPr>
                <w:rFonts w:eastAsia="Times New Roman"/>
                <w:noProof/>
                <w:szCs w:val="20"/>
              </w:rPr>
            </w:pPr>
            <w:r>
              <w:rPr>
                <w:noProof/>
              </w:rPr>
              <w:t>2023</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8C9" w14:textId="62EDBA21" w:rsidR="003B5F50" w:rsidRDefault="000D2D85">
            <w:pPr>
              <w:pStyle w:val="P68B1DB1-Normal14"/>
              <w:spacing w:after="0"/>
              <w:rPr>
                <w:rFonts w:eastAsia="Times New Roman"/>
                <w:noProof/>
                <w:szCs w:val="20"/>
              </w:rPr>
            </w:pPr>
            <w:r>
              <w:rPr>
                <w:noProof/>
              </w:rPr>
              <w:t>Analyse de la conception des services et identification des déficiences (feuille de route) en vue de leur amélioration par l’ensemble des institutions publiques concernées</w:t>
            </w:r>
          </w:p>
        </w:tc>
      </w:tr>
      <w:tr w:rsidR="003B5F50" w14:paraId="50B4B8D6" w14:textId="77777777" w:rsidTr="00F8541A">
        <w:trPr>
          <w:trHeight w:val="913"/>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CB" w14:textId="77777777" w:rsidR="003B5F50" w:rsidRDefault="000D2D85">
            <w:pPr>
              <w:pStyle w:val="P68B1DB1-Normal14"/>
              <w:spacing w:after="0"/>
              <w:rPr>
                <w:rFonts w:eastAsia="Times New Roman"/>
                <w:noProof/>
                <w:szCs w:val="20"/>
              </w:rPr>
            </w:pPr>
            <w:r>
              <w:rPr>
                <w:noProof/>
              </w:rPr>
              <w:t>3</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8CC" w14:textId="77777777" w:rsidR="003B5F50" w:rsidRDefault="000D2D85">
            <w:pPr>
              <w:pStyle w:val="P68B1DB1-Normal14"/>
              <w:spacing w:after="0"/>
              <w:rPr>
                <w:rFonts w:eastAsia="Times New Roman"/>
                <w:noProof/>
                <w:szCs w:val="20"/>
              </w:rPr>
            </w:pPr>
            <w:r>
              <w:rPr>
                <w:noProof/>
              </w:rPr>
              <w:t>17 – Slovaquie numérique – Réforme 2: Gestion centralisée des ressources informatiques</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8CD" w14:textId="77777777" w:rsidR="003B5F50" w:rsidRDefault="000D2D85">
            <w:pPr>
              <w:pStyle w:val="P68B1DB1-Normal14"/>
              <w:spacing w:after="0"/>
              <w:rPr>
                <w:rFonts w:eastAsia="Times New Roman"/>
                <w:noProof/>
                <w:szCs w:val="20"/>
              </w:rPr>
            </w:pPr>
            <w:r>
              <w:rPr>
                <w:noProof/>
              </w:rPr>
              <w:t>Étape</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8CE" w14:textId="77777777" w:rsidR="003B5F50" w:rsidRDefault="000D2D85">
            <w:pPr>
              <w:pStyle w:val="P68B1DB1-Normal14"/>
              <w:spacing w:after="0"/>
              <w:rPr>
                <w:rFonts w:eastAsia="Times New Roman"/>
                <w:noProof/>
                <w:szCs w:val="20"/>
              </w:rPr>
            </w:pPr>
            <w:r>
              <w:rPr>
                <w:noProof/>
              </w:rPr>
              <w:t>Plateforme centrale pour l'utilisation des ressources informatiques (marché numérique)</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8CF" w14:textId="77777777" w:rsidR="003B5F50" w:rsidRDefault="000D2D85">
            <w:pPr>
              <w:pStyle w:val="P68B1DB1-Normal14"/>
              <w:spacing w:after="0"/>
              <w:rPr>
                <w:rFonts w:eastAsia="Times New Roman"/>
                <w:noProof/>
                <w:szCs w:val="20"/>
              </w:rPr>
            </w:pPr>
            <w:r>
              <w:rPr>
                <w:noProof/>
              </w:rPr>
              <w:t>Lancement de la plateforme</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8D0" w14:textId="77777777" w:rsidR="003B5F50" w:rsidRDefault="000D2D85">
            <w:pPr>
              <w:pStyle w:val="P68B1DB1-Normal14"/>
              <w:spacing w:after="0"/>
              <w:rPr>
                <w:rFonts w:eastAsia="Times New Roman"/>
                <w:noProof/>
                <w:szCs w:val="20"/>
              </w:rPr>
            </w:pPr>
            <w:r>
              <w:rPr>
                <w:noProof/>
              </w:rPr>
              <w:t> </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8D1" w14:textId="77777777" w:rsidR="003B5F50" w:rsidRDefault="000D2D85">
            <w:pPr>
              <w:pStyle w:val="P68B1DB1-Normal14"/>
              <w:spacing w:after="0"/>
              <w:rPr>
                <w:rFonts w:eastAsia="Times New Roman"/>
                <w:noProof/>
                <w:szCs w:val="20"/>
              </w:rPr>
            </w:pPr>
            <w:r>
              <w:rPr>
                <w:noProof/>
              </w:rPr>
              <w:t> </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8D2" w14:textId="77777777" w:rsidR="003B5F50" w:rsidRDefault="000D2D85">
            <w:pPr>
              <w:pStyle w:val="P68B1DB1-Normal14"/>
              <w:spacing w:after="0"/>
              <w:rPr>
                <w:rFonts w:eastAsia="Times New Roman"/>
                <w:noProof/>
                <w:szCs w:val="20"/>
              </w:rPr>
            </w:pPr>
            <w:r>
              <w:rPr>
                <w:noProof/>
              </w:rPr>
              <w:t> </w:t>
            </w: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8D3" w14:textId="77777777" w:rsidR="003B5F50" w:rsidRDefault="000D2D85">
            <w:pPr>
              <w:pStyle w:val="P68B1DB1-Normal14"/>
              <w:spacing w:after="0"/>
              <w:rPr>
                <w:rFonts w:eastAsia="Times New Roman"/>
                <w:noProof/>
                <w:szCs w:val="20"/>
              </w:rPr>
            </w:pPr>
            <w:r>
              <w:rPr>
                <w:noProof/>
              </w:rPr>
              <w:t>T4</w:t>
            </w:r>
          </w:p>
        </w:tc>
        <w:tc>
          <w:tcPr>
            <w:tcW w:w="319" w:type="pct"/>
            <w:tcBorders>
              <w:top w:val="single" w:sz="4" w:space="0" w:color="auto"/>
              <w:left w:val="single" w:sz="4" w:space="0" w:color="auto"/>
              <w:bottom w:val="single" w:sz="4" w:space="0" w:color="auto"/>
              <w:right w:val="single" w:sz="4" w:space="0" w:color="auto"/>
            </w:tcBorders>
            <w:shd w:val="clear" w:color="auto" w:fill="C6EFCE"/>
            <w:noWrap/>
            <w:hideMark/>
          </w:tcPr>
          <w:p w14:paraId="50B4B8D4" w14:textId="77777777" w:rsidR="003B5F50" w:rsidRDefault="000D2D85">
            <w:pPr>
              <w:pStyle w:val="P68B1DB1-Normal14"/>
              <w:spacing w:after="0"/>
              <w:rPr>
                <w:rFonts w:eastAsia="Times New Roman"/>
                <w:noProof/>
                <w:szCs w:val="20"/>
              </w:rPr>
            </w:pPr>
            <w:r>
              <w:rPr>
                <w:noProof/>
              </w:rPr>
              <w:t>2023</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8D5" w14:textId="77777777" w:rsidR="003B5F50" w:rsidRDefault="000D2D85">
            <w:pPr>
              <w:pStyle w:val="P68B1DB1-Normal14"/>
              <w:spacing w:after="0"/>
              <w:rPr>
                <w:rFonts w:eastAsia="Times New Roman"/>
                <w:noProof/>
                <w:szCs w:val="20"/>
              </w:rPr>
            </w:pPr>
            <w:r>
              <w:rPr>
                <w:noProof/>
              </w:rPr>
              <w:t>Mise en service d'une plate-forme d'outils et de politiques pour une nouvelle façon d'acheter et d'utiliser des produits informatiques, de l'expertise, de l'utilisation de services cloud et du code open source. Les services font l’objet d’un marché centralisé (contrat-cadre) et les utilisateurs des services ont la possibilité de s’appuyer dynamiquement sur la plateforme centrale en fonction des besoins.</w:t>
            </w:r>
          </w:p>
        </w:tc>
      </w:tr>
      <w:tr w:rsidR="003B5F50" w14:paraId="50B4B8E5" w14:textId="77777777" w:rsidTr="00F8541A">
        <w:trPr>
          <w:trHeight w:val="628"/>
          <w:jc w:val="center"/>
        </w:trPr>
        <w:tc>
          <w:tcPr>
            <w:tcW w:w="274" w:type="pct"/>
            <w:shd w:val="clear" w:color="auto" w:fill="C6EFCE"/>
            <w:noWrap/>
            <w:hideMark/>
          </w:tcPr>
          <w:p w14:paraId="50B4B8D7" w14:textId="77777777" w:rsidR="003B5F50" w:rsidRDefault="000D2D85">
            <w:pPr>
              <w:pStyle w:val="P68B1DB1-Normal14"/>
              <w:spacing w:after="0"/>
              <w:rPr>
                <w:rFonts w:eastAsia="Times New Roman"/>
                <w:noProof/>
                <w:szCs w:val="20"/>
              </w:rPr>
            </w:pPr>
            <w:r>
              <w:rPr>
                <w:noProof/>
              </w:rPr>
              <w:t>5</w:t>
            </w:r>
          </w:p>
        </w:tc>
        <w:tc>
          <w:tcPr>
            <w:tcW w:w="633" w:type="pct"/>
            <w:shd w:val="clear" w:color="auto" w:fill="C6EFCE"/>
            <w:hideMark/>
          </w:tcPr>
          <w:p w14:paraId="50B4B8D8" w14:textId="77777777" w:rsidR="003B5F50" w:rsidRDefault="000D2D85">
            <w:pPr>
              <w:pStyle w:val="P68B1DB1-Normal14"/>
              <w:spacing w:after="0"/>
              <w:rPr>
                <w:rFonts w:eastAsia="Times New Roman"/>
                <w:noProof/>
                <w:szCs w:val="20"/>
              </w:rPr>
            </w:pPr>
            <w:r>
              <w:rPr>
                <w:noProof/>
              </w:rPr>
              <w:t>17 – Slovaquie numérique – Investissement 1: De meilleurs services pour les citoyens et les entreprises</w:t>
            </w:r>
          </w:p>
        </w:tc>
        <w:tc>
          <w:tcPr>
            <w:tcW w:w="410" w:type="pct"/>
            <w:shd w:val="clear" w:color="auto" w:fill="C6EFCE"/>
            <w:noWrap/>
            <w:hideMark/>
          </w:tcPr>
          <w:p w14:paraId="50B4B8D9" w14:textId="77777777" w:rsidR="003B5F50" w:rsidRDefault="000D2D85">
            <w:pPr>
              <w:pStyle w:val="P68B1DB1-Normal14"/>
              <w:spacing w:after="0"/>
              <w:rPr>
                <w:rFonts w:eastAsia="Times New Roman"/>
                <w:noProof/>
                <w:szCs w:val="20"/>
              </w:rPr>
            </w:pPr>
            <w:r>
              <w:rPr>
                <w:noProof/>
              </w:rPr>
              <w:t>Objectif</w:t>
            </w:r>
          </w:p>
        </w:tc>
        <w:tc>
          <w:tcPr>
            <w:tcW w:w="317" w:type="pct"/>
            <w:shd w:val="clear" w:color="auto" w:fill="C6EFCE"/>
            <w:hideMark/>
          </w:tcPr>
          <w:p w14:paraId="50B4B8DA" w14:textId="77777777" w:rsidR="003B5F50" w:rsidRDefault="000D2D85">
            <w:pPr>
              <w:pStyle w:val="P68B1DB1-Normal15"/>
              <w:spacing w:after="0"/>
              <w:rPr>
                <w:rFonts w:eastAsia="Times New Roman"/>
                <w:noProof/>
              </w:rPr>
            </w:pPr>
            <w:r>
              <w:rPr>
                <w:noProof/>
              </w:rPr>
              <w:t xml:space="preserve">Nombre de situations de vie prioritaires lancées et mises à la disposition du public au moyen de solutions d’administration en ligne </w:t>
            </w:r>
          </w:p>
        </w:tc>
        <w:tc>
          <w:tcPr>
            <w:tcW w:w="546" w:type="pct"/>
            <w:shd w:val="clear" w:color="auto" w:fill="C6EFCE"/>
            <w:hideMark/>
          </w:tcPr>
          <w:p w14:paraId="50B4B8DB" w14:textId="77777777" w:rsidR="003B5F50" w:rsidRDefault="000D2D85">
            <w:pPr>
              <w:pStyle w:val="P68B1DB1-Normal14"/>
              <w:spacing w:after="0"/>
              <w:rPr>
                <w:rFonts w:eastAsia="Times New Roman"/>
                <w:noProof/>
                <w:szCs w:val="20"/>
              </w:rPr>
            </w:pPr>
            <w:r>
              <w:rPr>
                <w:noProof/>
              </w:rPr>
              <w:t> </w:t>
            </w:r>
          </w:p>
        </w:tc>
        <w:tc>
          <w:tcPr>
            <w:tcW w:w="363" w:type="pct"/>
            <w:shd w:val="clear" w:color="auto" w:fill="C6EFCE"/>
            <w:noWrap/>
            <w:hideMark/>
          </w:tcPr>
          <w:p w14:paraId="50B4B8DC" w14:textId="77777777" w:rsidR="003B5F50" w:rsidRDefault="000D2D85">
            <w:pPr>
              <w:pStyle w:val="P68B1DB1-Normal14"/>
              <w:spacing w:after="0"/>
              <w:rPr>
                <w:rFonts w:eastAsia="Times New Roman"/>
                <w:noProof/>
                <w:szCs w:val="20"/>
              </w:rPr>
            </w:pPr>
            <w:r>
              <w:rPr>
                <w:noProof/>
              </w:rPr>
              <w:t>Numéro</w:t>
            </w:r>
          </w:p>
        </w:tc>
        <w:tc>
          <w:tcPr>
            <w:tcW w:w="364" w:type="pct"/>
            <w:shd w:val="clear" w:color="auto" w:fill="C6EFCE"/>
            <w:noWrap/>
            <w:hideMark/>
          </w:tcPr>
          <w:p w14:paraId="50B4B8DD" w14:textId="77777777" w:rsidR="003B5F50" w:rsidRDefault="000D2D85">
            <w:pPr>
              <w:pStyle w:val="P68B1DB1-Normal14"/>
              <w:spacing w:after="0"/>
              <w:rPr>
                <w:rFonts w:eastAsia="Times New Roman"/>
                <w:noProof/>
                <w:szCs w:val="20"/>
              </w:rPr>
            </w:pPr>
            <w:r>
              <w:rPr>
                <w:noProof/>
              </w:rPr>
              <w:t>0</w:t>
            </w:r>
          </w:p>
        </w:tc>
        <w:tc>
          <w:tcPr>
            <w:tcW w:w="455" w:type="pct"/>
            <w:shd w:val="clear" w:color="auto" w:fill="C6EFCE"/>
            <w:noWrap/>
            <w:hideMark/>
          </w:tcPr>
          <w:p w14:paraId="50B4B8DE" w14:textId="77777777" w:rsidR="003B5F50" w:rsidRDefault="000D2D85">
            <w:pPr>
              <w:pStyle w:val="P68B1DB1-Normal14"/>
              <w:spacing w:after="0"/>
              <w:rPr>
                <w:rFonts w:eastAsia="Times New Roman"/>
                <w:noProof/>
                <w:szCs w:val="20"/>
              </w:rPr>
            </w:pPr>
            <w:r>
              <w:rPr>
                <w:noProof/>
              </w:rPr>
              <w:t>16</w:t>
            </w:r>
          </w:p>
        </w:tc>
        <w:tc>
          <w:tcPr>
            <w:tcW w:w="454" w:type="pct"/>
            <w:shd w:val="clear" w:color="auto" w:fill="C6EFCE"/>
            <w:noWrap/>
            <w:hideMark/>
          </w:tcPr>
          <w:p w14:paraId="50B4B8DF" w14:textId="77777777" w:rsidR="003B5F50" w:rsidRDefault="000D2D85">
            <w:pPr>
              <w:pStyle w:val="P68B1DB1-Normal14"/>
              <w:spacing w:after="0"/>
              <w:rPr>
                <w:rFonts w:eastAsia="Times New Roman"/>
                <w:noProof/>
                <w:szCs w:val="20"/>
              </w:rPr>
            </w:pPr>
            <w:r>
              <w:rPr>
                <w:noProof/>
              </w:rPr>
              <w:t>T2</w:t>
            </w:r>
          </w:p>
        </w:tc>
        <w:tc>
          <w:tcPr>
            <w:tcW w:w="319" w:type="pct"/>
            <w:shd w:val="clear" w:color="auto" w:fill="C6EFCE"/>
            <w:noWrap/>
            <w:hideMark/>
          </w:tcPr>
          <w:p w14:paraId="50B4B8E0" w14:textId="77777777" w:rsidR="003B5F50" w:rsidRDefault="000D2D85">
            <w:pPr>
              <w:pStyle w:val="P68B1DB1-Normal14"/>
              <w:spacing w:after="0"/>
              <w:rPr>
                <w:rFonts w:eastAsia="Times New Roman"/>
                <w:noProof/>
                <w:szCs w:val="20"/>
              </w:rPr>
            </w:pPr>
            <w:r>
              <w:rPr>
                <w:noProof/>
              </w:rPr>
              <w:t xml:space="preserve">2026 </w:t>
            </w:r>
          </w:p>
        </w:tc>
        <w:tc>
          <w:tcPr>
            <w:tcW w:w="863" w:type="pct"/>
            <w:shd w:val="clear" w:color="auto" w:fill="C6EFCE"/>
            <w:hideMark/>
          </w:tcPr>
          <w:p w14:paraId="50B4B8E1" w14:textId="244F2FAA" w:rsidR="003B5F50" w:rsidRDefault="000D2D85">
            <w:pPr>
              <w:pStyle w:val="P68B1DB1-Normal15"/>
              <w:spacing w:after="0"/>
              <w:rPr>
                <w:noProof/>
              </w:rPr>
            </w:pPr>
            <w:r>
              <w:rPr>
                <w:noProof/>
              </w:rPr>
              <w:t>Lancement de 16 situations de vie prioritaires qui seront mises à la disposition du public au moyen de solutions d'administration en ligne.</w:t>
            </w:r>
          </w:p>
          <w:p w14:paraId="50B4B8E2" w14:textId="516CF2B3" w:rsidR="003B5F50" w:rsidRDefault="000D2D85">
            <w:pPr>
              <w:pStyle w:val="P68B1DB1-Normal15"/>
              <w:spacing w:after="0"/>
              <w:rPr>
                <w:noProof/>
              </w:rPr>
            </w:pPr>
            <w:r>
              <w:rPr>
                <w:noProof/>
              </w:rPr>
              <w:t xml:space="preserve">Chaque situation de vie prioritaire apporte les avantages suivants aux citoyens: les démarches proactives de l’État vers le citoyen, les formulaires de demande électroniques nouveaux ou simplifiés, la simplification des processus (élimination ou automatisation des étapes du processus), l’accès centralisé à l’information, la communication bidirectionnelle avec le public, une version mobile du site web et, le cas échéant, les paiements en ligne. </w:t>
            </w:r>
          </w:p>
          <w:p w14:paraId="50B4B8E3" w14:textId="77777777" w:rsidR="003B5F50" w:rsidRDefault="003B5F50">
            <w:pPr>
              <w:spacing w:after="0"/>
              <w:rPr>
                <w:rFonts w:ascii="Times New Roman" w:hAnsi="Times New Roman"/>
                <w:noProof/>
                <w:color w:val="006100"/>
                <w:sz w:val="20"/>
                <w:szCs w:val="20"/>
              </w:rPr>
            </w:pPr>
          </w:p>
          <w:p w14:paraId="50B4B8E4" w14:textId="720FA64E" w:rsidR="003B5F50" w:rsidRDefault="000D2D85">
            <w:pPr>
              <w:pStyle w:val="P68B1DB1-Normal15"/>
              <w:spacing w:after="0" w:line="278" w:lineRule="auto"/>
              <w:rPr>
                <w:rFonts w:eastAsia="Times New Roman"/>
                <w:noProof/>
              </w:rPr>
            </w:pPr>
            <w:r>
              <w:rPr>
                <w:noProof/>
              </w:rPr>
              <w:t xml:space="preserve">Chaque solution d'administration en ligne déploie ou apporte des modifications au backend, au middleware, au frontend ou à l'infrastructure technique qui le supporte. </w:t>
            </w:r>
          </w:p>
        </w:tc>
      </w:tr>
      <w:tr w:rsidR="003B5F50" w14:paraId="50B4B8F2" w14:textId="77777777" w:rsidTr="00F854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8E6" w14:textId="77777777" w:rsidR="003B5F50" w:rsidRDefault="000D2D85">
            <w:pPr>
              <w:pStyle w:val="P68B1DB1-Normal14"/>
              <w:spacing w:after="0"/>
              <w:rPr>
                <w:rFonts w:eastAsia="Times New Roman"/>
                <w:noProof/>
                <w:szCs w:val="20"/>
              </w:rPr>
            </w:pPr>
            <w:r>
              <w:rPr>
                <w:noProof/>
              </w:rPr>
              <w:t>8</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8E7" w14:textId="77777777" w:rsidR="003B5F50" w:rsidRDefault="000D2D85">
            <w:pPr>
              <w:pStyle w:val="P68B1DB1-Normal14"/>
              <w:spacing w:after="0"/>
              <w:rPr>
                <w:rFonts w:eastAsia="Times New Roman"/>
                <w:noProof/>
                <w:szCs w:val="20"/>
              </w:rPr>
            </w:pPr>
            <w:r>
              <w:rPr>
                <w:noProof/>
              </w:rPr>
              <w:t>17 – Slovaquie numérique – Investissement 2: Transformation numérique de la prestation des services publics</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8E8" w14:textId="77777777" w:rsidR="003B5F50" w:rsidRDefault="000D2D85">
            <w:pPr>
              <w:pStyle w:val="P68B1DB1-Normal14"/>
              <w:spacing w:after="0"/>
              <w:rPr>
                <w:rFonts w:eastAsia="Times New Roman"/>
                <w:noProof/>
                <w:szCs w:val="20"/>
              </w:rPr>
            </w:pPr>
            <w:r>
              <w:rPr>
                <w:noProof/>
              </w:rPr>
              <w:t>Objectif</w:t>
            </w:r>
          </w:p>
        </w:tc>
        <w:tc>
          <w:tcPr>
            <w:tcW w:w="317" w:type="pct"/>
            <w:tcBorders>
              <w:top w:val="single" w:sz="4" w:space="0" w:color="auto"/>
              <w:left w:val="single" w:sz="4" w:space="0" w:color="auto"/>
              <w:bottom w:val="single" w:sz="4" w:space="0" w:color="auto"/>
              <w:right w:val="single" w:sz="4" w:space="0" w:color="auto"/>
            </w:tcBorders>
            <w:shd w:val="clear" w:color="auto" w:fill="C6EFCE"/>
          </w:tcPr>
          <w:p w14:paraId="50B4B8E9" w14:textId="77777777" w:rsidR="003B5F50" w:rsidRDefault="000D2D85">
            <w:pPr>
              <w:pStyle w:val="P68B1DB1-Normal14"/>
              <w:spacing w:after="0"/>
              <w:rPr>
                <w:rFonts w:eastAsia="Times New Roman"/>
                <w:noProof/>
                <w:szCs w:val="20"/>
              </w:rPr>
            </w:pPr>
            <w:r>
              <w:rPr>
                <w:noProof/>
                <w:szCs w:val="20"/>
              </w:rPr>
              <w:t xml:space="preserve">Transformation numérique des </w:t>
            </w:r>
            <w:r>
              <w:rPr>
                <w:noProof/>
              </w:rPr>
              <w:t>processus des sections de l’administration</w:t>
            </w:r>
            <w:r>
              <w:rPr>
                <w:noProof/>
                <w:szCs w:val="20"/>
              </w:rPr>
              <w:t xml:space="preserve"> publique</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8EA" w14:textId="77777777" w:rsidR="003B5F50" w:rsidRDefault="000D2D85">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8EB" w14:textId="77777777" w:rsidR="003B5F50" w:rsidRDefault="000D2D85">
            <w:pPr>
              <w:pStyle w:val="P68B1DB1-Normal14"/>
              <w:spacing w:after="0"/>
              <w:rPr>
                <w:rFonts w:eastAsia="Times New Roman"/>
                <w:noProof/>
                <w:szCs w:val="20"/>
              </w:rPr>
            </w:pPr>
            <w:r>
              <w:rPr>
                <w:noProof/>
              </w:rPr>
              <w:t>Numéro</w:t>
            </w:r>
          </w:p>
        </w:tc>
        <w:tc>
          <w:tcPr>
            <w:tcW w:w="364" w:type="pct"/>
            <w:tcBorders>
              <w:top w:val="single" w:sz="4" w:space="0" w:color="auto"/>
              <w:left w:val="single" w:sz="4" w:space="0" w:color="auto"/>
              <w:bottom w:val="single" w:sz="4" w:space="0" w:color="auto"/>
              <w:right w:val="single" w:sz="4" w:space="0" w:color="auto"/>
            </w:tcBorders>
            <w:shd w:val="clear" w:color="auto" w:fill="C6EFCE"/>
            <w:noWrap/>
          </w:tcPr>
          <w:p w14:paraId="50B4B8EC" w14:textId="77777777" w:rsidR="003B5F50" w:rsidRDefault="000D2D85">
            <w:pPr>
              <w:pStyle w:val="P68B1DB1-Normal14"/>
              <w:spacing w:after="0"/>
              <w:rPr>
                <w:rFonts w:eastAsia="Times New Roman"/>
                <w:noProof/>
                <w:szCs w:val="20"/>
              </w:rPr>
            </w:pPr>
            <w:r>
              <w:rPr>
                <w:noProof/>
              </w:rPr>
              <w:t>0</w:t>
            </w:r>
          </w:p>
        </w:tc>
        <w:tc>
          <w:tcPr>
            <w:tcW w:w="455" w:type="pct"/>
            <w:tcBorders>
              <w:top w:val="single" w:sz="4" w:space="0" w:color="auto"/>
              <w:left w:val="single" w:sz="4" w:space="0" w:color="auto"/>
              <w:bottom w:val="single" w:sz="4" w:space="0" w:color="auto"/>
              <w:right w:val="single" w:sz="4" w:space="0" w:color="auto"/>
            </w:tcBorders>
            <w:shd w:val="clear" w:color="auto" w:fill="C6EFCE"/>
            <w:noWrap/>
          </w:tcPr>
          <w:p w14:paraId="50B4B8ED" w14:textId="3CD5BC5C" w:rsidR="003B5F50" w:rsidRDefault="000D2D85">
            <w:pPr>
              <w:pStyle w:val="P68B1DB1-Normal15"/>
              <w:spacing w:after="0"/>
              <w:rPr>
                <w:rFonts w:eastAsia="Times New Roman"/>
                <w:noProof/>
              </w:rPr>
            </w:pPr>
            <w:r>
              <w:rPr>
                <w:noProof/>
              </w:rPr>
              <w:t>34</w:t>
            </w:r>
          </w:p>
        </w:tc>
        <w:tc>
          <w:tcPr>
            <w:tcW w:w="454" w:type="pct"/>
            <w:tcBorders>
              <w:top w:val="single" w:sz="4" w:space="0" w:color="auto"/>
              <w:left w:val="single" w:sz="4" w:space="0" w:color="auto"/>
              <w:bottom w:val="single" w:sz="4" w:space="0" w:color="auto"/>
              <w:right w:val="single" w:sz="4" w:space="0" w:color="auto"/>
            </w:tcBorders>
            <w:shd w:val="clear" w:color="auto" w:fill="C6EFCE"/>
            <w:noWrap/>
          </w:tcPr>
          <w:p w14:paraId="50B4B8EE" w14:textId="77777777" w:rsidR="003B5F50" w:rsidRDefault="000D2D85">
            <w:pPr>
              <w:pStyle w:val="P68B1DB1-Normal14"/>
              <w:spacing w:after="0"/>
              <w:rPr>
                <w:rFonts w:eastAsia="Times New Roman"/>
                <w:noProof/>
                <w:szCs w:val="20"/>
              </w:rPr>
            </w:pPr>
            <w:r>
              <w:rPr>
                <w:noProof/>
              </w:rPr>
              <w:t>T2</w:t>
            </w:r>
          </w:p>
        </w:tc>
        <w:tc>
          <w:tcPr>
            <w:tcW w:w="319" w:type="pct"/>
            <w:tcBorders>
              <w:top w:val="single" w:sz="4" w:space="0" w:color="auto"/>
              <w:left w:val="single" w:sz="4" w:space="0" w:color="auto"/>
              <w:bottom w:val="single" w:sz="4" w:space="0" w:color="auto"/>
              <w:right w:val="single" w:sz="4" w:space="0" w:color="auto"/>
            </w:tcBorders>
            <w:shd w:val="clear" w:color="auto" w:fill="C6EFCE"/>
            <w:noWrap/>
          </w:tcPr>
          <w:p w14:paraId="50B4B8EF" w14:textId="77777777" w:rsidR="003B5F50" w:rsidRDefault="000D2D85">
            <w:pPr>
              <w:pStyle w:val="P68B1DB1-Normal14"/>
              <w:spacing w:after="0"/>
              <w:rPr>
                <w:rFonts w:eastAsia="Times New Roman"/>
                <w:noProof/>
                <w:szCs w:val="20"/>
              </w:rPr>
            </w:pPr>
            <w:r>
              <w:rPr>
                <w:noProof/>
              </w:rPr>
              <w:t xml:space="preserve">2026 </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8F1" w14:textId="1ECFC7E0" w:rsidR="003B5F50" w:rsidRDefault="000D2D85">
            <w:pPr>
              <w:pStyle w:val="P68B1DB1-Normal15"/>
              <w:spacing w:after="0"/>
              <w:rPr>
                <w:rFonts w:eastAsia="Times New Roman"/>
                <w:noProof/>
              </w:rPr>
            </w:pPr>
            <w:r>
              <w:rPr>
                <w:noProof/>
              </w:rPr>
              <w:t>Les processus de 34 sections de l’administration publique sont numérisés a) par la fourniture d’une nouvelle solution numérique ou b) par la mise à niveau de la solution numérique existante.</w:t>
            </w:r>
          </w:p>
        </w:tc>
      </w:tr>
      <w:tr w:rsidR="003B5F50" w14:paraId="4CA295BD" w14:textId="77777777" w:rsidTr="00F854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1B645292" w14:textId="585BFF50" w:rsidR="003B5F50" w:rsidRDefault="000D2D85">
            <w:pPr>
              <w:pStyle w:val="P68B1DB1-Normal15"/>
              <w:spacing w:after="0"/>
              <w:rPr>
                <w:noProof/>
              </w:rPr>
            </w:pPr>
            <w:r>
              <w:rPr>
                <w:noProof/>
              </w:rPr>
              <w:t>8bis</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72C0640F" w14:textId="5C5E7AF3" w:rsidR="003B5F50" w:rsidRDefault="000D2D85">
            <w:pPr>
              <w:pStyle w:val="P68B1DB1-Normal14"/>
              <w:spacing w:after="0"/>
              <w:rPr>
                <w:noProof/>
              </w:rPr>
            </w:pPr>
            <w:r>
              <w:rPr>
                <w:noProof/>
              </w:rPr>
              <w:t>17 – Slovaquie numérique – Investissement 2: Transformation numérique de la prestation des services publics</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9CB760E" w14:textId="2F9FA2C8" w:rsidR="003B5F50" w:rsidRDefault="000D2D85">
            <w:pPr>
              <w:pStyle w:val="P68B1DB1-Normal14"/>
              <w:spacing w:after="0"/>
              <w:rPr>
                <w:noProof/>
              </w:rPr>
            </w:pPr>
            <w:r>
              <w:rPr>
                <w:noProof/>
              </w:rPr>
              <w:t>Objectif</w:t>
            </w:r>
          </w:p>
        </w:tc>
        <w:tc>
          <w:tcPr>
            <w:tcW w:w="317" w:type="pct"/>
            <w:tcBorders>
              <w:top w:val="single" w:sz="4" w:space="0" w:color="auto"/>
              <w:left w:val="single" w:sz="4" w:space="0" w:color="auto"/>
              <w:bottom w:val="single" w:sz="4" w:space="0" w:color="auto"/>
              <w:right w:val="single" w:sz="4" w:space="0" w:color="auto"/>
            </w:tcBorders>
            <w:shd w:val="clear" w:color="auto" w:fill="C6EFCE"/>
          </w:tcPr>
          <w:p w14:paraId="6D7CD26C" w14:textId="61E46BCD" w:rsidR="003B5F50" w:rsidRDefault="000D2D85">
            <w:pPr>
              <w:pStyle w:val="P68B1DB1-Normal15"/>
              <w:spacing w:after="0"/>
              <w:rPr>
                <w:noProof/>
              </w:rPr>
            </w:pPr>
            <w:r>
              <w:rPr>
                <w:noProof/>
              </w:rPr>
              <w:t>Intégration des entités de l'administration publique dans le système économique central (CES)</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68A1632E" w14:textId="77777777" w:rsidR="003B5F50" w:rsidRDefault="003B5F50">
            <w:pPr>
              <w:spacing w:after="0"/>
              <w:rPr>
                <w:rFonts w:ascii="Times New Roman" w:hAnsi="Times New Roman"/>
                <w:noProof/>
                <w:color w:val="006100"/>
                <w:sz w:val="20"/>
              </w:rPr>
            </w:pP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1266D5EC" w14:textId="6ED377F3" w:rsidR="003B5F50" w:rsidRDefault="000D2D85">
            <w:pPr>
              <w:pStyle w:val="P68B1DB1-Normal14"/>
              <w:spacing w:after="0"/>
              <w:rPr>
                <w:noProof/>
              </w:rPr>
            </w:pPr>
            <w:r>
              <w:rPr>
                <w:noProof/>
              </w:rPr>
              <w:t>Numéro</w:t>
            </w:r>
          </w:p>
        </w:tc>
        <w:tc>
          <w:tcPr>
            <w:tcW w:w="364" w:type="pct"/>
            <w:tcBorders>
              <w:top w:val="single" w:sz="4" w:space="0" w:color="auto"/>
              <w:left w:val="single" w:sz="4" w:space="0" w:color="auto"/>
              <w:bottom w:val="single" w:sz="4" w:space="0" w:color="auto"/>
              <w:right w:val="single" w:sz="4" w:space="0" w:color="auto"/>
            </w:tcBorders>
            <w:shd w:val="clear" w:color="auto" w:fill="C6EFCE"/>
            <w:noWrap/>
          </w:tcPr>
          <w:p w14:paraId="0E297C07" w14:textId="41AD8C74" w:rsidR="003B5F50" w:rsidRDefault="000D2D85">
            <w:pPr>
              <w:pStyle w:val="P68B1DB1-Normal15"/>
              <w:spacing w:after="0"/>
              <w:rPr>
                <w:noProof/>
              </w:rPr>
            </w:pPr>
            <w:r>
              <w:rPr>
                <w:noProof/>
              </w:rPr>
              <w:t>277</w:t>
            </w:r>
          </w:p>
        </w:tc>
        <w:tc>
          <w:tcPr>
            <w:tcW w:w="455" w:type="pct"/>
            <w:tcBorders>
              <w:top w:val="single" w:sz="4" w:space="0" w:color="auto"/>
              <w:left w:val="single" w:sz="4" w:space="0" w:color="auto"/>
              <w:bottom w:val="single" w:sz="4" w:space="0" w:color="auto"/>
              <w:right w:val="single" w:sz="4" w:space="0" w:color="auto"/>
            </w:tcBorders>
            <w:shd w:val="clear" w:color="auto" w:fill="C6EFCE"/>
            <w:noWrap/>
          </w:tcPr>
          <w:p w14:paraId="6887E258" w14:textId="39F21CA0" w:rsidR="003B5F50" w:rsidRDefault="000D2D85">
            <w:pPr>
              <w:pStyle w:val="P68B1DB1-Normal15"/>
              <w:spacing w:after="0"/>
              <w:rPr>
                <w:noProof/>
              </w:rPr>
            </w:pPr>
            <w:r>
              <w:rPr>
                <w:noProof/>
              </w:rPr>
              <w:t>291</w:t>
            </w:r>
          </w:p>
        </w:tc>
        <w:tc>
          <w:tcPr>
            <w:tcW w:w="454" w:type="pct"/>
            <w:tcBorders>
              <w:top w:val="single" w:sz="4" w:space="0" w:color="auto"/>
              <w:left w:val="single" w:sz="4" w:space="0" w:color="auto"/>
              <w:bottom w:val="single" w:sz="4" w:space="0" w:color="auto"/>
              <w:right w:val="single" w:sz="4" w:space="0" w:color="auto"/>
            </w:tcBorders>
            <w:shd w:val="clear" w:color="auto" w:fill="C6EFCE"/>
            <w:noWrap/>
          </w:tcPr>
          <w:p w14:paraId="400346F3" w14:textId="184101D7" w:rsidR="003B5F50" w:rsidRDefault="000D2D85">
            <w:pPr>
              <w:pStyle w:val="P68B1DB1-Normal14"/>
              <w:spacing w:after="0"/>
              <w:rPr>
                <w:noProof/>
              </w:rPr>
            </w:pPr>
            <w:r>
              <w:rPr>
                <w:noProof/>
              </w:rPr>
              <w:t>T2</w:t>
            </w:r>
          </w:p>
        </w:tc>
        <w:tc>
          <w:tcPr>
            <w:tcW w:w="319" w:type="pct"/>
            <w:tcBorders>
              <w:top w:val="single" w:sz="4" w:space="0" w:color="auto"/>
              <w:left w:val="single" w:sz="4" w:space="0" w:color="auto"/>
              <w:bottom w:val="single" w:sz="4" w:space="0" w:color="auto"/>
              <w:right w:val="single" w:sz="4" w:space="0" w:color="auto"/>
            </w:tcBorders>
            <w:shd w:val="clear" w:color="auto" w:fill="C6EFCE"/>
            <w:noWrap/>
          </w:tcPr>
          <w:p w14:paraId="58C5B137" w14:textId="10F0552C" w:rsidR="003B5F50" w:rsidRDefault="000D2D85">
            <w:pPr>
              <w:pStyle w:val="P68B1DB1-Normal14"/>
              <w:spacing w:after="0"/>
              <w:rPr>
                <w:noProof/>
              </w:rPr>
            </w:pPr>
            <w:r>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332C7C20" w14:textId="4832DB44" w:rsidR="003B5F50" w:rsidRDefault="000D2D85">
            <w:pPr>
              <w:pStyle w:val="P68B1DB1-Normal15"/>
              <w:spacing w:after="0"/>
              <w:rPr>
                <w:noProof/>
              </w:rPr>
            </w:pPr>
            <w:r>
              <w:rPr>
                <w:noProof/>
              </w:rPr>
              <w:t>7 hôpitaux publics et la région autonome de Košice (KSGR) avec ses 6 entités subordonnées seront intégrés au CES.</w:t>
            </w:r>
          </w:p>
        </w:tc>
      </w:tr>
      <w:tr w:rsidR="003B5F50" w14:paraId="6B4B7ABD" w14:textId="77777777" w:rsidTr="00F854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38ABE666" w14:textId="7674087E" w:rsidR="003B5F50" w:rsidRDefault="000D2D85">
            <w:pPr>
              <w:pStyle w:val="P68B1DB1-Normal15"/>
              <w:spacing w:after="0"/>
              <w:rPr>
                <w:noProof/>
              </w:rPr>
            </w:pPr>
            <w:r>
              <w:rPr>
                <w:noProof/>
              </w:rPr>
              <w:t>8ter</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35B2B850" w14:textId="5C76B0A6" w:rsidR="003B5F50" w:rsidRDefault="000D2D85">
            <w:pPr>
              <w:pStyle w:val="P68B1DB1-Normal14"/>
              <w:spacing w:after="0"/>
              <w:rPr>
                <w:noProof/>
              </w:rPr>
            </w:pPr>
            <w:r>
              <w:rPr>
                <w:noProof/>
              </w:rPr>
              <w:t>17 – Slovaquie numérique – Investissement 2: Transformation numérique de la prestation des services publics</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2455A610" w14:textId="5063B947" w:rsidR="003B5F50" w:rsidRDefault="000D2D85">
            <w:pPr>
              <w:pStyle w:val="P68B1DB1-Normal14"/>
              <w:spacing w:after="0"/>
              <w:rPr>
                <w:noProof/>
              </w:rPr>
            </w:pPr>
            <w:r>
              <w:rPr>
                <w:noProof/>
              </w:rPr>
              <w:t>Étape</w:t>
            </w:r>
          </w:p>
        </w:tc>
        <w:tc>
          <w:tcPr>
            <w:tcW w:w="317" w:type="pct"/>
            <w:tcBorders>
              <w:top w:val="single" w:sz="4" w:space="0" w:color="auto"/>
              <w:left w:val="single" w:sz="4" w:space="0" w:color="auto"/>
              <w:bottom w:val="single" w:sz="4" w:space="0" w:color="auto"/>
              <w:right w:val="single" w:sz="4" w:space="0" w:color="auto"/>
            </w:tcBorders>
            <w:shd w:val="clear" w:color="auto" w:fill="C6EFCE"/>
          </w:tcPr>
          <w:p w14:paraId="04D074DB" w14:textId="1CC7C4FE" w:rsidR="003B5F50" w:rsidRDefault="000D2D85">
            <w:pPr>
              <w:pStyle w:val="P68B1DB1-Normal15"/>
              <w:spacing w:after="0"/>
              <w:rPr>
                <w:noProof/>
              </w:rPr>
            </w:pPr>
            <w:r>
              <w:rPr>
                <w:noProof/>
              </w:rPr>
              <w:t>Règlement des paiements instantanés TARGET (TIPS) en Slovaquie</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4C1F9C25" w14:textId="7DDC8F09" w:rsidR="003B5F50" w:rsidRDefault="000D2D85">
            <w:pPr>
              <w:pStyle w:val="P68B1DB1-Normal15"/>
              <w:spacing w:after="0"/>
              <w:rPr>
                <w:noProof/>
              </w:rPr>
            </w:pPr>
            <w:r>
              <w:rPr>
                <w:noProof/>
              </w:rPr>
              <w:t>Lancement des paiements instantanés dans le Trésor public grâce à l'intégration avec TIPS et les services connexes</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73B6262F" w14:textId="77777777" w:rsidR="003B5F50" w:rsidRDefault="003B5F50">
            <w:pPr>
              <w:spacing w:after="0"/>
              <w:rPr>
                <w:rFonts w:ascii="Times New Roman" w:hAnsi="Times New Roman"/>
                <w:noProof/>
                <w:color w:val="006100"/>
                <w:sz w:val="20"/>
              </w:rPr>
            </w:pPr>
          </w:p>
        </w:tc>
        <w:tc>
          <w:tcPr>
            <w:tcW w:w="364" w:type="pct"/>
            <w:tcBorders>
              <w:top w:val="single" w:sz="4" w:space="0" w:color="auto"/>
              <w:left w:val="single" w:sz="4" w:space="0" w:color="auto"/>
              <w:bottom w:val="single" w:sz="4" w:space="0" w:color="auto"/>
              <w:right w:val="single" w:sz="4" w:space="0" w:color="auto"/>
            </w:tcBorders>
            <w:shd w:val="clear" w:color="auto" w:fill="C6EFCE"/>
            <w:noWrap/>
          </w:tcPr>
          <w:p w14:paraId="2DE3C4BF" w14:textId="77777777" w:rsidR="003B5F50" w:rsidRDefault="003B5F50">
            <w:pPr>
              <w:spacing w:after="0"/>
              <w:rPr>
                <w:rFonts w:ascii="Times New Roman" w:hAnsi="Times New Roman"/>
                <w:noProof/>
                <w:color w:val="006100"/>
                <w:sz w:val="20"/>
              </w:rPr>
            </w:pPr>
          </w:p>
        </w:tc>
        <w:tc>
          <w:tcPr>
            <w:tcW w:w="455" w:type="pct"/>
            <w:tcBorders>
              <w:top w:val="single" w:sz="4" w:space="0" w:color="auto"/>
              <w:left w:val="single" w:sz="4" w:space="0" w:color="auto"/>
              <w:bottom w:val="single" w:sz="4" w:space="0" w:color="auto"/>
              <w:right w:val="single" w:sz="4" w:space="0" w:color="auto"/>
            </w:tcBorders>
            <w:shd w:val="clear" w:color="auto" w:fill="C6EFCE"/>
            <w:noWrap/>
          </w:tcPr>
          <w:p w14:paraId="15FFADFA" w14:textId="77777777" w:rsidR="003B5F50" w:rsidRDefault="003B5F50">
            <w:pPr>
              <w:spacing w:after="0"/>
              <w:rPr>
                <w:rFonts w:ascii="Times New Roman" w:hAnsi="Times New Roman"/>
                <w:noProof/>
                <w:color w:val="006100"/>
                <w:sz w:val="20"/>
                <w:szCs w:val="20"/>
              </w:rPr>
            </w:pPr>
          </w:p>
        </w:tc>
        <w:tc>
          <w:tcPr>
            <w:tcW w:w="454" w:type="pct"/>
            <w:tcBorders>
              <w:top w:val="single" w:sz="4" w:space="0" w:color="auto"/>
              <w:left w:val="single" w:sz="4" w:space="0" w:color="auto"/>
              <w:bottom w:val="single" w:sz="4" w:space="0" w:color="auto"/>
              <w:right w:val="single" w:sz="4" w:space="0" w:color="auto"/>
            </w:tcBorders>
            <w:shd w:val="clear" w:color="auto" w:fill="C6EFCE"/>
            <w:noWrap/>
          </w:tcPr>
          <w:p w14:paraId="0CC21A74" w14:textId="57C2BF48" w:rsidR="003B5F50" w:rsidRDefault="000D2D85">
            <w:pPr>
              <w:pStyle w:val="P68B1DB1-Normal14"/>
              <w:spacing w:after="0"/>
              <w:rPr>
                <w:noProof/>
              </w:rPr>
            </w:pPr>
            <w:r>
              <w:rPr>
                <w:noProof/>
              </w:rPr>
              <w:t>T2</w:t>
            </w:r>
          </w:p>
        </w:tc>
        <w:tc>
          <w:tcPr>
            <w:tcW w:w="319" w:type="pct"/>
            <w:tcBorders>
              <w:top w:val="single" w:sz="4" w:space="0" w:color="auto"/>
              <w:left w:val="single" w:sz="4" w:space="0" w:color="auto"/>
              <w:bottom w:val="single" w:sz="4" w:space="0" w:color="auto"/>
              <w:right w:val="single" w:sz="4" w:space="0" w:color="auto"/>
            </w:tcBorders>
            <w:shd w:val="clear" w:color="auto" w:fill="C6EFCE"/>
            <w:noWrap/>
          </w:tcPr>
          <w:p w14:paraId="0D7D8453" w14:textId="65310A71" w:rsidR="003B5F50" w:rsidRDefault="000D2D85">
            <w:pPr>
              <w:pStyle w:val="P68B1DB1-Normal14"/>
              <w:spacing w:after="0"/>
              <w:rPr>
                <w:noProof/>
              </w:rPr>
            </w:pPr>
            <w:r>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234A0FC3" w14:textId="672EBB9A" w:rsidR="003B5F50" w:rsidRDefault="000D2D85">
            <w:pPr>
              <w:pStyle w:val="P68B1DB1-Normal15"/>
              <w:spacing w:after="0"/>
              <w:rPr>
                <w:noProof/>
              </w:rPr>
            </w:pPr>
            <w:r>
              <w:rPr>
                <w:noProof/>
              </w:rPr>
              <w:t>Lancement des paiements instantanés au sein du Trésor public de la République slovaque grâce à l’intégration avec TIPS, à l’acquisition d’infrastructures matérielles et logicielles et au déploiement de la fonctionnalité Verification oif Payee.</w:t>
            </w:r>
          </w:p>
        </w:tc>
      </w:tr>
      <w:tr w:rsidR="003B5F50" w14:paraId="50B4B8FE" w14:textId="77777777" w:rsidTr="00F854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8F3" w14:textId="77777777" w:rsidR="003B5F50" w:rsidRDefault="000D2D85">
            <w:pPr>
              <w:pStyle w:val="P68B1DB1-Normal14"/>
              <w:spacing w:after="0"/>
              <w:rPr>
                <w:rFonts w:eastAsia="Times New Roman"/>
                <w:noProof/>
                <w:szCs w:val="20"/>
              </w:rPr>
            </w:pPr>
            <w:r>
              <w:rPr>
                <w:noProof/>
              </w:rPr>
              <w:t>9</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8F4" w14:textId="77777777" w:rsidR="003B5F50" w:rsidRDefault="000D2D85">
            <w:pPr>
              <w:pStyle w:val="P68B1DB1-Normal14"/>
              <w:spacing w:after="0"/>
              <w:rPr>
                <w:rFonts w:eastAsia="Times New Roman"/>
                <w:noProof/>
                <w:szCs w:val="20"/>
              </w:rPr>
            </w:pPr>
            <w:r>
              <w:rPr>
                <w:noProof/>
              </w:rPr>
              <w:t>17 – Slovaquie numérique – Réforme 3: Gérer la transformation numérique de l'économie et de la société</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8F5" w14:textId="77777777" w:rsidR="003B5F50" w:rsidRDefault="000D2D85">
            <w:pPr>
              <w:pStyle w:val="P68B1DB1-Normal14"/>
              <w:spacing w:after="0"/>
              <w:rPr>
                <w:rFonts w:eastAsia="Times New Roman"/>
                <w:noProof/>
                <w:szCs w:val="20"/>
              </w:rPr>
            </w:pPr>
            <w:r>
              <w:rPr>
                <w:noProof/>
              </w:rPr>
              <w:t>Étape</w:t>
            </w:r>
          </w:p>
        </w:tc>
        <w:tc>
          <w:tcPr>
            <w:tcW w:w="317" w:type="pct"/>
            <w:tcBorders>
              <w:top w:val="single" w:sz="4" w:space="0" w:color="auto"/>
              <w:left w:val="single" w:sz="4" w:space="0" w:color="auto"/>
              <w:bottom w:val="single" w:sz="4" w:space="0" w:color="auto"/>
              <w:right w:val="single" w:sz="4" w:space="0" w:color="auto"/>
            </w:tcBorders>
            <w:shd w:val="clear" w:color="auto" w:fill="C6EFCE"/>
          </w:tcPr>
          <w:p w14:paraId="50B4B8F6" w14:textId="77777777" w:rsidR="003B5F50" w:rsidRDefault="000D2D85">
            <w:pPr>
              <w:pStyle w:val="P68B1DB1-Normal14"/>
              <w:spacing w:after="0"/>
              <w:rPr>
                <w:rFonts w:eastAsia="Times New Roman"/>
                <w:noProof/>
                <w:szCs w:val="20"/>
              </w:rPr>
            </w:pPr>
            <w:r>
              <w:rPr>
                <w:noProof/>
              </w:rPr>
              <w:t>Plan d’action pour la transformation numérique de la Slovaquie pour les années 2023-2026</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8F7" w14:textId="77777777" w:rsidR="003B5F50" w:rsidRDefault="000D2D85">
            <w:pPr>
              <w:pStyle w:val="P68B1DB1-Normal14"/>
              <w:spacing w:after="0"/>
              <w:rPr>
                <w:rFonts w:eastAsia="Times New Roman"/>
                <w:noProof/>
                <w:szCs w:val="20"/>
              </w:rPr>
            </w:pPr>
            <w:r>
              <w:rPr>
                <w:noProof/>
              </w:rPr>
              <w:t xml:space="preserve">Développement et adoption par le MIRRI </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8F8" w14:textId="77777777" w:rsidR="003B5F50" w:rsidRDefault="000D2D85">
            <w:pPr>
              <w:pStyle w:val="P68B1DB1-Normal14"/>
              <w:spacing w:after="0"/>
              <w:rPr>
                <w:rFonts w:eastAsia="Times New Roman"/>
                <w:noProof/>
                <w:szCs w:val="20"/>
              </w:rPr>
            </w:pPr>
            <w:r>
              <w:rPr>
                <w:noProof/>
              </w:rPr>
              <w:t> </w:t>
            </w:r>
          </w:p>
        </w:tc>
        <w:tc>
          <w:tcPr>
            <w:tcW w:w="364" w:type="pct"/>
            <w:tcBorders>
              <w:top w:val="single" w:sz="4" w:space="0" w:color="auto"/>
              <w:left w:val="single" w:sz="4" w:space="0" w:color="auto"/>
              <w:bottom w:val="single" w:sz="4" w:space="0" w:color="auto"/>
              <w:right w:val="single" w:sz="4" w:space="0" w:color="auto"/>
            </w:tcBorders>
            <w:shd w:val="clear" w:color="auto" w:fill="C6EFCE"/>
            <w:noWrap/>
          </w:tcPr>
          <w:p w14:paraId="50B4B8F9" w14:textId="77777777" w:rsidR="003B5F50" w:rsidRDefault="000D2D85">
            <w:pPr>
              <w:pStyle w:val="P68B1DB1-Normal14"/>
              <w:spacing w:after="0"/>
              <w:rPr>
                <w:rFonts w:eastAsia="Times New Roman"/>
                <w:noProof/>
                <w:szCs w:val="20"/>
              </w:rPr>
            </w:pPr>
            <w:r>
              <w:rPr>
                <w:noProof/>
              </w:rPr>
              <w:t> </w:t>
            </w:r>
          </w:p>
        </w:tc>
        <w:tc>
          <w:tcPr>
            <w:tcW w:w="455" w:type="pct"/>
            <w:tcBorders>
              <w:top w:val="single" w:sz="4" w:space="0" w:color="auto"/>
              <w:left w:val="single" w:sz="4" w:space="0" w:color="auto"/>
              <w:bottom w:val="single" w:sz="4" w:space="0" w:color="auto"/>
              <w:right w:val="single" w:sz="4" w:space="0" w:color="auto"/>
            </w:tcBorders>
            <w:shd w:val="clear" w:color="auto" w:fill="C6EFCE"/>
            <w:noWrap/>
          </w:tcPr>
          <w:p w14:paraId="50B4B8FA" w14:textId="77777777" w:rsidR="003B5F50" w:rsidRDefault="000D2D85">
            <w:pPr>
              <w:pStyle w:val="P68B1DB1-Normal14"/>
              <w:spacing w:after="0"/>
              <w:rPr>
                <w:rFonts w:eastAsia="Times New Roman"/>
                <w:noProof/>
                <w:szCs w:val="20"/>
              </w:rPr>
            </w:pPr>
            <w:r>
              <w:rPr>
                <w:noProof/>
              </w:rPr>
              <w:t> </w:t>
            </w:r>
          </w:p>
        </w:tc>
        <w:tc>
          <w:tcPr>
            <w:tcW w:w="454" w:type="pct"/>
            <w:tcBorders>
              <w:top w:val="single" w:sz="4" w:space="0" w:color="auto"/>
              <w:left w:val="single" w:sz="4" w:space="0" w:color="auto"/>
              <w:bottom w:val="single" w:sz="4" w:space="0" w:color="auto"/>
              <w:right w:val="single" w:sz="4" w:space="0" w:color="auto"/>
            </w:tcBorders>
            <w:shd w:val="clear" w:color="auto" w:fill="C6EFCE"/>
            <w:noWrap/>
          </w:tcPr>
          <w:p w14:paraId="50B4B8FB" w14:textId="77777777" w:rsidR="003B5F50" w:rsidRDefault="000D2D85">
            <w:pPr>
              <w:pStyle w:val="P68B1DB1-Normal14"/>
              <w:spacing w:after="0"/>
              <w:rPr>
                <w:rFonts w:eastAsia="Times New Roman"/>
                <w:noProof/>
                <w:szCs w:val="20"/>
              </w:rPr>
            </w:pPr>
            <w:r>
              <w:rPr>
                <w:noProof/>
              </w:rPr>
              <w:t>T4</w:t>
            </w:r>
          </w:p>
        </w:tc>
        <w:tc>
          <w:tcPr>
            <w:tcW w:w="319" w:type="pct"/>
            <w:tcBorders>
              <w:top w:val="single" w:sz="4" w:space="0" w:color="auto"/>
              <w:left w:val="single" w:sz="4" w:space="0" w:color="auto"/>
              <w:bottom w:val="single" w:sz="4" w:space="0" w:color="auto"/>
              <w:right w:val="single" w:sz="4" w:space="0" w:color="auto"/>
            </w:tcBorders>
            <w:shd w:val="clear" w:color="auto" w:fill="C6EFCE"/>
            <w:noWrap/>
          </w:tcPr>
          <w:p w14:paraId="50B4B8FC" w14:textId="77777777" w:rsidR="003B5F50" w:rsidRDefault="000D2D85">
            <w:pPr>
              <w:pStyle w:val="P68B1DB1-Normal14"/>
              <w:spacing w:after="0"/>
              <w:rPr>
                <w:rFonts w:eastAsia="Times New Roman"/>
                <w:noProof/>
                <w:szCs w:val="20"/>
              </w:rPr>
            </w:pPr>
            <w:r>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8FD" w14:textId="77777777" w:rsidR="003B5F50" w:rsidRDefault="000D2D85">
            <w:pPr>
              <w:pStyle w:val="P68B1DB1-Normal14"/>
              <w:spacing w:after="0"/>
              <w:rPr>
                <w:rFonts w:eastAsia="Times New Roman"/>
                <w:noProof/>
                <w:szCs w:val="20"/>
              </w:rPr>
            </w:pPr>
            <w:r>
              <w:rPr>
                <w:noProof/>
              </w:rPr>
              <w:t xml:space="preserve">Adoption par le MIRRI d’un nouveau document stratégique – Plan d’action pour la transformation numérique de la Slovaquie pour les années 2023-2026. Le plan d’action propose des actions visant à améliorer les performances numériques de la Slovaquie, en s’appuyant sur la stratégie de transformation numérique à l’horizon 2030 pour la Slovaquie et sur la feuille de route 2019-2022 actuelle. </w:t>
            </w:r>
          </w:p>
        </w:tc>
      </w:tr>
      <w:tr w:rsidR="003B5F50" w14:paraId="50B4B90F" w14:textId="77777777" w:rsidTr="00F854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FF" w14:textId="77777777" w:rsidR="003B5F50" w:rsidRDefault="000D2D85">
            <w:pPr>
              <w:pStyle w:val="P68B1DB1-Normal14"/>
              <w:spacing w:after="0"/>
              <w:rPr>
                <w:rFonts w:eastAsia="Times New Roman"/>
                <w:noProof/>
                <w:szCs w:val="20"/>
              </w:rPr>
            </w:pPr>
            <w:r>
              <w:rPr>
                <w:noProof/>
              </w:rPr>
              <w:t>10</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00" w14:textId="58F170FA" w:rsidR="003B5F50" w:rsidRDefault="000D2D85">
            <w:pPr>
              <w:pStyle w:val="P68B1DB1-Normal14"/>
              <w:spacing w:after="0"/>
              <w:rPr>
                <w:rFonts w:eastAsia="Times New Roman"/>
                <w:noProof/>
                <w:szCs w:val="20"/>
              </w:rPr>
            </w:pPr>
            <w:r>
              <w:rPr>
                <w:noProof/>
              </w:rPr>
              <w:t>17 – Slovaquie numérique – Investissement 3: S'engager dans des projets multinationaux européens liés à l'économie numérique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01" w14:textId="77777777" w:rsidR="003B5F50" w:rsidRDefault="000D2D85">
            <w:pPr>
              <w:pStyle w:val="P68B1DB1-Normal14"/>
              <w:spacing w:after="0"/>
              <w:rPr>
                <w:rFonts w:eastAsia="Times New Roman"/>
                <w:noProof/>
                <w:szCs w:val="20"/>
              </w:rPr>
            </w:pPr>
            <w:r>
              <w:rPr>
                <w:noProof/>
              </w:rPr>
              <w:t>Objectif</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902" w14:textId="1D767810" w:rsidR="003B5F50" w:rsidRDefault="000D2D85">
            <w:pPr>
              <w:pStyle w:val="P68B1DB1-Normal14"/>
              <w:spacing w:after="0"/>
              <w:rPr>
                <w:rFonts w:eastAsia="Times New Roman"/>
                <w:noProof/>
                <w:szCs w:val="20"/>
              </w:rPr>
            </w:pPr>
            <w:r>
              <w:rPr>
                <w:noProof/>
              </w:rPr>
              <w:t xml:space="preserve">Nombre de pôles d’innovation numérique/pôles européens d’innovation numérique </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03" w14:textId="77777777" w:rsidR="003B5F50" w:rsidRDefault="000D2D85">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04" w14:textId="77777777" w:rsidR="003B5F50" w:rsidRDefault="000D2D85">
            <w:pPr>
              <w:pStyle w:val="P68B1DB1-Normal14"/>
              <w:spacing w:after="0"/>
              <w:rPr>
                <w:rFonts w:eastAsia="Times New Roman"/>
                <w:noProof/>
                <w:szCs w:val="20"/>
              </w:rPr>
            </w:pPr>
            <w:r>
              <w:rPr>
                <w:noProof/>
              </w:rPr>
              <w:t>Numéro</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905" w14:textId="77777777" w:rsidR="003B5F50" w:rsidRDefault="000D2D85">
            <w:pPr>
              <w:pStyle w:val="P68B1DB1-Normal14"/>
              <w:spacing w:after="0"/>
              <w:rPr>
                <w:rFonts w:eastAsia="Times New Roman"/>
                <w:noProof/>
                <w:szCs w:val="20"/>
              </w:rPr>
            </w:pPr>
            <w:r>
              <w:rPr>
                <w:noProof/>
              </w:rPr>
              <w:t>0</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906" w14:textId="77777777" w:rsidR="003B5F50" w:rsidRDefault="000D2D85">
            <w:pPr>
              <w:pStyle w:val="P68B1DB1-Normal14"/>
              <w:spacing w:after="0"/>
              <w:rPr>
                <w:rFonts w:eastAsia="Times New Roman"/>
                <w:noProof/>
                <w:szCs w:val="20"/>
              </w:rPr>
            </w:pPr>
            <w:r>
              <w:rPr>
                <w:noProof/>
              </w:rPr>
              <w:t>5</w:t>
            </w: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07" w14:textId="77777777" w:rsidR="003B5F50" w:rsidRDefault="000D2D85">
            <w:pPr>
              <w:pStyle w:val="P68B1DB1-Normal14"/>
              <w:spacing w:after="0"/>
              <w:rPr>
                <w:rFonts w:eastAsia="Times New Roman"/>
                <w:noProof/>
                <w:szCs w:val="20"/>
              </w:rPr>
            </w:pPr>
            <w:r>
              <w:rPr>
                <w:noProof/>
              </w:rPr>
              <w:t>T3</w:t>
            </w:r>
          </w:p>
        </w:tc>
        <w:tc>
          <w:tcPr>
            <w:tcW w:w="319" w:type="pct"/>
            <w:tcBorders>
              <w:top w:val="single" w:sz="4" w:space="0" w:color="auto"/>
              <w:left w:val="single" w:sz="4" w:space="0" w:color="auto"/>
              <w:bottom w:val="single" w:sz="4" w:space="0" w:color="auto"/>
              <w:right w:val="single" w:sz="4" w:space="0" w:color="auto"/>
            </w:tcBorders>
            <w:shd w:val="clear" w:color="auto" w:fill="C6EFCE"/>
            <w:noWrap/>
            <w:hideMark/>
          </w:tcPr>
          <w:p w14:paraId="50B4B908" w14:textId="77777777" w:rsidR="003B5F50" w:rsidRDefault="000D2D85">
            <w:pPr>
              <w:pStyle w:val="P68B1DB1-Normal14"/>
              <w:spacing w:after="0"/>
              <w:rPr>
                <w:rFonts w:eastAsia="Times New Roman"/>
                <w:noProof/>
                <w:szCs w:val="20"/>
              </w:rPr>
            </w:pPr>
            <w:r>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09" w14:textId="77777777" w:rsidR="003B5F50" w:rsidRDefault="000D2D85">
            <w:pPr>
              <w:pStyle w:val="P68B1DB1-Normal14"/>
              <w:spacing w:after="0"/>
              <w:rPr>
                <w:rFonts w:eastAsia="Times New Roman"/>
                <w:noProof/>
                <w:szCs w:val="20"/>
              </w:rPr>
            </w:pPr>
            <w:r>
              <w:rPr>
                <w:noProof/>
              </w:rPr>
              <w:t>Cet objectif est atteint par:</w:t>
            </w:r>
          </w:p>
          <w:p w14:paraId="50B4B90A" w14:textId="77777777" w:rsidR="003B5F50" w:rsidRDefault="000D2D85">
            <w:pPr>
              <w:pStyle w:val="P68B1DB1-Normal14"/>
              <w:spacing w:after="0"/>
              <w:rPr>
                <w:rFonts w:eastAsia="Times New Roman"/>
                <w:noProof/>
                <w:szCs w:val="20"/>
              </w:rPr>
            </w:pPr>
            <w:r>
              <w:rPr>
                <w:noProof/>
              </w:rPr>
              <w:t xml:space="preserve">1. Construire un réseau de quatre pôles européens d’innovation numérique (EDIH) en Slovaquie qui fourniront des services aux entreprises pour soutenir le déploiement des nouvelles technologies et de l’innovation. Ils participent au réseau paneuropéen des EDIH. Les candidats à la création des quatre EDIH ont été nommés en septembre 2020. </w:t>
            </w:r>
          </w:p>
          <w:p w14:paraId="50B4B90B" w14:textId="77777777" w:rsidR="003B5F50" w:rsidRDefault="003B5F50">
            <w:pPr>
              <w:spacing w:after="0"/>
              <w:rPr>
                <w:rFonts w:ascii="Times New Roman" w:eastAsia="Times New Roman" w:hAnsi="Times New Roman"/>
                <w:noProof/>
                <w:color w:val="006100"/>
                <w:sz w:val="20"/>
                <w:szCs w:val="20"/>
              </w:rPr>
            </w:pPr>
          </w:p>
          <w:p w14:paraId="50B4B90C" w14:textId="77777777" w:rsidR="003B5F50" w:rsidRDefault="000D2D85">
            <w:pPr>
              <w:pStyle w:val="P68B1DB1-Normal14"/>
              <w:spacing w:after="0"/>
              <w:rPr>
                <w:rFonts w:eastAsia="Times New Roman"/>
                <w:noProof/>
                <w:szCs w:val="20"/>
              </w:rPr>
            </w:pPr>
            <w:r>
              <w:rPr>
                <w:noProof/>
              </w:rPr>
              <w:t>2.Outre les quatre EDIH, au moins un centre supplémentaire est mis en place selon l’une des deux options suivantes:</w:t>
            </w:r>
          </w:p>
          <w:p w14:paraId="50B4B90D" w14:textId="77777777" w:rsidR="003B5F50" w:rsidRDefault="000D2D85">
            <w:pPr>
              <w:pStyle w:val="P68B1DB1-Normal14"/>
              <w:spacing w:after="0"/>
              <w:rPr>
                <w:rFonts w:eastAsia="Times New Roman"/>
                <w:noProof/>
                <w:szCs w:val="20"/>
              </w:rPr>
            </w:pPr>
            <w:r>
              <w:rPr>
                <w:noProof/>
              </w:rPr>
              <w:t xml:space="preserve">a) l’EDIH sans le soutien financier du programme pour une Europe numérique, qui recevra le label d’excellence dans le cadre du concours de la CE; ou </w:t>
            </w:r>
          </w:p>
          <w:p w14:paraId="50B4B90E" w14:textId="77777777" w:rsidR="003B5F50" w:rsidRDefault="000D2D85">
            <w:pPr>
              <w:pStyle w:val="P68B1DB1-Normal14"/>
              <w:spacing w:after="0"/>
              <w:rPr>
                <w:rFonts w:eastAsia="Times New Roman"/>
                <w:noProof/>
                <w:szCs w:val="20"/>
              </w:rPr>
            </w:pPr>
            <w:r>
              <w:rPr>
                <w:noProof/>
              </w:rPr>
              <w:t xml:space="preserve">b) un DIH local qui sera sélectionné dans le cadre du système national et qui devrait compléter le réseau des EDIH existants. </w:t>
            </w:r>
          </w:p>
        </w:tc>
      </w:tr>
      <w:tr w:rsidR="003B5F50" w14:paraId="50B4B91B" w14:textId="77777777" w:rsidTr="00F8541A">
        <w:trPr>
          <w:trHeight w:val="10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910" w14:textId="77777777" w:rsidR="003B5F50" w:rsidRDefault="000D2D85">
            <w:pPr>
              <w:pStyle w:val="P68B1DB1-Normal14"/>
              <w:spacing w:after="0"/>
              <w:rPr>
                <w:rFonts w:eastAsia="Times New Roman"/>
                <w:noProof/>
                <w:szCs w:val="20"/>
              </w:rPr>
            </w:pPr>
            <w:r>
              <w:rPr>
                <w:noProof/>
              </w:rPr>
              <w:t>11</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911" w14:textId="51614D77" w:rsidR="003B5F50" w:rsidRDefault="000D2D85">
            <w:pPr>
              <w:pStyle w:val="P68B1DB1-Normal14"/>
              <w:spacing w:after="0"/>
              <w:rPr>
                <w:rFonts w:eastAsia="Times New Roman"/>
                <w:noProof/>
                <w:szCs w:val="20"/>
              </w:rPr>
            </w:pPr>
            <w:r>
              <w:rPr>
                <w:noProof/>
              </w:rPr>
              <w:t>17 – Slovaquie numérique – Investissement 3: S'engager dans des projets multinationaux européens liés à l'économie numérique</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912" w14:textId="77777777" w:rsidR="003B5F50" w:rsidRDefault="000D2D85">
            <w:pPr>
              <w:pStyle w:val="P68B1DB1-Normal14"/>
              <w:spacing w:after="0"/>
              <w:rPr>
                <w:rFonts w:eastAsia="Times New Roman"/>
                <w:noProof/>
                <w:szCs w:val="20"/>
              </w:rPr>
            </w:pPr>
            <w:r>
              <w:rPr>
                <w:noProof/>
              </w:rPr>
              <w:t>Étape</w:t>
            </w:r>
          </w:p>
        </w:tc>
        <w:tc>
          <w:tcPr>
            <w:tcW w:w="317" w:type="pct"/>
            <w:tcBorders>
              <w:top w:val="single" w:sz="4" w:space="0" w:color="auto"/>
              <w:left w:val="single" w:sz="4" w:space="0" w:color="auto"/>
              <w:bottom w:val="single" w:sz="4" w:space="0" w:color="auto"/>
              <w:right w:val="single" w:sz="4" w:space="0" w:color="auto"/>
            </w:tcBorders>
            <w:shd w:val="clear" w:color="auto" w:fill="C6EFCE"/>
          </w:tcPr>
          <w:p w14:paraId="50B4B913" w14:textId="77777777" w:rsidR="003B5F50" w:rsidRDefault="000D2D85">
            <w:pPr>
              <w:pStyle w:val="P68B1DB1-Normal15"/>
              <w:spacing w:after="0"/>
              <w:rPr>
                <w:rFonts w:eastAsia="Times New Roman"/>
                <w:noProof/>
              </w:rPr>
            </w:pPr>
            <w:r>
              <w:rPr>
                <w:noProof/>
              </w:rPr>
              <w:t>Supercalculateur pour la République slovaque</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914" w14:textId="77777777" w:rsidR="003B5F50" w:rsidRDefault="000D2D85">
            <w:pPr>
              <w:pStyle w:val="P68B1DB1-Normal14"/>
              <w:spacing w:after="0"/>
              <w:rPr>
                <w:rFonts w:eastAsia="Times New Roman"/>
                <w:noProof/>
                <w:szCs w:val="20"/>
              </w:rPr>
            </w:pPr>
            <w:r>
              <w:rPr>
                <w:noProof/>
              </w:rPr>
              <w:t xml:space="preserve">Mise en service d'un supercalculateur </w:t>
            </w:r>
          </w:p>
        </w:tc>
        <w:tc>
          <w:tcPr>
            <w:tcW w:w="3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B4B915" w14:textId="77777777" w:rsidR="003B5F50" w:rsidRDefault="003B5F50">
            <w:pPr>
              <w:spacing w:after="0"/>
              <w:rPr>
                <w:rFonts w:ascii="Times New Roman" w:eastAsia="Times New Roman" w:hAnsi="Times New Roman"/>
                <w:noProof/>
                <w:color w:val="006100"/>
                <w:sz w:val="20"/>
                <w:szCs w:val="20"/>
              </w:rPr>
            </w:pPr>
          </w:p>
        </w:tc>
        <w:tc>
          <w:tcPr>
            <w:tcW w:w="36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B4B916" w14:textId="77777777" w:rsidR="003B5F50" w:rsidRDefault="003B5F50">
            <w:pPr>
              <w:spacing w:after="0"/>
              <w:rPr>
                <w:rFonts w:ascii="Times New Roman" w:eastAsia="Times New Roman" w:hAnsi="Times New Roman"/>
                <w:noProof/>
                <w:color w:val="006100"/>
                <w:sz w:val="20"/>
                <w:szCs w:val="20"/>
              </w:rPr>
            </w:pPr>
          </w:p>
        </w:tc>
        <w:tc>
          <w:tcPr>
            <w:tcW w:w="45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B4B917" w14:textId="77777777" w:rsidR="003B5F50" w:rsidRDefault="003B5F50">
            <w:pPr>
              <w:spacing w:after="0"/>
              <w:rPr>
                <w:rFonts w:ascii="Times New Roman" w:eastAsia="Times New Roman" w:hAnsi="Times New Roman"/>
                <w:noProof/>
                <w:color w:val="006100"/>
                <w:sz w:val="20"/>
                <w:szCs w:val="20"/>
              </w:rPr>
            </w:pPr>
          </w:p>
        </w:tc>
        <w:tc>
          <w:tcPr>
            <w:tcW w:w="454" w:type="pct"/>
            <w:tcBorders>
              <w:top w:val="single" w:sz="4" w:space="0" w:color="auto"/>
              <w:left w:val="single" w:sz="4" w:space="0" w:color="auto"/>
              <w:bottom w:val="single" w:sz="4" w:space="0" w:color="auto"/>
              <w:right w:val="single" w:sz="4" w:space="0" w:color="auto"/>
            </w:tcBorders>
            <w:shd w:val="clear" w:color="auto" w:fill="C6EFCE"/>
            <w:noWrap/>
          </w:tcPr>
          <w:p w14:paraId="50B4B918" w14:textId="77777777" w:rsidR="003B5F50" w:rsidRDefault="000D2D85">
            <w:pPr>
              <w:pStyle w:val="P68B1DB1-Normal14"/>
              <w:spacing w:after="0"/>
              <w:rPr>
                <w:rFonts w:eastAsia="Times New Roman"/>
                <w:noProof/>
                <w:szCs w:val="20"/>
              </w:rPr>
            </w:pPr>
            <w:r>
              <w:rPr>
                <w:noProof/>
              </w:rPr>
              <w:t>T4</w:t>
            </w:r>
          </w:p>
        </w:tc>
        <w:tc>
          <w:tcPr>
            <w:tcW w:w="319" w:type="pct"/>
            <w:tcBorders>
              <w:top w:val="single" w:sz="4" w:space="0" w:color="auto"/>
              <w:left w:val="single" w:sz="4" w:space="0" w:color="auto"/>
              <w:bottom w:val="single" w:sz="4" w:space="0" w:color="auto"/>
              <w:right w:val="single" w:sz="4" w:space="0" w:color="auto"/>
            </w:tcBorders>
            <w:shd w:val="clear" w:color="auto" w:fill="C6EFCE"/>
            <w:noWrap/>
          </w:tcPr>
          <w:p w14:paraId="50B4B919" w14:textId="77777777" w:rsidR="003B5F50" w:rsidRDefault="000D2D85">
            <w:pPr>
              <w:pStyle w:val="P68B1DB1-Normal14"/>
              <w:spacing w:after="0"/>
              <w:rPr>
                <w:rFonts w:eastAsia="Times New Roman"/>
                <w:noProof/>
                <w:szCs w:val="20"/>
              </w:rPr>
            </w:pPr>
            <w:r>
              <w:rPr>
                <w:noProof/>
              </w:rPr>
              <w:t>2025</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91A" w14:textId="2FA1A0E8" w:rsidR="003B5F50" w:rsidRDefault="000D2D85">
            <w:pPr>
              <w:spacing w:after="0"/>
              <w:rPr>
                <w:rFonts w:ascii="Times New Roman" w:eastAsia="Times New Roman" w:hAnsi="Times New Roman"/>
                <w:noProof/>
                <w:color w:val="006100"/>
                <w:sz w:val="20"/>
                <w:szCs w:val="20"/>
              </w:rPr>
            </w:pPr>
            <w:r>
              <w:rPr>
                <w:rFonts w:ascii="Times New Roman" w:hAnsi="Times New Roman"/>
                <w:noProof/>
                <w:color w:val="006100"/>
                <w:sz w:val="20"/>
                <w:szCs w:val="20"/>
              </w:rPr>
              <w:t xml:space="preserve">La mise en service d'une infrastructure informatique avec deux clusters HPC atteignant une capacité de calcul combinée d'au moins 24 pétaFLOP. </w:t>
            </w:r>
            <w:r>
              <w:rPr>
                <w:noProof/>
              </w:rPr>
              <w:br/>
            </w:r>
            <w:r>
              <w:rPr>
                <w:rFonts w:ascii="Times New Roman" w:hAnsi="Times New Roman"/>
                <w:noProof/>
                <w:color w:val="006100"/>
                <w:sz w:val="20"/>
                <w:szCs w:val="20"/>
              </w:rPr>
              <w:t xml:space="preserve">Le supercalculateur doit atteindre une valeur d’efficacité énergétique supérieure à 60 GFLOP/Watt pour la partie la plus efficace du supercalculateur. </w:t>
            </w:r>
          </w:p>
        </w:tc>
      </w:tr>
      <w:tr w:rsidR="003B5F50" w14:paraId="50B4B92B" w14:textId="77777777" w:rsidTr="00F8541A">
        <w:trPr>
          <w:trHeight w:val="288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1C" w14:textId="77777777" w:rsidR="003B5F50" w:rsidRDefault="000D2D85">
            <w:pPr>
              <w:pStyle w:val="P68B1DB1-Normal14"/>
              <w:spacing w:after="0"/>
              <w:rPr>
                <w:rFonts w:eastAsia="Times New Roman"/>
                <w:noProof/>
                <w:szCs w:val="20"/>
              </w:rPr>
            </w:pPr>
            <w:r>
              <w:rPr>
                <w:noProof/>
              </w:rPr>
              <w:t>12</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1D" w14:textId="211B7383" w:rsidR="003B5F50" w:rsidRDefault="000D2D85">
            <w:pPr>
              <w:pStyle w:val="P68B1DB1-Normal14"/>
              <w:spacing w:after="0"/>
              <w:rPr>
                <w:rFonts w:eastAsia="Times New Roman"/>
                <w:noProof/>
                <w:szCs w:val="20"/>
              </w:rPr>
            </w:pPr>
            <w:r>
              <w:rPr>
                <w:noProof/>
              </w:rPr>
              <w:t>17 – Slovaquie numérique – Investissement 3: S'engager dans des projets multinationaux européens liés à l'économie numérique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1E" w14:textId="77777777" w:rsidR="003B5F50" w:rsidRDefault="000D2D85">
            <w:pPr>
              <w:pStyle w:val="P68B1DB1-Normal14"/>
              <w:spacing w:after="0"/>
              <w:rPr>
                <w:rFonts w:eastAsia="Times New Roman"/>
                <w:noProof/>
                <w:szCs w:val="20"/>
              </w:rPr>
            </w:pPr>
            <w:r>
              <w:rPr>
                <w:noProof/>
              </w:rPr>
              <w:t>Objectif</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91F" w14:textId="3FC46260" w:rsidR="003B5F50" w:rsidRDefault="000D2D85">
            <w:pPr>
              <w:pStyle w:val="P68B1DB1-Normal14"/>
              <w:spacing w:after="0"/>
              <w:rPr>
                <w:noProof/>
                <w:szCs w:val="20"/>
              </w:rPr>
            </w:pPr>
            <w:r>
              <w:rPr>
                <w:noProof/>
                <w:szCs w:val="20"/>
              </w:rPr>
              <w:t>Déboursement de 8 711 034,58  EUR</w:t>
            </w:r>
          </w:p>
          <w:p w14:paraId="50B4B920" w14:textId="77777777" w:rsidR="003B5F50" w:rsidRDefault="003B5F50">
            <w:pPr>
              <w:spacing w:after="0"/>
              <w:rPr>
                <w:rFonts w:ascii="Times New Roman" w:eastAsia="Times New Roman" w:hAnsi="Times New Roman"/>
                <w:noProof/>
                <w:color w:val="006100"/>
                <w:sz w:val="20"/>
                <w:szCs w:val="20"/>
              </w:rPr>
            </w:pP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21" w14:textId="77777777" w:rsidR="003B5F50" w:rsidRDefault="000D2D85">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22" w14:textId="77777777" w:rsidR="003B5F50" w:rsidRDefault="000D2D85">
            <w:pPr>
              <w:pStyle w:val="P68B1DB1-Normal14"/>
              <w:spacing w:after="0"/>
              <w:rPr>
                <w:rFonts w:eastAsia="Times New Roman"/>
                <w:noProof/>
                <w:szCs w:val="20"/>
              </w:rPr>
            </w:pPr>
            <w:r>
              <w:rPr>
                <w:noProof/>
              </w:rPr>
              <w:t>EUR</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923" w14:textId="77777777" w:rsidR="003B5F50" w:rsidRDefault="000D2D85">
            <w:pPr>
              <w:pStyle w:val="P68B1DB1-Normal14"/>
              <w:spacing w:after="0"/>
              <w:rPr>
                <w:rFonts w:eastAsia="Times New Roman"/>
                <w:noProof/>
                <w:szCs w:val="20"/>
              </w:rPr>
            </w:pPr>
            <w:r>
              <w:rPr>
                <w:noProof/>
              </w:rPr>
              <w:t>0</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924" w14:textId="46A219DA" w:rsidR="003B5F50" w:rsidRDefault="000D2D85">
            <w:pPr>
              <w:pStyle w:val="P68B1DB1-Normal62"/>
              <w:spacing w:after="0"/>
              <w:rPr>
                <w:rFonts w:eastAsia="Times New Roman"/>
                <w:noProof/>
              </w:rPr>
            </w:pPr>
            <w:r>
              <w:rPr>
                <w:noProof/>
              </w:rPr>
              <w:t>8 711 034.58</w:t>
            </w: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25" w14:textId="77777777" w:rsidR="003B5F50" w:rsidRDefault="000D2D85">
            <w:pPr>
              <w:pStyle w:val="P68B1DB1-Normal14"/>
              <w:spacing w:after="0"/>
              <w:rPr>
                <w:rFonts w:eastAsia="Times New Roman"/>
                <w:noProof/>
                <w:szCs w:val="20"/>
              </w:rPr>
            </w:pPr>
            <w:r>
              <w:rPr>
                <w:noProof/>
              </w:rPr>
              <w:t>T2</w:t>
            </w:r>
          </w:p>
        </w:tc>
        <w:tc>
          <w:tcPr>
            <w:tcW w:w="319" w:type="pct"/>
            <w:tcBorders>
              <w:top w:val="single" w:sz="4" w:space="0" w:color="auto"/>
              <w:left w:val="single" w:sz="4" w:space="0" w:color="auto"/>
              <w:bottom w:val="single" w:sz="4" w:space="0" w:color="auto"/>
              <w:right w:val="single" w:sz="4" w:space="0" w:color="auto"/>
            </w:tcBorders>
            <w:shd w:val="clear" w:color="auto" w:fill="C6EFCE"/>
            <w:noWrap/>
            <w:hideMark/>
          </w:tcPr>
          <w:p w14:paraId="50B4B926" w14:textId="77777777" w:rsidR="003B5F50" w:rsidRDefault="000D2D85">
            <w:pPr>
              <w:pStyle w:val="P68B1DB1-Normal14"/>
              <w:spacing w:after="0"/>
              <w:rPr>
                <w:rFonts w:eastAsia="Times New Roman"/>
                <w:noProof/>
                <w:szCs w:val="20"/>
              </w:rPr>
            </w:pPr>
            <w:r>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27" w14:textId="77777777" w:rsidR="003B5F50" w:rsidRDefault="000D2D85">
            <w:pPr>
              <w:pStyle w:val="P68B1DB1-Normal15"/>
              <w:spacing w:after="0"/>
              <w:rPr>
                <w:noProof/>
              </w:rPr>
            </w:pPr>
            <w:r>
              <w:rPr>
                <w:noProof/>
              </w:rPr>
              <w:t>Participation à deux projets numériques multinationaux de l’ensemble suivant proposé par la Commission européenne: Centres d’opérations de sécurité, MediaInvest, infrastructure européenne de services de chaînes de blocs, EuroQCI, corridors 5G, infrastructure européenne commune de données, processeurs et puces semi-conducteurs, administration publique connectée, génome de l’Europe ou compétences numériques.</w:t>
            </w:r>
          </w:p>
          <w:p w14:paraId="50B4B928" w14:textId="77777777" w:rsidR="003B5F50" w:rsidRDefault="003B5F50">
            <w:pPr>
              <w:spacing w:after="0"/>
              <w:rPr>
                <w:rFonts w:ascii="Times New Roman" w:eastAsia="Times New Roman" w:hAnsi="Times New Roman"/>
                <w:noProof/>
                <w:color w:val="006100"/>
                <w:sz w:val="20"/>
                <w:szCs w:val="20"/>
              </w:rPr>
            </w:pPr>
          </w:p>
          <w:p w14:paraId="50B4B929" w14:textId="53B7F4A3" w:rsidR="003B5F50" w:rsidRDefault="000D2D85">
            <w:pPr>
              <w:pStyle w:val="P68B1DB1-Normal14"/>
              <w:spacing w:after="0"/>
              <w:rPr>
                <w:noProof/>
                <w:szCs w:val="20"/>
              </w:rPr>
            </w:pPr>
            <w:r>
              <w:rPr>
                <w:noProof/>
                <w:szCs w:val="20"/>
              </w:rPr>
              <w:t xml:space="preserve">Au moins 8 711 034,58 EUR sont versés aux deux projets au titre de cet objectif afin de soutenir l’engagement de la Slovaquie dans des projets multinationaux européens liés à l’économie numérique.  </w:t>
            </w:r>
          </w:p>
          <w:p w14:paraId="50B4B92A" w14:textId="77777777" w:rsidR="003B5F50" w:rsidRDefault="000D2D85">
            <w:pPr>
              <w:pStyle w:val="P68B1DB1-Normal15"/>
              <w:spacing w:after="0"/>
              <w:rPr>
                <w:noProof/>
              </w:rPr>
            </w:pPr>
            <w:r>
              <w:rPr>
                <w:noProof/>
              </w:rPr>
              <w:t>Les montants fournis par d’autres programmes ou instruments de l’Union ne sont pas comptabilisés dans ce montant.</w:t>
            </w:r>
          </w:p>
        </w:tc>
      </w:tr>
      <w:tr w:rsidR="003B5F50" w14:paraId="50B4B93A" w14:textId="77777777" w:rsidTr="00F854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2C" w14:textId="77777777" w:rsidR="003B5F50" w:rsidRDefault="000D2D85">
            <w:pPr>
              <w:pStyle w:val="P68B1DB1-Normal14"/>
              <w:spacing w:after="0"/>
              <w:rPr>
                <w:rFonts w:eastAsia="Times New Roman"/>
                <w:noProof/>
                <w:szCs w:val="20"/>
              </w:rPr>
            </w:pPr>
            <w:r>
              <w:rPr>
                <w:noProof/>
              </w:rPr>
              <w:t>13</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2D" w14:textId="77777777" w:rsidR="003B5F50" w:rsidRDefault="000D2D85">
            <w:pPr>
              <w:pStyle w:val="P68B1DB1-Normal15"/>
              <w:spacing w:after="0"/>
              <w:rPr>
                <w:rFonts w:eastAsia="Times New Roman" w:cs="Times New Roman"/>
                <w:noProof/>
              </w:rPr>
            </w:pPr>
            <w:r>
              <w:rPr>
                <w:noProof/>
              </w:rPr>
              <w:t>17 – Slovaquie numérique – Investissement 4: Soutien à des projets visant le développement de technologies et d’infrastructures numériques</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2E" w14:textId="77777777" w:rsidR="003B5F50" w:rsidRDefault="000D2D85">
            <w:pPr>
              <w:pStyle w:val="P68B1DB1-Normal14"/>
              <w:spacing w:after="0"/>
              <w:rPr>
                <w:rFonts w:eastAsia="Times New Roman"/>
                <w:noProof/>
                <w:szCs w:val="20"/>
              </w:rPr>
            </w:pPr>
            <w:r>
              <w:rPr>
                <w:noProof/>
              </w:rPr>
              <w:t>Étape</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92F" w14:textId="18D87130" w:rsidR="003B5F50" w:rsidRDefault="000D2D85">
            <w:pPr>
              <w:pStyle w:val="P68B1DB1-Normal14"/>
              <w:spacing w:after="0"/>
              <w:rPr>
                <w:rFonts w:eastAsia="Times New Roman"/>
                <w:noProof/>
                <w:szCs w:val="20"/>
              </w:rPr>
            </w:pPr>
            <w:r>
              <w:rPr>
                <w:noProof/>
              </w:rPr>
              <w:t>Conception d’un régime d’aide au développement et à l’application des technologies numériques</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30" w14:textId="77777777" w:rsidR="003B5F50" w:rsidRDefault="000D2D85">
            <w:pPr>
              <w:pStyle w:val="P68B1DB1-Normal14"/>
              <w:spacing w:after="0"/>
              <w:rPr>
                <w:rFonts w:eastAsia="Times New Roman"/>
                <w:noProof/>
                <w:szCs w:val="20"/>
              </w:rPr>
            </w:pPr>
            <w:r>
              <w:rPr>
                <w:noProof/>
              </w:rPr>
              <w:t>Lancement d'un régime d'aide</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31" w14:textId="77777777" w:rsidR="003B5F50" w:rsidRDefault="000D2D85">
            <w:pPr>
              <w:pStyle w:val="P68B1DB1-Normal14"/>
              <w:spacing w:after="0"/>
              <w:rPr>
                <w:rFonts w:eastAsia="Times New Roman"/>
                <w:noProof/>
                <w:szCs w:val="20"/>
              </w:rPr>
            </w:pPr>
            <w:r>
              <w:rPr>
                <w:noProof/>
              </w:rPr>
              <w:t> </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932" w14:textId="77777777" w:rsidR="003B5F50" w:rsidRDefault="000D2D85">
            <w:pPr>
              <w:pStyle w:val="P68B1DB1-Normal14"/>
              <w:spacing w:after="0"/>
              <w:rPr>
                <w:rFonts w:eastAsia="Times New Roman"/>
                <w:noProof/>
                <w:szCs w:val="20"/>
              </w:rPr>
            </w:pPr>
            <w:r>
              <w:rPr>
                <w:noProof/>
              </w:rPr>
              <w:t> </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933" w14:textId="77777777" w:rsidR="003B5F50" w:rsidRDefault="000D2D85">
            <w:pPr>
              <w:pStyle w:val="P68B1DB1-Normal14"/>
              <w:spacing w:after="0"/>
              <w:rPr>
                <w:rFonts w:eastAsia="Times New Roman"/>
                <w:noProof/>
                <w:szCs w:val="20"/>
              </w:rPr>
            </w:pPr>
            <w:r>
              <w:rPr>
                <w:noProof/>
              </w:rPr>
              <w:t> </w:t>
            </w: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34" w14:textId="77777777" w:rsidR="003B5F50" w:rsidRDefault="000D2D85">
            <w:pPr>
              <w:pStyle w:val="P68B1DB1-Normal14"/>
              <w:spacing w:after="0"/>
              <w:rPr>
                <w:rFonts w:eastAsia="Times New Roman"/>
                <w:noProof/>
                <w:szCs w:val="20"/>
              </w:rPr>
            </w:pPr>
            <w:r>
              <w:rPr>
                <w:noProof/>
              </w:rPr>
              <w:t>T2</w:t>
            </w:r>
          </w:p>
        </w:tc>
        <w:tc>
          <w:tcPr>
            <w:tcW w:w="319" w:type="pct"/>
            <w:tcBorders>
              <w:top w:val="single" w:sz="4" w:space="0" w:color="auto"/>
              <w:left w:val="single" w:sz="4" w:space="0" w:color="auto"/>
              <w:bottom w:val="single" w:sz="4" w:space="0" w:color="auto"/>
              <w:right w:val="single" w:sz="4" w:space="0" w:color="auto"/>
            </w:tcBorders>
            <w:shd w:val="clear" w:color="auto" w:fill="C6EFCE"/>
            <w:noWrap/>
            <w:hideMark/>
          </w:tcPr>
          <w:p w14:paraId="50B4B935" w14:textId="77777777" w:rsidR="003B5F50" w:rsidRDefault="000D2D85">
            <w:pPr>
              <w:pStyle w:val="P68B1DB1-Normal14"/>
              <w:spacing w:after="0"/>
              <w:rPr>
                <w:rFonts w:eastAsia="Times New Roman"/>
                <w:noProof/>
                <w:szCs w:val="20"/>
              </w:rPr>
            </w:pPr>
            <w:r>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36" w14:textId="5BAD8130" w:rsidR="003B5F50" w:rsidRDefault="000D2D85">
            <w:pPr>
              <w:pStyle w:val="P68B1DB1-Normal14"/>
              <w:spacing w:after="0"/>
              <w:rPr>
                <w:rFonts w:eastAsia="Times New Roman"/>
                <w:noProof/>
                <w:szCs w:val="20"/>
              </w:rPr>
            </w:pPr>
            <w:r>
              <w:rPr>
                <w:noProof/>
              </w:rPr>
              <w:t xml:space="preserve">Un régime d’aide à la recherche et au développement de solutions numériques est mis en place et publié par l’unité de mise en œuvre de l’IRMRI pour les petites et moyennes entreprises, les grandes entreprises, les institutions privées de R&amp;D, les institutions publiques de R&amp;D, y compris les universités et l’Académie slovaque des sciences, les organisations non gouvernementales et à but non lucratif, les médias, les institutions publiques, y compris les municipalités, et d’autres candidats éligibles. </w:t>
            </w:r>
          </w:p>
          <w:p w14:paraId="50B4B937" w14:textId="77777777" w:rsidR="003B5F50" w:rsidRDefault="003B5F50">
            <w:pPr>
              <w:spacing w:after="0"/>
              <w:rPr>
                <w:rFonts w:ascii="Times New Roman" w:eastAsia="Times New Roman" w:hAnsi="Times New Roman"/>
                <w:noProof/>
                <w:color w:val="006100"/>
                <w:sz w:val="20"/>
                <w:szCs w:val="20"/>
              </w:rPr>
            </w:pPr>
          </w:p>
          <w:p w14:paraId="50B4B939" w14:textId="24339D0A" w:rsidR="003B5F50" w:rsidRDefault="000D2D85">
            <w:pPr>
              <w:pStyle w:val="P68B1DB1-Normal14"/>
              <w:spacing w:after="0"/>
              <w:rPr>
                <w:rFonts w:eastAsia="Times New Roman"/>
                <w:noProof/>
                <w:szCs w:val="20"/>
              </w:rPr>
            </w:pPr>
            <w:r>
              <w:rPr>
                <w:noProof/>
              </w:rPr>
              <w:t>Le système sert également de mécanisme de cofinancement pour les projets qui réussissent dans des programmes de l’UE gérés directement (Europe numérique, Horizon Europe et mécanisme pour l’interconnexion en Europe). La priorité est accordée aux projets couronnés de succès sur la base d’une évaluation des PIIEC réalisée par la Commission européenne. Les projets sont également évalués sur la base des domaines prioritaires définis dans la dimension 4 (Transformation numérique de la Slovaquie) de la stratégie de spécialisation intelligente (RIS3).</w:t>
            </w:r>
          </w:p>
        </w:tc>
      </w:tr>
      <w:tr w:rsidR="003B5F50" w14:paraId="50B4B948" w14:textId="77777777" w:rsidTr="00F854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93B" w14:textId="77777777" w:rsidR="003B5F50" w:rsidRDefault="000D2D85">
            <w:pPr>
              <w:pStyle w:val="P68B1DB1-Normal14"/>
              <w:spacing w:after="0"/>
              <w:rPr>
                <w:rFonts w:eastAsia="Times New Roman"/>
                <w:noProof/>
                <w:szCs w:val="20"/>
              </w:rPr>
            </w:pPr>
            <w:r>
              <w:rPr>
                <w:noProof/>
              </w:rPr>
              <w:t>14</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93C" w14:textId="77777777" w:rsidR="003B5F50" w:rsidRDefault="000D2D85">
            <w:pPr>
              <w:pStyle w:val="P68B1DB1-Normal14"/>
              <w:spacing w:after="0"/>
              <w:rPr>
                <w:rFonts w:eastAsia="Times New Roman"/>
                <w:noProof/>
                <w:szCs w:val="20"/>
              </w:rPr>
            </w:pPr>
            <w:r>
              <w:rPr>
                <w:noProof/>
              </w:rPr>
              <w:t>17 – Slovaquie numérique – Investissement 4: Soutien à des projets visant le développement de technologies et d’infrastructures numériques</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93D" w14:textId="77777777" w:rsidR="003B5F50" w:rsidRDefault="000D2D85">
            <w:pPr>
              <w:pStyle w:val="P68B1DB1-Normal14"/>
              <w:spacing w:after="0"/>
              <w:rPr>
                <w:rFonts w:eastAsia="Times New Roman"/>
                <w:noProof/>
                <w:szCs w:val="20"/>
              </w:rPr>
            </w:pPr>
            <w:r>
              <w:rPr>
                <w:noProof/>
              </w:rPr>
              <w:t>Objectif</w:t>
            </w:r>
          </w:p>
        </w:tc>
        <w:tc>
          <w:tcPr>
            <w:tcW w:w="317" w:type="pct"/>
            <w:tcBorders>
              <w:top w:val="single" w:sz="4" w:space="0" w:color="auto"/>
              <w:left w:val="single" w:sz="4" w:space="0" w:color="auto"/>
              <w:bottom w:val="single" w:sz="4" w:space="0" w:color="auto"/>
              <w:right w:val="single" w:sz="4" w:space="0" w:color="auto"/>
            </w:tcBorders>
            <w:shd w:val="clear" w:color="auto" w:fill="C6EFCE"/>
          </w:tcPr>
          <w:p w14:paraId="4E3F5F43" w14:textId="62EC32D7" w:rsidR="003B5F50" w:rsidRDefault="000D2D85">
            <w:pPr>
              <w:pStyle w:val="P68B1DB1-Normal15"/>
              <w:spacing w:after="0"/>
              <w:rPr>
                <w:rFonts w:eastAsia="Times New Roman"/>
                <w:noProof/>
              </w:rPr>
            </w:pPr>
            <w:r>
              <w:rPr>
                <w:noProof/>
              </w:rPr>
              <w:t>Décaissement de 7 104 859 47 EUR</w:t>
            </w:r>
          </w:p>
          <w:p w14:paraId="50B4B93E" w14:textId="2052BE7F" w:rsidR="003B5F50" w:rsidRDefault="000D2D85">
            <w:pPr>
              <w:pStyle w:val="P68B1DB1-Normal15"/>
              <w:spacing w:after="0"/>
              <w:rPr>
                <w:rFonts w:eastAsia="Times New Roman"/>
                <w:noProof/>
              </w:rPr>
            </w:pPr>
            <w:r>
              <w:rPr>
                <w:noProof/>
              </w:rPr>
              <w:t xml:space="preserve"> </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93F" w14:textId="77777777" w:rsidR="003B5F50" w:rsidRDefault="000D2D85">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940" w14:textId="77777777" w:rsidR="003B5F50" w:rsidRDefault="000D2D85">
            <w:pPr>
              <w:pStyle w:val="P68B1DB1-Normal14"/>
              <w:spacing w:after="0"/>
              <w:rPr>
                <w:rFonts w:eastAsia="Times New Roman"/>
                <w:noProof/>
                <w:szCs w:val="20"/>
              </w:rPr>
            </w:pPr>
            <w:r>
              <w:rPr>
                <w:noProof/>
              </w:rPr>
              <w:t>EUR</w:t>
            </w:r>
          </w:p>
        </w:tc>
        <w:tc>
          <w:tcPr>
            <w:tcW w:w="364" w:type="pct"/>
            <w:tcBorders>
              <w:top w:val="single" w:sz="4" w:space="0" w:color="auto"/>
              <w:left w:val="single" w:sz="4" w:space="0" w:color="auto"/>
              <w:bottom w:val="single" w:sz="4" w:space="0" w:color="auto"/>
              <w:right w:val="single" w:sz="4" w:space="0" w:color="auto"/>
            </w:tcBorders>
            <w:shd w:val="clear" w:color="auto" w:fill="C6EFCE"/>
            <w:noWrap/>
          </w:tcPr>
          <w:p w14:paraId="50B4B941" w14:textId="77777777" w:rsidR="003B5F50" w:rsidRDefault="000D2D85">
            <w:pPr>
              <w:pStyle w:val="P68B1DB1-Normal14"/>
              <w:spacing w:after="0"/>
              <w:rPr>
                <w:rFonts w:eastAsia="Times New Roman"/>
                <w:noProof/>
                <w:szCs w:val="20"/>
              </w:rPr>
            </w:pPr>
            <w:r>
              <w:rPr>
                <w:noProof/>
              </w:rPr>
              <w:t>0</w:t>
            </w:r>
          </w:p>
        </w:tc>
        <w:tc>
          <w:tcPr>
            <w:tcW w:w="455" w:type="pct"/>
            <w:tcBorders>
              <w:top w:val="single" w:sz="4" w:space="0" w:color="auto"/>
              <w:left w:val="single" w:sz="4" w:space="0" w:color="auto"/>
              <w:bottom w:val="single" w:sz="4" w:space="0" w:color="auto"/>
              <w:right w:val="single" w:sz="4" w:space="0" w:color="auto"/>
            </w:tcBorders>
            <w:shd w:val="clear" w:color="auto" w:fill="C6EFCE"/>
            <w:noWrap/>
          </w:tcPr>
          <w:p w14:paraId="63741327" w14:textId="2A627C42" w:rsidR="003B5F50" w:rsidRDefault="000D2D85">
            <w:pPr>
              <w:pStyle w:val="P68B1DB1-Normal15"/>
              <w:spacing w:after="0"/>
              <w:rPr>
                <w:noProof/>
              </w:rPr>
            </w:pPr>
            <w:r>
              <w:rPr>
                <w:noProof/>
              </w:rPr>
              <w:t>7 104 859 47</w:t>
            </w:r>
          </w:p>
          <w:p w14:paraId="50B4B943" w14:textId="77777777" w:rsidR="003B5F50" w:rsidRDefault="003B5F50">
            <w:pPr>
              <w:spacing w:after="0"/>
              <w:rPr>
                <w:rFonts w:ascii="Times New Roman" w:eastAsia="Times New Roman" w:hAnsi="Times New Roman"/>
                <w:noProof/>
                <w:color w:val="006100"/>
                <w:sz w:val="20"/>
                <w:szCs w:val="20"/>
              </w:rPr>
            </w:pPr>
          </w:p>
        </w:tc>
        <w:tc>
          <w:tcPr>
            <w:tcW w:w="454" w:type="pct"/>
            <w:tcBorders>
              <w:top w:val="single" w:sz="4" w:space="0" w:color="auto"/>
              <w:left w:val="single" w:sz="4" w:space="0" w:color="auto"/>
              <w:bottom w:val="single" w:sz="4" w:space="0" w:color="auto"/>
              <w:right w:val="single" w:sz="4" w:space="0" w:color="auto"/>
            </w:tcBorders>
            <w:shd w:val="clear" w:color="auto" w:fill="C6EFCE"/>
            <w:noWrap/>
          </w:tcPr>
          <w:p w14:paraId="50B4B944" w14:textId="77777777" w:rsidR="003B5F50" w:rsidRDefault="000D2D85">
            <w:pPr>
              <w:pStyle w:val="P68B1DB1-Normal14"/>
              <w:spacing w:after="0"/>
              <w:rPr>
                <w:rFonts w:eastAsia="Times New Roman"/>
                <w:noProof/>
                <w:szCs w:val="20"/>
              </w:rPr>
            </w:pPr>
            <w:r>
              <w:rPr>
                <w:noProof/>
              </w:rPr>
              <w:t>T2</w:t>
            </w:r>
          </w:p>
        </w:tc>
        <w:tc>
          <w:tcPr>
            <w:tcW w:w="319" w:type="pct"/>
            <w:tcBorders>
              <w:top w:val="single" w:sz="4" w:space="0" w:color="auto"/>
              <w:left w:val="single" w:sz="4" w:space="0" w:color="auto"/>
              <w:bottom w:val="single" w:sz="4" w:space="0" w:color="auto"/>
              <w:right w:val="single" w:sz="4" w:space="0" w:color="auto"/>
            </w:tcBorders>
            <w:shd w:val="clear" w:color="auto" w:fill="C6EFCE"/>
            <w:noWrap/>
          </w:tcPr>
          <w:p w14:paraId="50B4B945" w14:textId="77777777" w:rsidR="003B5F50" w:rsidRDefault="000D2D85">
            <w:pPr>
              <w:pStyle w:val="P68B1DB1-Normal14"/>
              <w:spacing w:after="0"/>
              <w:rPr>
                <w:rFonts w:eastAsia="Times New Roman"/>
                <w:noProof/>
                <w:szCs w:val="20"/>
              </w:rPr>
            </w:pPr>
            <w:r>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946" w14:textId="70D190E4" w:rsidR="003B5F50" w:rsidRDefault="000D2D85">
            <w:pPr>
              <w:pStyle w:val="P68B1DB1-Normal15"/>
              <w:spacing w:after="0"/>
              <w:rPr>
                <w:noProof/>
              </w:rPr>
            </w:pPr>
            <w:r>
              <w:rPr>
                <w:noProof/>
              </w:rPr>
              <w:t xml:space="preserve">Au moins 7 104 859 47 EUR sont versés à des projets visant à soutenir le développement de technologies et d’infrastructures numériques. </w:t>
            </w:r>
          </w:p>
          <w:p w14:paraId="50B4B947" w14:textId="77777777" w:rsidR="003B5F50" w:rsidRDefault="000D2D85">
            <w:pPr>
              <w:pStyle w:val="P68B1DB1-Normal15"/>
              <w:spacing w:after="0"/>
              <w:rPr>
                <w:rFonts w:eastAsia="Times New Roman"/>
                <w:noProof/>
              </w:rPr>
            </w:pPr>
            <w:r>
              <w:rPr>
                <w:noProof/>
              </w:rPr>
              <w:t>Les montants fournis par d’autres programmes ou instruments de l’Union ne sont pas comptabilisés dans ce montant.</w:t>
            </w:r>
          </w:p>
        </w:tc>
      </w:tr>
      <w:tr w:rsidR="003B5F50" w14:paraId="50B4B954" w14:textId="77777777" w:rsidTr="00F8541A">
        <w:trPr>
          <w:trHeight w:val="2258"/>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49" w14:textId="77777777" w:rsidR="003B5F50" w:rsidRDefault="000D2D85">
            <w:pPr>
              <w:pStyle w:val="P68B1DB1-Normal15"/>
              <w:spacing w:after="0"/>
              <w:rPr>
                <w:rFonts w:eastAsia="Times New Roman"/>
                <w:noProof/>
              </w:rPr>
            </w:pPr>
            <w:r>
              <w:rPr>
                <w:noProof/>
              </w:rPr>
              <w:t>15</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4A" w14:textId="77777777" w:rsidR="003B5F50" w:rsidRDefault="000D2D85">
            <w:pPr>
              <w:spacing w:after="0"/>
              <w:rPr>
                <w:rFonts w:ascii="Times New Roman" w:eastAsia="Times New Roman" w:hAnsi="Times New Roman"/>
                <w:noProof/>
                <w:color w:val="006100"/>
                <w:sz w:val="20"/>
                <w:szCs w:val="20"/>
              </w:rPr>
            </w:pPr>
            <w:r>
              <w:rPr>
                <w:rFonts w:ascii="Times New Roman" w:hAnsi="Times New Roman"/>
                <w:noProof/>
                <w:color w:val="006100"/>
                <w:sz w:val="20"/>
                <w:szCs w:val="20"/>
              </w:rPr>
              <w:t>17 – Slovaquie numérique – Investissement 4: Soutien à des projets visant le développement de technologies</w:t>
            </w:r>
            <w:r>
              <w:rPr>
                <w:noProof/>
              </w:rPr>
              <w:t xml:space="preserve"> </w:t>
            </w:r>
            <w:r>
              <w:rPr>
                <w:rFonts w:ascii="Times New Roman" w:hAnsi="Times New Roman"/>
                <w:noProof/>
                <w:color w:val="006100"/>
                <w:sz w:val="20"/>
                <w:szCs w:val="20"/>
              </w:rPr>
              <w:t>et d’infrastructures</w:t>
            </w:r>
            <w:r>
              <w:rPr>
                <w:noProof/>
              </w:rPr>
              <w:t xml:space="preserve"> numériques</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4B" w14:textId="77777777" w:rsidR="003B5F50" w:rsidRDefault="000D2D85">
            <w:pPr>
              <w:pStyle w:val="P68B1DB1-Normal14"/>
              <w:spacing w:after="0"/>
              <w:rPr>
                <w:rFonts w:eastAsia="Times New Roman"/>
                <w:noProof/>
                <w:szCs w:val="20"/>
              </w:rPr>
            </w:pPr>
            <w:r>
              <w:rPr>
                <w:noProof/>
              </w:rPr>
              <w:t>Objectif</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94C" w14:textId="401F1EF2" w:rsidR="003B5F50" w:rsidRDefault="000D2D85">
            <w:pPr>
              <w:pStyle w:val="P68B1DB1-Normal15"/>
              <w:spacing w:after="0"/>
              <w:rPr>
                <w:rFonts w:eastAsia="Times New Roman"/>
                <w:noProof/>
              </w:rPr>
            </w:pPr>
            <w:r>
              <w:rPr>
                <w:noProof/>
              </w:rPr>
              <w:t xml:space="preserve">Nombre de projets de développement des technologies numériques </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4D" w14:textId="77777777" w:rsidR="003B5F50" w:rsidRDefault="000D2D85">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4E" w14:textId="77777777" w:rsidR="003B5F50" w:rsidRDefault="000D2D85">
            <w:pPr>
              <w:pStyle w:val="P68B1DB1-Normal14"/>
              <w:spacing w:after="0"/>
              <w:rPr>
                <w:rFonts w:eastAsia="Times New Roman"/>
                <w:noProof/>
                <w:szCs w:val="20"/>
              </w:rPr>
            </w:pPr>
            <w:r>
              <w:rPr>
                <w:noProof/>
              </w:rPr>
              <w:t>Numéro</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94F" w14:textId="77777777" w:rsidR="003B5F50" w:rsidRDefault="000D2D85">
            <w:pPr>
              <w:pStyle w:val="P68B1DB1-Normal14"/>
              <w:spacing w:after="0"/>
              <w:rPr>
                <w:rFonts w:eastAsia="Times New Roman"/>
                <w:noProof/>
                <w:szCs w:val="20"/>
              </w:rPr>
            </w:pPr>
            <w:r>
              <w:rPr>
                <w:noProof/>
              </w:rPr>
              <w:t>0</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950" w14:textId="441D1204" w:rsidR="003B5F50" w:rsidRDefault="000D2D85">
            <w:pPr>
              <w:pStyle w:val="P68B1DB1-Normal15"/>
              <w:spacing w:after="0"/>
              <w:rPr>
                <w:rFonts w:eastAsia="Times New Roman"/>
                <w:noProof/>
              </w:rPr>
            </w:pPr>
            <w:r>
              <w:rPr>
                <w:noProof/>
              </w:rPr>
              <w:t>44</w:t>
            </w: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51" w14:textId="77777777" w:rsidR="003B5F50" w:rsidRDefault="000D2D85">
            <w:pPr>
              <w:pStyle w:val="P68B1DB1-Normal14"/>
              <w:spacing w:after="0"/>
              <w:rPr>
                <w:rFonts w:eastAsia="Times New Roman"/>
                <w:noProof/>
                <w:szCs w:val="20"/>
              </w:rPr>
            </w:pPr>
            <w:r>
              <w:rPr>
                <w:noProof/>
              </w:rPr>
              <w:t>T2</w:t>
            </w:r>
          </w:p>
        </w:tc>
        <w:tc>
          <w:tcPr>
            <w:tcW w:w="319" w:type="pct"/>
            <w:tcBorders>
              <w:top w:val="single" w:sz="4" w:space="0" w:color="auto"/>
              <w:left w:val="single" w:sz="4" w:space="0" w:color="auto"/>
              <w:bottom w:val="single" w:sz="4" w:space="0" w:color="auto"/>
              <w:right w:val="single" w:sz="4" w:space="0" w:color="auto"/>
            </w:tcBorders>
            <w:shd w:val="clear" w:color="auto" w:fill="C6EFCE"/>
            <w:noWrap/>
            <w:hideMark/>
          </w:tcPr>
          <w:p w14:paraId="50B4B952" w14:textId="77777777" w:rsidR="003B5F50" w:rsidRDefault="000D2D85">
            <w:pPr>
              <w:pStyle w:val="P68B1DB1-Normal14"/>
              <w:spacing w:after="0"/>
              <w:rPr>
                <w:rFonts w:eastAsia="Times New Roman"/>
                <w:noProof/>
                <w:szCs w:val="20"/>
              </w:rPr>
            </w:pPr>
            <w:r>
              <w:rPr>
                <w:noProof/>
              </w:rPr>
              <w:t xml:space="preserve">2026 </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53" w14:textId="77CD2CD6" w:rsidR="003B5F50" w:rsidRDefault="000D2D85">
            <w:pPr>
              <w:pStyle w:val="P68B1DB1-Normal15"/>
              <w:spacing w:after="0"/>
              <w:rPr>
                <w:rFonts w:eastAsia="Times New Roman"/>
                <w:noProof/>
              </w:rPr>
            </w:pPr>
            <w:r>
              <w:rPr>
                <w:noProof/>
              </w:rPr>
              <w:t xml:space="preserve">Des contrats sont signés pour apporter un soutien financier à 44 projets de développement de technologies numériques dans le cadre du domaine 3 de la stratégie SIF 3. </w:t>
            </w:r>
          </w:p>
        </w:tc>
      </w:tr>
      <w:tr w:rsidR="003B5F50" w14:paraId="50B4B963" w14:textId="77777777" w:rsidTr="00F854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955" w14:textId="77777777" w:rsidR="003B5F50" w:rsidRDefault="000D2D85">
            <w:pPr>
              <w:pStyle w:val="P68B1DB1-Normal14"/>
              <w:spacing w:after="0"/>
              <w:rPr>
                <w:rFonts w:eastAsia="Times New Roman"/>
                <w:noProof/>
                <w:szCs w:val="20"/>
              </w:rPr>
            </w:pPr>
            <w:r>
              <w:rPr>
                <w:noProof/>
              </w:rPr>
              <w:t>16</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956" w14:textId="77777777" w:rsidR="003B5F50" w:rsidRDefault="000D2D85">
            <w:pPr>
              <w:pStyle w:val="P68B1DB1-Normal14"/>
              <w:spacing w:after="0"/>
              <w:rPr>
                <w:rFonts w:eastAsia="Times New Roman"/>
                <w:noProof/>
                <w:szCs w:val="20"/>
              </w:rPr>
            </w:pPr>
            <w:r>
              <w:rPr>
                <w:noProof/>
              </w:rPr>
              <w:t>17 – Slovaquie numérique – Investissement 5: Hackathons</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957" w14:textId="77777777" w:rsidR="003B5F50" w:rsidRDefault="000D2D85">
            <w:pPr>
              <w:pStyle w:val="P68B1DB1-Normal14"/>
              <w:spacing w:after="0"/>
              <w:rPr>
                <w:rFonts w:eastAsia="Times New Roman"/>
                <w:noProof/>
                <w:szCs w:val="20"/>
              </w:rPr>
            </w:pPr>
            <w:r>
              <w:rPr>
                <w:noProof/>
              </w:rPr>
              <w:t>Objectif</w:t>
            </w:r>
          </w:p>
        </w:tc>
        <w:tc>
          <w:tcPr>
            <w:tcW w:w="317" w:type="pct"/>
            <w:tcBorders>
              <w:top w:val="single" w:sz="4" w:space="0" w:color="auto"/>
              <w:left w:val="single" w:sz="4" w:space="0" w:color="auto"/>
              <w:bottom w:val="single" w:sz="4" w:space="0" w:color="auto"/>
              <w:right w:val="single" w:sz="4" w:space="0" w:color="auto"/>
            </w:tcBorders>
            <w:shd w:val="clear" w:color="auto" w:fill="C6EFCE"/>
          </w:tcPr>
          <w:p w14:paraId="50B4B958" w14:textId="77777777" w:rsidR="003B5F50" w:rsidRDefault="000D2D85">
            <w:pPr>
              <w:pStyle w:val="P68B1DB1-Normal14"/>
              <w:spacing w:after="0"/>
              <w:rPr>
                <w:rFonts w:eastAsia="Times New Roman"/>
                <w:noProof/>
                <w:szCs w:val="20"/>
              </w:rPr>
            </w:pPr>
            <w:r>
              <w:rPr>
                <w:noProof/>
              </w:rPr>
              <w:t>Nombre de hackathons organisés</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959" w14:textId="77777777" w:rsidR="003B5F50" w:rsidRDefault="003B5F50">
            <w:pPr>
              <w:spacing w:after="0"/>
              <w:rPr>
                <w:rFonts w:ascii="Times New Roman" w:eastAsia="Times New Roman" w:hAnsi="Times New Roman"/>
                <w:noProof/>
                <w:color w:val="006100"/>
                <w:sz w:val="20"/>
                <w:szCs w:val="20"/>
              </w:rPr>
            </w:pP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95A" w14:textId="77777777" w:rsidR="003B5F50" w:rsidRDefault="000D2D85">
            <w:pPr>
              <w:pStyle w:val="P68B1DB1-Normal14"/>
              <w:spacing w:after="0"/>
              <w:rPr>
                <w:rFonts w:eastAsia="Times New Roman"/>
                <w:noProof/>
                <w:szCs w:val="20"/>
              </w:rPr>
            </w:pPr>
            <w:r>
              <w:rPr>
                <w:noProof/>
              </w:rPr>
              <w:t>Numéro</w:t>
            </w:r>
          </w:p>
        </w:tc>
        <w:tc>
          <w:tcPr>
            <w:tcW w:w="364" w:type="pct"/>
            <w:tcBorders>
              <w:top w:val="single" w:sz="4" w:space="0" w:color="auto"/>
              <w:left w:val="single" w:sz="4" w:space="0" w:color="auto"/>
              <w:bottom w:val="single" w:sz="4" w:space="0" w:color="auto"/>
              <w:right w:val="single" w:sz="4" w:space="0" w:color="auto"/>
            </w:tcBorders>
            <w:shd w:val="clear" w:color="auto" w:fill="C6EFCE"/>
            <w:noWrap/>
          </w:tcPr>
          <w:p w14:paraId="50B4B95B" w14:textId="77777777" w:rsidR="003B5F50" w:rsidRDefault="000D2D85">
            <w:pPr>
              <w:pStyle w:val="P68B1DB1-Normal14"/>
              <w:spacing w:after="0"/>
              <w:rPr>
                <w:rFonts w:eastAsia="Times New Roman"/>
                <w:noProof/>
                <w:szCs w:val="20"/>
              </w:rPr>
            </w:pPr>
            <w:r>
              <w:rPr>
                <w:noProof/>
              </w:rPr>
              <w:t>0</w:t>
            </w:r>
          </w:p>
        </w:tc>
        <w:tc>
          <w:tcPr>
            <w:tcW w:w="455" w:type="pct"/>
            <w:tcBorders>
              <w:top w:val="single" w:sz="4" w:space="0" w:color="auto"/>
              <w:left w:val="single" w:sz="4" w:space="0" w:color="auto"/>
              <w:bottom w:val="single" w:sz="4" w:space="0" w:color="auto"/>
              <w:right w:val="single" w:sz="4" w:space="0" w:color="auto"/>
            </w:tcBorders>
            <w:shd w:val="clear" w:color="auto" w:fill="C6EFCE"/>
            <w:noWrap/>
          </w:tcPr>
          <w:p w14:paraId="50B4B95C" w14:textId="77777777" w:rsidR="003B5F50" w:rsidRDefault="000D2D85">
            <w:pPr>
              <w:pStyle w:val="P68B1DB1-Normal14"/>
              <w:spacing w:after="0"/>
              <w:rPr>
                <w:rFonts w:eastAsia="Times New Roman"/>
                <w:noProof/>
                <w:szCs w:val="20"/>
              </w:rPr>
            </w:pPr>
            <w:r>
              <w:rPr>
                <w:noProof/>
              </w:rPr>
              <w:t>17</w:t>
            </w:r>
          </w:p>
        </w:tc>
        <w:tc>
          <w:tcPr>
            <w:tcW w:w="454" w:type="pct"/>
            <w:tcBorders>
              <w:top w:val="single" w:sz="4" w:space="0" w:color="auto"/>
              <w:left w:val="single" w:sz="4" w:space="0" w:color="auto"/>
              <w:bottom w:val="single" w:sz="4" w:space="0" w:color="auto"/>
              <w:right w:val="single" w:sz="4" w:space="0" w:color="auto"/>
            </w:tcBorders>
            <w:shd w:val="clear" w:color="auto" w:fill="C6EFCE"/>
            <w:noWrap/>
          </w:tcPr>
          <w:p w14:paraId="50B4B95D" w14:textId="77777777" w:rsidR="003B5F50" w:rsidRDefault="000D2D85">
            <w:pPr>
              <w:pStyle w:val="P68B1DB1-Normal14"/>
              <w:spacing w:after="0"/>
              <w:rPr>
                <w:rFonts w:eastAsia="Times New Roman"/>
                <w:noProof/>
                <w:szCs w:val="20"/>
              </w:rPr>
            </w:pPr>
            <w:r>
              <w:rPr>
                <w:noProof/>
              </w:rPr>
              <w:t>T3</w:t>
            </w:r>
          </w:p>
        </w:tc>
        <w:tc>
          <w:tcPr>
            <w:tcW w:w="319" w:type="pct"/>
            <w:tcBorders>
              <w:top w:val="single" w:sz="4" w:space="0" w:color="auto"/>
              <w:left w:val="single" w:sz="4" w:space="0" w:color="auto"/>
              <w:bottom w:val="single" w:sz="4" w:space="0" w:color="auto"/>
              <w:right w:val="single" w:sz="4" w:space="0" w:color="auto"/>
            </w:tcBorders>
            <w:shd w:val="clear" w:color="auto" w:fill="C6EFCE"/>
          </w:tcPr>
          <w:p w14:paraId="50B4B95E" w14:textId="77777777" w:rsidR="003B5F50" w:rsidRDefault="000D2D85">
            <w:pPr>
              <w:pStyle w:val="P68B1DB1-Normal14"/>
              <w:spacing w:after="0"/>
              <w:rPr>
                <w:rFonts w:eastAsia="Times New Roman"/>
                <w:noProof/>
                <w:szCs w:val="20"/>
              </w:rPr>
            </w:pPr>
            <w:r>
              <w:rPr>
                <w:noProof/>
              </w:rPr>
              <w:t>2025</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95F" w14:textId="77777777" w:rsidR="003B5F50" w:rsidRDefault="000D2D85">
            <w:pPr>
              <w:pStyle w:val="P68B1DB1-Normal17"/>
              <w:spacing w:after="0"/>
              <w:rPr>
                <w:rFonts w:ascii="Times New Roman" w:eastAsia="Times New Roman" w:hAnsi="Times New Roman" w:cs="Times New Roman"/>
                <w:noProof/>
              </w:rPr>
            </w:pPr>
            <w:r>
              <w:rPr>
                <w:rFonts w:ascii="Times New Roman" w:hAnsi="Times New Roman"/>
                <w:noProof/>
                <w:color w:val="006100"/>
              </w:rPr>
              <w:t>17 hackathons seront organisés.</w:t>
            </w:r>
            <w:r>
              <w:rPr>
                <w:rFonts w:ascii="Times New Roman" w:eastAsia="Times New Roman" w:hAnsi="Times New Roman" w:cs="Times New Roman"/>
                <w:noProof/>
              </w:rPr>
              <w:t xml:space="preserve"> </w:t>
            </w:r>
          </w:p>
          <w:p w14:paraId="50B4B960" w14:textId="77777777" w:rsidR="003B5F50" w:rsidRDefault="000D2D85">
            <w:pPr>
              <w:pStyle w:val="P68B1DB1-Normal15"/>
              <w:spacing w:after="0"/>
              <w:rPr>
                <w:rFonts w:eastAsia="Times New Roman"/>
                <w:noProof/>
              </w:rPr>
            </w:pPr>
            <w:r>
              <w:rPr>
                <w:noProof/>
              </w:rPr>
              <w:t>Les hackathons associent un organisme de l’administration publique et des représentants des catégories suivantes: les start-ups, les autres entreprises, les instituts de recherche, les universités et leurs étudiants, ou d’autres spécialistes.</w:t>
            </w:r>
          </w:p>
          <w:p w14:paraId="50B4B961" w14:textId="77777777" w:rsidR="003B5F50" w:rsidRDefault="000D2D85">
            <w:pPr>
              <w:pStyle w:val="P68B1DB1-Normal15"/>
              <w:spacing w:after="0"/>
              <w:rPr>
                <w:noProof/>
              </w:rPr>
            </w:pPr>
            <w:r>
              <w:rPr>
                <w:noProof/>
              </w:rPr>
              <w:t xml:space="preserve">Les équipes gagnantes apportent leurs solutions à l'administration publique. </w:t>
            </w:r>
          </w:p>
          <w:p w14:paraId="50B4B962" w14:textId="77777777" w:rsidR="003B5F50" w:rsidRDefault="000D2D85">
            <w:pPr>
              <w:pStyle w:val="P68B1DB1-Normal15"/>
              <w:spacing w:after="0"/>
              <w:rPr>
                <w:rFonts w:eastAsia="Times New Roman"/>
                <w:noProof/>
              </w:rPr>
            </w:pPr>
            <w:r>
              <w:rPr>
                <w:noProof/>
              </w:rPr>
              <w:t>Des contrats sont signés avec les organismes de l'administration publique afin de leur fournir des fonds pour la mise en œuvre des solutions des hackathons.</w:t>
            </w:r>
          </w:p>
        </w:tc>
      </w:tr>
      <w:tr w:rsidR="003B5F50" w14:paraId="50B4B975" w14:textId="77777777" w:rsidTr="00F854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64" w14:textId="77777777" w:rsidR="003B5F50" w:rsidRDefault="000D2D85">
            <w:pPr>
              <w:pStyle w:val="P68B1DB1-Normal14"/>
              <w:spacing w:after="0"/>
              <w:rPr>
                <w:rFonts w:eastAsia="Times New Roman"/>
                <w:noProof/>
                <w:szCs w:val="20"/>
              </w:rPr>
            </w:pPr>
            <w:r>
              <w:rPr>
                <w:noProof/>
              </w:rPr>
              <w:t>17</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65" w14:textId="77777777" w:rsidR="003B5F50" w:rsidRDefault="000D2D85">
            <w:pPr>
              <w:pStyle w:val="P68B1DB1-Normal15"/>
              <w:spacing w:after="0"/>
              <w:rPr>
                <w:rFonts w:eastAsia="Times New Roman"/>
                <w:noProof/>
              </w:rPr>
            </w:pPr>
            <w:r>
              <w:rPr>
                <w:noProof/>
              </w:rPr>
              <w:t>17 – Slovaquie numérique – Réforme 5: Formation et compétences en matière de cybersécurité (ITVS – Technologies de l’information pour l’administration publique)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66" w14:textId="77777777" w:rsidR="003B5F50" w:rsidRDefault="000D2D85">
            <w:pPr>
              <w:pStyle w:val="P68B1DB1-Normal14"/>
              <w:spacing w:after="0"/>
              <w:rPr>
                <w:rFonts w:eastAsia="Times New Roman"/>
                <w:noProof/>
                <w:szCs w:val="20"/>
              </w:rPr>
            </w:pPr>
            <w:r>
              <w:rPr>
                <w:noProof/>
              </w:rPr>
              <w:t>Objectif</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967" w14:textId="77777777" w:rsidR="003B5F50" w:rsidRDefault="000D2D85">
            <w:pPr>
              <w:pStyle w:val="P68B1DB1-Normal14"/>
              <w:spacing w:after="0"/>
              <w:rPr>
                <w:rFonts w:eastAsia="Times New Roman"/>
                <w:noProof/>
                <w:szCs w:val="20"/>
              </w:rPr>
            </w:pPr>
            <w:r>
              <w:rPr>
                <w:noProof/>
              </w:rPr>
              <w:t xml:space="preserve">Nombre de membres du personnel informatique de l’administration publique formés à la cybersécurité </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68" w14:textId="77777777" w:rsidR="003B5F50" w:rsidRDefault="000D2D85">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69" w14:textId="77777777" w:rsidR="003B5F50" w:rsidRDefault="000D2D85">
            <w:pPr>
              <w:pStyle w:val="P68B1DB1-Normal14"/>
              <w:spacing w:after="0"/>
              <w:rPr>
                <w:rFonts w:eastAsia="Times New Roman"/>
                <w:noProof/>
                <w:szCs w:val="20"/>
              </w:rPr>
            </w:pPr>
            <w:r>
              <w:rPr>
                <w:noProof/>
              </w:rPr>
              <w:t>Numéro</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96A" w14:textId="77777777" w:rsidR="003B5F50" w:rsidRDefault="000D2D85">
            <w:pPr>
              <w:pStyle w:val="P68B1DB1-Normal14"/>
              <w:spacing w:after="0"/>
              <w:rPr>
                <w:rFonts w:eastAsia="Times New Roman"/>
                <w:noProof/>
                <w:szCs w:val="20"/>
              </w:rPr>
            </w:pPr>
            <w:r>
              <w:rPr>
                <w:noProof/>
              </w:rPr>
              <w:t>29</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96B" w14:textId="77777777" w:rsidR="003B5F50" w:rsidRDefault="000D2D85">
            <w:pPr>
              <w:pStyle w:val="P68B1DB1-Normal14"/>
              <w:spacing w:after="0"/>
              <w:rPr>
                <w:rFonts w:eastAsia="Times New Roman"/>
                <w:noProof/>
                <w:szCs w:val="20"/>
              </w:rPr>
            </w:pPr>
            <w:r>
              <w:rPr>
                <w:noProof/>
              </w:rPr>
              <w:t>600</w:t>
            </w: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6C" w14:textId="77777777" w:rsidR="003B5F50" w:rsidRDefault="000D2D85">
            <w:pPr>
              <w:pStyle w:val="P68B1DB1-Normal14"/>
              <w:spacing w:after="0"/>
              <w:rPr>
                <w:rFonts w:eastAsia="Times New Roman"/>
                <w:noProof/>
                <w:szCs w:val="20"/>
              </w:rPr>
            </w:pPr>
            <w:r>
              <w:rPr>
                <w:noProof/>
              </w:rPr>
              <w:t>T2</w:t>
            </w:r>
          </w:p>
        </w:tc>
        <w:tc>
          <w:tcPr>
            <w:tcW w:w="319" w:type="pct"/>
            <w:tcBorders>
              <w:top w:val="single" w:sz="4" w:space="0" w:color="auto"/>
              <w:left w:val="single" w:sz="4" w:space="0" w:color="auto"/>
              <w:bottom w:val="single" w:sz="4" w:space="0" w:color="auto"/>
              <w:right w:val="single" w:sz="4" w:space="0" w:color="auto"/>
            </w:tcBorders>
            <w:shd w:val="clear" w:color="auto" w:fill="C6EFCE"/>
            <w:hideMark/>
          </w:tcPr>
          <w:p w14:paraId="50B4B96D" w14:textId="77777777" w:rsidR="003B5F50" w:rsidRDefault="000D2D85">
            <w:pPr>
              <w:pStyle w:val="P68B1DB1-Normal14"/>
              <w:spacing w:after="0"/>
              <w:rPr>
                <w:rFonts w:eastAsia="Times New Roman"/>
                <w:noProof/>
                <w:szCs w:val="20"/>
              </w:rPr>
            </w:pPr>
            <w:r>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6E" w14:textId="77777777" w:rsidR="003B5F50" w:rsidRDefault="000D2D85">
            <w:pPr>
              <w:pStyle w:val="P68B1DB1-Normal43"/>
              <w:spacing w:after="0"/>
              <w:rPr>
                <w:noProof/>
              </w:rPr>
            </w:pPr>
            <w:r>
              <w:rPr>
                <w:noProof/>
              </w:rPr>
              <w:t xml:space="preserve">Formation en cybersécurité de 571 membres du personnel informatique de l’administration publique. </w:t>
            </w:r>
          </w:p>
          <w:p w14:paraId="50B4B96F" w14:textId="77777777" w:rsidR="003B5F50" w:rsidRDefault="003B5F50">
            <w:pPr>
              <w:spacing w:after="0"/>
              <w:rPr>
                <w:rFonts w:ascii="Times New Roman" w:eastAsia="MS Mincho" w:hAnsi="Times New Roman" w:cs="Arial"/>
                <w:noProof/>
                <w:color w:val="006100"/>
                <w:sz w:val="20"/>
                <w:szCs w:val="20"/>
              </w:rPr>
            </w:pPr>
          </w:p>
          <w:p w14:paraId="50B4B970" w14:textId="77777777" w:rsidR="003B5F50" w:rsidRDefault="000D2D85">
            <w:pPr>
              <w:pStyle w:val="P68B1DB1-Normal43"/>
              <w:spacing w:after="0"/>
              <w:rPr>
                <w:noProof/>
              </w:rPr>
            </w:pPr>
            <w:r>
              <w:rPr>
                <w:noProof/>
              </w:rPr>
              <w:t>La réforme comprend également:</w:t>
            </w:r>
          </w:p>
          <w:p w14:paraId="50B4B971" w14:textId="1FCBF6DF" w:rsidR="003B5F50" w:rsidRDefault="000D2D85">
            <w:pPr>
              <w:pStyle w:val="P68B1DB1-Normal43"/>
              <w:spacing w:after="0"/>
              <w:rPr>
                <w:noProof/>
              </w:rPr>
            </w:pPr>
            <w:r>
              <w:rPr>
                <w:noProof/>
              </w:rPr>
              <w:t>- la mise en place d’au moins trois centres de compétences en matière de cybersécurité dans les universités, qui s’engagent dans une coopération internationale avec les autorités internationales de cybersécurité;</w:t>
            </w:r>
          </w:p>
          <w:p w14:paraId="50B4B972" w14:textId="77777777" w:rsidR="003B5F50" w:rsidRDefault="000D2D85">
            <w:pPr>
              <w:pStyle w:val="P68B1DB1-Normal43"/>
              <w:spacing w:after="0"/>
              <w:rPr>
                <w:noProof/>
              </w:rPr>
            </w:pPr>
            <w:r>
              <w:rPr>
                <w:noProof/>
              </w:rPr>
              <w:t>- la mise en place d’un programme de sensibilisation à la cybersécurité et d’une formation complémentaire pour le personnel de l’administration publique; et</w:t>
            </w:r>
          </w:p>
          <w:p w14:paraId="50B4B974" w14:textId="6B1C591A" w:rsidR="003B5F50" w:rsidRDefault="000D2D85">
            <w:pPr>
              <w:pStyle w:val="P68B1DB1-Normal43"/>
              <w:spacing w:after="0"/>
              <w:rPr>
                <w:rFonts w:eastAsia="Times New Roman"/>
                <w:noProof/>
              </w:rPr>
            </w:pPr>
            <w:r>
              <w:rPr>
                <w:noProof/>
              </w:rPr>
              <w:t>- la mise à disposition d’une méthodologie pour la mise en place d’unités de cybersécurité dans les entités de l’administration publique.</w:t>
            </w:r>
          </w:p>
        </w:tc>
      </w:tr>
      <w:tr w:rsidR="003B5F50" w14:paraId="50B4B984" w14:textId="77777777" w:rsidTr="00F8541A">
        <w:trPr>
          <w:trHeight w:val="4725"/>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76" w14:textId="77777777" w:rsidR="003B5F50" w:rsidRDefault="000D2D85">
            <w:pPr>
              <w:pStyle w:val="P68B1DB1-Normal14"/>
              <w:spacing w:after="0"/>
              <w:rPr>
                <w:rFonts w:eastAsia="Times New Roman"/>
                <w:noProof/>
                <w:szCs w:val="20"/>
              </w:rPr>
            </w:pPr>
            <w:r>
              <w:rPr>
                <w:noProof/>
              </w:rPr>
              <w:t>18</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77" w14:textId="77777777" w:rsidR="003B5F50" w:rsidRDefault="000D2D85">
            <w:pPr>
              <w:pStyle w:val="P68B1DB1-Normal15"/>
              <w:spacing w:after="0"/>
              <w:rPr>
                <w:rFonts w:eastAsia="Times New Roman"/>
                <w:noProof/>
              </w:rPr>
            </w:pPr>
            <w:r>
              <w:rPr>
                <w:noProof/>
              </w:rPr>
              <w:t>17 – Slovaquie numérique – Investissement 6: Mesures préventives, rapidité de détection et de résolution des incidents (ITVS – Technologies de l’information pour l’administration publique)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78" w14:textId="77777777" w:rsidR="003B5F50" w:rsidRDefault="000D2D85">
            <w:pPr>
              <w:pStyle w:val="P68B1DB1-Normal14"/>
              <w:spacing w:after="0"/>
              <w:rPr>
                <w:rFonts w:eastAsia="Times New Roman"/>
                <w:noProof/>
                <w:szCs w:val="20"/>
              </w:rPr>
            </w:pPr>
            <w:r>
              <w:rPr>
                <w:noProof/>
              </w:rPr>
              <w:t>Objectif</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979" w14:textId="087BD0BC" w:rsidR="003B5F50" w:rsidRDefault="000D2D85">
            <w:pPr>
              <w:pStyle w:val="P68B1DB1-Normal14"/>
              <w:spacing w:after="0"/>
              <w:rPr>
                <w:rFonts w:eastAsia="Times New Roman"/>
                <w:noProof/>
                <w:szCs w:val="20"/>
              </w:rPr>
            </w:pPr>
            <w:r>
              <w:rPr>
                <w:noProof/>
              </w:rPr>
              <w:t xml:space="preserve">Nombre de systèmes informatiques sécurisés dans l’administration publique </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7A" w14:textId="77777777" w:rsidR="003B5F50" w:rsidRDefault="000D2D85">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7B" w14:textId="77777777" w:rsidR="003B5F50" w:rsidRDefault="000D2D85">
            <w:pPr>
              <w:pStyle w:val="P68B1DB1-Normal14"/>
              <w:spacing w:after="0"/>
              <w:rPr>
                <w:rFonts w:eastAsia="Times New Roman"/>
                <w:noProof/>
                <w:szCs w:val="20"/>
              </w:rPr>
            </w:pPr>
            <w:r>
              <w:rPr>
                <w:noProof/>
              </w:rPr>
              <w:t>Numéro</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97C" w14:textId="77777777" w:rsidR="003B5F50" w:rsidRDefault="000D2D85">
            <w:pPr>
              <w:pStyle w:val="P68B1DB1-Normal14"/>
              <w:spacing w:after="0"/>
              <w:rPr>
                <w:rFonts w:eastAsia="Times New Roman"/>
                <w:noProof/>
                <w:szCs w:val="20"/>
              </w:rPr>
            </w:pPr>
            <w:r>
              <w:rPr>
                <w:noProof/>
              </w:rPr>
              <w:t>70</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97D" w14:textId="77777777" w:rsidR="003B5F50" w:rsidRDefault="000D2D85">
            <w:pPr>
              <w:pStyle w:val="P68B1DB1-Normal14"/>
              <w:spacing w:after="0"/>
              <w:rPr>
                <w:rFonts w:eastAsia="Times New Roman"/>
                <w:noProof/>
                <w:szCs w:val="20"/>
              </w:rPr>
            </w:pPr>
            <w:r>
              <w:rPr>
                <w:noProof/>
              </w:rPr>
              <w:t>1 000</w:t>
            </w: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7E" w14:textId="77777777" w:rsidR="003B5F50" w:rsidRDefault="000D2D85">
            <w:pPr>
              <w:pStyle w:val="P68B1DB1-Normal14"/>
              <w:spacing w:after="0"/>
              <w:rPr>
                <w:rFonts w:eastAsia="Times New Roman"/>
                <w:noProof/>
                <w:szCs w:val="20"/>
              </w:rPr>
            </w:pPr>
            <w:r>
              <w:rPr>
                <w:noProof/>
              </w:rPr>
              <w:t>T4</w:t>
            </w:r>
          </w:p>
        </w:tc>
        <w:tc>
          <w:tcPr>
            <w:tcW w:w="319" w:type="pct"/>
            <w:tcBorders>
              <w:top w:val="single" w:sz="4" w:space="0" w:color="auto"/>
              <w:left w:val="single" w:sz="4" w:space="0" w:color="auto"/>
              <w:bottom w:val="single" w:sz="4" w:space="0" w:color="auto"/>
              <w:right w:val="single" w:sz="4" w:space="0" w:color="auto"/>
            </w:tcBorders>
            <w:shd w:val="clear" w:color="auto" w:fill="C6EFCE"/>
            <w:noWrap/>
            <w:hideMark/>
          </w:tcPr>
          <w:p w14:paraId="50B4B97F" w14:textId="77777777" w:rsidR="003B5F50" w:rsidRDefault="000D2D85">
            <w:pPr>
              <w:pStyle w:val="P68B1DB1-Normal14"/>
              <w:spacing w:after="0"/>
              <w:rPr>
                <w:rFonts w:eastAsia="Times New Roman"/>
                <w:noProof/>
                <w:szCs w:val="20"/>
              </w:rPr>
            </w:pPr>
            <w:r>
              <w:rPr>
                <w:noProof/>
              </w:rPr>
              <w:t>2024</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80" w14:textId="77777777" w:rsidR="003B5F50" w:rsidRDefault="000D2D85">
            <w:pPr>
              <w:spacing w:after="0"/>
              <w:rPr>
                <w:rFonts w:ascii="Times New Roman" w:hAnsi="Times New Roman"/>
                <w:noProof/>
                <w:color w:val="006100"/>
                <w:sz w:val="20"/>
                <w:szCs w:val="20"/>
              </w:rPr>
            </w:pPr>
            <w:r>
              <w:rPr>
                <w:rFonts w:ascii="Times New Roman" w:hAnsi="Times New Roman"/>
                <w:noProof/>
                <w:color w:val="006100"/>
                <w:sz w:val="20"/>
                <w:szCs w:val="20"/>
              </w:rPr>
              <w:t>Sécurisation de 930 systèmes informatiques.</w:t>
            </w:r>
            <w:r>
              <w:rPr>
                <w:noProof/>
              </w:rPr>
              <w:t xml:space="preserve"> </w:t>
            </w:r>
            <w:r>
              <w:rPr>
                <w:rFonts w:ascii="Times New Roman" w:hAnsi="Times New Roman"/>
                <w:noProof/>
                <w:color w:val="006100"/>
                <w:sz w:val="20"/>
                <w:szCs w:val="20"/>
              </w:rPr>
              <w:t>Les systèmes informatiques sont intégrés dans le système de gestion des incidents de cybersécurité, qui fait partie du système d’alerte précoce (SAP).</w:t>
            </w:r>
            <w:r>
              <w:rPr>
                <w:noProof/>
              </w:rPr>
              <w:t xml:space="preserve"> </w:t>
            </w:r>
            <w:r>
              <w:rPr>
                <w:rFonts w:ascii="Times New Roman" w:hAnsi="Times New Roman"/>
                <w:noProof/>
                <w:color w:val="006100"/>
                <w:sz w:val="20"/>
                <w:szCs w:val="20"/>
              </w:rPr>
              <w:t>Pour chaque système informatique, les éléments matériels/logiciels nécessaires, la communication cryptée bidirectionnelle et l’envoi d’avertissements  sont sécurisés.</w:t>
            </w:r>
          </w:p>
          <w:p w14:paraId="50B4B981" w14:textId="77777777" w:rsidR="003B5F50" w:rsidRDefault="003B5F50">
            <w:pPr>
              <w:spacing w:after="0"/>
              <w:rPr>
                <w:rFonts w:ascii="Times New Roman" w:eastAsia="Times New Roman" w:hAnsi="Times New Roman"/>
                <w:noProof/>
                <w:color w:val="006100"/>
                <w:sz w:val="20"/>
                <w:szCs w:val="20"/>
              </w:rPr>
            </w:pPr>
          </w:p>
          <w:p w14:paraId="50B4B982" w14:textId="77777777" w:rsidR="003B5F50" w:rsidRDefault="000D2D85">
            <w:pPr>
              <w:pStyle w:val="P68B1DB1-Normal47"/>
              <w:spacing w:after="0"/>
              <w:rPr>
                <w:noProof/>
              </w:rPr>
            </w:pPr>
            <w:r>
              <w:rPr>
                <w:noProof/>
              </w:rPr>
              <w:t>Les nouvelles solutions technologiques du système d’alerte précoce sont intégrées dans l’infrastructure de gestion des incidents de cybersécurité.</w:t>
            </w:r>
          </w:p>
          <w:p w14:paraId="50B4B983" w14:textId="77777777" w:rsidR="003B5F50" w:rsidRDefault="000D2D85">
            <w:pPr>
              <w:pStyle w:val="P68B1DB1-Normal47"/>
              <w:spacing w:after="0"/>
              <w:rPr>
                <w:noProof/>
              </w:rPr>
            </w:pPr>
            <w:r>
              <w:rPr>
                <w:noProof/>
              </w:rPr>
              <w:t>Un catalogue des menaces est établi et une méthodologie de gestion de la cybersécurité est élaborée.</w:t>
            </w:r>
          </w:p>
        </w:tc>
      </w:tr>
      <w:tr w:rsidR="003B5F50" w14:paraId="50B4B990" w14:textId="77777777" w:rsidTr="00F8541A">
        <w:trPr>
          <w:trHeight w:val="130"/>
          <w:jc w:val="center"/>
        </w:trPr>
        <w:tc>
          <w:tcPr>
            <w:tcW w:w="274" w:type="pct"/>
            <w:shd w:val="clear" w:color="auto" w:fill="C6EFCE"/>
            <w:noWrap/>
            <w:hideMark/>
          </w:tcPr>
          <w:p w14:paraId="50B4B985" w14:textId="77777777" w:rsidR="003B5F50" w:rsidRDefault="000D2D85">
            <w:pPr>
              <w:pStyle w:val="P68B1DB1-Normal14"/>
              <w:spacing w:after="0"/>
              <w:rPr>
                <w:rFonts w:eastAsia="Times New Roman"/>
                <w:noProof/>
                <w:szCs w:val="20"/>
              </w:rPr>
            </w:pPr>
            <w:r>
              <w:rPr>
                <w:noProof/>
              </w:rPr>
              <w:t>19</w:t>
            </w:r>
          </w:p>
        </w:tc>
        <w:tc>
          <w:tcPr>
            <w:tcW w:w="633" w:type="pct"/>
            <w:shd w:val="clear" w:color="auto" w:fill="C6EFCE"/>
            <w:hideMark/>
          </w:tcPr>
          <w:p w14:paraId="50B4B986" w14:textId="77777777" w:rsidR="003B5F50" w:rsidRDefault="000D2D85">
            <w:pPr>
              <w:pStyle w:val="P68B1DB1-Normal15"/>
              <w:spacing w:after="0"/>
              <w:rPr>
                <w:rFonts w:eastAsia="Times New Roman"/>
                <w:noProof/>
              </w:rPr>
            </w:pPr>
            <w:r>
              <w:rPr>
                <w:noProof/>
              </w:rPr>
              <w:t>17 – Slovaquie numérique – Investissement 6: Mesures préventives, rapidité de détection et de résolution des incidents (ITVS – Technologies de l’information pour l’administration publique)</w:t>
            </w:r>
          </w:p>
        </w:tc>
        <w:tc>
          <w:tcPr>
            <w:tcW w:w="410" w:type="pct"/>
            <w:shd w:val="clear" w:color="auto" w:fill="C6EFCE"/>
            <w:noWrap/>
            <w:hideMark/>
          </w:tcPr>
          <w:p w14:paraId="50B4B987" w14:textId="77777777" w:rsidR="003B5F50" w:rsidRDefault="000D2D85">
            <w:pPr>
              <w:pStyle w:val="P68B1DB1-Normal14"/>
              <w:spacing w:after="0"/>
              <w:rPr>
                <w:rFonts w:eastAsia="Times New Roman"/>
                <w:noProof/>
                <w:szCs w:val="20"/>
              </w:rPr>
            </w:pPr>
            <w:r>
              <w:rPr>
                <w:noProof/>
              </w:rPr>
              <w:t>Étape</w:t>
            </w:r>
          </w:p>
        </w:tc>
        <w:tc>
          <w:tcPr>
            <w:tcW w:w="317" w:type="pct"/>
            <w:shd w:val="clear" w:color="auto" w:fill="C6EFCE"/>
            <w:hideMark/>
          </w:tcPr>
          <w:p w14:paraId="50B4B988" w14:textId="77777777" w:rsidR="003B5F50" w:rsidRDefault="000D2D85">
            <w:pPr>
              <w:pStyle w:val="P68B1DB1-Normal14"/>
              <w:spacing w:after="0"/>
              <w:rPr>
                <w:rFonts w:eastAsia="Times New Roman"/>
                <w:noProof/>
                <w:szCs w:val="20"/>
              </w:rPr>
            </w:pPr>
            <w:r>
              <w:rPr>
                <w:noProof/>
              </w:rPr>
              <w:t>Audits de sécurité des systèmes et applications informatiques dans l’administration publique et reconstruction d’espaces sécurisés pour les infrastructures critiques</w:t>
            </w:r>
          </w:p>
        </w:tc>
        <w:tc>
          <w:tcPr>
            <w:tcW w:w="546" w:type="pct"/>
            <w:shd w:val="clear" w:color="auto" w:fill="C6EFCE"/>
            <w:hideMark/>
          </w:tcPr>
          <w:p w14:paraId="50B4B989" w14:textId="77777777" w:rsidR="003B5F50" w:rsidRDefault="000D2D85">
            <w:pPr>
              <w:pStyle w:val="P68B1DB1-Normal15"/>
              <w:spacing w:after="0"/>
              <w:rPr>
                <w:rFonts w:eastAsia="Times New Roman"/>
                <w:noProof/>
              </w:rPr>
            </w:pPr>
            <w:r>
              <w:rPr>
                <w:noProof/>
              </w:rPr>
              <w:t>Déploiement d'un nouvel outil et tests de pénétration</w:t>
            </w:r>
          </w:p>
        </w:tc>
        <w:tc>
          <w:tcPr>
            <w:tcW w:w="363" w:type="pct"/>
            <w:shd w:val="clear" w:color="auto" w:fill="C6EFCE"/>
            <w:noWrap/>
            <w:hideMark/>
          </w:tcPr>
          <w:p w14:paraId="50B4B98A" w14:textId="77777777" w:rsidR="003B5F50" w:rsidRDefault="000D2D85">
            <w:pPr>
              <w:pStyle w:val="P68B1DB1-Normal14"/>
              <w:spacing w:after="0"/>
              <w:rPr>
                <w:rFonts w:eastAsia="Times New Roman"/>
                <w:noProof/>
                <w:szCs w:val="20"/>
              </w:rPr>
            </w:pPr>
            <w:r>
              <w:rPr>
                <w:noProof/>
              </w:rPr>
              <w:t> </w:t>
            </w:r>
          </w:p>
        </w:tc>
        <w:tc>
          <w:tcPr>
            <w:tcW w:w="364" w:type="pct"/>
            <w:shd w:val="clear" w:color="auto" w:fill="C6EFCE"/>
            <w:noWrap/>
            <w:hideMark/>
          </w:tcPr>
          <w:p w14:paraId="50B4B98B" w14:textId="77777777" w:rsidR="003B5F50" w:rsidRDefault="000D2D85">
            <w:pPr>
              <w:pStyle w:val="P68B1DB1-Normal14"/>
              <w:spacing w:after="0"/>
              <w:rPr>
                <w:rFonts w:eastAsia="Times New Roman"/>
                <w:noProof/>
                <w:szCs w:val="20"/>
              </w:rPr>
            </w:pPr>
            <w:r>
              <w:rPr>
                <w:noProof/>
              </w:rPr>
              <w:t> </w:t>
            </w:r>
          </w:p>
        </w:tc>
        <w:tc>
          <w:tcPr>
            <w:tcW w:w="455" w:type="pct"/>
            <w:shd w:val="clear" w:color="auto" w:fill="C6EFCE"/>
            <w:noWrap/>
            <w:hideMark/>
          </w:tcPr>
          <w:p w14:paraId="50B4B98C" w14:textId="77777777" w:rsidR="003B5F50" w:rsidRDefault="000D2D85">
            <w:pPr>
              <w:pStyle w:val="P68B1DB1-Normal14"/>
              <w:spacing w:after="0"/>
              <w:rPr>
                <w:rFonts w:eastAsia="Times New Roman"/>
                <w:noProof/>
                <w:szCs w:val="20"/>
              </w:rPr>
            </w:pPr>
            <w:r>
              <w:rPr>
                <w:noProof/>
              </w:rPr>
              <w:t> </w:t>
            </w:r>
          </w:p>
        </w:tc>
        <w:tc>
          <w:tcPr>
            <w:tcW w:w="454" w:type="pct"/>
            <w:shd w:val="clear" w:color="auto" w:fill="C6EFCE"/>
            <w:noWrap/>
            <w:hideMark/>
          </w:tcPr>
          <w:p w14:paraId="50B4B98D" w14:textId="77777777" w:rsidR="003B5F50" w:rsidRDefault="000D2D85">
            <w:pPr>
              <w:pStyle w:val="P68B1DB1-Normal14"/>
              <w:spacing w:after="0"/>
              <w:rPr>
                <w:rFonts w:eastAsia="Times New Roman"/>
                <w:noProof/>
                <w:szCs w:val="20"/>
              </w:rPr>
            </w:pPr>
            <w:r>
              <w:rPr>
                <w:noProof/>
              </w:rPr>
              <w:t>T1</w:t>
            </w:r>
          </w:p>
        </w:tc>
        <w:tc>
          <w:tcPr>
            <w:tcW w:w="319" w:type="pct"/>
            <w:shd w:val="clear" w:color="auto" w:fill="C6EFCE"/>
            <w:hideMark/>
          </w:tcPr>
          <w:p w14:paraId="50B4B98E" w14:textId="77777777" w:rsidR="003B5F50" w:rsidRDefault="000D2D85">
            <w:pPr>
              <w:pStyle w:val="P68B1DB1-Normal14"/>
              <w:spacing w:after="0"/>
              <w:rPr>
                <w:rFonts w:eastAsia="Times New Roman"/>
                <w:noProof/>
                <w:szCs w:val="20"/>
              </w:rPr>
            </w:pPr>
            <w:r>
              <w:rPr>
                <w:noProof/>
              </w:rPr>
              <w:t>2026</w:t>
            </w:r>
          </w:p>
        </w:tc>
        <w:tc>
          <w:tcPr>
            <w:tcW w:w="863" w:type="pct"/>
            <w:shd w:val="clear" w:color="auto" w:fill="C6EFCE"/>
            <w:hideMark/>
          </w:tcPr>
          <w:p w14:paraId="50B4B98F" w14:textId="4B3FF7F9" w:rsidR="003B5F50" w:rsidRDefault="000D2D85">
            <w:pPr>
              <w:spacing w:after="0"/>
              <w:rPr>
                <w:rFonts w:ascii="Times New Roman" w:eastAsia="Times New Roman" w:hAnsi="Times New Roman"/>
                <w:noProof/>
                <w:color w:val="006100"/>
                <w:sz w:val="20"/>
                <w:szCs w:val="20"/>
              </w:rPr>
            </w:pPr>
            <w:r>
              <w:rPr>
                <w:rFonts w:ascii="Times New Roman" w:hAnsi="Times New Roman"/>
                <w:noProof/>
                <w:color w:val="006100"/>
                <w:sz w:val="20"/>
                <w:szCs w:val="20"/>
              </w:rPr>
              <w:t>Déploiement d’un nouvel outil d’audit qui évalue systématiquement la vulnérabilité des systèmes informatiques en matière de cybersécurité. La vulnérabilité des applications informatiques en matière de cybersécurité est évaluée au moyen de tests de pénétration. Les éléments (par exemple, les infrastructures ou équipements techniques et physiques) de 50 espaces sécurisés pour les infrastructures critiques doivent être reconstruits et/ou remplacés.</w:t>
            </w:r>
          </w:p>
        </w:tc>
      </w:tr>
      <w:tr w:rsidR="003B5F50" w14:paraId="50B4B99C" w14:textId="77777777" w:rsidTr="00F8541A">
        <w:trPr>
          <w:trHeight w:val="210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91" w14:textId="77777777" w:rsidR="003B5F50" w:rsidRDefault="000D2D85">
            <w:pPr>
              <w:pStyle w:val="P68B1DB1-Normal14"/>
              <w:spacing w:after="0"/>
              <w:rPr>
                <w:rFonts w:eastAsia="Times New Roman"/>
                <w:noProof/>
                <w:szCs w:val="20"/>
              </w:rPr>
            </w:pPr>
            <w:r>
              <w:rPr>
                <w:noProof/>
              </w:rPr>
              <w:t>20</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92" w14:textId="77777777" w:rsidR="003B5F50" w:rsidRDefault="000D2D85">
            <w:pPr>
              <w:pStyle w:val="P68B1DB1-Normal14"/>
              <w:spacing w:after="0"/>
              <w:rPr>
                <w:rFonts w:eastAsia="Times New Roman"/>
                <w:noProof/>
                <w:szCs w:val="20"/>
              </w:rPr>
            </w:pPr>
            <w:r>
              <w:rPr>
                <w:noProof/>
              </w:rPr>
              <w:t xml:space="preserve">17 – Slovaquie numérique – Réforme 6: Une approche stratégique de l’éducation aux compétences numériques en coopération avec les représentants des principales parties prenantes </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93" w14:textId="77777777" w:rsidR="003B5F50" w:rsidRDefault="000D2D85">
            <w:pPr>
              <w:pStyle w:val="P68B1DB1-Normal14"/>
              <w:spacing w:after="0"/>
              <w:rPr>
                <w:rFonts w:eastAsia="Times New Roman"/>
                <w:noProof/>
                <w:szCs w:val="20"/>
              </w:rPr>
            </w:pPr>
            <w:r>
              <w:rPr>
                <w:noProof/>
              </w:rPr>
              <w:t>Étape</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994" w14:textId="77777777" w:rsidR="003B5F50" w:rsidRDefault="000D2D85">
            <w:pPr>
              <w:pStyle w:val="P68B1DB1-Normal14"/>
              <w:spacing w:after="0"/>
              <w:rPr>
                <w:rFonts w:eastAsia="Times New Roman"/>
                <w:noProof/>
                <w:szCs w:val="20"/>
              </w:rPr>
            </w:pPr>
            <w:r>
              <w:rPr>
                <w:noProof/>
              </w:rPr>
              <w:t>Stratégie nationale en matière de compétences numériques</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95" w14:textId="06C53EEA" w:rsidR="003B5F50" w:rsidRDefault="000D2D85">
            <w:pPr>
              <w:pStyle w:val="P68B1DB1-Normal14"/>
              <w:spacing w:after="0"/>
              <w:rPr>
                <w:rFonts w:eastAsia="Times New Roman"/>
                <w:noProof/>
                <w:szCs w:val="20"/>
              </w:rPr>
            </w:pPr>
            <w:r>
              <w:rPr>
                <w:noProof/>
              </w:rPr>
              <w:t>Approbation de la stratégie en matière de compétences numériques par le gouvernement slovaque et publication</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96" w14:textId="77777777" w:rsidR="003B5F50" w:rsidRDefault="000D2D85">
            <w:pPr>
              <w:pStyle w:val="P68B1DB1-Normal14"/>
              <w:spacing w:after="0"/>
              <w:rPr>
                <w:rFonts w:eastAsia="Times New Roman"/>
                <w:noProof/>
                <w:szCs w:val="20"/>
              </w:rPr>
            </w:pPr>
            <w:r>
              <w:rPr>
                <w:noProof/>
              </w:rPr>
              <w:t> </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997" w14:textId="77777777" w:rsidR="003B5F50" w:rsidRDefault="000D2D85">
            <w:pPr>
              <w:pStyle w:val="P68B1DB1-Normal14"/>
              <w:spacing w:after="0"/>
              <w:rPr>
                <w:rFonts w:eastAsia="Times New Roman"/>
                <w:noProof/>
                <w:szCs w:val="20"/>
              </w:rPr>
            </w:pPr>
            <w:r>
              <w:rPr>
                <w:noProof/>
              </w:rPr>
              <w:t> </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998" w14:textId="77777777" w:rsidR="003B5F50" w:rsidRDefault="000D2D85">
            <w:pPr>
              <w:pStyle w:val="P68B1DB1-Normal14"/>
              <w:spacing w:after="0"/>
              <w:rPr>
                <w:rFonts w:eastAsia="Times New Roman"/>
                <w:noProof/>
                <w:szCs w:val="20"/>
              </w:rPr>
            </w:pPr>
            <w:r>
              <w:rPr>
                <w:noProof/>
              </w:rPr>
              <w:t> </w:t>
            </w: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99" w14:textId="77777777" w:rsidR="003B5F50" w:rsidRDefault="000D2D85">
            <w:pPr>
              <w:pStyle w:val="P68B1DB1-Normal14"/>
              <w:spacing w:after="0"/>
              <w:rPr>
                <w:rFonts w:eastAsia="Times New Roman"/>
                <w:noProof/>
                <w:szCs w:val="20"/>
              </w:rPr>
            </w:pPr>
            <w:r>
              <w:rPr>
                <w:noProof/>
              </w:rPr>
              <w:t>T4</w:t>
            </w:r>
          </w:p>
        </w:tc>
        <w:tc>
          <w:tcPr>
            <w:tcW w:w="319" w:type="pct"/>
            <w:tcBorders>
              <w:top w:val="single" w:sz="4" w:space="0" w:color="auto"/>
              <w:left w:val="single" w:sz="4" w:space="0" w:color="auto"/>
              <w:bottom w:val="single" w:sz="4" w:space="0" w:color="auto"/>
              <w:right w:val="single" w:sz="4" w:space="0" w:color="auto"/>
            </w:tcBorders>
            <w:shd w:val="clear" w:color="auto" w:fill="C6EFCE"/>
            <w:noWrap/>
            <w:hideMark/>
          </w:tcPr>
          <w:p w14:paraId="50B4B99A" w14:textId="77777777" w:rsidR="003B5F50" w:rsidRDefault="000D2D85">
            <w:pPr>
              <w:pStyle w:val="P68B1DB1-Normal14"/>
              <w:spacing w:after="0"/>
              <w:rPr>
                <w:rFonts w:eastAsia="Times New Roman"/>
                <w:noProof/>
                <w:szCs w:val="20"/>
              </w:rPr>
            </w:pPr>
            <w:r>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9B" w14:textId="77777777" w:rsidR="003B5F50" w:rsidRDefault="000D2D85">
            <w:pPr>
              <w:pStyle w:val="P68B1DB1-Normal14"/>
              <w:spacing w:after="0"/>
              <w:rPr>
                <w:rFonts w:eastAsia="Times New Roman"/>
                <w:noProof/>
                <w:szCs w:val="20"/>
              </w:rPr>
            </w:pPr>
            <w:r>
              <w:rPr>
                <w:noProof/>
              </w:rPr>
              <w:t>La stratégie se concentre sur les personnes en âge de produire et en âge de post-production et comprend une analyse de la situation, une définition des obstacles existants et une vision de l’éducation pour la période suivante et de l’apprentissage tout au long de la vie conformément aux recommandations de l’OCDE pour 2020, ainsi qu’une proposition de mesures et de recommandations à l’intention des administrations publiques afin d’améliorer le statu quo et d’atteindre les objectifs fixés. Les mesures sont financées par d’autres sources que la FRR.</w:t>
            </w:r>
          </w:p>
        </w:tc>
      </w:tr>
      <w:tr w:rsidR="003B5F50" w14:paraId="50B4B9AA" w14:textId="77777777" w:rsidTr="00F854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9D" w14:textId="77777777" w:rsidR="003B5F50" w:rsidRDefault="000D2D85">
            <w:pPr>
              <w:pStyle w:val="P68B1DB1-Normal14"/>
              <w:spacing w:after="0"/>
              <w:rPr>
                <w:rFonts w:eastAsia="Times New Roman"/>
                <w:noProof/>
                <w:szCs w:val="20"/>
              </w:rPr>
            </w:pPr>
            <w:r>
              <w:rPr>
                <w:noProof/>
              </w:rPr>
              <w:t>21</w:t>
            </w:r>
          </w:p>
        </w:tc>
        <w:tc>
          <w:tcPr>
            <w:tcW w:w="633" w:type="pct"/>
            <w:tcBorders>
              <w:top w:val="single" w:sz="4" w:space="0" w:color="auto"/>
              <w:left w:val="single" w:sz="4" w:space="0" w:color="auto"/>
              <w:bottom w:val="single" w:sz="4" w:space="0" w:color="auto"/>
              <w:right w:val="single" w:sz="4" w:space="0" w:color="auto"/>
            </w:tcBorders>
            <w:shd w:val="clear" w:color="auto" w:fill="C6EFCE"/>
            <w:noWrap/>
            <w:hideMark/>
          </w:tcPr>
          <w:p w14:paraId="50B4B99E" w14:textId="4371D183" w:rsidR="003B5F50" w:rsidRDefault="000D2D85">
            <w:pPr>
              <w:pStyle w:val="P68B1DB1-Normal15"/>
              <w:spacing w:after="0"/>
              <w:rPr>
                <w:rFonts w:eastAsia="Times New Roman"/>
                <w:noProof/>
              </w:rPr>
            </w:pPr>
            <w:r>
              <w:rPr>
                <w:noProof/>
              </w:rPr>
              <w:t xml:space="preserve">17 – Slovaquie numérique – Investissement 7: Compétences numériques des personnes âgées ou défavorisées </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9F" w14:textId="77777777" w:rsidR="003B5F50" w:rsidRDefault="000D2D85">
            <w:pPr>
              <w:pStyle w:val="P68B1DB1-Normal14"/>
              <w:spacing w:after="0"/>
              <w:rPr>
                <w:rFonts w:eastAsia="Times New Roman"/>
                <w:noProof/>
                <w:szCs w:val="20"/>
              </w:rPr>
            </w:pPr>
            <w:r>
              <w:rPr>
                <w:noProof/>
              </w:rPr>
              <w:t>Objectif</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9A0" w14:textId="77777777" w:rsidR="003B5F50" w:rsidRDefault="000D2D85">
            <w:pPr>
              <w:pStyle w:val="P68B1DB1-Normal14"/>
              <w:spacing w:after="0"/>
              <w:rPr>
                <w:rFonts w:eastAsia="Times New Roman"/>
                <w:noProof/>
                <w:szCs w:val="20"/>
              </w:rPr>
            </w:pPr>
            <w:r>
              <w:rPr>
                <w:noProof/>
              </w:rPr>
              <w:t>Nombre de personnes âgées et de personnes défavorisées formées aux compétences numériques de base</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A1" w14:textId="77777777" w:rsidR="003B5F50" w:rsidRDefault="000D2D85">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hideMark/>
          </w:tcPr>
          <w:p w14:paraId="50B4B9A2" w14:textId="77777777" w:rsidR="003B5F50" w:rsidRDefault="000D2D85">
            <w:pPr>
              <w:pStyle w:val="P68B1DB1-Normal14"/>
              <w:spacing w:after="0"/>
              <w:rPr>
                <w:rFonts w:eastAsia="Times New Roman"/>
                <w:noProof/>
                <w:szCs w:val="20"/>
              </w:rPr>
            </w:pPr>
            <w:r>
              <w:rPr>
                <w:noProof/>
              </w:rPr>
              <w:t>Numéro</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9A3" w14:textId="77777777" w:rsidR="003B5F50" w:rsidRDefault="000D2D85">
            <w:pPr>
              <w:pStyle w:val="P68B1DB1-Normal14"/>
              <w:spacing w:after="0"/>
              <w:rPr>
                <w:rFonts w:eastAsia="Times New Roman"/>
                <w:noProof/>
                <w:szCs w:val="20"/>
              </w:rPr>
            </w:pPr>
            <w:r>
              <w:rPr>
                <w:noProof/>
              </w:rPr>
              <w:t>0</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9A4" w14:textId="77777777" w:rsidR="003B5F50" w:rsidRDefault="000D2D85">
            <w:pPr>
              <w:pStyle w:val="P68B1DB1-Normal14"/>
              <w:spacing w:after="0"/>
              <w:rPr>
                <w:rFonts w:eastAsia="Times New Roman"/>
                <w:noProof/>
                <w:szCs w:val="20"/>
              </w:rPr>
            </w:pPr>
            <w:r>
              <w:rPr>
                <w:noProof/>
              </w:rPr>
              <w:t>1 000</w:t>
            </w: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A5" w14:textId="77777777" w:rsidR="003B5F50" w:rsidRDefault="000D2D85">
            <w:pPr>
              <w:pStyle w:val="P68B1DB1-Normal14"/>
              <w:spacing w:after="0"/>
              <w:rPr>
                <w:rFonts w:eastAsia="Times New Roman"/>
                <w:noProof/>
                <w:szCs w:val="20"/>
              </w:rPr>
            </w:pPr>
            <w:r>
              <w:rPr>
                <w:noProof/>
              </w:rPr>
              <w:t>T2</w:t>
            </w:r>
          </w:p>
        </w:tc>
        <w:tc>
          <w:tcPr>
            <w:tcW w:w="319" w:type="pct"/>
            <w:tcBorders>
              <w:top w:val="single" w:sz="4" w:space="0" w:color="auto"/>
              <w:left w:val="single" w:sz="4" w:space="0" w:color="auto"/>
              <w:bottom w:val="single" w:sz="4" w:space="0" w:color="auto"/>
              <w:right w:val="single" w:sz="4" w:space="0" w:color="auto"/>
            </w:tcBorders>
            <w:shd w:val="clear" w:color="auto" w:fill="C6EFCE"/>
            <w:noWrap/>
            <w:hideMark/>
          </w:tcPr>
          <w:p w14:paraId="50B4B9A6" w14:textId="77777777" w:rsidR="003B5F50" w:rsidRDefault="000D2D85">
            <w:pPr>
              <w:pStyle w:val="P68B1DB1-Normal14"/>
              <w:spacing w:after="0"/>
              <w:rPr>
                <w:rFonts w:eastAsia="Times New Roman"/>
                <w:noProof/>
                <w:szCs w:val="20"/>
              </w:rPr>
            </w:pPr>
            <w:r>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A7" w14:textId="77777777" w:rsidR="003B5F50" w:rsidRDefault="000D2D85">
            <w:pPr>
              <w:pStyle w:val="P68B1DB1-Normal14"/>
              <w:spacing w:after="0"/>
              <w:rPr>
                <w:rFonts w:eastAsia="Times New Roman"/>
                <w:noProof/>
                <w:szCs w:val="20"/>
              </w:rPr>
            </w:pPr>
            <w:r>
              <w:rPr>
                <w:noProof/>
              </w:rPr>
              <w:t xml:space="preserve">Mise en œuvre d’un projet pilote visant à valider les activités et solutions proposées pour accroître les compétences numériques d’un échantillon de 1 000 personnes âgées et défavorisées. Cet objectif doit être atteint par l'achèvement d'un programme de formation suivi de la distribution d'équipements subventionnés. </w:t>
            </w:r>
          </w:p>
          <w:p w14:paraId="50B4B9A8" w14:textId="77777777" w:rsidR="003B5F50" w:rsidRDefault="003B5F50">
            <w:pPr>
              <w:spacing w:after="0"/>
              <w:rPr>
                <w:rFonts w:ascii="Times New Roman" w:eastAsia="Times New Roman" w:hAnsi="Times New Roman"/>
                <w:noProof/>
                <w:color w:val="006100"/>
                <w:sz w:val="20"/>
                <w:szCs w:val="20"/>
              </w:rPr>
            </w:pPr>
          </w:p>
          <w:p w14:paraId="50B4B9A9" w14:textId="77777777" w:rsidR="003B5F50" w:rsidRDefault="000D2D85">
            <w:pPr>
              <w:pStyle w:val="P68B1DB1-Normal14"/>
              <w:spacing w:after="0"/>
              <w:rPr>
                <w:rFonts w:eastAsia="Times New Roman"/>
                <w:noProof/>
                <w:szCs w:val="20"/>
              </w:rPr>
            </w:pPr>
            <w:r>
              <w:rPr>
                <w:noProof/>
              </w:rPr>
              <w:t>Les résultats du projet pilote sont évalués et conduisent à une décision sur la forme de la poursuite du projet.</w:t>
            </w:r>
          </w:p>
        </w:tc>
      </w:tr>
      <w:tr w:rsidR="003B5F50" w14:paraId="50B4B9B9" w14:textId="77777777" w:rsidTr="00F8541A">
        <w:trPr>
          <w:trHeight w:val="629"/>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AB" w14:textId="77777777" w:rsidR="003B5F50" w:rsidRDefault="000D2D85">
            <w:pPr>
              <w:pStyle w:val="P68B1DB1-Normal14"/>
              <w:spacing w:after="0"/>
              <w:rPr>
                <w:rFonts w:eastAsia="Times New Roman"/>
                <w:noProof/>
                <w:szCs w:val="20"/>
              </w:rPr>
            </w:pPr>
            <w:r>
              <w:rPr>
                <w:noProof/>
              </w:rPr>
              <w:t>22</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AC" w14:textId="77777777" w:rsidR="003B5F50" w:rsidRDefault="000D2D85">
            <w:pPr>
              <w:pStyle w:val="P68B1DB1-Normal15"/>
              <w:spacing w:after="0"/>
              <w:rPr>
                <w:rFonts w:eastAsia="Times New Roman"/>
                <w:noProof/>
              </w:rPr>
            </w:pPr>
            <w:r>
              <w:rPr>
                <w:noProof/>
              </w:rPr>
              <w:t>17 – Slovaquie numérique – Investissement 7: Compétences numériques des personnes âgées ou défavorisées</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AD" w14:textId="77777777" w:rsidR="003B5F50" w:rsidRDefault="000D2D85">
            <w:pPr>
              <w:pStyle w:val="P68B1DB1-Normal14"/>
              <w:spacing w:after="0"/>
              <w:rPr>
                <w:rFonts w:eastAsia="Times New Roman"/>
                <w:noProof/>
                <w:szCs w:val="20"/>
              </w:rPr>
            </w:pPr>
            <w:r>
              <w:rPr>
                <w:noProof/>
              </w:rPr>
              <w:t>Objectif</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9AE" w14:textId="77777777" w:rsidR="003B5F50" w:rsidRDefault="000D2D85">
            <w:pPr>
              <w:pStyle w:val="P68B1DB1-Normal27"/>
              <w:spacing w:after="0"/>
              <w:rPr>
                <w:rFonts w:ascii="Times New Roman" w:eastAsia="Times New Roman" w:hAnsi="Times New Roman"/>
                <w:noProof/>
                <w:szCs w:val="20"/>
              </w:rPr>
            </w:pPr>
            <w:r>
              <w:rPr>
                <w:rFonts w:ascii="Times New Roman" w:hAnsi="Times New Roman"/>
                <w:noProof/>
              </w:rPr>
              <w:t xml:space="preserve">Nombre de personnes âgées et de personnes défavorisées formées aux compétences numériques </w:t>
            </w:r>
            <w:r>
              <w:rPr>
                <w:rFonts w:ascii="Times New Roman" w:eastAsia="MS Mincho" w:hAnsi="Times New Roman" w:cs="Arial"/>
                <w:noProof/>
                <w:szCs w:val="20"/>
              </w:rPr>
              <w:t>et ayant reçu un équipement numérique</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AF" w14:textId="77777777" w:rsidR="003B5F50" w:rsidRDefault="000D2D85">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B0" w14:textId="77777777" w:rsidR="003B5F50" w:rsidRDefault="000D2D85">
            <w:pPr>
              <w:pStyle w:val="P68B1DB1-Normal14"/>
              <w:spacing w:after="0"/>
              <w:rPr>
                <w:rFonts w:eastAsia="Times New Roman"/>
                <w:noProof/>
                <w:szCs w:val="20"/>
              </w:rPr>
            </w:pPr>
            <w:r>
              <w:rPr>
                <w:noProof/>
              </w:rPr>
              <w:t>Numéro</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9B1" w14:textId="77777777" w:rsidR="003B5F50" w:rsidRDefault="000D2D85">
            <w:pPr>
              <w:pStyle w:val="P68B1DB1-Normal14"/>
              <w:spacing w:after="0"/>
              <w:rPr>
                <w:rFonts w:eastAsia="Times New Roman"/>
                <w:noProof/>
                <w:szCs w:val="20"/>
              </w:rPr>
            </w:pPr>
            <w:r>
              <w:rPr>
                <w:noProof/>
              </w:rPr>
              <w:t>1 000</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9B2" w14:textId="4BE04812" w:rsidR="003B5F50" w:rsidRDefault="000D2D85">
            <w:pPr>
              <w:pStyle w:val="P68B1DB1-Normal14"/>
              <w:spacing w:after="0"/>
              <w:rPr>
                <w:rFonts w:eastAsia="Times New Roman"/>
                <w:noProof/>
                <w:szCs w:val="20"/>
              </w:rPr>
            </w:pPr>
            <w:r>
              <w:rPr>
                <w:noProof/>
              </w:rPr>
              <w:t>100 440</w:t>
            </w:r>
          </w:p>
          <w:p w14:paraId="50B4B9B3" w14:textId="77777777" w:rsidR="003B5F50" w:rsidRDefault="003B5F50">
            <w:pPr>
              <w:spacing w:after="0"/>
              <w:rPr>
                <w:rFonts w:ascii="Times New Roman" w:eastAsia="Times New Roman" w:hAnsi="Times New Roman"/>
                <w:noProof/>
                <w:color w:val="006100"/>
                <w:sz w:val="20"/>
                <w:szCs w:val="20"/>
              </w:rPr>
            </w:pP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B4" w14:textId="77777777" w:rsidR="003B5F50" w:rsidRDefault="000D2D85">
            <w:pPr>
              <w:pStyle w:val="P68B1DB1-Normal14"/>
              <w:spacing w:after="0"/>
              <w:rPr>
                <w:rFonts w:eastAsia="Times New Roman"/>
                <w:noProof/>
                <w:szCs w:val="20"/>
              </w:rPr>
            </w:pPr>
            <w:r>
              <w:rPr>
                <w:noProof/>
              </w:rPr>
              <w:t>T2</w:t>
            </w:r>
          </w:p>
        </w:tc>
        <w:tc>
          <w:tcPr>
            <w:tcW w:w="319" w:type="pct"/>
            <w:tcBorders>
              <w:top w:val="single" w:sz="4" w:space="0" w:color="auto"/>
              <w:left w:val="single" w:sz="4" w:space="0" w:color="auto"/>
              <w:bottom w:val="single" w:sz="4" w:space="0" w:color="auto"/>
              <w:right w:val="single" w:sz="4" w:space="0" w:color="auto"/>
            </w:tcBorders>
            <w:shd w:val="clear" w:color="auto" w:fill="C6EFCE"/>
            <w:noWrap/>
            <w:hideMark/>
          </w:tcPr>
          <w:p w14:paraId="50B4B9B5" w14:textId="77777777" w:rsidR="003B5F50" w:rsidRDefault="000D2D85">
            <w:pPr>
              <w:pStyle w:val="P68B1DB1-Normal14"/>
              <w:spacing w:after="0"/>
              <w:rPr>
                <w:rFonts w:eastAsia="Times New Roman"/>
                <w:noProof/>
                <w:szCs w:val="20"/>
              </w:rPr>
            </w:pPr>
            <w:r>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B6" w14:textId="2F8313D2" w:rsidR="003B5F50" w:rsidRDefault="000D2D85">
            <w:pPr>
              <w:pStyle w:val="P68B1DB1-Normal15"/>
              <w:spacing w:after="0"/>
              <w:rPr>
                <w:noProof/>
              </w:rPr>
            </w:pPr>
            <w:r>
              <w:rPr>
                <w:noProof/>
              </w:rPr>
              <w:t xml:space="preserve">À la suite du projet pilote, former 99 440 personnes âgées ou défavorisées à l’acquisition de compétences numériques. </w:t>
            </w:r>
          </w:p>
          <w:p w14:paraId="50B4B9B7" w14:textId="6ECA7A2A" w:rsidR="003B5F50" w:rsidRDefault="000D2D85">
            <w:pPr>
              <w:spacing w:after="0"/>
              <w:rPr>
                <w:rFonts w:ascii="Times New Roman" w:eastAsia="MS Mincho" w:hAnsi="Times New Roman" w:cs="Arial"/>
                <w:noProof/>
                <w:color w:val="006100"/>
                <w:sz w:val="20"/>
                <w:szCs w:val="20"/>
              </w:rPr>
            </w:pPr>
            <w:r>
              <w:rPr>
                <w:rFonts w:ascii="Times New Roman" w:hAnsi="Times New Roman"/>
                <w:noProof/>
                <w:color w:val="006100"/>
                <w:sz w:val="20"/>
                <w:szCs w:val="20"/>
              </w:rPr>
              <w:t xml:space="preserve">Cet objectif est atteint grâce à la mise en place de programmes de formation et à la distribution d’équipements pour chaque personne, ainsi qu’à </w:t>
            </w:r>
            <w:r>
              <w:rPr>
                <w:rFonts w:ascii="Times New Roman" w:eastAsia="MS Mincho" w:hAnsi="Times New Roman" w:cs="Arial"/>
                <w:noProof/>
                <w:color w:val="006100"/>
                <w:sz w:val="20"/>
                <w:szCs w:val="20"/>
              </w:rPr>
              <w:t xml:space="preserve"> </w:t>
            </w:r>
            <w:r>
              <w:rPr>
                <w:rFonts w:ascii="Times New Roman" w:hAnsi="Times New Roman"/>
                <w:noProof/>
                <w:color w:val="006100"/>
                <w:sz w:val="20"/>
                <w:szCs w:val="20"/>
              </w:rPr>
              <w:t xml:space="preserve"> la distribution de bons pour la fourniture d’un accès à l’internet.</w:t>
            </w:r>
          </w:p>
          <w:p w14:paraId="50B4B9B8" w14:textId="3485423C" w:rsidR="003B5F50" w:rsidRDefault="000D2D85">
            <w:pPr>
              <w:pStyle w:val="P68B1DB1-Normal15"/>
              <w:spacing w:after="0"/>
              <w:rPr>
                <w:rFonts w:eastAsia="Times New Roman"/>
                <w:noProof/>
              </w:rPr>
            </w:pPr>
            <w:r>
              <w:rPr>
                <w:noProof/>
              </w:rPr>
              <w:t xml:space="preserve">Une demande pour les personnes âgées doit être créée.  </w:t>
            </w:r>
          </w:p>
        </w:tc>
      </w:tr>
      <w:tr w:rsidR="003B5F50" w14:paraId="50B4B9C6" w14:textId="77777777" w:rsidTr="00F854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BA" w14:textId="77777777" w:rsidR="003B5F50" w:rsidRDefault="000D2D85">
            <w:pPr>
              <w:pStyle w:val="P68B1DB1-Normal14"/>
              <w:spacing w:after="0"/>
              <w:rPr>
                <w:rFonts w:eastAsia="Times New Roman"/>
                <w:noProof/>
                <w:szCs w:val="20"/>
              </w:rPr>
            </w:pPr>
            <w:r>
              <w:rPr>
                <w:noProof/>
              </w:rPr>
              <w:t>23</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BB" w14:textId="77777777" w:rsidR="003B5F50" w:rsidRDefault="000D2D85">
            <w:pPr>
              <w:pStyle w:val="P68B1DB1-Normal14"/>
              <w:spacing w:after="0"/>
              <w:rPr>
                <w:rFonts w:eastAsia="Times New Roman"/>
                <w:noProof/>
                <w:szCs w:val="20"/>
              </w:rPr>
            </w:pPr>
            <w:r>
              <w:rPr>
                <w:noProof/>
              </w:rPr>
              <w:t>17 – Slovaquie numérique – Réforme 4: Normalisation des solutions techniques et procédurales en matière de cybersécurité (ITVS – Technologies de l’information pour l’administration publique)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BC" w14:textId="77777777" w:rsidR="003B5F50" w:rsidRDefault="000D2D85">
            <w:pPr>
              <w:pStyle w:val="P68B1DB1-Normal14"/>
              <w:spacing w:after="0"/>
              <w:rPr>
                <w:rFonts w:eastAsia="Times New Roman"/>
                <w:noProof/>
                <w:szCs w:val="20"/>
              </w:rPr>
            </w:pPr>
            <w:r>
              <w:rPr>
                <w:noProof/>
              </w:rPr>
              <w:t>Étape</w:t>
            </w:r>
          </w:p>
        </w:tc>
        <w:tc>
          <w:tcPr>
            <w:tcW w:w="317" w:type="pct"/>
            <w:tcBorders>
              <w:top w:val="single" w:sz="4" w:space="0" w:color="auto"/>
              <w:left w:val="single" w:sz="4" w:space="0" w:color="auto"/>
              <w:bottom w:val="single" w:sz="4" w:space="0" w:color="auto"/>
              <w:right w:val="single" w:sz="4" w:space="0" w:color="auto"/>
            </w:tcBorders>
            <w:shd w:val="clear" w:color="auto" w:fill="C6EFCE"/>
            <w:hideMark/>
          </w:tcPr>
          <w:p w14:paraId="50B4B9BD" w14:textId="77777777" w:rsidR="003B5F50" w:rsidRDefault="000D2D85">
            <w:pPr>
              <w:pStyle w:val="P68B1DB1-Normal14"/>
              <w:spacing w:after="0"/>
              <w:rPr>
                <w:rFonts w:eastAsia="Times New Roman"/>
                <w:noProof/>
                <w:szCs w:val="20"/>
              </w:rPr>
            </w:pPr>
            <w:r>
              <w:rPr>
                <w:noProof/>
              </w:rPr>
              <w:t>Concept national d’informatisation de l’administration publique (NKIVS) 2021-2030</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BE" w14:textId="77777777" w:rsidR="003B5F50" w:rsidRDefault="000D2D85">
            <w:pPr>
              <w:pStyle w:val="P68B1DB1-Normal14"/>
              <w:spacing w:after="0"/>
              <w:rPr>
                <w:rFonts w:eastAsia="Times New Roman"/>
                <w:noProof/>
                <w:szCs w:val="20"/>
              </w:rPr>
            </w:pPr>
            <w:r>
              <w:rPr>
                <w:noProof/>
              </w:rPr>
              <w:t xml:space="preserve">Adoption et approbation du concept national d'informatisation de l'administration publique par le MIRRI et publication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BF" w14:textId="77777777" w:rsidR="003B5F50" w:rsidRDefault="000D2D85">
            <w:pPr>
              <w:pStyle w:val="P68B1DB1-Normal14"/>
              <w:spacing w:after="0"/>
              <w:rPr>
                <w:rFonts w:eastAsia="Times New Roman"/>
                <w:noProof/>
                <w:szCs w:val="20"/>
              </w:rPr>
            </w:pPr>
            <w:r>
              <w:rPr>
                <w:noProof/>
              </w:rPr>
              <w:t> </w:t>
            </w:r>
          </w:p>
        </w:tc>
        <w:tc>
          <w:tcPr>
            <w:tcW w:w="364" w:type="pct"/>
            <w:tcBorders>
              <w:top w:val="single" w:sz="4" w:space="0" w:color="auto"/>
              <w:left w:val="single" w:sz="4" w:space="0" w:color="auto"/>
              <w:bottom w:val="single" w:sz="4" w:space="0" w:color="auto"/>
              <w:right w:val="single" w:sz="4" w:space="0" w:color="auto"/>
            </w:tcBorders>
            <w:shd w:val="clear" w:color="auto" w:fill="C6EFCE"/>
            <w:noWrap/>
            <w:hideMark/>
          </w:tcPr>
          <w:p w14:paraId="50B4B9C0" w14:textId="77777777" w:rsidR="003B5F50" w:rsidRDefault="000D2D85">
            <w:pPr>
              <w:pStyle w:val="P68B1DB1-Normal14"/>
              <w:spacing w:after="0"/>
              <w:rPr>
                <w:rFonts w:eastAsia="Times New Roman"/>
                <w:noProof/>
                <w:szCs w:val="20"/>
              </w:rPr>
            </w:pPr>
            <w:r>
              <w:rPr>
                <w:noProof/>
              </w:rPr>
              <w:t> </w:t>
            </w:r>
          </w:p>
        </w:tc>
        <w:tc>
          <w:tcPr>
            <w:tcW w:w="455" w:type="pct"/>
            <w:tcBorders>
              <w:top w:val="single" w:sz="4" w:space="0" w:color="auto"/>
              <w:left w:val="single" w:sz="4" w:space="0" w:color="auto"/>
              <w:bottom w:val="single" w:sz="4" w:space="0" w:color="auto"/>
              <w:right w:val="single" w:sz="4" w:space="0" w:color="auto"/>
            </w:tcBorders>
            <w:shd w:val="clear" w:color="auto" w:fill="C6EFCE"/>
            <w:noWrap/>
            <w:hideMark/>
          </w:tcPr>
          <w:p w14:paraId="50B4B9C1" w14:textId="77777777" w:rsidR="003B5F50" w:rsidRDefault="000D2D85">
            <w:pPr>
              <w:pStyle w:val="P68B1DB1-Normal14"/>
              <w:spacing w:after="0"/>
              <w:rPr>
                <w:rFonts w:eastAsia="Times New Roman"/>
                <w:noProof/>
                <w:szCs w:val="20"/>
              </w:rPr>
            </w:pPr>
            <w:r>
              <w:rPr>
                <w:noProof/>
              </w:rPr>
              <w:t> </w:t>
            </w:r>
          </w:p>
        </w:tc>
        <w:tc>
          <w:tcPr>
            <w:tcW w:w="4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C2" w14:textId="77777777" w:rsidR="003B5F50" w:rsidRDefault="000D2D85">
            <w:pPr>
              <w:pStyle w:val="P68B1DB1-Normal14"/>
              <w:spacing w:after="0"/>
              <w:rPr>
                <w:rFonts w:eastAsia="Times New Roman"/>
                <w:noProof/>
                <w:szCs w:val="20"/>
              </w:rPr>
            </w:pPr>
            <w:r>
              <w:rPr>
                <w:noProof/>
              </w:rPr>
              <w:t>T4</w:t>
            </w:r>
          </w:p>
        </w:tc>
        <w:tc>
          <w:tcPr>
            <w:tcW w:w="319" w:type="pct"/>
            <w:tcBorders>
              <w:top w:val="single" w:sz="4" w:space="0" w:color="auto"/>
              <w:left w:val="single" w:sz="4" w:space="0" w:color="auto"/>
              <w:bottom w:val="single" w:sz="4" w:space="0" w:color="auto"/>
              <w:right w:val="single" w:sz="4" w:space="0" w:color="auto"/>
            </w:tcBorders>
            <w:shd w:val="clear" w:color="auto" w:fill="C6EFCE"/>
            <w:noWrap/>
            <w:hideMark/>
          </w:tcPr>
          <w:p w14:paraId="50B4B9C3" w14:textId="77777777" w:rsidR="003B5F50" w:rsidRDefault="000D2D85">
            <w:pPr>
              <w:pStyle w:val="P68B1DB1-Normal14"/>
              <w:spacing w:after="0"/>
              <w:rPr>
                <w:rFonts w:eastAsia="Times New Roman"/>
                <w:noProof/>
                <w:szCs w:val="20"/>
              </w:rPr>
            </w:pPr>
            <w:r>
              <w:rPr>
                <w:noProof/>
              </w:rPr>
              <w:t>2021</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C4" w14:textId="77777777" w:rsidR="003B5F50" w:rsidRDefault="000D2D85">
            <w:pPr>
              <w:pStyle w:val="P68B1DB1-Normal14"/>
              <w:spacing w:after="0"/>
              <w:rPr>
                <w:noProof/>
              </w:rPr>
            </w:pPr>
            <w:r>
              <w:rPr>
                <w:noProof/>
              </w:rPr>
              <w:t>Le concept national d’informatisation de l’administration publique (NKIVS) fixe le cadre des réformes numériques de manière synchronisée avec le PRR. Les actions et projets individuels du PRR mettent en œuvre les tâches stratégiques pertinentes du NKIVS. Le NKIVS établit le cadre de normalisation des exigences en matière de cybersécurité. D’autres mesures seraient nécessaires pour définir les normes techniques et procédurales en matière de cybersécurité.</w:t>
            </w:r>
          </w:p>
          <w:p w14:paraId="50B4B9C5" w14:textId="77777777" w:rsidR="003B5F50" w:rsidRDefault="003B5F50">
            <w:pPr>
              <w:spacing w:after="0"/>
              <w:rPr>
                <w:rFonts w:ascii="Times New Roman" w:eastAsia="Times New Roman" w:hAnsi="Times New Roman"/>
                <w:noProof/>
                <w:color w:val="006100"/>
                <w:sz w:val="20"/>
                <w:szCs w:val="20"/>
              </w:rPr>
            </w:pPr>
          </w:p>
        </w:tc>
      </w:tr>
    </w:tbl>
    <w:p w14:paraId="50B4B9C7" w14:textId="77777777" w:rsidR="003B5F50" w:rsidRDefault="003B5F50">
      <w:pPr>
        <w:spacing w:before="120" w:after="120" w:line="240" w:lineRule="auto"/>
        <w:rPr>
          <w:rFonts w:ascii="Times New Roman" w:hAnsi="Times New Roman"/>
          <w:noProof/>
        </w:rPr>
        <w:sectPr w:rsidR="003B5F50" w:rsidSect="003E3DD3">
          <w:headerReference w:type="even" r:id="rId215"/>
          <w:headerReference w:type="default" r:id="rId216"/>
          <w:footerReference w:type="even" r:id="rId217"/>
          <w:footerReference w:type="default" r:id="rId218"/>
          <w:headerReference w:type="first" r:id="rId219"/>
          <w:footerReference w:type="first" r:id="rId220"/>
          <w:pgSz w:w="16839" w:h="11907" w:orient="landscape"/>
          <w:pgMar w:top="1134" w:right="1134" w:bottom="1134" w:left="1134" w:header="567" w:footer="567" w:gutter="0"/>
          <w:cols w:space="720"/>
          <w:docGrid w:linePitch="360"/>
        </w:sectPr>
      </w:pPr>
    </w:p>
    <w:p w14:paraId="50B4B9C8" w14:textId="77777777" w:rsidR="003B5F50" w:rsidRDefault="000D2D85">
      <w:pPr>
        <w:pStyle w:val="P68B1DB1-Normal63"/>
        <w:keepNext/>
        <w:keepLines/>
        <w:spacing w:before="40" w:after="0" w:line="259" w:lineRule="auto"/>
        <w:outlineLvl w:val="1"/>
        <w:rPr>
          <w:noProof/>
        </w:rPr>
      </w:pPr>
      <w:r>
        <w:rPr>
          <w:noProof/>
        </w:rPr>
        <w:t>Élément 18: Des finances publiques saines, viables et compétitives</w:t>
      </w:r>
    </w:p>
    <w:p w14:paraId="50B4B9C9" w14:textId="77777777" w:rsidR="003B5F50" w:rsidRDefault="000D2D85">
      <w:pPr>
        <w:pStyle w:val="P68B1DB1-Normal36"/>
        <w:spacing w:before="120" w:after="120" w:line="240" w:lineRule="auto"/>
        <w:jc w:val="both"/>
        <w:rPr>
          <w:noProof/>
        </w:rPr>
      </w:pPr>
      <w:r>
        <w:rPr>
          <w:noProof/>
        </w:rPr>
        <w:t>La Slovaquie est confrontée à des risques élevés en matière de viabilité budgétaire en raison d’une combinaison de vieillissement de la population, d’un système de retraite insoutenable sur le plan budgétaire et d’un cadre de politique budgétaire qui n’encourage pas suffisamment la viabilité budgétaire. En outre, le potentiel de recettes de la fiscalité environnementale et immobilière est sous-utilisé par rapport à d’autres pays de l’UE.</w:t>
      </w:r>
    </w:p>
    <w:p w14:paraId="50B4B9CA" w14:textId="77777777" w:rsidR="003B5F50" w:rsidRDefault="000D2D85">
      <w:pPr>
        <w:pStyle w:val="P68B1DB1-Normal36"/>
        <w:spacing w:before="120" w:after="120" w:line="240" w:lineRule="auto"/>
        <w:jc w:val="both"/>
        <w:rPr>
          <w:noProof/>
        </w:rPr>
      </w:pPr>
      <w:r>
        <w:rPr>
          <w:noProof/>
        </w:rPr>
        <w:t xml:space="preserve">L’objectif de ce volet du plan slovaque pour la reprise et la résilience est d’améliorer la viabilité, la solidité et la compétitivité des finances publiques au moyen de trois éléments de réforme, à savoir une réforme des retraites, des plafonds de dépenses pluriannuels et une réforme de la gestion des investissements publics. </w:t>
      </w:r>
    </w:p>
    <w:p w14:paraId="50B4B9CB" w14:textId="0BA13FAB" w:rsidR="003B5F50" w:rsidRDefault="000D2D85">
      <w:pPr>
        <w:pStyle w:val="P68B1DB1-Normal36"/>
        <w:spacing w:before="120" w:after="120"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0B4B9CC" w14:textId="77777777" w:rsidR="003B5F50" w:rsidRDefault="000D2D85">
      <w:pPr>
        <w:pStyle w:val="P68B1DB1-Normal36"/>
        <w:spacing w:before="120" w:after="120" w:line="240" w:lineRule="auto"/>
        <w:jc w:val="both"/>
        <w:rPr>
          <w:noProof/>
        </w:rPr>
      </w:pPr>
      <w:r>
        <w:rPr>
          <w:noProof/>
        </w:rPr>
        <w:t>Le volet contribue ainsi à donner suite à la recommandation par pays 2019.1 visant à préserver la viabilité à long terme des finances publiques, en particulier du système de retraite, et à donner suite à la recommandation par pays 2020.1 visant à mener des politiques budgétaires visant à parvenir à des positions budgétaires prudentes à moyen terme et à garantir la soutenabilité de la dette lorsque les conditions économiques le permettent. Elle contribue également à donner suite à la recommandation par pays 2020.3 et à la recommandation par pays 2019.3, qui visent à concentrer en amont les projets d’investissement public parvenus à maturité et à concentrer les investissements dans des domaines spécifiques.</w:t>
      </w:r>
    </w:p>
    <w:p w14:paraId="50B4B9CD" w14:textId="77777777" w:rsidR="003B5F50" w:rsidRDefault="000D2D85">
      <w:pPr>
        <w:pStyle w:val="P68B1DB1-Normal39"/>
        <w:spacing w:before="120" w:after="120" w:line="240" w:lineRule="auto"/>
        <w:jc w:val="both"/>
        <w:rPr>
          <w:noProof/>
        </w:rPr>
      </w:pPr>
      <w:r>
        <w:rPr>
          <w:noProof/>
        </w:rPr>
        <w:t>Réforme 1: Améliorer la viabilité du système de retraite</w:t>
      </w:r>
    </w:p>
    <w:p w14:paraId="50B4B9CE" w14:textId="77777777" w:rsidR="003B5F50" w:rsidRDefault="000D2D85">
      <w:pPr>
        <w:pStyle w:val="P68B1DB1-Normal36"/>
        <w:spacing w:before="120" w:after="120" w:line="240" w:lineRule="auto"/>
        <w:jc w:val="both"/>
        <w:rPr>
          <w:noProof/>
        </w:rPr>
      </w:pPr>
      <w:r>
        <w:rPr>
          <w:noProof/>
        </w:rPr>
        <w:t>Les finances publiques slovaques sont confrontées à des risques élevés en matière de viabilité à moyen et à long terme. Cela est dû en partie au vieillissement rapide de la population. Le taux de dépendance des personnes âgées (comparant la part des personnes âgées à celle de la population en activité ou en formation) devrait presque tripler d’ici à 2060. Les plafonds d'âge de la retraite exacerbent les implications pour la viabilité budgétaire à long terme. En outre, les économies réalisées dans le cadre du deuxième pilier du système de retraite sont inefficaces et génèrent de faibles rendements, tandis que la population est peu sensibilisée.</w:t>
      </w:r>
    </w:p>
    <w:p w14:paraId="50B4B9CF" w14:textId="77777777" w:rsidR="003B5F50" w:rsidRDefault="000D2D85">
      <w:pPr>
        <w:pStyle w:val="P68B1DB1-Normal36"/>
        <w:spacing w:before="120" w:after="120" w:line="240" w:lineRule="auto"/>
        <w:jc w:val="both"/>
        <w:rPr>
          <w:noProof/>
        </w:rPr>
      </w:pPr>
      <w:r>
        <w:rPr>
          <w:noProof/>
        </w:rPr>
        <w:t>La réforme des retraites améliore la viabilité budgétaire à long terme du système de retraite. À cette fin, elle établit un lien entre l'âge de la retraite et l'espérance de vie et supprime les plafonds d'âge de la retraite. Elle garantit en outre le droit à une prestation neutre sur le plan actuariel après un nombre minimal d’années travaillées et introduit une nouvelle stratégie d’épargne par défaut fondée sur le cycle de vie dans le deuxième pilier des retraites en investissant moins dans des obligations à faible rendement, avec une option de non-participation, afin d’accroître l’efficacité de l’épargne dans le deuxième pilier. Elle accroît également la transparence en informant régulièrement les citoyens de leurs retraites attendues.</w:t>
      </w:r>
    </w:p>
    <w:p w14:paraId="50B4B9D0" w14:textId="77777777" w:rsidR="003B5F50" w:rsidRDefault="000D2D85">
      <w:pPr>
        <w:pStyle w:val="P68B1DB1-Normal36"/>
        <w:spacing w:before="120" w:after="120" w:line="240" w:lineRule="auto"/>
        <w:jc w:val="both"/>
        <w:rPr>
          <w:noProof/>
        </w:rPr>
      </w:pPr>
      <w:r>
        <w:rPr>
          <w:noProof/>
        </w:rPr>
        <w:t>La mise en œuvre de la réforme est achevée au plus tard le 31 mars 2023.</w:t>
      </w:r>
    </w:p>
    <w:p w14:paraId="50B4B9D1" w14:textId="77777777" w:rsidR="003B5F50" w:rsidRDefault="003B5F50">
      <w:pPr>
        <w:spacing w:before="120" w:after="120" w:line="240" w:lineRule="auto"/>
        <w:jc w:val="both"/>
        <w:rPr>
          <w:rFonts w:ascii="Times New Roman" w:eastAsia="MS Mincho" w:hAnsi="Times New Roman" w:cs="Arial"/>
          <w:noProof/>
          <w:szCs w:val="22"/>
        </w:rPr>
      </w:pPr>
    </w:p>
    <w:p w14:paraId="50B4B9D2" w14:textId="77777777" w:rsidR="003B5F50" w:rsidRDefault="000D2D85">
      <w:pPr>
        <w:pStyle w:val="P68B1DB1-Normal39"/>
        <w:spacing w:before="120" w:after="120" w:line="240" w:lineRule="auto"/>
        <w:jc w:val="both"/>
        <w:rPr>
          <w:noProof/>
        </w:rPr>
      </w:pPr>
      <w:r>
        <w:rPr>
          <w:noProof/>
        </w:rPr>
        <w:t>Réforme 2: Instauration de plafonds de dépenses pluriannuels</w:t>
      </w:r>
    </w:p>
    <w:p w14:paraId="50B4B9D3" w14:textId="77777777" w:rsidR="003B5F50" w:rsidRDefault="000D2D85">
      <w:pPr>
        <w:pStyle w:val="P68B1DB1-Normal36"/>
        <w:spacing w:before="120" w:after="120" w:line="240" w:lineRule="auto"/>
        <w:jc w:val="both"/>
        <w:rPr>
          <w:noProof/>
        </w:rPr>
      </w:pPr>
      <w:r>
        <w:rPr>
          <w:noProof/>
        </w:rPr>
        <w:t>Le cadre budgétaire à moyen terme de la Slovaquie n’a pas été propice à une discipline budgétaire suffisante. La Slovaquie n'est pas parvenue à mener une politique budgétaire contracyclique en période de conjoncture économique favorable. Cela pèse sur la viabilité budgétaire à moyen et à long terme.</w:t>
      </w:r>
    </w:p>
    <w:p w14:paraId="50B4B9D4" w14:textId="77777777" w:rsidR="003B5F50" w:rsidRDefault="000D2D85">
      <w:pPr>
        <w:pStyle w:val="P68B1DB1-Normal36"/>
        <w:spacing w:before="120" w:after="120" w:line="240" w:lineRule="auto"/>
        <w:jc w:val="both"/>
        <w:rPr>
          <w:noProof/>
        </w:rPr>
      </w:pPr>
      <w:r>
        <w:rPr>
          <w:noProof/>
        </w:rPr>
        <w:t>Cette réforme renforcera donc la discipline budgétaire afin d'améliorer la viabilité budgétaire à moyen et à long terme. À cette fin, des plafonds de dépenses pluriannuels contraignants sont introduits en tant qu’outil essentiel pour mieux mener une politique budgétaire contracyclique, améliorer la planification budgétaire et parvenir à la viabilité budgétaire à long terme. Ces plafonds de dépenses sont liés aux soldes structurels prévus liés aux objectifs de durabilité à long terme. Il est mis en œuvre dans le programme de stabilité 2022-2025 en avril 2022 afin de tenir compte de l’ensemble du cycle budgétaire pour 2023.</w:t>
      </w:r>
    </w:p>
    <w:p w14:paraId="50B4B9D5" w14:textId="77777777" w:rsidR="003B5F50" w:rsidRDefault="000D2D85">
      <w:pPr>
        <w:pStyle w:val="P68B1DB1-Normal36"/>
        <w:spacing w:before="120" w:after="120" w:line="240" w:lineRule="auto"/>
        <w:jc w:val="both"/>
        <w:rPr>
          <w:noProof/>
        </w:rPr>
      </w:pPr>
      <w:r>
        <w:rPr>
          <w:noProof/>
        </w:rPr>
        <w:t>La mise en œuvre de la réforme est achevée au plus tard le 31 décembre 2021.</w:t>
      </w:r>
    </w:p>
    <w:p w14:paraId="50B4B9D6" w14:textId="77777777" w:rsidR="003B5F50" w:rsidRDefault="003B5F50">
      <w:pPr>
        <w:spacing w:before="120" w:after="120" w:line="240" w:lineRule="auto"/>
        <w:jc w:val="both"/>
        <w:rPr>
          <w:rFonts w:ascii="Times New Roman" w:eastAsia="MS Mincho" w:hAnsi="Times New Roman" w:cs="Arial"/>
          <w:noProof/>
        </w:rPr>
      </w:pPr>
    </w:p>
    <w:p w14:paraId="50B4B9D7" w14:textId="77777777" w:rsidR="003B5F50" w:rsidRDefault="000D2D85">
      <w:pPr>
        <w:pStyle w:val="P68B1DB1-Normal39"/>
        <w:spacing w:before="120" w:after="120" w:line="240" w:lineRule="auto"/>
        <w:jc w:val="both"/>
        <w:rPr>
          <w:noProof/>
        </w:rPr>
      </w:pPr>
      <w:r>
        <w:rPr>
          <w:noProof/>
        </w:rPr>
        <w:t>Réforme 3: Rationalisation des investissements publics</w:t>
      </w:r>
    </w:p>
    <w:p w14:paraId="50B4B9D8" w14:textId="77777777" w:rsidR="003B5F50" w:rsidRDefault="000D2D85">
      <w:pPr>
        <w:pStyle w:val="P68B1DB1-Normal35"/>
        <w:spacing w:before="120" w:after="120" w:line="240" w:lineRule="auto"/>
        <w:jc w:val="both"/>
        <w:rPr>
          <w:noProof/>
        </w:rPr>
      </w:pPr>
      <w:r>
        <w:rPr>
          <w:noProof/>
        </w:rPr>
        <w:t>L’objectif de cette réforme est d’améliorer la qualité des investissements publics importants, d’améliorer la planification et l’exécution budgétaires et de rationaliser la hiérarchisation des investissements publics.</w:t>
      </w:r>
    </w:p>
    <w:p w14:paraId="50B4B9D9" w14:textId="77777777" w:rsidR="003B5F50" w:rsidRDefault="000D2D85">
      <w:pPr>
        <w:spacing w:before="120" w:after="120" w:line="240" w:lineRule="auto"/>
        <w:jc w:val="both"/>
        <w:rPr>
          <w:rFonts w:ascii="Times New Roman" w:eastAsia="MS Mincho" w:hAnsi="Times New Roman" w:cs="Arial"/>
          <w:noProof/>
        </w:rPr>
      </w:pPr>
      <w:r>
        <w:rPr>
          <w:rFonts w:ascii="Times New Roman" w:eastAsia="MS Mincho" w:hAnsi="Times New Roman" w:cs="Arial" w:hint="eastAsia"/>
          <w:noProof/>
        </w:rPr>
        <w:t xml:space="preserve">Cette réforme consiste en l'introduction d'une </w:t>
      </w:r>
      <w:r>
        <w:rPr>
          <w:rFonts w:ascii="Times New Roman" w:eastAsia="MS Mincho" w:hAnsi="Times New Roman" w:cs="Arial"/>
          <w:noProof/>
        </w:rPr>
        <w:t xml:space="preserve">méthodologie harmonisée pour l'évaluation des investissements publics importants, qui doit être évaluée de manière centralisée par le ministère des finances et à un stade précoce. </w:t>
      </w:r>
    </w:p>
    <w:p w14:paraId="50B4B9DA" w14:textId="77777777" w:rsidR="003B5F50" w:rsidRDefault="003B5F50">
      <w:pPr>
        <w:spacing w:before="120" w:after="120" w:line="240" w:lineRule="auto"/>
        <w:ind w:left="850"/>
        <w:jc w:val="both"/>
        <w:rPr>
          <w:rFonts w:ascii="Times New Roman" w:eastAsia="MS Mincho" w:hAnsi="Times New Roman" w:cs="Arial"/>
          <w:noProof/>
          <w:szCs w:val="22"/>
          <w:u w:val="single"/>
        </w:rPr>
      </w:pPr>
    </w:p>
    <w:p w14:paraId="50B4B9DB" w14:textId="77777777" w:rsidR="003B5F50" w:rsidRDefault="003B5F50">
      <w:pPr>
        <w:spacing w:before="120" w:after="120" w:line="240" w:lineRule="auto"/>
        <w:ind w:left="850"/>
        <w:jc w:val="both"/>
        <w:rPr>
          <w:rFonts w:ascii="Times New Roman" w:eastAsia="MS Mincho" w:hAnsi="Times New Roman" w:cs="Arial"/>
          <w:b/>
          <w:noProof/>
          <w:szCs w:val="22"/>
          <w:u w:val="single"/>
        </w:rPr>
        <w:sectPr w:rsidR="003B5F50" w:rsidSect="003E3DD3">
          <w:headerReference w:type="even" r:id="rId221"/>
          <w:headerReference w:type="default" r:id="rId222"/>
          <w:footerReference w:type="even" r:id="rId223"/>
          <w:footerReference w:type="default" r:id="rId224"/>
          <w:headerReference w:type="first" r:id="rId225"/>
          <w:footerReference w:type="first" r:id="rId226"/>
          <w:pgSz w:w="11910" w:h="16840"/>
          <w:pgMar w:top="1134" w:right="1134" w:bottom="1134" w:left="1134" w:header="567" w:footer="567" w:gutter="0"/>
          <w:cols w:space="708"/>
        </w:sectPr>
      </w:pPr>
    </w:p>
    <w:p w14:paraId="50B4B9DC" w14:textId="77777777" w:rsidR="003B5F50" w:rsidRDefault="000D2D85">
      <w:pPr>
        <w:pStyle w:val="P68B1DB1-Normal64"/>
        <w:spacing w:before="120" w:after="120" w:line="240" w:lineRule="auto"/>
        <w:ind w:left="850"/>
        <w:jc w:val="both"/>
        <w:rPr>
          <w:rFonts w:ascii="Times New Roman" w:eastAsia="MS Mincho" w:hAnsi="Times New Roman" w:cs="Arial"/>
          <w:b/>
          <w:bCs/>
          <w:noProof/>
          <w:u w:val="single"/>
        </w:rPr>
      </w:pPr>
      <w:r>
        <w:rPr>
          <w:rFonts w:ascii="Times New Roman" w:eastAsia="MS Mincho" w:hAnsi="Times New Roman" w:cs="Arial"/>
          <w:b/>
          <w:noProof/>
          <w:u w:val="single"/>
        </w:rPr>
        <w:t xml:space="preserve">A.2. </w:t>
      </w:r>
      <w:r>
        <w:rPr>
          <w:rFonts w:ascii="Calibri" w:eastAsia="MS Mincho" w:hAnsi="Calibri" w:cs="Arial"/>
          <w:noProof/>
          <w:sz w:val="22"/>
        </w:rPr>
        <w:t xml:space="preserve"> </w:t>
      </w:r>
      <w:r>
        <w:rPr>
          <w:rFonts w:ascii="Times New Roman" w:eastAsia="MS Mincho" w:hAnsi="Times New Roman" w:cs="Arial"/>
          <w:b/>
          <w:noProof/>
          <w:u w:val="single"/>
        </w:rPr>
        <w:t>Étapes, cibles, indicateurs et calendrier pour le suivi et la mise en œuvre du soutien financier non remboursable</w:t>
      </w:r>
    </w:p>
    <w:p w14:paraId="73C5F4E4" w14:textId="77777777" w:rsidR="003B5F50" w:rsidRDefault="003B5F50">
      <w:pPr>
        <w:rPr>
          <w:rFonts w:ascii="Calibri" w:eastAsia="MS Mincho" w:hAnsi="Calibri" w:cs="Arial"/>
          <w:noProof/>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689"/>
        <w:gridCol w:w="1516"/>
        <w:gridCol w:w="767"/>
        <w:gridCol w:w="851"/>
        <w:gridCol w:w="1559"/>
        <w:gridCol w:w="992"/>
        <w:gridCol w:w="1418"/>
        <w:gridCol w:w="1275"/>
        <w:gridCol w:w="1134"/>
        <w:gridCol w:w="1800"/>
        <w:gridCol w:w="1561"/>
      </w:tblGrid>
      <w:tr w:rsidR="003B5F50" w14:paraId="50B4B9EF" w14:textId="77777777" w:rsidTr="00F8541A">
        <w:trPr>
          <w:trHeight w:val="900"/>
          <w:tblHeader/>
        </w:trPr>
        <w:tc>
          <w:tcPr>
            <w:tcW w:w="689" w:type="dxa"/>
            <w:vMerge w:val="restart"/>
            <w:shd w:val="clear" w:color="auto" w:fill="BDD7EE"/>
          </w:tcPr>
          <w:p w14:paraId="50B4B9DE" w14:textId="77777777" w:rsidR="003B5F50" w:rsidRDefault="000D2D85">
            <w:pPr>
              <w:pStyle w:val="P68B1DB1-Normal40"/>
              <w:spacing w:after="0" w:line="259" w:lineRule="auto"/>
              <w:jc w:val="center"/>
              <w:rPr>
                <w:rFonts w:eastAsia="Times New Roman"/>
                <w:noProof/>
                <w:szCs w:val="20"/>
              </w:rPr>
            </w:pPr>
            <w:r>
              <w:rPr>
                <w:noProof/>
              </w:rPr>
              <w:t>Seq. Num.</w:t>
            </w:r>
          </w:p>
          <w:p w14:paraId="50B4B9DF" w14:textId="77777777" w:rsidR="003B5F50" w:rsidRDefault="003B5F50">
            <w:pPr>
              <w:spacing w:after="0" w:line="259" w:lineRule="auto"/>
              <w:jc w:val="center"/>
              <w:rPr>
                <w:rFonts w:ascii="Times New Roman" w:eastAsia="Times New Roman" w:hAnsi="Times New Roman" w:cs="Arial"/>
                <w:b/>
                <w:noProof/>
                <w:sz w:val="20"/>
                <w:szCs w:val="20"/>
              </w:rPr>
            </w:pPr>
          </w:p>
          <w:p w14:paraId="50B4B9E0" w14:textId="77777777" w:rsidR="003B5F50" w:rsidRDefault="003B5F50">
            <w:pPr>
              <w:spacing w:line="259" w:lineRule="auto"/>
              <w:jc w:val="center"/>
              <w:rPr>
                <w:rFonts w:ascii="Times New Roman" w:eastAsia="Times New Roman" w:hAnsi="Times New Roman" w:cs="Arial"/>
                <w:b/>
                <w:noProof/>
                <w:sz w:val="20"/>
                <w:szCs w:val="20"/>
              </w:rPr>
            </w:pPr>
          </w:p>
        </w:tc>
        <w:tc>
          <w:tcPr>
            <w:tcW w:w="1516" w:type="dxa"/>
            <w:vMerge w:val="restart"/>
            <w:shd w:val="clear" w:color="auto" w:fill="BDD7EE"/>
          </w:tcPr>
          <w:p w14:paraId="50B4B9E1" w14:textId="77777777" w:rsidR="003B5F50" w:rsidRDefault="000D2D85">
            <w:pPr>
              <w:pStyle w:val="P68B1DB1-Normal40"/>
              <w:spacing w:after="0" w:line="259" w:lineRule="auto"/>
              <w:jc w:val="center"/>
              <w:rPr>
                <w:rFonts w:eastAsia="Times New Roman"/>
                <w:noProof/>
                <w:szCs w:val="20"/>
              </w:rPr>
            </w:pPr>
            <w:r>
              <w:rPr>
                <w:noProof/>
              </w:rPr>
              <w:t>Mesure connexe (réforme ou investissement)</w:t>
            </w:r>
          </w:p>
          <w:p w14:paraId="50B4B9E2" w14:textId="77777777" w:rsidR="003B5F50" w:rsidRDefault="003B5F50">
            <w:pPr>
              <w:spacing w:line="259" w:lineRule="auto"/>
              <w:jc w:val="center"/>
              <w:rPr>
                <w:rFonts w:ascii="Times New Roman" w:eastAsia="Times New Roman" w:hAnsi="Times New Roman" w:cs="Arial"/>
                <w:b/>
                <w:noProof/>
                <w:sz w:val="20"/>
                <w:szCs w:val="20"/>
              </w:rPr>
            </w:pPr>
          </w:p>
        </w:tc>
        <w:tc>
          <w:tcPr>
            <w:tcW w:w="767" w:type="dxa"/>
            <w:vMerge w:val="restart"/>
            <w:shd w:val="clear" w:color="auto" w:fill="BDD7EE"/>
          </w:tcPr>
          <w:p w14:paraId="50B4B9E3" w14:textId="77777777" w:rsidR="003B5F50" w:rsidRDefault="000D2D85">
            <w:pPr>
              <w:pStyle w:val="P68B1DB1-Normal40"/>
              <w:spacing w:after="0" w:line="259" w:lineRule="auto"/>
              <w:jc w:val="center"/>
              <w:rPr>
                <w:rFonts w:eastAsia="Times New Roman"/>
                <w:noProof/>
                <w:szCs w:val="20"/>
              </w:rPr>
            </w:pPr>
            <w:r>
              <w:rPr>
                <w:noProof/>
              </w:rPr>
              <w:t>Étape/cible</w:t>
            </w:r>
          </w:p>
          <w:p w14:paraId="50B4B9E4" w14:textId="77777777" w:rsidR="003B5F50" w:rsidRDefault="003B5F50">
            <w:pPr>
              <w:spacing w:after="0" w:line="259" w:lineRule="auto"/>
              <w:jc w:val="center"/>
              <w:rPr>
                <w:rFonts w:ascii="Times New Roman" w:eastAsia="Times New Roman" w:hAnsi="Times New Roman" w:cs="Arial"/>
                <w:b/>
                <w:noProof/>
                <w:sz w:val="20"/>
                <w:szCs w:val="20"/>
              </w:rPr>
            </w:pPr>
          </w:p>
          <w:p w14:paraId="50B4B9E5" w14:textId="77777777" w:rsidR="003B5F50" w:rsidRDefault="003B5F50">
            <w:pPr>
              <w:spacing w:after="0" w:line="259" w:lineRule="auto"/>
              <w:jc w:val="center"/>
              <w:rPr>
                <w:rFonts w:ascii="Times New Roman" w:eastAsia="Times New Roman" w:hAnsi="Times New Roman" w:cs="Arial"/>
                <w:b/>
                <w:noProof/>
                <w:sz w:val="20"/>
                <w:szCs w:val="20"/>
              </w:rPr>
            </w:pPr>
          </w:p>
        </w:tc>
        <w:tc>
          <w:tcPr>
            <w:tcW w:w="851" w:type="dxa"/>
            <w:vMerge w:val="restart"/>
            <w:shd w:val="clear" w:color="auto" w:fill="BDD7EE"/>
          </w:tcPr>
          <w:p w14:paraId="50B4B9E6" w14:textId="77777777" w:rsidR="003B5F50" w:rsidRDefault="000D2D85">
            <w:pPr>
              <w:pStyle w:val="P68B1DB1-Normal40"/>
              <w:spacing w:after="0" w:line="259" w:lineRule="auto"/>
              <w:jc w:val="center"/>
              <w:rPr>
                <w:rFonts w:eastAsia="Times New Roman"/>
                <w:noProof/>
                <w:szCs w:val="20"/>
              </w:rPr>
            </w:pPr>
            <w:r>
              <w:rPr>
                <w:noProof/>
              </w:rPr>
              <w:t>Nom</w:t>
            </w:r>
          </w:p>
          <w:p w14:paraId="50B4B9E7" w14:textId="77777777" w:rsidR="003B5F50" w:rsidRDefault="003B5F50">
            <w:pPr>
              <w:spacing w:after="0" w:line="259" w:lineRule="auto"/>
              <w:jc w:val="center"/>
              <w:rPr>
                <w:rFonts w:ascii="Times New Roman" w:eastAsia="Times New Roman" w:hAnsi="Times New Roman" w:cs="Arial"/>
                <w:b/>
                <w:noProof/>
                <w:sz w:val="20"/>
                <w:szCs w:val="20"/>
              </w:rPr>
            </w:pPr>
          </w:p>
          <w:p w14:paraId="50B4B9E8" w14:textId="77777777" w:rsidR="003B5F50" w:rsidRDefault="003B5F50">
            <w:pPr>
              <w:spacing w:line="259" w:lineRule="auto"/>
              <w:jc w:val="center"/>
              <w:rPr>
                <w:rFonts w:ascii="Times New Roman" w:eastAsia="Times New Roman" w:hAnsi="Times New Roman" w:cs="Arial"/>
                <w:b/>
                <w:noProof/>
                <w:sz w:val="20"/>
                <w:szCs w:val="20"/>
              </w:rPr>
            </w:pPr>
          </w:p>
        </w:tc>
        <w:tc>
          <w:tcPr>
            <w:tcW w:w="1559" w:type="dxa"/>
            <w:vMerge w:val="restart"/>
            <w:shd w:val="clear" w:color="auto" w:fill="BDD7EE"/>
          </w:tcPr>
          <w:p w14:paraId="50B4B9E9" w14:textId="77777777" w:rsidR="003B5F50" w:rsidRDefault="000D2D85">
            <w:pPr>
              <w:pStyle w:val="P68B1DB1-Normal40"/>
              <w:spacing w:after="0" w:line="259" w:lineRule="auto"/>
              <w:jc w:val="center"/>
              <w:rPr>
                <w:rFonts w:eastAsia="Times New Roman"/>
                <w:noProof/>
                <w:szCs w:val="20"/>
              </w:rPr>
            </w:pPr>
            <w:r>
              <w:rPr>
                <w:noProof/>
              </w:rPr>
              <w:t>Indicateurs qualitatifs (pour les jalons)</w:t>
            </w:r>
          </w:p>
          <w:p w14:paraId="50B4B9EA" w14:textId="77777777" w:rsidR="003B5F50" w:rsidRDefault="003B5F50">
            <w:pPr>
              <w:spacing w:line="259" w:lineRule="auto"/>
              <w:jc w:val="center"/>
              <w:rPr>
                <w:rFonts w:ascii="Times New Roman" w:eastAsia="Times New Roman" w:hAnsi="Times New Roman" w:cs="Arial"/>
                <w:b/>
                <w:noProof/>
                <w:sz w:val="20"/>
                <w:szCs w:val="20"/>
              </w:rPr>
            </w:pPr>
          </w:p>
        </w:tc>
        <w:tc>
          <w:tcPr>
            <w:tcW w:w="3685" w:type="dxa"/>
            <w:gridSpan w:val="3"/>
            <w:shd w:val="clear" w:color="auto" w:fill="BDD7EE"/>
          </w:tcPr>
          <w:p w14:paraId="50B4B9EB" w14:textId="77777777" w:rsidR="003B5F50" w:rsidRDefault="000D2D85">
            <w:pPr>
              <w:pStyle w:val="P68B1DB1-Normal40"/>
              <w:spacing w:after="0" w:line="259" w:lineRule="auto"/>
              <w:jc w:val="center"/>
              <w:rPr>
                <w:rFonts w:eastAsia="Times New Roman"/>
                <w:noProof/>
                <w:szCs w:val="20"/>
              </w:rPr>
            </w:pPr>
            <w:r>
              <w:rPr>
                <w:noProof/>
              </w:rPr>
              <w:t>Indicateurs quantitatifs (pour les objectifs)</w:t>
            </w:r>
          </w:p>
        </w:tc>
        <w:tc>
          <w:tcPr>
            <w:tcW w:w="2934" w:type="dxa"/>
            <w:gridSpan w:val="2"/>
            <w:shd w:val="clear" w:color="auto" w:fill="BDD7EE"/>
          </w:tcPr>
          <w:p w14:paraId="50B4B9EC" w14:textId="77777777" w:rsidR="003B5F50" w:rsidRDefault="000D2D85">
            <w:pPr>
              <w:pStyle w:val="P68B1DB1-Normal40"/>
              <w:spacing w:after="0" w:line="259" w:lineRule="auto"/>
              <w:jc w:val="center"/>
              <w:rPr>
                <w:rFonts w:eastAsia="Times New Roman"/>
                <w:noProof/>
                <w:szCs w:val="20"/>
              </w:rPr>
            </w:pPr>
            <w:r>
              <w:rPr>
                <w:noProof/>
              </w:rPr>
              <w:t>Calendrier indicatif d'achèvement</w:t>
            </w:r>
          </w:p>
        </w:tc>
        <w:tc>
          <w:tcPr>
            <w:tcW w:w="1561" w:type="dxa"/>
            <w:vMerge w:val="restart"/>
            <w:shd w:val="clear" w:color="auto" w:fill="BDD7EE"/>
          </w:tcPr>
          <w:p w14:paraId="50B4B9ED" w14:textId="77777777" w:rsidR="003B5F50" w:rsidRDefault="000D2D85">
            <w:pPr>
              <w:pStyle w:val="P68B1DB1-Normal40"/>
              <w:spacing w:after="0" w:line="259" w:lineRule="auto"/>
              <w:jc w:val="center"/>
              <w:rPr>
                <w:rFonts w:eastAsia="Times New Roman"/>
                <w:noProof/>
                <w:szCs w:val="20"/>
              </w:rPr>
            </w:pPr>
            <w:r>
              <w:rPr>
                <w:noProof/>
              </w:rPr>
              <w:t>Description et définition claire de chaque jalon et cible</w:t>
            </w:r>
          </w:p>
          <w:p w14:paraId="50B4B9EE" w14:textId="77777777" w:rsidR="003B5F50" w:rsidRDefault="003B5F50">
            <w:pPr>
              <w:spacing w:line="259" w:lineRule="auto"/>
              <w:jc w:val="center"/>
              <w:rPr>
                <w:rFonts w:ascii="Times New Roman" w:eastAsia="Times New Roman" w:hAnsi="Times New Roman" w:cs="Arial"/>
                <w:b/>
                <w:noProof/>
                <w:sz w:val="20"/>
                <w:szCs w:val="20"/>
              </w:rPr>
            </w:pPr>
          </w:p>
        </w:tc>
      </w:tr>
      <w:tr w:rsidR="003B5F50" w14:paraId="50B4B9FB" w14:textId="77777777" w:rsidTr="00F8541A">
        <w:trPr>
          <w:trHeight w:val="644"/>
          <w:tblHeader/>
        </w:trPr>
        <w:tc>
          <w:tcPr>
            <w:tcW w:w="689" w:type="dxa"/>
            <w:vMerge/>
          </w:tcPr>
          <w:p w14:paraId="50B4B9F0" w14:textId="77777777" w:rsidR="003B5F50" w:rsidRDefault="003B5F50">
            <w:pPr>
              <w:spacing w:line="259" w:lineRule="auto"/>
              <w:jc w:val="center"/>
              <w:rPr>
                <w:rFonts w:ascii="Times New Roman" w:eastAsia="MS Mincho" w:hAnsi="Times New Roman" w:cs="Arial"/>
                <w:noProof/>
                <w:sz w:val="20"/>
                <w:szCs w:val="20"/>
              </w:rPr>
            </w:pPr>
          </w:p>
        </w:tc>
        <w:tc>
          <w:tcPr>
            <w:tcW w:w="1516" w:type="dxa"/>
            <w:vMerge/>
          </w:tcPr>
          <w:p w14:paraId="50B4B9F1" w14:textId="77777777" w:rsidR="003B5F50" w:rsidRDefault="003B5F50">
            <w:pPr>
              <w:spacing w:line="259" w:lineRule="auto"/>
              <w:jc w:val="center"/>
              <w:rPr>
                <w:rFonts w:ascii="Times New Roman" w:eastAsia="MS Mincho" w:hAnsi="Times New Roman" w:cs="Arial"/>
                <w:noProof/>
                <w:sz w:val="20"/>
                <w:szCs w:val="20"/>
              </w:rPr>
            </w:pPr>
          </w:p>
        </w:tc>
        <w:tc>
          <w:tcPr>
            <w:tcW w:w="767" w:type="dxa"/>
            <w:vMerge/>
          </w:tcPr>
          <w:p w14:paraId="50B4B9F2" w14:textId="77777777" w:rsidR="003B5F50" w:rsidRDefault="003B5F50">
            <w:pPr>
              <w:spacing w:line="259" w:lineRule="auto"/>
              <w:jc w:val="center"/>
              <w:rPr>
                <w:rFonts w:ascii="Times New Roman" w:eastAsia="MS Mincho" w:hAnsi="Times New Roman" w:cs="Arial"/>
                <w:noProof/>
                <w:sz w:val="20"/>
                <w:szCs w:val="20"/>
              </w:rPr>
            </w:pPr>
          </w:p>
        </w:tc>
        <w:tc>
          <w:tcPr>
            <w:tcW w:w="851" w:type="dxa"/>
            <w:vMerge/>
          </w:tcPr>
          <w:p w14:paraId="50B4B9F3" w14:textId="77777777" w:rsidR="003B5F50" w:rsidRDefault="003B5F50">
            <w:pPr>
              <w:spacing w:line="259" w:lineRule="auto"/>
              <w:jc w:val="center"/>
              <w:rPr>
                <w:rFonts w:ascii="Times New Roman" w:eastAsia="MS Mincho" w:hAnsi="Times New Roman" w:cs="Arial"/>
                <w:noProof/>
                <w:sz w:val="20"/>
                <w:szCs w:val="20"/>
              </w:rPr>
            </w:pPr>
          </w:p>
        </w:tc>
        <w:tc>
          <w:tcPr>
            <w:tcW w:w="1559" w:type="dxa"/>
            <w:vMerge/>
          </w:tcPr>
          <w:p w14:paraId="50B4B9F4" w14:textId="77777777" w:rsidR="003B5F50" w:rsidRDefault="003B5F50">
            <w:pPr>
              <w:spacing w:line="259" w:lineRule="auto"/>
              <w:jc w:val="center"/>
              <w:rPr>
                <w:rFonts w:ascii="Times New Roman" w:eastAsia="MS Mincho" w:hAnsi="Times New Roman" w:cs="Arial"/>
                <w:noProof/>
                <w:sz w:val="20"/>
                <w:szCs w:val="20"/>
              </w:rPr>
            </w:pPr>
          </w:p>
        </w:tc>
        <w:tc>
          <w:tcPr>
            <w:tcW w:w="992" w:type="dxa"/>
            <w:shd w:val="clear" w:color="auto" w:fill="BDD7EE"/>
          </w:tcPr>
          <w:p w14:paraId="50B4B9F5" w14:textId="77777777" w:rsidR="003B5F50" w:rsidRDefault="000D2D85">
            <w:pPr>
              <w:pStyle w:val="P68B1DB1-Normal40"/>
              <w:spacing w:line="259" w:lineRule="auto"/>
              <w:jc w:val="center"/>
              <w:rPr>
                <w:noProof/>
                <w:szCs w:val="20"/>
              </w:rPr>
            </w:pPr>
            <w:r>
              <w:rPr>
                <w:noProof/>
              </w:rPr>
              <w:t>Unité de mesure</w:t>
            </w:r>
          </w:p>
        </w:tc>
        <w:tc>
          <w:tcPr>
            <w:tcW w:w="1418" w:type="dxa"/>
            <w:shd w:val="clear" w:color="auto" w:fill="BDD7EE"/>
          </w:tcPr>
          <w:p w14:paraId="50B4B9F6" w14:textId="77777777" w:rsidR="003B5F50" w:rsidRDefault="000D2D85">
            <w:pPr>
              <w:pStyle w:val="P68B1DB1-Normal40"/>
              <w:spacing w:line="259" w:lineRule="auto"/>
              <w:jc w:val="center"/>
              <w:rPr>
                <w:noProof/>
                <w:szCs w:val="20"/>
              </w:rPr>
            </w:pPr>
            <w:r>
              <w:rPr>
                <w:noProof/>
              </w:rPr>
              <w:t>Données de référence</w:t>
            </w:r>
          </w:p>
        </w:tc>
        <w:tc>
          <w:tcPr>
            <w:tcW w:w="1275" w:type="dxa"/>
            <w:shd w:val="clear" w:color="auto" w:fill="BDD7EE"/>
          </w:tcPr>
          <w:p w14:paraId="50B4B9F7" w14:textId="77777777" w:rsidR="003B5F50" w:rsidRDefault="000D2D85">
            <w:pPr>
              <w:pStyle w:val="P68B1DB1-Normal40"/>
              <w:spacing w:line="259" w:lineRule="auto"/>
              <w:jc w:val="center"/>
              <w:rPr>
                <w:noProof/>
                <w:szCs w:val="20"/>
              </w:rPr>
            </w:pPr>
            <w:r>
              <w:rPr>
                <w:noProof/>
              </w:rPr>
              <w:t>Objectif</w:t>
            </w:r>
          </w:p>
        </w:tc>
        <w:tc>
          <w:tcPr>
            <w:tcW w:w="1134" w:type="dxa"/>
            <w:shd w:val="clear" w:color="auto" w:fill="BDD7EE"/>
          </w:tcPr>
          <w:p w14:paraId="50B4B9F8" w14:textId="77777777" w:rsidR="003B5F50" w:rsidRDefault="000D2D85">
            <w:pPr>
              <w:pStyle w:val="P68B1DB1-Normal40"/>
              <w:spacing w:line="259" w:lineRule="auto"/>
              <w:jc w:val="center"/>
              <w:rPr>
                <w:noProof/>
                <w:szCs w:val="20"/>
              </w:rPr>
            </w:pPr>
            <w:r>
              <w:rPr>
                <w:noProof/>
              </w:rPr>
              <w:t>Trimestre</w:t>
            </w:r>
          </w:p>
        </w:tc>
        <w:tc>
          <w:tcPr>
            <w:tcW w:w="1800" w:type="dxa"/>
            <w:shd w:val="clear" w:color="auto" w:fill="BDD7EE"/>
          </w:tcPr>
          <w:p w14:paraId="50B4B9F9" w14:textId="77777777" w:rsidR="003B5F50" w:rsidRDefault="000D2D85">
            <w:pPr>
              <w:pStyle w:val="P68B1DB1-Normal40"/>
              <w:spacing w:line="259" w:lineRule="auto"/>
              <w:jc w:val="center"/>
              <w:rPr>
                <w:noProof/>
                <w:szCs w:val="20"/>
              </w:rPr>
            </w:pPr>
            <w:r>
              <w:rPr>
                <w:noProof/>
              </w:rPr>
              <w:t>Année</w:t>
            </w:r>
          </w:p>
        </w:tc>
        <w:tc>
          <w:tcPr>
            <w:tcW w:w="1561" w:type="dxa"/>
            <w:vMerge/>
          </w:tcPr>
          <w:p w14:paraId="50B4B9FA" w14:textId="77777777" w:rsidR="003B5F50" w:rsidRDefault="003B5F50">
            <w:pPr>
              <w:spacing w:line="259" w:lineRule="auto"/>
              <w:jc w:val="center"/>
              <w:rPr>
                <w:rFonts w:ascii="Times New Roman" w:eastAsia="MS Mincho" w:hAnsi="Times New Roman" w:cs="Arial"/>
                <w:noProof/>
                <w:sz w:val="20"/>
                <w:szCs w:val="20"/>
              </w:rPr>
            </w:pPr>
          </w:p>
        </w:tc>
      </w:tr>
      <w:tr w:rsidR="00F8541A" w14:paraId="50B4BA07" w14:textId="77777777" w:rsidTr="00F8541A">
        <w:trPr>
          <w:trHeight w:val="1387"/>
        </w:trPr>
        <w:tc>
          <w:tcPr>
            <w:tcW w:w="689" w:type="dxa"/>
            <w:shd w:val="clear" w:color="auto" w:fill="C6EFCE"/>
          </w:tcPr>
          <w:p w14:paraId="50B4B9FC" w14:textId="77777777" w:rsidR="003B5F50" w:rsidRDefault="000D2D85">
            <w:pPr>
              <w:pStyle w:val="P68B1DB1-Normal42"/>
              <w:spacing w:after="0" w:line="259" w:lineRule="auto"/>
              <w:rPr>
                <w:rFonts w:eastAsia="Times New Roman"/>
                <w:noProof/>
                <w:szCs w:val="20"/>
              </w:rPr>
            </w:pPr>
            <w:r>
              <w:rPr>
                <w:noProof/>
              </w:rPr>
              <w:t>1</w:t>
            </w:r>
          </w:p>
        </w:tc>
        <w:tc>
          <w:tcPr>
            <w:tcW w:w="1516" w:type="dxa"/>
            <w:shd w:val="clear" w:color="auto" w:fill="C6EFCE"/>
          </w:tcPr>
          <w:p w14:paraId="50B4B9FD" w14:textId="77777777" w:rsidR="003B5F50" w:rsidRDefault="000D2D85">
            <w:pPr>
              <w:pStyle w:val="P68B1DB1-Normal42"/>
              <w:spacing w:after="0" w:line="259" w:lineRule="auto"/>
              <w:rPr>
                <w:rFonts w:eastAsia="Times New Roman"/>
                <w:noProof/>
                <w:szCs w:val="20"/>
              </w:rPr>
            </w:pPr>
            <w:r>
              <w:rPr>
                <w:noProof/>
              </w:rPr>
              <w:t>18 – Finances publiques saines, viables et compétitives – Réforme 1: Améliorer la viabilité du système de retraite</w:t>
            </w:r>
          </w:p>
        </w:tc>
        <w:tc>
          <w:tcPr>
            <w:tcW w:w="767" w:type="dxa"/>
            <w:shd w:val="clear" w:color="auto" w:fill="C6EFCE"/>
          </w:tcPr>
          <w:p w14:paraId="50B4B9FE" w14:textId="77777777" w:rsidR="003B5F50" w:rsidRDefault="000D2D85">
            <w:pPr>
              <w:pStyle w:val="P68B1DB1-Normal42"/>
              <w:spacing w:after="0" w:line="259" w:lineRule="auto"/>
              <w:rPr>
                <w:rFonts w:eastAsia="Times New Roman"/>
                <w:noProof/>
                <w:szCs w:val="20"/>
              </w:rPr>
            </w:pPr>
            <w:r>
              <w:rPr>
                <w:noProof/>
              </w:rPr>
              <w:t>Étape</w:t>
            </w:r>
          </w:p>
        </w:tc>
        <w:tc>
          <w:tcPr>
            <w:tcW w:w="851" w:type="dxa"/>
            <w:shd w:val="clear" w:color="auto" w:fill="C6EFCE"/>
          </w:tcPr>
          <w:p w14:paraId="50B4B9FF" w14:textId="77777777" w:rsidR="003B5F50" w:rsidRDefault="000D2D85">
            <w:pPr>
              <w:pStyle w:val="P68B1DB1-Normal42"/>
              <w:spacing w:after="0" w:line="259" w:lineRule="auto"/>
              <w:rPr>
                <w:rFonts w:eastAsia="Times New Roman"/>
                <w:noProof/>
                <w:szCs w:val="20"/>
              </w:rPr>
            </w:pPr>
            <w:r>
              <w:rPr>
                <w:noProof/>
              </w:rPr>
              <w:t xml:space="preserve">Réforme du système de retraite </w:t>
            </w:r>
          </w:p>
        </w:tc>
        <w:tc>
          <w:tcPr>
            <w:tcW w:w="1559" w:type="dxa"/>
            <w:shd w:val="clear" w:color="auto" w:fill="C6EFCE"/>
          </w:tcPr>
          <w:p w14:paraId="50B4BA00" w14:textId="77777777" w:rsidR="003B5F50" w:rsidRDefault="000D2D85">
            <w:pPr>
              <w:pStyle w:val="P68B1DB1-Normal42"/>
              <w:spacing w:after="0" w:line="259" w:lineRule="auto"/>
              <w:rPr>
                <w:rFonts w:eastAsia="Times New Roman"/>
                <w:noProof/>
                <w:szCs w:val="20"/>
              </w:rPr>
            </w:pPr>
            <w:r>
              <w:rPr>
                <w:noProof/>
              </w:rPr>
              <w:t>Entrée en vigueur du paquet d'amendements (no 461/2003 Rec. sur l'assurance sociale et no 43/2004 Rec. sur l'épargne-pension de vieillesse)</w:t>
            </w:r>
          </w:p>
        </w:tc>
        <w:tc>
          <w:tcPr>
            <w:tcW w:w="992" w:type="dxa"/>
            <w:shd w:val="clear" w:color="auto" w:fill="C6EFCE"/>
          </w:tcPr>
          <w:p w14:paraId="50B4BA01" w14:textId="77777777" w:rsidR="003B5F50" w:rsidRDefault="000D2D85">
            <w:pPr>
              <w:pStyle w:val="P68B1DB1-Normal42"/>
              <w:spacing w:after="0" w:line="259" w:lineRule="auto"/>
              <w:rPr>
                <w:rFonts w:eastAsia="Times New Roman"/>
                <w:noProof/>
                <w:szCs w:val="20"/>
              </w:rPr>
            </w:pPr>
            <w:r>
              <w:rPr>
                <w:noProof/>
              </w:rPr>
              <w:t xml:space="preserve"> </w:t>
            </w:r>
          </w:p>
        </w:tc>
        <w:tc>
          <w:tcPr>
            <w:tcW w:w="1418" w:type="dxa"/>
            <w:shd w:val="clear" w:color="auto" w:fill="C6EFCE"/>
          </w:tcPr>
          <w:p w14:paraId="50B4BA02" w14:textId="77777777" w:rsidR="003B5F50" w:rsidRDefault="000D2D85">
            <w:pPr>
              <w:pStyle w:val="P68B1DB1-Normal42"/>
              <w:spacing w:after="0" w:line="259" w:lineRule="auto"/>
              <w:rPr>
                <w:rFonts w:eastAsia="Times New Roman"/>
                <w:noProof/>
                <w:szCs w:val="20"/>
              </w:rPr>
            </w:pPr>
            <w:r>
              <w:rPr>
                <w:noProof/>
              </w:rPr>
              <w:t xml:space="preserve"> </w:t>
            </w:r>
          </w:p>
        </w:tc>
        <w:tc>
          <w:tcPr>
            <w:tcW w:w="1275" w:type="dxa"/>
            <w:shd w:val="clear" w:color="auto" w:fill="C6EFCE"/>
          </w:tcPr>
          <w:p w14:paraId="50B4BA03" w14:textId="77777777" w:rsidR="003B5F50" w:rsidRDefault="000D2D85">
            <w:pPr>
              <w:pStyle w:val="P68B1DB1-Normal42"/>
              <w:spacing w:after="0" w:line="259" w:lineRule="auto"/>
              <w:rPr>
                <w:rFonts w:eastAsia="Times New Roman"/>
                <w:noProof/>
                <w:szCs w:val="20"/>
              </w:rPr>
            </w:pPr>
            <w:r>
              <w:rPr>
                <w:noProof/>
              </w:rPr>
              <w:t xml:space="preserve"> </w:t>
            </w:r>
          </w:p>
        </w:tc>
        <w:tc>
          <w:tcPr>
            <w:tcW w:w="1134" w:type="dxa"/>
            <w:shd w:val="clear" w:color="auto" w:fill="C6EFCE"/>
          </w:tcPr>
          <w:p w14:paraId="50B4BA04" w14:textId="77777777" w:rsidR="003B5F50" w:rsidRDefault="000D2D85">
            <w:pPr>
              <w:pStyle w:val="P68B1DB1-Normal42"/>
              <w:spacing w:after="0" w:line="259" w:lineRule="auto"/>
              <w:rPr>
                <w:rFonts w:eastAsia="Times New Roman"/>
                <w:noProof/>
                <w:szCs w:val="20"/>
              </w:rPr>
            </w:pPr>
            <w:r>
              <w:rPr>
                <w:noProof/>
              </w:rPr>
              <w:t>T1</w:t>
            </w:r>
          </w:p>
        </w:tc>
        <w:tc>
          <w:tcPr>
            <w:tcW w:w="1800" w:type="dxa"/>
            <w:shd w:val="clear" w:color="auto" w:fill="C6EFCE"/>
          </w:tcPr>
          <w:p w14:paraId="50B4BA05" w14:textId="77777777" w:rsidR="003B5F50" w:rsidRDefault="000D2D85">
            <w:pPr>
              <w:pStyle w:val="P68B1DB1-Normal42"/>
              <w:spacing w:after="0" w:line="259" w:lineRule="auto"/>
              <w:rPr>
                <w:rFonts w:eastAsia="Times New Roman"/>
                <w:noProof/>
                <w:szCs w:val="20"/>
              </w:rPr>
            </w:pPr>
            <w:r>
              <w:rPr>
                <w:noProof/>
              </w:rPr>
              <w:t>2023</w:t>
            </w:r>
          </w:p>
        </w:tc>
        <w:tc>
          <w:tcPr>
            <w:tcW w:w="1561" w:type="dxa"/>
            <w:shd w:val="clear" w:color="auto" w:fill="C6EFCE"/>
          </w:tcPr>
          <w:p w14:paraId="50B4BA06" w14:textId="77777777" w:rsidR="003B5F50" w:rsidRDefault="000D2D85">
            <w:pPr>
              <w:pStyle w:val="P68B1DB1-Normal42"/>
              <w:spacing w:after="0" w:line="259" w:lineRule="auto"/>
              <w:rPr>
                <w:rFonts w:eastAsia="Times New Roman"/>
                <w:noProof/>
                <w:szCs w:val="20"/>
              </w:rPr>
            </w:pPr>
            <w:r>
              <w:rPr>
                <w:noProof/>
              </w:rPr>
              <w:t>Entrée en vigueur du train de mesures par le Parlement (loi sur l’assurance sociale et loi sur l’épargne-retraite des personnes âgées) d’ici la fin du quatrième trimestre 2022, avec effet au premier trimestre 2023, ce qui devrait améliorer la viabilité financière à long terme du système de retraite, à savoir: 1) lier l’augmentation de l’âge de la retraite à l’augmentation de l’espérance de vie, 2) introduire un droit à des prestations neutres sur le plan actuariel du premier pilier de la retraite par répartition pour les personnes après un nombre minimal légal d’années de service, 3) introduire une stratégie d’épargne par défaut fondée sur le principe du cycle de vie pour les épargnants nouveaux et progressivement existants dans le pilier II (avec la possibilité de rejeter cette stratégie par défaut)</w:t>
            </w:r>
          </w:p>
        </w:tc>
      </w:tr>
      <w:tr w:rsidR="00F8541A" w14:paraId="50B4BA13" w14:textId="77777777" w:rsidTr="00F8541A">
        <w:trPr>
          <w:trHeight w:val="2205"/>
        </w:trPr>
        <w:tc>
          <w:tcPr>
            <w:tcW w:w="689" w:type="dxa"/>
            <w:shd w:val="clear" w:color="auto" w:fill="C6EFCE"/>
          </w:tcPr>
          <w:p w14:paraId="50B4BA08" w14:textId="77777777" w:rsidR="003B5F50" w:rsidRDefault="000D2D85">
            <w:pPr>
              <w:pStyle w:val="P68B1DB1-Normal42"/>
              <w:spacing w:after="0" w:line="259" w:lineRule="auto"/>
              <w:rPr>
                <w:rFonts w:eastAsia="Times New Roman"/>
                <w:noProof/>
                <w:szCs w:val="20"/>
              </w:rPr>
            </w:pPr>
            <w:r>
              <w:rPr>
                <w:noProof/>
              </w:rPr>
              <w:t>2</w:t>
            </w:r>
          </w:p>
        </w:tc>
        <w:tc>
          <w:tcPr>
            <w:tcW w:w="1516" w:type="dxa"/>
            <w:shd w:val="clear" w:color="auto" w:fill="C6EFCE"/>
          </w:tcPr>
          <w:p w14:paraId="50B4BA09" w14:textId="77777777" w:rsidR="003B5F50" w:rsidRDefault="000D2D85">
            <w:pPr>
              <w:pStyle w:val="P68B1DB1-Normal42"/>
              <w:spacing w:after="0" w:line="259" w:lineRule="auto"/>
              <w:rPr>
                <w:rFonts w:eastAsia="Times New Roman"/>
                <w:noProof/>
                <w:szCs w:val="20"/>
              </w:rPr>
            </w:pPr>
            <w:r>
              <w:rPr>
                <w:noProof/>
              </w:rPr>
              <w:t>18 – Finances publiques saines, viables et compétitives – Réforme 2: Instauration de plafonds de dépenses</w:t>
            </w:r>
          </w:p>
        </w:tc>
        <w:tc>
          <w:tcPr>
            <w:tcW w:w="767" w:type="dxa"/>
            <w:shd w:val="clear" w:color="auto" w:fill="C6EFCE"/>
          </w:tcPr>
          <w:p w14:paraId="50B4BA0A" w14:textId="77777777" w:rsidR="003B5F50" w:rsidRDefault="000D2D85">
            <w:pPr>
              <w:pStyle w:val="P68B1DB1-Normal42"/>
              <w:spacing w:after="0" w:line="259" w:lineRule="auto"/>
              <w:rPr>
                <w:rFonts w:eastAsia="Times New Roman"/>
                <w:noProof/>
                <w:szCs w:val="20"/>
              </w:rPr>
            </w:pPr>
            <w:r>
              <w:rPr>
                <w:noProof/>
              </w:rPr>
              <w:t>Étape</w:t>
            </w:r>
          </w:p>
        </w:tc>
        <w:tc>
          <w:tcPr>
            <w:tcW w:w="851" w:type="dxa"/>
            <w:shd w:val="clear" w:color="auto" w:fill="C6EFCE"/>
          </w:tcPr>
          <w:p w14:paraId="50B4BA0B" w14:textId="77777777" w:rsidR="003B5F50" w:rsidRDefault="000D2D85">
            <w:pPr>
              <w:pStyle w:val="P68B1DB1-Normal42"/>
              <w:spacing w:after="0" w:line="259" w:lineRule="auto"/>
              <w:rPr>
                <w:rFonts w:eastAsia="Times New Roman"/>
                <w:noProof/>
                <w:szCs w:val="20"/>
              </w:rPr>
            </w:pPr>
            <w:r>
              <w:rPr>
                <w:noProof/>
              </w:rPr>
              <w:t>Fixation des plafonds de dépenses dans la loi 523/2004 sur les règles budgétaires</w:t>
            </w:r>
          </w:p>
        </w:tc>
        <w:tc>
          <w:tcPr>
            <w:tcW w:w="1559" w:type="dxa"/>
            <w:shd w:val="clear" w:color="auto" w:fill="C6EFCE"/>
          </w:tcPr>
          <w:p w14:paraId="50B4BA0C" w14:textId="77777777" w:rsidR="003B5F50" w:rsidRDefault="000D2D85">
            <w:pPr>
              <w:pStyle w:val="P68B1DB1-Normal42"/>
              <w:spacing w:after="0" w:line="259" w:lineRule="auto"/>
              <w:rPr>
                <w:rFonts w:eastAsia="Times New Roman"/>
                <w:noProof/>
                <w:szCs w:val="20"/>
              </w:rPr>
            </w:pPr>
            <w:r>
              <w:rPr>
                <w:noProof/>
              </w:rPr>
              <w:t>Entrée en vigueur de la modification de l'acte 523/2004 relatif aux règles budgétaires</w:t>
            </w:r>
          </w:p>
        </w:tc>
        <w:tc>
          <w:tcPr>
            <w:tcW w:w="992" w:type="dxa"/>
            <w:shd w:val="clear" w:color="auto" w:fill="C6EFCE"/>
          </w:tcPr>
          <w:p w14:paraId="50B4BA0D" w14:textId="77777777" w:rsidR="003B5F50" w:rsidRDefault="000D2D85">
            <w:pPr>
              <w:pStyle w:val="P68B1DB1-Normal42"/>
              <w:spacing w:after="0" w:line="259" w:lineRule="auto"/>
              <w:rPr>
                <w:rFonts w:eastAsia="Times New Roman"/>
                <w:noProof/>
                <w:szCs w:val="20"/>
              </w:rPr>
            </w:pPr>
            <w:r>
              <w:rPr>
                <w:noProof/>
              </w:rPr>
              <w:t xml:space="preserve"> </w:t>
            </w:r>
          </w:p>
        </w:tc>
        <w:tc>
          <w:tcPr>
            <w:tcW w:w="1418" w:type="dxa"/>
            <w:shd w:val="clear" w:color="auto" w:fill="C6EFCE"/>
          </w:tcPr>
          <w:p w14:paraId="50B4BA0E" w14:textId="77777777" w:rsidR="003B5F50" w:rsidRDefault="000D2D85">
            <w:pPr>
              <w:pStyle w:val="P68B1DB1-Normal42"/>
              <w:spacing w:after="0" w:line="259" w:lineRule="auto"/>
              <w:rPr>
                <w:rFonts w:eastAsia="Times New Roman"/>
                <w:noProof/>
                <w:szCs w:val="20"/>
              </w:rPr>
            </w:pPr>
            <w:r>
              <w:rPr>
                <w:noProof/>
              </w:rPr>
              <w:t xml:space="preserve"> </w:t>
            </w:r>
          </w:p>
        </w:tc>
        <w:tc>
          <w:tcPr>
            <w:tcW w:w="1275" w:type="dxa"/>
            <w:shd w:val="clear" w:color="auto" w:fill="C6EFCE"/>
          </w:tcPr>
          <w:p w14:paraId="50B4BA0F" w14:textId="77777777" w:rsidR="003B5F50" w:rsidRDefault="000D2D85">
            <w:pPr>
              <w:pStyle w:val="P68B1DB1-Normal42"/>
              <w:spacing w:after="0" w:line="259" w:lineRule="auto"/>
              <w:rPr>
                <w:rFonts w:eastAsia="Times New Roman"/>
                <w:noProof/>
                <w:szCs w:val="20"/>
              </w:rPr>
            </w:pPr>
            <w:r>
              <w:rPr>
                <w:noProof/>
              </w:rPr>
              <w:t xml:space="preserve"> </w:t>
            </w:r>
          </w:p>
        </w:tc>
        <w:tc>
          <w:tcPr>
            <w:tcW w:w="1134" w:type="dxa"/>
            <w:shd w:val="clear" w:color="auto" w:fill="C6EFCE"/>
          </w:tcPr>
          <w:p w14:paraId="50B4BA10" w14:textId="77777777" w:rsidR="003B5F50" w:rsidRDefault="000D2D85">
            <w:pPr>
              <w:pStyle w:val="P68B1DB1-Normal42"/>
              <w:spacing w:after="0" w:line="259" w:lineRule="auto"/>
              <w:rPr>
                <w:rFonts w:eastAsia="Times New Roman"/>
                <w:noProof/>
                <w:szCs w:val="20"/>
              </w:rPr>
            </w:pPr>
            <w:r>
              <w:rPr>
                <w:noProof/>
              </w:rPr>
              <w:t>T4</w:t>
            </w:r>
          </w:p>
        </w:tc>
        <w:tc>
          <w:tcPr>
            <w:tcW w:w="1800" w:type="dxa"/>
            <w:shd w:val="clear" w:color="auto" w:fill="C6EFCE"/>
          </w:tcPr>
          <w:p w14:paraId="50B4BA11" w14:textId="77777777" w:rsidR="003B5F50" w:rsidRDefault="000D2D85">
            <w:pPr>
              <w:pStyle w:val="P68B1DB1-Normal42"/>
              <w:spacing w:after="0" w:line="259" w:lineRule="auto"/>
              <w:rPr>
                <w:rFonts w:eastAsia="Times New Roman"/>
                <w:noProof/>
                <w:szCs w:val="20"/>
              </w:rPr>
            </w:pPr>
            <w:r>
              <w:rPr>
                <w:noProof/>
              </w:rPr>
              <w:t>2021</w:t>
            </w:r>
          </w:p>
        </w:tc>
        <w:tc>
          <w:tcPr>
            <w:tcW w:w="1561" w:type="dxa"/>
            <w:shd w:val="clear" w:color="auto" w:fill="C6EFCE"/>
          </w:tcPr>
          <w:p w14:paraId="50B4BA12" w14:textId="77777777" w:rsidR="003B5F50" w:rsidRDefault="000D2D85">
            <w:pPr>
              <w:pStyle w:val="P68B1DB1-Normal42"/>
              <w:spacing w:after="0" w:line="259" w:lineRule="auto"/>
              <w:rPr>
                <w:rFonts w:eastAsia="Times New Roman"/>
                <w:noProof/>
                <w:szCs w:val="20"/>
              </w:rPr>
            </w:pPr>
            <w:r>
              <w:rPr>
                <w:noProof/>
              </w:rPr>
              <w:t>Entrée en vigueur des plafonds pluriannuels des dépenses publiques et de leur mise en œuvre dans le programme de stabilité 2022-2025 en avril 2022 afin de rendre compte de l’ensemble du cycle budgétaire pour 2023.</w:t>
            </w:r>
          </w:p>
        </w:tc>
      </w:tr>
      <w:tr w:rsidR="00F8541A" w14:paraId="50B4BA23" w14:textId="77777777" w:rsidTr="00F8541A">
        <w:trPr>
          <w:trHeight w:val="3670"/>
        </w:trPr>
        <w:tc>
          <w:tcPr>
            <w:tcW w:w="689" w:type="dxa"/>
            <w:shd w:val="clear" w:color="auto" w:fill="C6EFCE"/>
          </w:tcPr>
          <w:p w14:paraId="50B4BA14" w14:textId="77777777" w:rsidR="003B5F50" w:rsidRDefault="000D2D85">
            <w:pPr>
              <w:pStyle w:val="P68B1DB1-Normal42"/>
              <w:spacing w:after="0" w:line="259" w:lineRule="auto"/>
              <w:rPr>
                <w:rFonts w:eastAsia="Times New Roman"/>
                <w:noProof/>
                <w:szCs w:val="20"/>
              </w:rPr>
            </w:pPr>
            <w:r>
              <w:rPr>
                <w:noProof/>
              </w:rPr>
              <w:t>3</w:t>
            </w:r>
          </w:p>
        </w:tc>
        <w:tc>
          <w:tcPr>
            <w:tcW w:w="1516" w:type="dxa"/>
            <w:shd w:val="clear" w:color="auto" w:fill="C6EFCE"/>
          </w:tcPr>
          <w:p w14:paraId="50B4BA15" w14:textId="77777777" w:rsidR="003B5F50" w:rsidRDefault="000D2D85">
            <w:pPr>
              <w:pStyle w:val="P68B1DB1-Normal42"/>
              <w:spacing w:after="0" w:line="259" w:lineRule="auto"/>
              <w:rPr>
                <w:rFonts w:eastAsia="Times New Roman"/>
                <w:noProof/>
                <w:szCs w:val="20"/>
              </w:rPr>
            </w:pPr>
            <w:r>
              <w:rPr>
                <w:noProof/>
              </w:rPr>
              <w:t>18 – Finances publiques saines, viables et compétitives – Réforme 3: Réforme de la gestion des investissements publics</w:t>
            </w:r>
          </w:p>
        </w:tc>
        <w:tc>
          <w:tcPr>
            <w:tcW w:w="767" w:type="dxa"/>
            <w:shd w:val="clear" w:color="auto" w:fill="C6EFCE"/>
          </w:tcPr>
          <w:p w14:paraId="50B4BA16" w14:textId="77777777" w:rsidR="003B5F50" w:rsidRDefault="000D2D85">
            <w:pPr>
              <w:pStyle w:val="P68B1DB1-Normal42"/>
              <w:spacing w:after="0" w:line="259" w:lineRule="auto"/>
              <w:rPr>
                <w:rFonts w:eastAsia="Times New Roman"/>
                <w:noProof/>
                <w:szCs w:val="20"/>
              </w:rPr>
            </w:pPr>
            <w:r>
              <w:rPr>
                <w:noProof/>
              </w:rPr>
              <w:t>Étape</w:t>
            </w:r>
          </w:p>
        </w:tc>
        <w:tc>
          <w:tcPr>
            <w:tcW w:w="851" w:type="dxa"/>
            <w:shd w:val="clear" w:color="auto" w:fill="C6EFCE"/>
          </w:tcPr>
          <w:p w14:paraId="50B4BA17" w14:textId="77777777" w:rsidR="003B5F50" w:rsidRDefault="000D2D85">
            <w:pPr>
              <w:pStyle w:val="P68B1DB1-Normal42"/>
              <w:spacing w:after="0" w:line="259" w:lineRule="auto"/>
              <w:rPr>
                <w:rFonts w:eastAsia="Times New Roman"/>
                <w:noProof/>
                <w:szCs w:val="20"/>
              </w:rPr>
            </w:pPr>
            <w:r>
              <w:rPr>
                <w:noProof/>
              </w:rPr>
              <w:t>application de la méthodologie pour les procédures de préparation et de hiérarchisation des investissements</w:t>
            </w:r>
          </w:p>
        </w:tc>
        <w:tc>
          <w:tcPr>
            <w:tcW w:w="1559" w:type="dxa"/>
            <w:shd w:val="clear" w:color="auto" w:fill="C6EFCE"/>
          </w:tcPr>
          <w:p w14:paraId="50B4BA18" w14:textId="77777777" w:rsidR="003B5F50" w:rsidRDefault="000D2D85">
            <w:pPr>
              <w:pStyle w:val="P68B1DB1-Normal43"/>
              <w:spacing w:after="0" w:line="259" w:lineRule="auto"/>
              <w:rPr>
                <w:rFonts w:eastAsia="Times New Roman"/>
                <w:noProof/>
              </w:rPr>
            </w:pPr>
            <w:r>
              <w:rPr>
                <w:noProof/>
              </w:rPr>
              <w:t xml:space="preserve">Évaluation préalable des projets d’investissement public réalisée conformément à la méthodologie adoptée </w:t>
            </w:r>
          </w:p>
        </w:tc>
        <w:tc>
          <w:tcPr>
            <w:tcW w:w="992" w:type="dxa"/>
            <w:shd w:val="clear" w:color="auto" w:fill="C6EFCE"/>
          </w:tcPr>
          <w:p w14:paraId="50B4BA19" w14:textId="77777777" w:rsidR="003B5F50" w:rsidRDefault="000D2D85">
            <w:pPr>
              <w:pStyle w:val="P68B1DB1-Normal42"/>
              <w:spacing w:after="0" w:line="259" w:lineRule="auto"/>
              <w:rPr>
                <w:rFonts w:eastAsia="Times New Roman"/>
                <w:noProof/>
                <w:szCs w:val="20"/>
              </w:rPr>
            </w:pPr>
            <w:r>
              <w:rPr>
                <w:noProof/>
              </w:rPr>
              <w:t xml:space="preserve"> </w:t>
            </w:r>
          </w:p>
        </w:tc>
        <w:tc>
          <w:tcPr>
            <w:tcW w:w="1418" w:type="dxa"/>
            <w:shd w:val="clear" w:color="auto" w:fill="C6EFCE"/>
          </w:tcPr>
          <w:p w14:paraId="50B4BA1A" w14:textId="77777777" w:rsidR="003B5F50" w:rsidRDefault="000D2D85">
            <w:pPr>
              <w:pStyle w:val="P68B1DB1-Normal42"/>
              <w:spacing w:after="0" w:line="259" w:lineRule="auto"/>
              <w:rPr>
                <w:rFonts w:eastAsia="Times New Roman"/>
                <w:noProof/>
                <w:szCs w:val="20"/>
              </w:rPr>
            </w:pPr>
            <w:r>
              <w:rPr>
                <w:noProof/>
              </w:rPr>
              <w:t xml:space="preserve"> </w:t>
            </w:r>
          </w:p>
        </w:tc>
        <w:tc>
          <w:tcPr>
            <w:tcW w:w="1275" w:type="dxa"/>
            <w:shd w:val="clear" w:color="auto" w:fill="C6EFCE"/>
          </w:tcPr>
          <w:p w14:paraId="50B4BA1B" w14:textId="77777777" w:rsidR="003B5F50" w:rsidRDefault="000D2D85">
            <w:pPr>
              <w:pStyle w:val="P68B1DB1-Normal42"/>
              <w:spacing w:after="0" w:line="259" w:lineRule="auto"/>
              <w:rPr>
                <w:rFonts w:eastAsia="Times New Roman"/>
                <w:noProof/>
                <w:szCs w:val="20"/>
              </w:rPr>
            </w:pPr>
            <w:r>
              <w:rPr>
                <w:noProof/>
              </w:rPr>
              <w:t xml:space="preserve"> </w:t>
            </w:r>
          </w:p>
        </w:tc>
        <w:tc>
          <w:tcPr>
            <w:tcW w:w="1134" w:type="dxa"/>
            <w:shd w:val="clear" w:color="auto" w:fill="C6EFCE"/>
          </w:tcPr>
          <w:p w14:paraId="50B4BA1C" w14:textId="77777777" w:rsidR="003B5F50" w:rsidRDefault="000D2D85">
            <w:pPr>
              <w:pStyle w:val="P68B1DB1-Normal42"/>
              <w:spacing w:after="0" w:line="259" w:lineRule="auto"/>
              <w:rPr>
                <w:rFonts w:eastAsia="Times New Roman"/>
                <w:noProof/>
                <w:szCs w:val="20"/>
              </w:rPr>
            </w:pPr>
            <w:r>
              <w:rPr>
                <w:noProof/>
              </w:rPr>
              <w:t>T2</w:t>
            </w:r>
          </w:p>
        </w:tc>
        <w:tc>
          <w:tcPr>
            <w:tcW w:w="1800" w:type="dxa"/>
            <w:shd w:val="clear" w:color="auto" w:fill="C6EFCE"/>
          </w:tcPr>
          <w:p w14:paraId="50B4BA1D" w14:textId="77777777" w:rsidR="003B5F50" w:rsidRDefault="000D2D85">
            <w:pPr>
              <w:pStyle w:val="P68B1DB1-Normal42"/>
              <w:spacing w:after="0" w:line="259" w:lineRule="auto"/>
              <w:rPr>
                <w:rFonts w:eastAsia="Times New Roman"/>
                <w:noProof/>
                <w:szCs w:val="20"/>
              </w:rPr>
            </w:pPr>
            <w:r>
              <w:rPr>
                <w:noProof/>
              </w:rPr>
              <w:t>2026</w:t>
            </w:r>
          </w:p>
        </w:tc>
        <w:tc>
          <w:tcPr>
            <w:tcW w:w="1561" w:type="dxa"/>
            <w:shd w:val="clear" w:color="auto" w:fill="C6EFCE"/>
          </w:tcPr>
          <w:p w14:paraId="50B4BA1E" w14:textId="77777777" w:rsidR="003B5F50" w:rsidRDefault="000D2D85">
            <w:pPr>
              <w:pStyle w:val="P68B1DB1-Normal43"/>
              <w:spacing w:after="0" w:line="259" w:lineRule="auto"/>
              <w:rPr>
                <w:rFonts w:eastAsia="Times New Roman"/>
                <w:noProof/>
              </w:rPr>
            </w:pPr>
            <w:r>
              <w:rPr>
                <w:noProof/>
              </w:rPr>
              <w:t xml:space="preserve">L’évaluation préalable de tous les nouveaux projets d’investissement public d’un montant supérieur à 40 millions d’EUR (ou 10 millions d’EUR dans le secteur des technologies de l’information) est effectuée conformément à la méthodologie harmonisée publiée. </w:t>
            </w:r>
          </w:p>
          <w:p w14:paraId="50B4BA1F" w14:textId="77777777" w:rsidR="003B5F50" w:rsidRDefault="003B5F50">
            <w:pPr>
              <w:spacing w:after="0" w:line="259" w:lineRule="auto"/>
              <w:rPr>
                <w:rFonts w:ascii="Times New Roman" w:eastAsia="MS Mincho" w:hAnsi="Times New Roman" w:cs="Arial"/>
                <w:noProof/>
                <w:color w:val="006100"/>
                <w:sz w:val="20"/>
                <w:szCs w:val="20"/>
              </w:rPr>
            </w:pPr>
          </w:p>
          <w:p w14:paraId="50B4BA20" w14:textId="57E98CF5" w:rsidR="003B5F50" w:rsidRDefault="000D2D85">
            <w:pPr>
              <w:pStyle w:val="P68B1DB1-Normal43"/>
              <w:spacing w:after="0" w:line="259" w:lineRule="auto"/>
              <w:rPr>
                <w:rFonts w:eastAsia="Times New Roman"/>
                <w:noProof/>
              </w:rPr>
            </w:pPr>
            <w:r>
              <w:rPr>
                <w:noProof/>
              </w:rPr>
              <w:t xml:space="preserve">Les évaluations sont effectuées au niveau central par le ministère des finances et publiées. </w:t>
            </w:r>
          </w:p>
          <w:p w14:paraId="50B4BA21" w14:textId="77777777" w:rsidR="003B5F50" w:rsidRDefault="003B5F50">
            <w:pPr>
              <w:spacing w:after="0" w:line="259" w:lineRule="auto"/>
              <w:rPr>
                <w:rFonts w:ascii="Times New Roman" w:eastAsia="Times New Roman" w:hAnsi="Times New Roman" w:cs="Arial"/>
                <w:noProof/>
                <w:color w:val="006100"/>
                <w:sz w:val="20"/>
                <w:szCs w:val="20"/>
              </w:rPr>
            </w:pPr>
          </w:p>
          <w:p w14:paraId="50B4BA22" w14:textId="77777777" w:rsidR="003B5F50" w:rsidRDefault="000D2D85">
            <w:pPr>
              <w:pStyle w:val="P68B1DB1-Normal43"/>
              <w:spacing w:after="0" w:line="259" w:lineRule="auto"/>
              <w:rPr>
                <w:rFonts w:eastAsia="Times New Roman"/>
                <w:noProof/>
              </w:rPr>
            </w:pPr>
            <w:r>
              <w:rPr>
                <w:noProof/>
              </w:rPr>
              <w:t>La mise en œuvre est documentée au moyen de la législation adoptée et de la méthodologie publiée, conformément aux principes d’optimisation des ressources.</w:t>
            </w:r>
          </w:p>
        </w:tc>
      </w:tr>
    </w:tbl>
    <w:p w14:paraId="50B4BA24" w14:textId="77777777" w:rsidR="003B5F50" w:rsidRDefault="003B5F50">
      <w:pPr>
        <w:rPr>
          <w:noProof/>
        </w:rPr>
      </w:pPr>
    </w:p>
    <w:p w14:paraId="50B4BA25" w14:textId="77777777" w:rsidR="003B5F50" w:rsidRDefault="003B5F50">
      <w:pPr>
        <w:spacing w:after="0" w:line="240" w:lineRule="auto"/>
        <w:jc w:val="both"/>
        <w:rPr>
          <w:rFonts w:ascii="Times New Roman" w:eastAsia="MS Mincho" w:hAnsi="Times New Roman" w:cs="Arial"/>
          <w:b/>
          <w:i/>
          <w:noProof/>
          <w:szCs w:val="22"/>
        </w:rPr>
        <w:sectPr w:rsidR="003B5F50" w:rsidSect="003E3DD3">
          <w:headerReference w:type="even" r:id="rId227"/>
          <w:headerReference w:type="default" r:id="rId228"/>
          <w:footerReference w:type="even" r:id="rId229"/>
          <w:footerReference w:type="default" r:id="rId230"/>
          <w:headerReference w:type="first" r:id="rId231"/>
          <w:footerReference w:type="first" r:id="rId232"/>
          <w:pgSz w:w="15840" w:h="12240" w:orient="landscape"/>
          <w:pgMar w:top="1134" w:right="1134" w:bottom="1134" w:left="1134" w:header="567" w:footer="567" w:gutter="0"/>
          <w:cols w:space="720"/>
          <w:docGrid w:linePitch="360"/>
        </w:sectPr>
      </w:pPr>
    </w:p>
    <w:p w14:paraId="50B4BA26" w14:textId="77777777" w:rsidR="003B5F50" w:rsidRDefault="000D2D85">
      <w:pPr>
        <w:pStyle w:val="P68B1DB1-Heading21"/>
        <w:spacing w:before="40" w:after="0" w:line="257" w:lineRule="auto"/>
        <w:rPr>
          <w:bCs/>
          <w:noProof/>
        </w:rPr>
      </w:pPr>
      <w:r>
        <w:rPr>
          <w:noProof/>
        </w:rPr>
        <w:t>Élément 19: REPowerEU</w:t>
      </w:r>
    </w:p>
    <w:p w14:paraId="50B4BA27" w14:textId="77777777" w:rsidR="003B5F50" w:rsidRDefault="000D2D85">
      <w:pPr>
        <w:pStyle w:val="P68B1DB1-Normal36"/>
        <w:spacing w:before="120" w:after="120" w:line="240" w:lineRule="auto"/>
        <w:jc w:val="both"/>
        <w:rPr>
          <w:bCs/>
          <w:noProof/>
        </w:rPr>
      </w:pPr>
      <w:r>
        <w:rPr>
          <w:noProof/>
        </w:rPr>
        <w:t xml:space="preserve">L’objectif du volet REPowerEU du plan slovaque pour la reprise et la résilience est de réduire la dépendance globale à l’égard des importations de combustibles fossiles en provenance de Russie et d’accroître la sécurité énergétique. En particulier, les investissements dans les infrastructures énergétiques, ainsi que les mesures relatives aux procédures d’autorisation, à l’efficacité énergétique des bâtiments, aux transports à émissions nulles et à la promotion des compétences vertes, devraient contribuer à réduire la dépendance à l’égard des combustibles fossiles et à intégrer plus rapidement et plus largement les énergies renouvelables dans le bouquet énergétique slovaque. </w:t>
      </w:r>
    </w:p>
    <w:p w14:paraId="50B4BA28" w14:textId="77777777" w:rsidR="003B5F50" w:rsidRDefault="000D2D85">
      <w:pPr>
        <w:pStyle w:val="P68B1DB1-Normal36"/>
        <w:spacing w:before="120" w:after="120" w:line="240" w:lineRule="auto"/>
        <w:jc w:val="both"/>
        <w:rPr>
          <w:bCs/>
          <w:noProof/>
        </w:rPr>
      </w:pPr>
      <w:r>
        <w:rPr>
          <w:noProof/>
        </w:rPr>
        <w:t xml:space="preserve">Sur les 14 mesures du chapitre slovaque REPowerEU, huit ont une dimension transfrontière. L’investissement le plus important ayant une dimension transfrontière ou multinationale concerne la modernisation et la numérisation des réseaux de transport et de distribution d’électricité (investissement 1), dans le but de moderniser 250 km de lignes de transport afin de contribuer au maintien du transport de l’électricité produite à partir d’énergies renouvelables dans toute l’Europe. Les mesures visant à accroître l’efficacité énergétique dans les rénovations de bâtiments, y compris la restauration de bâtiments historiques ou la rénovation de ménages unifamiliaux, ont également une dimension transfrontière pertinente, étant donné qu’elles devraient contribuer à réduire la demande de combustibles fossiles importés. Les mesures visant à accroître l’efficacité énergétique dans les rénovations de bâtiments (investissement 3), y compris la restauration de bâtiments historiques ou la rénovation de maisons unifamiliales, ont également une dimension transfrontière pertinente, étant donné qu’elles devraient contribuer à réduire la demande de combustibles fossiles importés. </w:t>
      </w:r>
    </w:p>
    <w:p w14:paraId="50B4BA29" w14:textId="77777777" w:rsidR="003B5F50" w:rsidRDefault="000D2D85">
      <w:pPr>
        <w:pStyle w:val="P68B1DB1-Normal36"/>
        <w:spacing w:before="120" w:after="120" w:line="240" w:lineRule="auto"/>
        <w:jc w:val="both"/>
        <w:rPr>
          <w:bCs/>
          <w:noProof/>
        </w:rPr>
      </w:pPr>
      <w:r>
        <w:rPr>
          <w:noProof/>
        </w:rPr>
        <w:t xml:space="preserve">Le chapitre REPowerEU contribue à donner suite aux recommandations visant à accroître les investissements publics dans les transitions écologique et numérique et la sécurité énergétique, ainsi qu’à la recommandation relative à la réduction de la dépendance globale à l’égard des combustibles fossiles et à la diversification des importations d’énergie. Plus précisément, dans le cadre des domaines thématiques 1 et 2, la mise en œuvre du chapitre REPowerEU devrait accélérer le déploiement des sources d’énergie renouvelables en simplifiant l’accès au réseau, en rationalisant et en simplifiant les procédures d’autorisation et les procédures administratives, en modernisant le système électrique, ainsi qu’en adaptant, en accélérant et en soutenant les rénovations des bâtiments. </w:t>
      </w:r>
    </w:p>
    <w:p w14:paraId="61D1BA78" w14:textId="77777777" w:rsidR="003B5F50" w:rsidRDefault="000D2D85">
      <w:pPr>
        <w:pStyle w:val="P68B1DB1-Normal36"/>
        <w:spacing w:before="120" w:after="120" w:line="240" w:lineRule="auto"/>
        <w:jc w:val="both"/>
        <w:rPr>
          <w:bCs/>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50B4BA2B" w14:textId="77777777" w:rsidR="003B5F50" w:rsidRDefault="000D2D85">
      <w:pPr>
        <w:pStyle w:val="P68B1DB1-Normal37"/>
        <w:spacing w:before="120" w:after="120" w:line="240" w:lineRule="auto"/>
        <w:jc w:val="both"/>
        <w:rPr>
          <w:i/>
          <w:noProof/>
          <w:color w:val="4F81BD"/>
        </w:rPr>
      </w:pPr>
      <w:r>
        <w:rPr>
          <w:noProof/>
        </w:rPr>
        <w:t xml:space="preserve">A.1. </w:t>
      </w:r>
      <w:r>
        <w:rPr>
          <w:noProof/>
        </w:rPr>
        <w:tab/>
        <w:t>Description des réformes et des investissements pour le soutien financier non remboursable</w:t>
      </w:r>
    </w:p>
    <w:p w14:paraId="50B4BA2C" w14:textId="77777777" w:rsidR="003B5F50" w:rsidRDefault="000D2D85">
      <w:pPr>
        <w:pStyle w:val="P68B1DB1-Normal65"/>
        <w:spacing w:after="0" w:line="240" w:lineRule="auto"/>
        <w:jc w:val="both"/>
        <w:textAlignment w:val="baseline"/>
        <w:rPr>
          <w:rFonts w:eastAsia="Times New Roman"/>
          <w:noProof/>
          <w:color w:val="000000"/>
        </w:rPr>
      </w:pPr>
      <w:r>
        <w:rPr>
          <w:b/>
          <w:noProof/>
        </w:rPr>
        <w:t xml:space="preserve">Domaine thématique 1: Énergies renouvelables </w:t>
      </w:r>
      <w:r>
        <w:rPr>
          <w:b/>
          <w:noProof/>
          <w:color w:val="000000"/>
        </w:rPr>
        <w:t>et procédures d'autorisation</w:t>
      </w:r>
      <w:r>
        <w:rPr>
          <w:noProof/>
          <w:color w:val="000000"/>
        </w:rPr>
        <w:t> </w:t>
      </w:r>
    </w:p>
    <w:p w14:paraId="50B4BA2D" w14:textId="77777777" w:rsidR="003B5F50" w:rsidRDefault="003B5F50">
      <w:pPr>
        <w:spacing w:after="0" w:line="240" w:lineRule="auto"/>
        <w:jc w:val="both"/>
        <w:textAlignment w:val="baseline"/>
        <w:rPr>
          <w:rFonts w:ascii="Segoe UI" w:eastAsia="Times New Roman" w:hAnsi="Segoe UI" w:cs="Segoe UI"/>
          <w:noProof/>
          <w:sz w:val="18"/>
          <w:szCs w:val="18"/>
        </w:rPr>
      </w:pPr>
    </w:p>
    <w:p w14:paraId="50B4BA2E" w14:textId="77777777" w:rsidR="003B5F50" w:rsidRDefault="000D2D85">
      <w:pPr>
        <w:pStyle w:val="P68B1DB1-Normal66"/>
        <w:spacing w:after="240" w:line="240" w:lineRule="auto"/>
        <w:jc w:val="both"/>
        <w:textAlignment w:val="baseline"/>
        <w:rPr>
          <w:rFonts w:eastAsia="Times New Roman"/>
          <w:noProof/>
        </w:rPr>
      </w:pPr>
      <w:r>
        <w:rPr>
          <w:noProof/>
        </w:rPr>
        <w:t>Ce domaine thématique comprend deux réformes, la première portant sur la promotion de l’énergie durable et la seconde sur le soutien à la transition écologique dans le domaine des énergies renouvelables. L’objectif de ces réformes est de simplifier les procédures d’autorisation et les procédures administratives pour la poursuite du développement des sources d’énergie renouvelables, y compris la numérisation des processus et la création de zones pilotes propices au développement de l’énergie éolienne. La réforme comprend également la nécessaire mise à niveau des compétences et le renforcement des capacités administratives, tous deux nécessaires pour remédier aux goulets d’étranglement liés au déploiement des sources d’énergie renouvelables.</w:t>
      </w:r>
    </w:p>
    <w:p w14:paraId="50B4BA2F" w14:textId="77777777" w:rsidR="003B5F50" w:rsidRDefault="000D2D85">
      <w:pPr>
        <w:pStyle w:val="P68B1DB1-Normal66"/>
        <w:spacing w:after="240" w:line="240" w:lineRule="auto"/>
        <w:jc w:val="both"/>
        <w:textAlignment w:val="baseline"/>
        <w:rPr>
          <w:rFonts w:eastAsia="Arial Narrow"/>
          <w:noProof/>
        </w:rPr>
      </w:pPr>
      <w:r>
        <w:rPr>
          <w:noProof/>
        </w:rPr>
        <w:t>L’objectif des investissements est de poursuivre le développement et la modernisation du réseau de transport d’électricité et des réseaux de distribution régionaux, permettant ainsi d’accroître la capacité technique en vue d’une intégration accélérée des énergies renouvelables à petite et à grande échelle dans le réseau. L’investissement dans le centre de données sur l’énergie devrait permettre l’intégration de nouveaux acteurs du marché dans le marché slovaque de l’énergie, en particulier dans le domaine des investissements dans les énergies renouvelables.</w:t>
      </w:r>
    </w:p>
    <w:p w14:paraId="4270FD92" w14:textId="77777777" w:rsidR="003B5F50" w:rsidRDefault="000D2D85">
      <w:pPr>
        <w:pStyle w:val="P68B1DB1-Normal65"/>
        <w:rPr>
          <w:b/>
          <w:noProof/>
        </w:rPr>
      </w:pPr>
      <w:r>
        <w:rPr>
          <w:noProof/>
        </w:rPr>
        <w:br w:type="page"/>
      </w:r>
    </w:p>
    <w:p w14:paraId="50B4BA30" w14:textId="3260B0F2" w:rsidR="003B5F50" w:rsidRDefault="000D2D85">
      <w:pPr>
        <w:pStyle w:val="P68B1DB1-Normal37"/>
        <w:spacing w:after="0" w:line="240" w:lineRule="auto"/>
        <w:jc w:val="both"/>
        <w:textAlignment w:val="baseline"/>
        <w:rPr>
          <w:rFonts w:eastAsia="Times New Roman"/>
          <w:bCs/>
          <w:noProof/>
        </w:rPr>
      </w:pPr>
      <w:r>
        <w:rPr>
          <w:noProof/>
        </w:rPr>
        <w:t xml:space="preserve">Composante 19 - Réforme 1: Promouvoir l'énergie durable </w:t>
      </w:r>
    </w:p>
    <w:p w14:paraId="50B4BA31" w14:textId="77777777" w:rsidR="003B5F50" w:rsidRDefault="003B5F50">
      <w:pPr>
        <w:spacing w:after="0" w:line="240" w:lineRule="auto"/>
        <w:jc w:val="both"/>
        <w:textAlignment w:val="baseline"/>
        <w:rPr>
          <w:rFonts w:ascii="Times New Roman" w:eastAsia="Times New Roman" w:hAnsi="Times New Roman" w:cs="Arial"/>
          <w:b/>
          <w:bCs/>
          <w:noProof/>
          <w:u w:val="single"/>
        </w:rPr>
      </w:pPr>
    </w:p>
    <w:p w14:paraId="50B4BA32" w14:textId="77777777" w:rsidR="003B5F50" w:rsidRDefault="000D2D85">
      <w:pPr>
        <w:pStyle w:val="P68B1DB1-Normal36"/>
        <w:spacing w:line="240" w:lineRule="auto"/>
        <w:jc w:val="both"/>
        <w:rPr>
          <w:rFonts w:eastAsia="Times New Roman"/>
          <w:b/>
          <w:noProof/>
          <w:color w:val="0078D4"/>
        </w:rPr>
      </w:pPr>
      <w:r>
        <w:rPr>
          <w:noProof/>
        </w:rPr>
        <w:t xml:space="preserve">La réforme comprend six sous-mesures visant à créer un environnement propice à la mise en œuvre rapide et efficace de la substitution des combustibles fossiles en Slovaquie, au moyen de projets dans les domaines des énergies renouvelables et de la décarbonation. </w:t>
      </w:r>
    </w:p>
    <w:p w14:paraId="50B4BA33" w14:textId="77777777" w:rsidR="003B5F50" w:rsidRDefault="000D2D85">
      <w:pPr>
        <w:pStyle w:val="P68B1DB1-Normal67"/>
        <w:spacing w:line="259" w:lineRule="auto"/>
        <w:rPr>
          <w:rFonts w:eastAsia="Times New Roman"/>
          <w:iCs/>
          <w:noProof/>
          <w:color w:val="0078D4"/>
        </w:rPr>
      </w:pPr>
      <w:bookmarkStart w:id="8" w:name="_Hlk134290698"/>
      <w:r>
        <w:rPr>
          <w:noProof/>
        </w:rPr>
        <w:t>C19.R1. Sous-mesure 1</w:t>
      </w:r>
      <w:bookmarkEnd w:id="8"/>
      <w:r>
        <w:rPr>
          <w:noProof/>
        </w:rPr>
        <w:t>: Modifications législatives et procédurales visant à accélérer la délivrance des permis environnementaux </w:t>
      </w:r>
    </w:p>
    <w:p w14:paraId="50B4BA34" w14:textId="77777777" w:rsidR="003B5F50" w:rsidRDefault="000D2D85">
      <w:pPr>
        <w:pStyle w:val="P68B1DB1-Normal20"/>
        <w:spacing w:after="0" w:line="240" w:lineRule="auto"/>
        <w:jc w:val="both"/>
        <w:textAlignment w:val="baseline"/>
        <w:rPr>
          <w:rFonts w:eastAsia="MS Mincho" w:cs="Arial"/>
          <w:noProof/>
        </w:rPr>
      </w:pPr>
      <w:r>
        <w:rPr>
          <w:noProof/>
        </w:rPr>
        <w:t>L’objectif de cette sous-mesure est de simplifier et d’accélérer les procédures d’évaluation environnementale des projets d’énergie renouvelable proposés ou modifiés au titre de la législation pertinente. La mesure consiste en l’adoption de modifications législatives mettant en œuvre des procédures rationalisées pour les projets proposés ou leurs modifications dans le domaine des énergies renouvelables.</w:t>
      </w:r>
    </w:p>
    <w:p w14:paraId="50B4BA35" w14:textId="77777777" w:rsidR="003B5F50" w:rsidRDefault="003B5F50">
      <w:pPr>
        <w:spacing w:after="0" w:line="240" w:lineRule="auto"/>
        <w:jc w:val="both"/>
        <w:textAlignment w:val="baseline"/>
        <w:rPr>
          <w:rFonts w:ascii="Times New Roman" w:eastAsia="Arial Narrow" w:hAnsi="Times New Roman" w:cs="Arial"/>
          <w:noProof/>
        </w:rPr>
      </w:pPr>
    </w:p>
    <w:p w14:paraId="50B4BA36" w14:textId="77777777" w:rsidR="003B5F50" w:rsidRDefault="000D2D85">
      <w:pPr>
        <w:pStyle w:val="P68B1DB1-Normal68"/>
        <w:spacing w:after="0" w:line="240" w:lineRule="auto"/>
        <w:jc w:val="both"/>
        <w:rPr>
          <w:rFonts w:eastAsia="Times New Roman"/>
          <w:bCs/>
          <w:iCs/>
          <w:noProof/>
        </w:rPr>
      </w:pPr>
      <w:r>
        <w:rPr>
          <w:noProof/>
        </w:rPr>
        <w:t>C19.R1. Sous-mesure 2: Améliorer l'utilisation de l'énergie géothermique</w:t>
      </w:r>
    </w:p>
    <w:p w14:paraId="50B4BA37" w14:textId="77777777" w:rsidR="003B5F50" w:rsidRDefault="003B5F50">
      <w:pPr>
        <w:spacing w:after="0" w:line="240" w:lineRule="auto"/>
        <w:jc w:val="both"/>
        <w:rPr>
          <w:rFonts w:ascii="Times New Roman" w:eastAsia="Times New Roman" w:hAnsi="Times New Roman" w:cs="Arial"/>
          <w:b/>
          <w:bCs/>
          <w:noProof/>
          <w:color w:val="000000"/>
        </w:rPr>
      </w:pPr>
    </w:p>
    <w:p w14:paraId="50B4BA38" w14:textId="40E44E23" w:rsidR="003B5F50" w:rsidRDefault="000D2D85">
      <w:pPr>
        <w:pStyle w:val="P68B1DB1-Normal35"/>
        <w:spacing w:before="120" w:after="120" w:line="240" w:lineRule="auto"/>
        <w:jc w:val="both"/>
        <w:rPr>
          <w:noProof/>
        </w:rPr>
      </w:pPr>
      <w:r>
        <w:rPr>
          <w:noProof/>
        </w:rPr>
        <w:t xml:space="preserve">L’objectif de cette sous-mesure est d’améliorer l’utilisation de l’énergie géothermique en Slovaquie. La sous-mesure consiste à mettre en œuvre le «passeportage» des puits géothermiques afin de déterminer leur potentiel géothermique. </w:t>
      </w:r>
    </w:p>
    <w:p w14:paraId="50B4BA39" w14:textId="77777777" w:rsidR="003B5F50" w:rsidRDefault="003B5F50">
      <w:pPr>
        <w:spacing w:after="0" w:line="240" w:lineRule="auto"/>
        <w:jc w:val="both"/>
        <w:rPr>
          <w:rFonts w:ascii="Times New Roman" w:eastAsia="Times New Roman" w:hAnsi="Times New Roman" w:cs="Arial"/>
          <w:b/>
          <w:bCs/>
          <w:noProof/>
          <w:color w:val="000000"/>
        </w:rPr>
      </w:pPr>
    </w:p>
    <w:p w14:paraId="50B4BA3A" w14:textId="77777777" w:rsidR="003B5F50" w:rsidRDefault="000D2D85">
      <w:pPr>
        <w:pStyle w:val="P68B1DB1-Normal67"/>
        <w:spacing w:after="0" w:line="240" w:lineRule="auto"/>
        <w:jc w:val="both"/>
        <w:rPr>
          <w:rFonts w:eastAsia="Times New Roman"/>
          <w:bCs/>
          <w:iCs/>
          <w:noProof/>
          <w:color w:val="000000"/>
        </w:rPr>
      </w:pPr>
      <w:r>
        <w:rPr>
          <w:noProof/>
        </w:rPr>
        <w:t xml:space="preserve">C19.R1. </w:t>
      </w:r>
      <w:r>
        <w:rPr>
          <w:noProof/>
          <w:color w:val="000000"/>
        </w:rPr>
        <w:t>Sous-mesure 3: Support de pompe à chaleur</w:t>
      </w:r>
    </w:p>
    <w:p w14:paraId="50B4BA3B" w14:textId="77777777" w:rsidR="003B5F50" w:rsidRDefault="003B5F50">
      <w:pPr>
        <w:spacing w:after="0" w:line="240" w:lineRule="auto"/>
        <w:jc w:val="both"/>
        <w:rPr>
          <w:rFonts w:ascii="Times New Roman" w:eastAsia="Times New Roman" w:hAnsi="Times New Roman" w:cs="Arial"/>
          <w:b/>
          <w:bCs/>
          <w:noProof/>
          <w:color w:val="000000"/>
        </w:rPr>
      </w:pPr>
    </w:p>
    <w:p w14:paraId="50B4BA3C" w14:textId="537DCADC" w:rsidR="003B5F50" w:rsidRDefault="000D2D85">
      <w:pPr>
        <w:pStyle w:val="P68B1DB1-Normal35"/>
        <w:spacing w:line="240" w:lineRule="auto"/>
        <w:jc w:val="both"/>
        <w:rPr>
          <w:noProof/>
        </w:rPr>
      </w:pPr>
      <w:r>
        <w:rPr>
          <w:noProof/>
        </w:rPr>
        <w:t xml:space="preserve">L’objectif de cette sous-mesure est de soutenir le déploiement d’investissements dans les pompes à chaleur eau-eau. Cette mesure consiste en l’adoption d’une modification de la législation introduisant une exemption de l’obligation de payer une redevance pour l’utilisation des eaux souterraines (à l’exception des eaux géothermiques) pour la consommation d’énergie des pompes à chaleur eau-eau. </w:t>
      </w:r>
    </w:p>
    <w:p w14:paraId="50B4BA3D" w14:textId="77777777" w:rsidR="003B5F50" w:rsidRDefault="000D2D85">
      <w:pPr>
        <w:pStyle w:val="P68B1DB1-Normal69"/>
        <w:spacing w:after="0" w:line="240" w:lineRule="auto"/>
        <w:jc w:val="both"/>
        <w:rPr>
          <w:rFonts w:eastAsia="Times New Roman"/>
          <w:bCs/>
          <w:iCs/>
          <w:noProof/>
        </w:rPr>
      </w:pPr>
      <w:r>
        <w:rPr>
          <w:noProof/>
        </w:rPr>
        <w:t>C19.R1. Sous-mesure 4: Création d’un centre MTD et fourniture de documents de référence MTD </w:t>
      </w:r>
    </w:p>
    <w:p w14:paraId="50B4BA3E" w14:textId="77777777" w:rsidR="003B5F50" w:rsidRDefault="003B5F50">
      <w:pPr>
        <w:spacing w:after="0" w:line="240" w:lineRule="auto"/>
        <w:jc w:val="both"/>
        <w:rPr>
          <w:rFonts w:ascii="Times New Roman" w:eastAsia="Times New Roman" w:hAnsi="Times New Roman" w:cs="Arial"/>
          <w:noProof/>
        </w:rPr>
      </w:pPr>
    </w:p>
    <w:p w14:paraId="50B4BA3F" w14:textId="77777777" w:rsidR="003B5F50" w:rsidRDefault="000D2D85">
      <w:pPr>
        <w:pStyle w:val="P68B1DB1-Normal35"/>
        <w:spacing w:after="0" w:line="240" w:lineRule="auto"/>
        <w:jc w:val="both"/>
        <w:rPr>
          <w:noProof/>
        </w:rPr>
      </w:pPr>
      <w:r>
        <w:rPr>
          <w:noProof/>
        </w:rPr>
        <w:t>L’objectif de cette sous-mesure est d’établir une compétence nationale pour les meilleures technologies disponibles (MTD) afin de renforcer le partage des connaissances et la coordination en ce qui concerne les techniques et technologies innovantes pour la décarbonation, l’efficacité énergétique et la protection de l’environnement. Il s’agit de gérer le programme MTD et de donner accès aux informations pertinentes, telles que les documents de référence MTD (BREF), afin de soutenir la diversification énergétique, la décarbonation de l’industrie et les initiatives en faveur de l’économie circulaire.</w:t>
      </w:r>
    </w:p>
    <w:p w14:paraId="50B4BA40" w14:textId="77777777" w:rsidR="003B5F50" w:rsidRDefault="003B5F50">
      <w:pPr>
        <w:spacing w:after="0" w:line="240" w:lineRule="auto"/>
        <w:jc w:val="both"/>
        <w:rPr>
          <w:rFonts w:ascii="Times New Roman" w:eastAsia="MS Mincho" w:hAnsi="Times New Roman" w:cs="Arial"/>
          <w:noProof/>
          <w:szCs w:val="22"/>
        </w:rPr>
      </w:pPr>
    </w:p>
    <w:p w14:paraId="50B4BA41" w14:textId="77777777" w:rsidR="003B5F50" w:rsidRDefault="000D2D85">
      <w:pPr>
        <w:pStyle w:val="P68B1DB1-Normal69"/>
        <w:spacing w:after="0" w:line="240" w:lineRule="auto"/>
        <w:jc w:val="both"/>
        <w:rPr>
          <w:rFonts w:eastAsia="Times New Roman"/>
          <w:iCs/>
          <w:noProof/>
          <w:color w:val="000000"/>
        </w:rPr>
      </w:pPr>
      <w:r>
        <w:rPr>
          <w:noProof/>
        </w:rPr>
        <w:t>C19.R1. Sous-mesure 5</w:t>
      </w:r>
      <w:r>
        <w:rPr>
          <w:noProof/>
          <w:color w:val="000000"/>
        </w:rPr>
        <w:t>: Préparation d’une évaluation des trajectoires d’utilisation durable et d’approvisionnement en biomasse en Slovaquie pour la période 2025-2035</w:t>
      </w:r>
      <w:r>
        <w:rPr>
          <w:noProof/>
          <w:color w:val="000000"/>
          <w:szCs w:val="22"/>
        </w:rPr>
        <w:br/>
      </w:r>
    </w:p>
    <w:p w14:paraId="50B4BA42" w14:textId="77777777" w:rsidR="003B5F50" w:rsidRDefault="000D2D85">
      <w:pPr>
        <w:pStyle w:val="P68B1DB1-Normal70"/>
        <w:spacing w:after="0" w:line="240" w:lineRule="auto"/>
        <w:jc w:val="both"/>
        <w:rPr>
          <w:rFonts w:eastAsia="Times New Roman"/>
          <w:noProof/>
          <w:color w:val="000000"/>
        </w:rPr>
      </w:pPr>
      <w:r>
        <w:rPr>
          <w:noProof/>
        </w:rPr>
        <w:t xml:space="preserve">L’objectif de cette sous-mesure est de promouvoir le développement d’une utilisation durable de la biomasse à des fins énergétiques et d’évaluer les volumes et les ressources de biomasse durables disponibles en Slovaquie. La sous-mesure consiste en la publication d’une évaluation des trajectoires d’utilisation durable de la biomasse en Slovaquie et de ses incidences sur les puits d’utilisation des terres, de changement d’affectation des terres et de foresterie (UTCATF) et sur la biodiversité pour la période allant jusqu’en 2035. </w:t>
      </w:r>
    </w:p>
    <w:p w14:paraId="74557E06" w14:textId="77777777" w:rsidR="003B5F50" w:rsidRDefault="000D2D85">
      <w:pPr>
        <w:pStyle w:val="P68B1DB1-Normal36"/>
        <w:rPr>
          <w:b/>
          <w:i/>
          <w:noProof/>
        </w:rPr>
      </w:pPr>
      <w:r>
        <w:rPr>
          <w:noProof/>
        </w:rPr>
        <w:br w:type="page"/>
      </w:r>
    </w:p>
    <w:p w14:paraId="50B4BA43" w14:textId="03BC92B9" w:rsidR="003B5F50" w:rsidRDefault="000D2D85">
      <w:pPr>
        <w:pStyle w:val="P68B1DB1-Normal67"/>
        <w:spacing w:before="240" w:after="0" w:line="240" w:lineRule="auto"/>
        <w:jc w:val="both"/>
        <w:rPr>
          <w:noProof/>
          <w:color w:val="000000"/>
        </w:rPr>
      </w:pPr>
      <w:r>
        <w:rPr>
          <w:noProof/>
        </w:rPr>
        <w:t xml:space="preserve">C19.R1. </w:t>
      </w:r>
      <w:r>
        <w:rPr>
          <w:noProof/>
          <w:color w:val="000000"/>
        </w:rPr>
        <w:t>Sous-mesure 6: Développer et promouvoir la production de biométhane durable, d’engrais organiques et la bioéconomie circulaire </w:t>
      </w:r>
    </w:p>
    <w:p w14:paraId="50B4BA44" w14:textId="77777777" w:rsidR="003B5F50" w:rsidRDefault="003B5F50">
      <w:pPr>
        <w:spacing w:before="240" w:after="0" w:line="240" w:lineRule="auto"/>
        <w:jc w:val="both"/>
        <w:rPr>
          <w:rFonts w:ascii="Times New Roman" w:eastAsia="MS Mincho" w:hAnsi="Times New Roman" w:cs="Arial"/>
          <w:b/>
          <w:i/>
          <w:noProof/>
          <w:color w:val="000000"/>
          <w:szCs w:val="22"/>
        </w:rPr>
      </w:pPr>
    </w:p>
    <w:p w14:paraId="50B4BA45" w14:textId="422F7BA0" w:rsidR="003B5F50" w:rsidRDefault="000D2D85">
      <w:pPr>
        <w:pStyle w:val="P68B1DB1-Normal20"/>
        <w:spacing w:after="0" w:line="240" w:lineRule="auto"/>
        <w:jc w:val="both"/>
        <w:textAlignment w:val="baseline"/>
        <w:rPr>
          <w:rFonts w:eastAsia="MS Mincho" w:cs="Arial"/>
          <w:noProof/>
        </w:rPr>
      </w:pPr>
      <w:r>
        <w:rPr>
          <w:noProof/>
        </w:rPr>
        <w:t xml:space="preserve">L’objectif de cette sous-mesure est de définir le potentiel de production de biogaz et de biométhane de la Slovaquie. La sous-mesure consiste en la fourniture d’une carte complète du potentiel de production de biogaz et de biométhane, de catalogues technologiques, ainsi que d’une feuille de route pour la bioéconomie circulaire identifiant les domaines appropriés pour le développement d’une bioéconomie circulaire. Elle consiste également à introduire des mesures visant à supprimer les obstacles identifiés à l’autorisation et à la production ou à l’injection du biométhane dans le réseau. </w:t>
      </w:r>
    </w:p>
    <w:p w14:paraId="50B4BA46" w14:textId="77777777" w:rsidR="003B5F50" w:rsidRDefault="003B5F50">
      <w:pPr>
        <w:spacing w:after="0" w:line="240" w:lineRule="auto"/>
        <w:jc w:val="both"/>
        <w:textAlignment w:val="baseline"/>
        <w:rPr>
          <w:rFonts w:ascii="Times New Roman" w:eastAsia="MS Mincho" w:hAnsi="Times New Roman" w:cs="Arial"/>
          <w:noProof/>
        </w:rPr>
      </w:pPr>
    </w:p>
    <w:p w14:paraId="50B4BA47" w14:textId="6BA8FB44" w:rsidR="003B5F50" w:rsidRDefault="000D2D85">
      <w:pPr>
        <w:pStyle w:val="P68B1DB1-Normal37"/>
        <w:spacing w:after="0" w:line="240" w:lineRule="auto"/>
        <w:jc w:val="both"/>
        <w:textAlignment w:val="baseline"/>
        <w:rPr>
          <w:rFonts w:eastAsia="Times New Roman"/>
          <w:bCs/>
          <w:noProof/>
        </w:rPr>
      </w:pPr>
      <w:r>
        <w:rPr>
          <w:noProof/>
        </w:rPr>
        <w:t>Composante 19. Réforme 2: Soutenir la transition écologique dans les énergies renouvelables  </w:t>
      </w:r>
    </w:p>
    <w:p w14:paraId="50B4BA48" w14:textId="77777777" w:rsidR="003B5F50" w:rsidRDefault="003B5F50">
      <w:pPr>
        <w:spacing w:after="0" w:line="240" w:lineRule="auto"/>
        <w:jc w:val="both"/>
        <w:textAlignment w:val="baseline"/>
        <w:rPr>
          <w:rFonts w:ascii="Segoe UI" w:eastAsia="Times New Roman" w:hAnsi="Segoe UI" w:cs="Segoe UI"/>
          <w:noProof/>
          <w:sz w:val="18"/>
          <w:szCs w:val="18"/>
        </w:rPr>
      </w:pPr>
    </w:p>
    <w:p w14:paraId="50B4BA49" w14:textId="6EE9795B" w:rsidR="003B5F50" w:rsidRDefault="000D2D85">
      <w:pPr>
        <w:pStyle w:val="P68B1DB1-Normal71"/>
        <w:spacing w:line="240" w:lineRule="auto"/>
        <w:jc w:val="both"/>
        <w:rPr>
          <w:rFonts w:eastAsia="Times New Roman"/>
          <w:noProof/>
          <w:color w:val="000000"/>
        </w:rPr>
      </w:pPr>
      <w:r>
        <w:rPr>
          <w:noProof/>
        </w:rPr>
        <w:t xml:space="preserve">Cette réforme se compose de trois sous-mesures et d'un investissement comportant deux sous-parties. L'objectif de cette réforme est d'accélérer le déploiement de nouvelles sources d'énergie renouvelables en Slovaquie. </w:t>
      </w:r>
    </w:p>
    <w:p w14:paraId="50B4BA4A" w14:textId="77777777" w:rsidR="003B5F50" w:rsidRDefault="000D2D85">
      <w:pPr>
        <w:pStyle w:val="P68B1DB1-Normal67"/>
        <w:spacing w:after="0" w:line="240" w:lineRule="auto"/>
        <w:jc w:val="both"/>
        <w:textAlignment w:val="baseline"/>
        <w:rPr>
          <w:rFonts w:ascii="Segoe UI" w:eastAsia="Times New Roman" w:hAnsi="Segoe UI" w:cs="Segoe UI"/>
          <w:bCs/>
          <w:iCs/>
          <w:noProof/>
          <w:sz w:val="18"/>
          <w:szCs w:val="18"/>
        </w:rPr>
      </w:pPr>
      <w:r>
        <w:rPr>
          <w:noProof/>
        </w:rPr>
        <w:t>C19.R2. Sous-mesure 1: Développement de méthodologies et mise en place de zones pilotes propices au développement de l’énergie éolienne </w:t>
      </w:r>
    </w:p>
    <w:p w14:paraId="50B4BA4B" w14:textId="77777777" w:rsidR="003B5F50" w:rsidRDefault="003B5F50">
      <w:pPr>
        <w:spacing w:after="0" w:line="240" w:lineRule="auto"/>
        <w:jc w:val="both"/>
        <w:textAlignment w:val="baseline"/>
        <w:rPr>
          <w:rFonts w:ascii="Times New Roman" w:eastAsia="Times New Roman" w:hAnsi="Times New Roman" w:cs="Arial"/>
          <w:noProof/>
        </w:rPr>
      </w:pPr>
    </w:p>
    <w:p w14:paraId="50B4BA4C" w14:textId="77777777" w:rsidR="003B5F50" w:rsidRDefault="000D2D85">
      <w:pPr>
        <w:pStyle w:val="P68B1DB1-Normal35"/>
        <w:spacing w:line="240" w:lineRule="auto"/>
        <w:jc w:val="both"/>
        <w:textAlignment w:val="baseline"/>
        <w:rPr>
          <w:noProof/>
        </w:rPr>
      </w:pPr>
      <w:r>
        <w:rPr>
          <w:noProof/>
          <w:szCs w:val="22"/>
        </w:rPr>
        <w:t>L’objectif de la sous-mesure est d’accroître le potentiel d’investissement dans l’énergie éolienne en Slovaquie.</w:t>
      </w:r>
      <w:r>
        <w:rPr>
          <w:noProof/>
        </w:rPr>
        <w:t xml:space="preserve"> Cette mesure consiste à introduire des procédures d’autorisation simplifiées spécifiques pour le développement d’installations dans des «zones propices» et à mettre en place des «zones propices» pilotes.</w:t>
      </w:r>
    </w:p>
    <w:p w14:paraId="50B4BA4D" w14:textId="77777777" w:rsidR="003B5F50" w:rsidRDefault="003B5F50">
      <w:pPr>
        <w:spacing w:after="0" w:line="240" w:lineRule="auto"/>
        <w:jc w:val="both"/>
        <w:textAlignment w:val="baseline"/>
        <w:rPr>
          <w:rFonts w:ascii="Times New Roman" w:eastAsia="MS Mincho" w:hAnsi="Times New Roman" w:cs="Arial"/>
          <w:noProof/>
        </w:rPr>
      </w:pPr>
    </w:p>
    <w:p w14:paraId="50B4BA4E" w14:textId="77777777" w:rsidR="003B5F50" w:rsidRDefault="000D2D85">
      <w:pPr>
        <w:pStyle w:val="P68B1DB1-Normal72"/>
        <w:spacing w:after="0"/>
        <w:jc w:val="both"/>
        <w:rPr>
          <w:noProof/>
        </w:rPr>
      </w:pPr>
      <w:r>
        <w:rPr>
          <w:noProof/>
        </w:rPr>
        <w:t>C19.R2. Sous-mesure 2: Plan d’action de la stratégie nationale pour l’hydrogène de la République slovaque et conditions propices au développement de l’économie de l’hydrogène en Slovaquie</w:t>
      </w:r>
    </w:p>
    <w:p w14:paraId="50B4BA4F" w14:textId="77777777" w:rsidR="003B5F50" w:rsidRDefault="000D2D85">
      <w:pPr>
        <w:pStyle w:val="P68B1DB1-Normal4"/>
        <w:spacing w:after="0"/>
        <w:jc w:val="both"/>
        <w:rPr>
          <w:noProof/>
        </w:rPr>
      </w:pPr>
      <w:r>
        <w:rPr>
          <w:noProof/>
        </w:rPr>
        <w:t xml:space="preserve"> </w:t>
      </w:r>
    </w:p>
    <w:p w14:paraId="50B4BA50" w14:textId="0CE96574" w:rsidR="003B5F50" w:rsidRDefault="000D2D85">
      <w:pPr>
        <w:pStyle w:val="P68B1DB1-Normal4"/>
        <w:jc w:val="both"/>
        <w:rPr>
          <w:noProof/>
        </w:rPr>
      </w:pPr>
      <w:r>
        <w:rPr>
          <w:noProof/>
        </w:rPr>
        <w:t>L’objectif de cette sous-mesure est de définir des objectifs de promotion de l’utilisation de l’hydrogène et de définir des priorités pour le développement d’un écosystème national de l’hydrogène principalement renouvelable, sur la base de scénarios de bilan de production d’hydrogène, de la consommation d’hydrogène et des bilans d’importation et d’exportation d’hydrogène au sein du réseau européen de transport d’hydrogène. Cette sous-mesure consiste en l’adoption du plan d’action pour l’hydrogène, un document stratégique sur l’écosystème slovaque de l’hydrogène, et en l’entrée en vigueur de mesures législatives et de normes techniques.</w:t>
      </w:r>
    </w:p>
    <w:p w14:paraId="315B0C08" w14:textId="77777777" w:rsidR="003B5F50" w:rsidRDefault="003B5F50">
      <w:pPr>
        <w:jc w:val="both"/>
        <w:rPr>
          <w:rFonts w:ascii="Times New Roman" w:eastAsia="Times New Roman" w:hAnsi="Times New Roman" w:cs="Times New Roman"/>
          <w:noProof/>
          <w:highlight w:val="yellow"/>
        </w:rPr>
      </w:pPr>
    </w:p>
    <w:p w14:paraId="50B4BA51" w14:textId="77777777" w:rsidR="003B5F50" w:rsidRDefault="000D2D85">
      <w:pPr>
        <w:pStyle w:val="P68B1DB1-Normal67"/>
        <w:spacing w:after="0"/>
        <w:jc w:val="both"/>
        <w:rPr>
          <w:rFonts w:eastAsia="Times New Roman"/>
          <w:iCs/>
          <w:noProof/>
          <w:color w:val="000000"/>
        </w:rPr>
      </w:pPr>
      <w:r>
        <w:rPr>
          <w:noProof/>
        </w:rPr>
        <w:t>C19.R2. Sous-mesure 3</w:t>
      </w:r>
      <w:r>
        <w:rPr>
          <w:noProof/>
          <w:color w:val="000000"/>
        </w:rPr>
        <w:t>: Intégration des énergies renouvelables dans le réseau électrique </w:t>
      </w:r>
    </w:p>
    <w:p w14:paraId="50B4BA52" w14:textId="77777777" w:rsidR="003B5F50" w:rsidRDefault="003B5F50">
      <w:pPr>
        <w:keepNext/>
        <w:spacing w:after="0" w:line="240" w:lineRule="auto"/>
        <w:jc w:val="both"/>
        <w:rPr>
          <w:rFonts w:ascii="Times New Roman" w:eastAsia="Times New Roman" w:hAnsi="Times New Roman" w:cs="Arial"/>
          <w:b/>
          <w:i/>
          <w:iCs/>
          <w:noProof/>
          <w:color w:val="000000"/>
        </w:rPr>
      </w:pPr>
    </w:p>
    <w:p w14:paraId="50B4BA53" w14:textId="77777777" w:rsidR="003B5F50" w:rsidRDefault="000D2D85">
      <w:pPr>
        <w:pStyle w:val="P68B1DB1-Normal71"/>
        <w:spacing w:line="240" w:lineRule="auto"/>
        <w:jc w:val="both"/>
        <w:rPr>
          <w:noProof/>
          <w:color w:val="000000"/>
          <w:szCs w:val="20"/>
        </w:rPr>
      </w:pPr>
      <w:r>
        <w:rPr>
          <w:noProof/>
        </w:rPr>
        <w:t xml:space="preserve">L’objectif de la sous-mesure est d’améliorer l’utilisation de la capacité disponible du réseau électrique et de contribuer à un déploiement plus rapide des investissements dans les énergies renouvelables en Slovaquie. </w:t>
      </w:r>
    </w:p>
    <w:p w14:paraId="50B4BA54" w14:textId="22C07255" w:rsidR="003B5F50" w:rsidRDefault="000D2D85">
      <w:pPr>
        <w:pStyle w:val="P68B1DB1-Normal71"/>
        <w:spacing w:line="240" w:lineRule="auto"/>
        <w:jc w:val="both"/>
        <w:rPr>
          <w:rFonts w:ascii="Arial Narrow" w:hAnsi="Arial Narrow"/>
          <w:noProof/>
          <w:sz w:val="22"/>
          <w:szCs w:val="20"/>
        </w:rPr>
      </w:pPr>
      <w:r>
        <w:rPr>
          <w:noProof/>
          <w:szCs w:val="20"/>
        </w:rPr>
        <w:t xml:space="preserve">Cette sous-mesure consiste à établir de </w:t>
      </w:r>
      <w:r>
        <w:rPr>
          <w:noProof/>
        </w:rPr>
        <w:t xml:space="preserve">nouvelles règles et procédures de raccordement au réseau contraignantes pour les trois gestionnaires de réseau de distribution régionaux sur le territoire de la République slovaque. </w:t>
      </w:r>
    </w:p>
    <w:p w14:paraId="50B4BA55" w14:textId="77777777" w:rsidR="003B5F50" w:rsidRDefault="003B5F50">
      <w:pPr>
        <w:spacing w:after="0" w:line="240" w:lineRule="auto"/>
        <w:jc w:val="both"/>
        <w:rPr>
          <w:rFonts w:ascii="Calibri" w:eastAsia="MS Mincho" w:hAnsi="Calibri" w:cs="Arial"/>
          <w:b/>
          <w:noProof/>
          <w:color w:val="0078D4"/>
          <w:u w:val="single"/>
        </w:rPr>
      </w:pPr>
    </w:p>
    <w:p w14:paraId="65ABBDA1" w14:textId="77777777" w:rsidR="003B5F50" w:rsidRDefault="000D2D85">
      <w:pPr>
        <w:pStyle w:val="P68B1DB1-Normal36"/>
        <w:rPr>
          <w:b/>
          <w:noProof/>
        </w:rPr>
      </w:pPr>
      <w:r>
        <w:rPr>
          <w:noProof/>
        </w:rPr>
        <w:br w:type="page"/>
      </w:r>
    </w:p>
    <w:p w14:paraId="50B4BA56" w14:textId="10033242" w:rsidR="003B5F50" w:rsidRDefault="000D2D85">
      <w:pPr>
        <w:pStyle w:val="P68B1DB1-Normal39"/>
        <w:spacing w:after="0" w:line="240" w:lineRule="auto"/>
        <w:jc w:val="both"/>
        <w:textAlignment w:val="baseline"/>
        <w:rPr>
          <w:rFonts w:eastAsia="Times New Roman"/>
          <w:noProof/>
          <w:color w:val="000000"/>
        </w:rPr>
      </w:pPr>
      <w:r>
        <w:rPr>
          <w:noProof/>
        </w:rPr>
        <w:t>C19. Investissement 1: Modernisation et numérisation des réseaux de transport et des réseaux de distribution régionaux </w:t>
      </w:r>
    </w:p>
    <w:p w14:paraId="50B4BA57" w14:textId="77777777" w:rsidR="003B5F50" w:rsidRDefault="003B5F50">
      <w:pPr>
        <w:spacing w:after="0" w:line="240" w:lineRule="auto"/>
        <w:jc w:val="both"/>
        <w:rPr>
          <w:rFonts w:ascii="Times New Roman" w:eastAsia="Times New Roman" w:hAnsi="Times New Roman" w:cs="Arial"/>
          <w:noProof/>
          <w:color w:val="000000"/>
        </w:rPr>
      </w:pPr>
    </w:p>
    <w:p w14:paraId="50B4BA58" w14:textId="77777777" w:rsidR="003B5F50" w:rsidRDefault="000D2D85">
      <w:pPr>
        <w:pStyle w:val="P68B1DB1-Normal35"/>
        <w:spacing w:line="240" w:lineRule="auto"/>
        <w:jc w:val="both"/>
        <w:rPr>
          <w:noProof/>
        </w:rPr>
      </w:pPr>
      <w:r>
        <w:rPr>
          <w:noProof/>
        </w:rPr>
        <w:t xml:space="preserve">L’objectif de l’investissement 1 du chapitre REPowerEU, composé de deux parties, est de contribuer à la modernisation et à la numérisation des réseaux électriques en Slovaquie. En particulier, elle contribue à faire face à l’augmentation attendue des énergies renouvelables intermittentes. </w:t>
      </w:r>
    </w:p>
    <w:p w14:paraId="50B4BA59" w14:textId="77777777" w:rsidR="003B5F50" w:rsidRDefault="000D2D85">
      <w:pPr>
        <w:pStyle w:val="P68B1DB1-Normal35"/>
        <w:spacing w:after="0" w:line="240" w:lineRule="auto"/>
        <w:jc w:val="both"/>
        <w:rPr>
          <w:noProof/>
        </w:rPr>
      </w:pPr>
      <w:r>
        <w:rPr>
          <w:b/>
          <w:i/>
          <w:noProof/>
        </w:rPr>
        <w:t>Investissement 1 - partie 3:</w:t>
      </w:r>
      <w:r>
        <w:rPr>
          <w:noProof/>
        </w:rPr>
        <w:t xml:space="preserve"> L’objectif de cet investissement est de rendre le système slovaque de distribution d’électricité plus robuste, notamment en vue d’accroître les volumes de connexions SER. La mesure consiste à réaliser des investissements dans la modernisation des réseaux électriques au niveau de la distribution en Slovaquie. </w:t>
      </w:r>
    </w:p>
    <w:p w14:paraId="50B4BA5A" w14:textId="77777777" w:rsidR="003B5F50" w:rsidRDefault="003B5F50">
      <w:pPr>
        <w:spacing w:after="0" w:line="240" w:lineRule="auto"/>
        <w:jc w:val="both"/>
        <w:rPr>
          <w:rFonts w:ascii="Times New Roman" w:eastAsia="MS Mincho" w:hAnsi="Times New Roman" w:cs="Arial"/>
          <w:noProof/>
        </w:rPr>
      </w:pPr>
    </w:p>
    <w:p w14:paraId="50B4BA5B" w14:textId="77777777" w:rsidR="003B5F50" w:rsidRDefault="000D2D85">
      <w:pPr>
        <w:pStyle w:val="P68B1DB1-Normal36"/>
        <w:spacing w:after="0" w:line="240" w:lineRule="auto"/>
        <w:jc w:val="both"/>
        <w:rPr>
          <w:noProof/>
        </w:rPr>
      </w:pPr>
      <w:r>
        <w:rPr>
          <w:b/>
          <w:i/>
          <w:noProof/>
        </w:rPr>
        <w:t>Investissement 1 - partie 4:</w:t>
      </w:r>
      <w:r>
        <w:rPr>
          <w:noProof/>
        </w:rPr>
        <w:t xml:space="preserve"> soutient la mise en œuvre du système d’information du centre de données sur l’énergie (CDE). </w:t>
      </w:r>
    </w:p>
    <w:p w14:paraId="50B4BA5C" w14:textId="77777777" w:rsidR="003B5F50" w:rsidRDefault="003B5F50">
      <w:pPr>
        <w:spacing w:after="0" w:line="240" w:lineRule="auto"/>
        <w:jc w:val="both"/>
        <w:rPr>
          <w:rFonts w:ascii="Times New Roman" w:eastAsia="MS Mincho" w:hAnsi="Times New Roman" w:cs="Arial"/>
          <w:noProof/>
          <w:szCs w:val="22"/>
        </w:rPr>
      </w:pPr>
    </w:p>
    <w:p w14:paraId="50B4BA5D" w14:textId="77777777" w:rsidR="003B5F50" w:rsidRDefault="000D2D85">
      <w:pPr>
        <w:pStyle w:val="P68B1DB1-Normal36"/>
        <w:spacing w:after="0" w:line="240" w:lineRule="auto"/>
        <w:jc w:val="both"/>
        <w:rPr>
          <w:rFonts w:eastAsia="Times New Roman"/>
          <w:noProof/>
        </w:rPr>
      </w:pPr>
      <w:r>
        <w:rPr>
          <w:noProof/>
        </w:rPr>
        <w:t>Cet investissement réagit aux modifications du cadre juridique slovaque, en particulier à la modification de la loi sur l’énergie (251/2012 Coll.) entrée en vigueur le 1er octobre 2022 dans le cadre du plan pour la reprise et la résilience. La SEE devrait faciliter les nouvelles activités et l'accès des nouveaux participants au marché de l'électricité tout en les aidant à protéger leurs droits dans le nouvel environnement du marché.</w:t>
      </w:r>
    </w:p>
    <w:p w14:paraId="50B4BA5E" w14:textId="77777777" w:rsidR="003B5F50" w:rsidRDefault="003B5F50">
      <w:pPr>
        <w:spacing w:after="0" w:line="240" w:lineRule="auto"/>
        <w:jc w:val="both"/>
        <w:rPr>
          <w:rFonts w:ascii="Times New Roman" w:eastAsia="Times New Roman" w:hAnsi="Times New Roman" w:cs="Arial"/>
          <w:noProof/>
        </w:rPr>
      </w:pPr>
    </w:p>
    <w:p w14:paraId="50B4BA5F" w14:textId="77777777" w:rsidR="003B5F50" w:rsidRDefault="000D2D85">
      <w:pPr>
        <w:pStyle w:val="P68B1DB1-Normal36"/>
        <w:spacing w:after="0" w:line="240" w:lineRule="auto"/>
        <w:jc w:val="both"/>
        <w:rPr>
          <w:noProof/>
        </w:rPr>
      </w:pPr>
      <w:r>
        <w:rPr>
          <w:noProof/>
        </w:rPr>
        <w:t>L’objectif de l’investissement est de mettre en œuvre le système d’information d’EDC pour assurer son fonctionnement efficace afin de permettre une meilleure intégration des sources d’énergie renouvelables dans le réseau. L’EDC améliore les conditions préalables au raccordement des sources d’énergie renouvelables en rationalisant les données requises. En particulier, l’investissement porte sur des questions telles que l’agrégation de la flexibilité; les communautés énergétiques et le partage de l’énergie produite à partir de sources d’énergie renouvelables; accumulation, gestion des données de base; les données provenant des systèmes intelligents de mesure; le partage des données relatives à la production d’électricité (à l’appui de la facturation, de la compensation et du règlement des déséquilibres) et la communication d’informations.</w:t>
      </w:r>
    </w:p>
    <w:p w14:paraId="50B4BA60" w14:textId="77777777" w:rsidR="003B5F50" w:rsidRDefault="003B5F50">
      <w:pPr>
        <w:spacing w:before="120" w:after="120" w:line="240" w:lineRule="auto"/>
        <w:jc w:val="both"/>
        <w:rPr>
          <w:rFonts w:ascii="Times New Roman" w:eastAsia="MS Mincho" w:hAnsi="Times New Roman" w:cs="Arial"/>
          <w:noProof/>
          <w:szCs w:val="22"/>
        </w:rPr>
      </w:pPr>
    </w:p>
    <w:p w14:paraId="50B4BA61" w14:textId="77777777" w:rsidR="003B5F50" w:rsidRDefault="000D2D85">
      <w:pPr>
        <w:pStyle w:val="P68B1DB1-Normal37"/>
        <w:spacing w:before="120" w:after="120" w:line="240" w:lineRule="auto"/>
        <w:jc w:val="both"/>
        <w:rPr>
          <w:noProof/>
        </w:rPr>
      </w:pPr>
      <w:r>
        <w:rPr>
          <w:noProof/>
        </w:rPr>
        <w:t>Domaine thématique 2: Rénovation et gestion des bâtiments </w:t>
      </w:r>
    </w:p>
    <w:p w14:paraId="50B4BA62" w14:textId="77777777" w:rsidR="003B5F50" w:rsidRDefault="000D2D85">
      <w:pPr>
        <w:pStyle w:val="P68B1DB1-Normal39"/>
        <w:spacing w:before="120" w:after="120" w:line="240" w:lineRule="auto"/>
        <w:jc w:val="both"/>
        <w:rPr>
          <w:noProof/>
        </w:rPr>
      </w:pPr>
      <w:r>
        <w:rPr>
          <w:noProof/>
        </w:rPr>
        <w:t>Réforme 3: Création d'une base de données et d'un système d'échange de données sur la performance énergétique des bâtiments </w:t>
      </w:r>
    </w:p>
    <w:p w14:paraId="50B4BA63" w14:textId="4FC58744" w:rsidR="003B5F50" w:rsidRDefault="000D2D85">
      <w:pPr>
        <w:pStyle w:val="P68B1DB1-Normal35"/>
        <w:spacing w:before="120" w:after="120" w:line="240" w:lineRule="auto"/>
        <w:jc w:val="both"/>
        <w:rPr>
          <w:noProof/>
        </w:rPr>
      </w:pPr>
      <w:r>
        <w:rPr>
          <w:noProof/>
        </w:rPr>
        <w:t>L’objectif de cette mesure est de réduire la consommation d’énergie des bâtiments publics et privés. Cette mesure consiste à mettre en place une plateforme numérique pour la collecte, le traitement, le stockage et le partage de données sur la performance énergétique des bâtiments, ce qui contribuera à accélérer et à hiérarchiser les investissements dans la rénovation des bâtiments.</w:t>
      </w:r>
    </w:p>
    <w:p w14:paraId="28E0B67C" w14:textId="77777777" w:rsidR="003B5F50" w:rsidRDefault="003B5F50">
      <w:pPr>
        <w:spacing w:before="120" w:after="120" w:line="240" w:lineRule="auto"/>
        <w:jc w:val="both"/>
        <w:rPr>
          <w:rFonts w:ascii="Times New Roman" w:eastAsia="MS Mincho" w:hAnsi="Times New Roman" w:cs="Arial"/>
          <w:noProof/>
        </w:rPr>
      </w:pPr>
    </w:p>
    <w:p w14:paraId="50B4BA64" w14:textId="28A29F8C" w:rsidR="003B5F50" w:rsidRDefault="000D2D85">
      <w:pPr>
        <w:pStyle w:val="P68B1DB1-Normal39"/>
        <w:spacing w:before="120" w:after="120" w:line="240" w:lineRule="auto"/>
        <w:jc w:val="both"/>
        <w:rPr>
          <w:noProof/>
        </w:rPr>
      </w:pPr>
      <w:r>
        <w:rPr>
          <w:noProof/>
        </w:rPr>
        <w:t xml:space="preserve">Réforme 4: Gestion des bâtiments du gouvernement central </w:t>
      </w:r>
    </w:p>
    <w:p w14:paraId="50B4BA65" w14:textId="77777777" w:rsidR="003B5F50" w:rsidRDefault="000D2D85">
      <w:pPr>
        <w:pStyle w:val="P68B1DB1-Normal35"/>
        <w:spacing w:before="120" w:after="120" w:line="240" w:lineRule="auto"/>
        <w:jc w:val="both"/>
        <w:rPr>
          <w:noProof/>
          <w:szCs w:val="22"/>
        </w:rPr>
      </w:pPr>
      <w:r>
        <w:rPr>
          <w:noProof/>
        </w:rPr>
        <w:t>L’objectif de cette mesure est de créer le cadre d’une gestion efficace des bâtiments de l’administration centrale. Cette mesure consiste à créer une stratégie de gestion des bâtiments de l’administration centrale et un organe central de coordination pour les bâtiments administratifs de l’administration centrale, afin d’accroître l’efficacité énergétique, d’utiliser plus efficacement l’espace des bâtiments et de planifier de manière stratégique et prioritaire la rénovation et la construction des bâtiments.</w:t>
      </w:r>
    </w:p>
    <w:p w14:paraId="1906FC88" w14:textId="77777777" w:rsidR="003B5F50" w:rsidRDefault="000D2D85">
      <w:pPr>
        <w:pStyle w:val="P68B1DB1-Normal35"/>
        <w:rPr>
          <w:b/>
          <w:bCs/>
          <w:noProof/>
        </w:rPr>
      </w:pPr>
      <w:r>
        <w:rPr>
          <w:noProof/>
        </w:rPr>
        <w:br w:type="page"/>
      </w:r>
    </w:p>
    <w:p w14:paraId="50B4BA66" w14:textId="0896B769" w:rsidR="003B5F50" w:rsidRDefault="000D2D85">
      <w:pPr>
        <w:pStyle w:val="P68B1DB1-Normal38"/>
        <w:spacing w:before="120" w:after="120" w:line="240" w:lineRule="auto"/>
        <w:jc w:val="both"/>
        <w:rPr>
          <w:bCs/>
          <w:noProof/>
        </w:rPr>
      </w:pPr>
      <w:r>
        <w:rPr>
          <w:noProof/>
        </w:rPr>
        <w:t>Investissement 2: Accroître l'efficacité énergétique des bâtiments publics </w:t>
      </w:r>
    </w:p>
    <w:p w14:paraId="50B4BA67" w14:textId="6ACD5308" w:rsidR="003B5F50" w:rsidRDefault="000D2D85">
      <w:pPr>
        <w:pStyle w:val="P68B1DB1-Normal35"/>
        <w:spacing w:before="120" w:after="120" w:line="240" w:lineRule="auto"/>
        <w:jc w:val="both"/>
        <w:rPr>
          <w:noProof/>
        </w:rPr>
      </w:pPr>
      <w:bookmarkStart w:id="9" w:name="_Hlk228812430"/>
      <w:r>
        <w:rPr>
          <w:noProof/>
        </w:rPr>
        <w:t>L’objectif de cette mesure est de réduire la consommation d’énergie dans les bâtiments publics. Cette mesure consiste en des interventions en matière d’efficacité énergétique sélectionnées dans le cadre d’un appel en faveur des bâtiments publics. </w:t>
      </w:r>
    </w:p>
    <w:bookmarkEnd w:id="9"/>
    <w:p w14:paraId="50B4BA68" w14:textId="10C284D2" w:rsidR="003B5F50" w:rsidRDefault="000D2D85">
      <w:pPr>
        <w:pStyle w:val="P68B1DB1-Normal39"/>
        <w:spacing w:before="120" w:after="120" w:line="240" w:lineRule="auto"/>
        <w:jc w:val="both"/>
        <w:rPr>
          <w:bCs/>
          <w:noProof/>
        </w:rPr>
      </w:pPr>
      <w:r>
        <w:rPr>
          <w:noProof/>
        </w:rPr>
        <w:t xml:space="preserve">Investissement 3: Rénovation de bâtiments publics historiques et classés </w:t>
      </w:r>
    </w:p>
    <w:p w14:paraId="50B4BA69" w14:textId="3D4C1967" w:rsidR="003B5F50" w:rsidRDefault="000D2D85">
      <w:pPr>
        <w:pStyle w:val="P68B1DB1-Normal35"/>
        <w:spacing w:before="120" w:after="120" w:line="257" w:lineRule="auto"/>
        <w:jc w:val="both"/>
        <w:rPr>
          <w:noProof/>
        </w:rPr>
      </w:pPr>
      <w:r>
        <w:rPr>
          <w:noProof/>
        </w:rPr>
        <w:t>L’objectif de cette mesure est d’accroître l’efficacité énergétique et d’améliorer les conditions structurelles des bâtiments publics historiques et classés. Cette mesure consiste en la rénovation d’au moins 135 105 m2 de surface au sol de surfaces rénovées supplémentaires de bâtiments sélectionnés dans le cadre d’un appel ou d’un appel direct en faveur de bâtiments publics historiques et classés, tout en réalisant, en moyenne, au moins 30 % des économies d’énergie primaire.</w:t>
      </w:r>
    </w:p>
    <w:p w14:paraId="50B4BA6A" w14:textId="77777777" w:rsidR="003B5F50" w:rsidRDefault="000D2D85">
      <w:pPr>
        <w:pStyle w:val="P68B1DB1-Normal39"/>
        <w:spacing w:before="120" w:after="120" w:line="240" w:lineRule="auto"/>
        <w:jc w:val="both"/>
        <w:rPr>
          <w:noProof/>
        </w:rPr>
      </w:pPr>
      <w:r>
        <w:rPr>
          <w:noProof/>
        </w:rPr>
        <w:t>Investissement 4: Soutenir la rénovation des ménages exposés au risque de précarité énergétique </w:t>
      </w:r>
    </w:p>
    <w:p w14:paraId="50B4BA6B" w14:textId="1E8D0E76" w:rsidR="003B5F50" w:rsidRDefault="000D2D85">
      <w:pPr>
        <w:pStyle w:val="P68B1DB1-Normal35"/>
        <w:spacing w:before="120" w:after="120" w:line="240" w:lineRule="auto"/>
        <w:jc w:val="both"/>
        <w:rPr>
          <w:noProof/>
        </w:rPr>
      </w:pPr>
      <w:r>
        <w:rPr>
          <w:noProof/>
        </w:rPr>
        <w:t>L’objectif de cette mesure est de réduire la précarité énergétique. Cette mesure consiste à soutenir la rénovation de maisons sélectionnées dans le cadre d’un appel en faveur de la rénovation de maisons unifamiliales pour les personnes exposées au risque de précarité énergétique.</w:t>
      </w:r>
    </w:p>
    <w:p w14:paraId="50B4BA6C" w14:textId="77777777" w:rsidR="003B5F50" w:rsidRDefault="000D2D85">
      <w:pPr>
        <w:pStyle w:val="P68B1DB1-Normal73"/>
        <w:spacing w:after="0" w:line="240" w:lineRule="auto"/>
        <w:jc w:val="both"/>
        <w:textAlignment w:val="baseline"/>
        <w:rPr>
          <w:noProof/>
        </w:rPr>
      </w:pPr>
      <w:r>
        <w:rPr>
          <w:noProof/>
        </w:rPr>
        <w:t xml:space="preserve">Domaine thématique 3: Transports durables </w:t>
      </w:r>
    </w:p>
    <w:p w14:paraId="50B4BA6D" w14:textId="77777777" w:rsidR="003B5F50" w:rsidRDefault="003B5F50">
      <w:pPr>
        <w:spacing w:after="0" w:line="240" w:lineRule="auto"/>
        <w:jc w:val="both"/>
        <w:textAlignment w:val="baseline"/>
        <w:rPr>
          <w:rFonts w:ascii="Times New Roman" w:eastAsia="MS Mincho" w:hAnsi="Times New Roman" w:cs="Arial"/>
          <w:b/>
          <w:noProof/>
          <w:u w:val="single"/>
        </w:rPr>
      </w:pPr>
    </w:p>
    <w:p w14:paraId="50B4BA6E" w14:textId="77777777" w:rsidR="003B5F50" w:rsidRDefault="000D2D85">
      <w:pPr>
        <w:pStyle w:val="P68B1DB1-Normal35"/>
        <w:spacing w:after="0" w:line="240" w:lineRule="auto"/>
        <w:jc w:val="both"/>
        <w:textAlignment w:val="baseline"/>
        <w:rPr>
          <w:b/>
          <w:noProof/>
          <w:u w:val="single"/>
        </w:rPr>
      </w:pPr>
      <w:r>
        <w:rPr>
          <w:noProof/>
        </w:rPr>
        <w:t>Les investissements visent à compléter les mesures liées aux investissements existants dans le volet 3. L’objectif des investissements est de soutenir le développement de transports à émissions nulles et d’infrastructures pertinentes, y compris les chemins de fer et les tramways. L’objectif des investissements est de répondre aux objectifs REPowerEU consistant à réduire la consommation de combustibles fossiles dans les transports, à rendre le secteur plus efficace et à accélérer la transition vers des véhicules à émissions nulles dans les transports publics grâce à une électrification accrue.</w:t>
      </w:r>
    </w:p>
    <w:p w14:paraId="50B4BA6F" w14:textId="77777777" w:rsidR="003B5F50" w:rsidRDefault="003B5F50">
      <w:pPr>
        <w:spacing w:after="0" w:line="240" w:lineRule="auto"/>
        <w:jc w:val="both"/>
        <w:textAlignment w:val="baseline"/>
        <w:rPr>
          <w:rFonts w:ascii="Times New Roman" w:eastAsia="MS Mincho" w:hAnsi="Times New Roman" w:cs="Arial"/>
          <w:b/>
          <w:noProof/>
          <w:u w:val="single"/>
        </w:rPr>
      </w:pPr>
    </w:p>
    <w:p w14:paraId="50B4BA70" w14:textId="77777777" w:rsidR="003B5F50" w:rsidRDefault="000D2D85">
      <w:pPr>
        <w:pStyle w:val="P68B1DB1-Normal38"/>
        <w:spacing w:after="0" w:line="240" w:lineRule="auto"/>
        <w:jc w:val="both"/>
        <w:textAlignment w:val="baseline"/>
        <w:rPr>
          <w:noProof/>
        </w:rPr>
      </w:pPr>
      <w:r>
        <w:rPr>
          <w:noProof/>
        </w:rPr>
        <w:t>Investissement 5: Développement d'infrastructures de transport à faible intensité de carbone</w:t>
      </w:r>
    </w:p>
    <w:p w14:paraId="50B4BA71" w14:textId="77777777" w:rsidR="003B5F50" w:rsidRDefault="003B5F50">
      <w:pPr>
        <w:spacing w:after="0" w:line="240" w:lineRule="auto"/>
        <w:jc w:val="both"/>
        <w:textAlignment w:val="baseline"/>
        <w:rPr>
          <w:rFonts w:ascii="Times New Roman" w:eastAsia="MS Mincho" w:hAnsi="Times New Roman" w:cs="Arial"/>
          <w:noProof/>
        </w:rPr>
      </w:pPr>
    </w:p>
    <w:p w14:paraId="50B4BA72" w14:textId="2068D402" w:rsidR="003B5F50" w:rsidRDefault="000D2D85">
      <w:pPr>
        <w:pStyle w:val="P68B1DB1-Normal35"/>
        <w:spacing w:after="0" w:line="240" w:lineRule="auto"/>
        <w:jc w:val="both"/>
        <w:textAlignment w:val="baseline"/>
        <w:rPr>
          <w:noProof/>
        </w:rPr>
      </w:pPr>
      <w:r>
        <w:rPr>
          <w:noProof/>
        </w:rPr>
        <w:t xml:space="preserve">L’objectif de cette mesure est de renforcer la mesure existante au titre de l’investissement 1 du volet 3, conformément à l’article 21 quater, paragraphe 2, du règlement FRR. L'investissement consiste en la reconstruction, la modernisation ou la construction d'autres lignes de trolleybus électriques à voie unique à Bratislava. </w:t>
      </w:r>
    </w:p>
    <w:p w14:paraId="50B4BA73" w14:textId="77777777" w:rsidR="003B5F50" w:rsidRDefault="003B5F50">
      <w:pPr>
        <w:spacing w:after="0" w:line="240" w:lineRule="auto"/>
        <w:jc w:val="both"/>
        <w:textAlignment w:val="baseline"/>
        <w:rPr>
          <w:rFonts w:ascii="Times New Roman" w:eastAsia="MS Mincho" w:hAnsi="Times New Roman" w:cs="Arial"/>
          <w:noProof/>
        </w:rPr>
      </w:pPr>
    </w:p>
    <w:p w14:paraId="50B4BA74" w14:textId="77777777" w:rsidR="003B5F50" w:rsidRDefault="000D2D85">
      <w:pPr>
        <w:pStyle w:val="P68B1DB1-Normal38"/>
        <w:spacing w:after="0" w:line="240" w:lineRule="auto"/>
        <w:jc w:val="both"/>
        <w:textAlignment w:val="baseline"/>
        <w:rPr>
          <w:noProof/>
        </w:rPr>
      </w:pPr>
      <w:r>
        <w:rPr>
          <w:noProof/>
        </w:rPr>
        <w:t xml:space="preserve">Investissement 6: Promouvoir un transport de passagers propre </w:t>
      </w:r>
    </w:p>
    <w:p w14:paraId="50B4BA75" w14:textId="77777777" w:rsidR="003B5F50" w:rsidRDefault="003B5F50">
      <w:pPr>
        <w:spacing w:after="0" w:line="240" w:lineRule="auto"/>
        <w:jc w:val="both"/>
        <w:textAlignment w:val="baseline"/>
        <w:rPr>
          <w:rFonts w:ascii="Times New Roman" w:eastAsia="MS Mincho" w:hAnsi="Times New Roman" w:cs="Arial"/>
          <w:noProof/>
        </w:rPr>
      </w:pPr>
    </w:p>
    <w:p w14:paraId="50B4BA76" w14:textId="77777777" w:rsidR="003B5F50" w:rsidRDefault="000D2D85">
      <w:pPr>
        <w:pStyle w:val="P68B1DB1-Normal35"/>
        <w:spacing w:after="0" w:line="240" w:lineRule="auto"/>
        <w:jc w:val="both"/>
        <w:textAlignment w:val="baseline"/>
        <w:rPr>
          <w:noProof/>
        </w:rPr>
      </w:pPr>
      <w:r>
        <w:rPr>
          <w:noProof/>
        </w:rPr>
        <w:t xml:space="preserve">L’objectif de cette mesure est de renforcer la mesure existante au titre de l’investissement 2 du volet 3, conformément à l’article 21 quater, paragraphe 2, du règlement FRR. L’investissement consiste en le déploiement d’unités de train électrique standard fermées supplémentaires et de tramways supplémentaires. </w:t>
      </w:r>
    </w:p>
    <w:p w14:paraId="50B4BA77" w14:textId="77777777" w:rsidR="003B5F50" w:rsidRDefault="003B5F50">
      <w:pPr>
        <w:spacing w:after="0" w:line="240" w:lineRule="auto"/>
        <w:jc w:val="both"/>
        <w:textAlignment w:val="baseline"/>
        <w:rPr>
          <w:rFonts w:ascii="Times New Roman" w:eastAsia="MS Mincho" w:hAnsi="Times New Roman" w:cs="Arial"/>
          <w:bCs/>
          <w:noProof/>
          <w:szCs w:val="22"/>
        </w:rPr>
      </w:pPr>
    </w:p>
    <w:p w14:paraId="50B4BA78" w14:textId="77777777" w:rsidR="003B5F50" w:rsidRDefault="003B5F50">
      <w:pPr>
        <w:spacing w:after="0" w:line="240" w:lineRule="auto"/>
        <w:jc w:val="both"/>
        <w:textAlignment w:val="baseline"/>
        <w:rPr>
          <w:rFonts w:ascii="Times New Roman" w:eastAsia="MS Mincho" w:hAnsi="Times New Roman" w:cs="Arial"/>
          <w:bCs/>
          <w:noProof/>
          <w:szCs w:val="22"/>
        </w:rPr>
      </w:pPr>
    </w:p>
    <w:p w14:paraId="50B4BA79" w14:textId="60974570" w:rsidR="003B5F50" w:rsidRDefault="000D2D85">
      <w:pPr>
        <w:pStyle w:val="P68B1DB1-Normal37"/>
        <w:spacing w:after="0" w:line="240" w:lineRule="auto"/>
        <w:jc w:val="both"/>
        <w:textAlignment w:val="baseline"/>
        <w:rPr>
          <w:rFonts w:eastAsia="Times New Roman"/>
          <w:noProof/>
        </w:rPr>
      </w:pPr>
      <w:r>
        <w:rPr>
          <w:noProof/>
        </w:rPr>
        <w:t xml:space="preserve">Domaine thématique 4: Compétences vertes </w:t>
      </w:r>
    </w:p>
    <w:p w14:paraId="50B4BA7A" w14:textId="77777777" w:rsidR="003B5F50" w:rsidRDefault="003B5F50">
      <w:pPr>
        <w:spacing w:after="0" w:line="240" w:lineRule="auto"/>
        <w:jc w:val="both"/>
        <w:textAlignment w:val="baseline"/>
        <w:rPr>
          <w:rFonts w:ascii="Times New Roman" w:eastAsia="Times New Roman" w:hAnsi="Times New Roman" w:cs="Arial"/>
          <w:noProof/>
          <w:color w:val="000000"/>
        </w:rPr>
      </w:pPr>
    </w:p>
    <w:p w14:paraId="50B4BA7B" w14:textId="77777777" w:rsidR="003B5F50" w:rsidRDefault="000D2D85">
      <w:pPr>
        <w:pStyle w:val="P68B1DB1-Normal38"/>
        <w:spacing w:after="0" w:line="240" w:lineRule="auto"/>
        <w:jc w:val="both"/>
        <w:rPr>
          <w:rFonts w:eastAsia="Times New Roman"/>
          <w:bCs/>
          <w:noProof/>
        </w:rPr>
      </w:pPr>
      <w:r>
        <w:rPr>
          <w:noProof/>
        </w:rPr>
        <w:t>Réforme 6: Compétences pour la transition écologique</w:t>
      </w:r>
    </w:p>
    <w:p w14:paraId="50B4BA7C" w14:textId="77777777" w:rsidR="003B5F50" w:rsidRDefault="003B5F50">
      <w:pPr>
        <w:spacing w:after="0" w:line="240" w:lineRule="auto"/>
        <w:jc w:val="both"/>
        <w:rPr>
          <w:rFonts w:ascii="Times New Roman" w:eastAsia="MS Mincho" w:hAnsi="Times New Roman" w:cs="Arial"/>
          <w:b/>
          <w:bCs/>
          <w:noProof/>
        </w:rPr>
      </w:pPr>
    </w:p>
    <w:p w14:paraId="50B4BA7D" w14:textId="77777777" w:rsidR="003B5F50" w:rsidRDefault="000D2D85">
      <w:pPr>
        <w:pStyle w:val="P68B1DB1-Normal35"/>
        <w:spacing w:after="0" w:line="240" w:lineRule="auto"/>
        <w:jc w:val="both"/>
        <w:rPr>
          <w:noProof/>
        </w:rPr>
      </w:pPr>
      <w:r>
        <w:rPr>
          <w:noProof/>
        </w:rPr>
        <w:t xml:space="preserve">L’objectif de la mesure est de mettre à jour les programmes d’éducation et de formation actuels afin de tenir compte des besoins actuels du marché du travail en matière de compétences vertes. </w:t>
      </w:r>
    </w:p>
    <w:p w14:paraId="50B4BA7E" w14:textId="77777777" w:rsidR="003B5F50" w:rsidRDefault="003B5F50">
      <w:pPr>
        <w:spacing w:after="0" w:line="240" w:lineRule="auto"/>
        <w:jc w:val="both"/>
        <w:rPr>
          <w:rFonts w:ascii="Times New Roman" w:eastAsia="MS Mincho" w:hAnsi="Times New Roman" w:cs="Arial"/>
          <w:noProof/>
        </w:rPr>
      </w:pPr>
    </w:p>
    <w:p w14:paraId="50B4BA7F" w14:textId="77777777" w:rsidR="003B5F50" w:rsidRDefault="000D2D85">
      <w:pPr>
        <w:pStyle w:val="P68B1DB1-Normal35"/>
        <w:spacing w:after="0" w:line="240" w:lineRule="auto"/>
        <w:jc w:val="both"/>
        <w:rPr>
          <w:noProof/>
        </w:rPr>
      </w:pPr>
      <w:r>
        <w:rPr>
          <w:noProof/>
        </w:rPr>
        <w:t>Cette mesure consiste à adapter le programme des écoles professionnelles secondaires, à mettre à jour les normes de qualification pour la formation des enseignants et à développer des programmes de formation des adultes axés sur les sources d'énergie renouvelables et l'électromobilité.</w:t>
      </w:r>
    </w:p>
    <w:p w14:paraId="50B4BA80" w14:textId="77777777" w:rsidR="003B5F50" w:rsidRDefault="003B5F50">
      <w:pPr>
        <w:spacing w:after="0" w:line="240" w:lineRule="auto"/>
        <w:jc w:val="both"/>
        <w:textAlignment w:val="baseline"/>
        <w:rPr>
          <w:rFonts w:ascii="Times New Roman" w:eastAsia="Times New Roman" w:hAnsi="Times New Roman" w:cs="Arial"/>
          <w:noProof/>
          <w:color w:val="0078D4"/>
          <w:u w:val="single"/>
        </w:rPr>
      </w:pPr>
    </w:p>
    <w:p w14:paraId="50B4BA81" w14:textId="77777777" w:rsidR="003B5F50" w:rsidRDefault="000D2D85">
      <w:pPr>
        <w:pStyle w:val="P68B1DB1-Normal74"/>
        <w:spacing w:after="0" w:line="240" w:lineRule="auto"/>
        <w:jc w:val="both"/>
        <w:textAlignment w:val="baseline"/>
        <w:rPr>
          <w:rFonts w:eastAsia="Times New Roman"/>
          <w:bCs/>
          <w:noProof/>
          <w:color w:val="000000"/>
        </w:rPr>
      </w:pPr>
      <w:r>
        <w:rPr>
          <w:noProof/>
        </w:rPr>
        <w:t xml:space="preserve">Investissement 7: équipement et formation des écoles </w:t>
      </w:r>
    </w:p>
    <w:p w14:paraId="50B4BA82" w14:textId="77777777" w:rsidR="003B5F50" w:rsidRDefault="003B5F50">
      <w:pPr>
        <w:spacing w:after="0" w:line="240" w:lineRule="auto"/>
        <w:jc w:val="both"/>
        <w:rPr>
          <w:rFonts w:ascii="Times New Roman" w:eastAsia="MS Mincho" w:hAnsi="Times New Roman" w:cs="Arial"/>
          <w:b/>
          <w:bCs/>
          <w:noProof/>
          <w:color w:val="000000" w:themeColor="text1"/>
        </w:rPr>
      </w:pPr>
    </w:p>
    <w:p w14:paraId="50B4BA83" w14:textId="77777777" w:rsidR="003B5F50" w:rsidRDefault="000D2D85">
      <w:pPr>
        <w:pStyle w:val="P68B1DB1-Normal70"/>
        <w:spacing w:after="0" w:line="240" w:lineRule="auto"/>
        <w:jc w:val="both"/>
        <w:rPr>
          <w:noProof/>
        </w:rPr>
      </w:pPr>
      <w:r>
        <w:rPr>
          <w:noProof/>
        </w:rPr>
        <w:t xml:space="preserve">L’objectif de la mesure est de permettre aux élèves de l’enseignement secondaire professionnel d’accéder à des cours sur les sources d’énergie renouvelables et l’électromobilité. </w:t>
      </w:r>
    </w:p>
    <w:p w14:paraId="50B4BA84" w14:textId="77777777" w:rsidR="003B5F50" w:rsidRDefault="003B5F50">
      <w:pPr>
        <w:spacing w:after="0" w:line="240" w:lineRule="auto"/>
        <w:jc w:val="both"/>
        <w:rPr>
          <w:rFonts w:ascii="Times New Roman" w:eastAsia="MS Mincho" w:hAnsi="Times New Roman" w:cs="Arial"/>
          <w:noProof/>
          <w:color w:val="000000" w:themeColor="text1"/>
        </w:rPr>
      </w:pPr>
    </w:p>
    <w:p w14:paraId="7C23B647" w14:textId="77777777" w:rsidR="003B5F50" w:rsidRDefault="000D2D85">
      <w:pPr>
        <w:pStyle w:val="P68B1DB1-Normal70"/>
        <w:spacing w:after="0" w:line="240" w:lineRule="auto"/>
        <w:jc w:val="both"/>
        <w:rPr>
          <w:noProof/>
        </w:rPr>
        <w:sectPr w:rsidR="003B5F50" w:rsidSect="004D5C84">
          <w:headerReference w:type="even" r:id="rId233"/>
          <w:headerReference w:type="default" r:id="rId234"/>
          <w:footerReference w:type="even" r:id="rId235"/>
          <w:footerReference w:type="default" r:id="rId236"/>
          <w:headerReference w:type="first" r:id="rId237"/>
          <w:footerReference w:type="first" r:id="rId238"/>
          <w:pgSz w:w="12240" w:h="15840"/>
          <w:pgMar w:top="1134" w:right="1134" w:bottom="1134" w:left="1134" w:header="567" w:footer="567" w:gutter="0"/>
          <w:cols w:space="720"/>
          <w:docGrid w:linePitch="360"/>
        </w:sectPr>
      </w:pPr>
      <w:r>
        <w:rPr>
          <w:noProof/>
        </w:rPr>
        <w:t>Cette mesure consiste à doter les écoles professionnelles secondaires du matériel et des infrastructures nécessaires et à mettre en place de nouveaux modules de formation d’ici à l’année scolaire 2025/26.</w:t>
      </w:r>
    </w:p>
    <w:p w14:paraId="50B4BA8A" w14:textId="77777777" w:rsidR="003B5F50" w:rsidRDefault="000D2D85">
      <w:pPr>
        <w:pStyle w:val="P68B1DB1-Normal64"/>
        <w:spacing w:before="120" w:after="120" w:line="240" w:lineRule="auto"/>
        <w:ind w:left="850"/>
        <w:jc w:val="both"/>
        <w:rPr>
          <w:rFonts w:ascii="Times New Roman" w:eastAsia="MS Mincho" w:hAnsi="Times New Roman" w:cs="Arial"/>
          <w:b/>
          <w:bCs/>
          <w:noProof/>
          <w:u w:val="single"/>
        </w:rPr>
      </w:pPr>
      <w:r>
        <w:rPr>
          <w:rFonts w:ascii="Times New Roman" w:eastAsia="MS Mincho" w:hAnsi="Times New Roman" w:cs="Arial"/>
          <w:b/>
          <w:noProof/>
          <w:u w:val="single"/>
        </w:rPr>
        <w:t xml:space="preserve">A.2. </w:t>
      </w:r>
      <w:r>
        <w:rPr>
          <w:rFonts w:ascii="Calibri" w:eastAsia="MS Mincho" w:hAnsi="Calibri" w:cs="Arial"/>
          <w:noProof/>
          <w:sz w:val="22"/>
        </w:rPr>
        <w:t xml:space="preserve"> </w:t>
      </w:r>
      <w:r>
        <w:rPr>
          <w:rFonts w:ascii="Times New Roman" w:eastAsia="MS Mincho" w:hAnsi="Times New Roman" w:cs="Arial"/>
          <w:b/>
          <w:noProof/>
          <w:u w:val="single"/>
        </w:rPr>
        <w:t>Étapes, cibles, indicateurs et calendrier pour le suivi et la mise en œuvre du soutien financier non remboursable</w:t>
      </w:r>
    </w:p>
    <w:p w14:paraId="50B4BA8B" w14:textId="77777777" w:rsidR="003B5F50" w:rsidRDefault="003B5F50">
      <w:pPr>
        <w:spacing w:before="120" w:after="120" w:line="240" w:lineRule="auto"/>
        <w:rPr>
          <w:rFonts w:ascii="Times New Roman" w:eastAsia="MS Mincho" w:hAnsi="Times New Roman" w:cs="Arial"/>
          <w:noProof/>
        </w:rPr>
      </w:pPr>
    </w:p>
    <w:tbl>
      <w:tblPr>
        <w:tblW w:w="1462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701"/>
        <w:gridCol w:w="1276"/>
        <w:gridCol w:w="992"/>
        <w:gridCol w:w="1559"/>
        <w:gridCol w:w="1559"/>
        <w:gridCol w:w="1418"/>
        <w:gridCol w:w="992"/>
        <w:gridCol w:w="1134"/>
        <w:gridCol w:w="1134"/>
        <w:gridCol w:w="2126"/>
      </w:tblGrid>
      <w:tr w:rsidR="003B5F50" w14:paraId="50B4BA99" w14:textId="77777777" w:rsidTr="00F8541A">
        <w:trPr>
          <w:trHeight w:val="900"/>
          <w:tblHeader/>
        </w:trPr>
        <w:tc>
          <w:tcPr>
            <w:tcW w:w="738" w:type="dxa"/>
            <w:vMerge w:val="restart"/>
            <w:shd w:val="clear" w:color="auto" w:fill="BDD7EE"/>
            <w:vAlign w:val="center"/>
            <w:hideMark/>
          </w:tcPr>
          <w:p w14:paraId="50B4BA8C" w14:textId="77777777" w:rsidR="003B5F50" w:rsidRDefault="000D2D85">
            <w:pPr>
              <w:pStyle w:val="P68B1DB1-Normal40"/>
              <w:spacing w:after="0" w:line="259" w:lineRule="auto"/>
              <w:rPr>
                <w:rFonts w:eastAsia="Times New Roman"/>
                <w:noProof/>
                <w:szCs w:val="20"/>
              </w:rPr>
            </w:pPr>
            <w:r>
              <w:rPr>
                <w:noProof/>
              </w:rPr>
              <w:t>Seq. Num.</w:t>
            </w:r>
          </w:p>
          <w:p w14:paraId="50B4BA8D" w14:textId="77777777" w:rsidR="003B5F50" w:rsidRDefault="000D2D85">
            <w:pPr>
              <w:pStyle w:val="P68B1DB1-Normal40"/>
              <w:spacing w:after="0" w:line="259" w:lineRule="auto"/>
              <w:rPr>
                <w:rFonts w:eastAsia="Times New Roman"/>
                <w:noProof/>
                <w:szCs w:val="20"/>
              </w:rPr>
            </w:pPr>
            <w:r>
              <w:rPr>
                <w:noProof/>
              </w:rPr>
              <w:t> </w:t>
            </w:r>
          </w:p>
        </w:tc>
        <w:tc>
          <w:tcPr>
            <w:tcW w:w="1701" w:type="dxa"/>
            <w:vMerge w:val="restart"/>
            <w:shd w:val="clear" w:color="auto" w:fill="BDD7EE"/>
            <w:vAlign w:val="center"/>
            <w:hideMark/>
          </w:tcPr>
          <w:p w14:paraId="50B4BA8E" w14:textId="77777777" w:rsidR="003B5F50" w:rsidRDefault="000D2D85">
            <w:pPr>
              <w:pStyle w:val="P68B1DB1-Normal40"/>
              <w:spacing w:after="0" w:line="259" w:lineRule="auto"/>
              <w:jc w:val="center"/>
              <w:rPr>
                <w:rFonts w:eastAsia="Times New Roman"/>
                <w:noProof/>
                <w:szCs w:val="20"/>
              </w:rPr>
            </w:pPr>
            <w:r>
              <w:rPr>
                <w:noProof/>
              </w:rPr>
              <w:t>Mesure connexe (réforme ou investissement)</w:t>
            </w:r>
          </w:p>
          <w:p w14:paraId="50B4BA8F" w14:textId="77777777" w:rsidR="003B5F50" w:rsidRDefault="000D2D85">
            <w:pPr>
              <w:pStyle w:val="P68B1DB1-Normal40"/>
              <w:spacing w:after="0" w:line="259" w:lineRule="auto"/>
              <w:rPr>
                <w:rFonts w:eastAsia="Times New Roman"/>
                <w:noProof/>
                <w:szCs w:val="20"/>
              </w:rPr>
            </w:pPr>
            <w:r>
              <w:rPr>
                <w:noProof/>
              </w:rPr>
              <w:t> </w:t>
            </w:r>
          </w:p>
        </w:tc>
        <w:tc>
          <w:tcPr>
            <w:tcW w:w="1276" w:type="dxa"/>
            <w:vMerge w:val="restart"/>
            <w:shd w:val="clear" w:color="auto" w:fill="BDD7EE"/>
            <w:vAlign w:val="center"/>
            <w:hideMark/>
          </w:tcPr>
          <w:p w14:paraId="50B4BA90" w14:textId="77777777" w:rsidR="003B5F50" w:rsidRDefault="000D2D85">
            <w:pPr>
              <w:pStyle w:val="P68B1DB1-Normal40"/>
              <w:spacing w:after="0" w:line="259" w:lineRule="auto"/>
              <w:jc w:val="center"/>
              <w:rPr>
                <w:rFonts w:eastAsia="Times New Roman"/>
                <w:noProof/>
                <w:szCs w:val="20"/>
              </w:rPr>
            </w:pPr>
            <w:r>
              <w:rPr>
                <w:noProof/>
              </w:rPr>
              <w:t>Étape/cible</w:t>
            </w:r>
          </w:p>
          <w:p w14:paraId="50B4BA91" w14:textId="77777777" w:rsidR="003B5F50" w:rsidRDefault="000D2D85">
            <w:pPr>
              <w:pStyle w:val="P68B1DB1-Normal40"/>
              <w:spacing w:after="0" w:line="259" w:lineRule="auto"/>
              <w:rPr>
                <w:rFonts w:eastAsia="Times New Roman"/>
                <w:noProof/>
                <w:szCs w:val="20"/>
              </w:rPr>
            </w:pPr>
            <w:r>
              <w:rPr>
                <w:noProof/>
              </w:rPr>
              <w:t> </w:t>
            </w:r>
          </w:p>
        </w:tc>
        <w:tc>
          <w:tcPr>
            <w:tcW w:w="992" w:type="dxa"/>
            <w:vMerge w:val="restart"/>
            <w:shd w:val="clear" w:color="auto" w:fill="BDD7EE"/>
            <w:vAlign w:val="center"/>
            <w:hideMark/>
          </w:tcPr>
          <w:p w14:paraId="50B4BA92" w14:textId="77777777" w:rsidR="003B5F50" w:rsidRDefault="000D2D85">
            <w:pPr>
              <w:pStyle w:val="P68B1DB1-Normal40"/>
              <w:spacing w:after="0" w:line="259" w:lineRule="auto"/>
              <w:jc w:val="center"/>
              <w:rPr>
                <w:rFonts w:eastAsia="Times New Roman"/>
                <w:noProof/>
                <w:szCs w:val="20"/>
              </w:rPr>
            </w:pPr>
            <w:r>
              <w:rPr>
                <w:noProof/>
              </w:rPr>
              <w:t>Nom</w:t>
            </w:r>
          </w:p>
          <w:p w14:paraId="50B4BA93" w14:textId="77777777" w:rsidR="003B5F50" w:rsidRDefault="000D2D85">
            <w:pPr>
              <w:pStyle w:val="P68B1DB1-Normal40"/>
              <w:spacing w:after="0" w:line="259" w:lineRule="auto"/>
              <w:rPr>
                <w:rFonts w:eastAsia="Times New Roman"/>
                <w:noProof/>
                <w:szCs w:val="20"/>
              </w:rPr>
            </w:pPr>
            <w:r>
              <w:rPr>
                <w:noProof/>
              </w:rPr>
              <w:t> </w:t>
            </w:r>
          </w:p>
        </w:tc>
        <w:tc>
          <w:tcPr>
            <w:tcW w:w="1559" w:type="dxa"/>
            <w:vMerge w:val="restart"/>
            <w:shd w:val="clear" w:color="auto" w:fill="BDD7EE"/>
            <w:vAlign w:val="center"/>
            <w:hideMark/>
          </w:tcPr>
          <w:p w14:paraId="50B4BA94" w14:textId="77777777" w:rsidR="003B5F50" w:rsidRDefault="000D2D85">
            <w:pPr>
              <w:pStyle w:val="P68B1DB1-Normal40"/>
              <w:spacing w:after="0" w:line="259" w:lineRule="auto"/>
              <w:rPr>
                <w:rFonts w:eastAsia="Times New Roman"/>
                <w:noProof/>
                <w:szCs w:val="20"/>
              </w:rPr>
            </w:pPr>
            <w:r>
              <w:rPr>
                <w:noProof/>
              </w:rPr>
              <w:t>Indicateurs qualitatifs (pour les jalons)</w:t>
            </w:r>
          </w:p>
          <w:p w14:paraId="50B4BA95" w14:textId="77777777" w:rsidR="003B5F50" w:rsidRDefault="000D2D85">
            <w:pPr>
              <w:pStyle w:val="P68B1DB1-Normal40"/>
              <w:spacing w:after="0" w:line="259" w:lineRule="auto"/>
              <w:rPr>
                <w:rFonts w:eastAsia="Times New Roman"/>
                <w:noProof/>
                <w:szCs w:val="20"/>
              </w:rPr>
            </w:pPr>
            <w:r>
              <w:rPr>
                <w:noProof/>
              </w:rPr>
              <w:t> </w:t>
            </w:r>
          </w:p>
        </w:tc>
        <w:tc>
          <w:tcPr>
            <w:tcW w:w="3969" w:type="dxa"/>
            <w:gridSpan w:val="3"/>
            <w:shd w:val="clear" w:color="auto" w:fill="BDD7EE"/>
            <w:vAlign w:val="center"/>
            <w:hideMark/>
          </w:tcPr>
          <w:p w14:paraId="50B4BA96" w14:textId="77777777" w:rsidR="003B5F50" w:rsidRDefault="000D2D85">
            <w:pPr>
              <w:pStyle w:val="P68B1DB1-Normal40"/>
              <w:spacing w:after="0" w:line="259" w:lineRule="auto"/>
              <w:rPr>
                <w:rFonts w:eastAsia="Times New Roman"/>
                <w:noProof/>
                <w:szCs w:val="20"/>
              </w:rPr>
            </w:pPr>
            <w:r>
              <w:rPr>
                <w:noProof/>
              </w:rPr>
              <w:t>Indicateurs quantitatifs (pour les objectifs)</w:t>
            </w:r>
          </w:p>
        </w:tc>
        <w:tc>
          <w:tcPr>
            <w:tcW w:w="2268" w:type="dxa"/>
            <w:gridSpan w:val="2"/>
            <w:shd w:val="clear" w:color="auto" w:fill="BDD7EE"/>
            <w:vAlign w:val="center"/>
            <w:hideMark/>
          </w:tcPr>
          <w:p w14:paraId="50B4BA97" w14:textId="77777777" w:rsidR="003B5F50" w:rsidRDefault="000D2D85">
            <w:pPr>
              <w:pStyle w:val="P68B1DB1-Normal40"/>
              <w:spacing w:after="0" w:line="259" w:lineRule="auto"/>
              <w:rPr>
                <w:rFonts w:eastAsia="Times New Roman"/>
                <w:noProof/>
                <w:szCs w:val="20"/>
              </w:rPr>
            </w:pPr>
            <w:r>
              <w:rPr>
                <w:noProof/>
              </w:rPr>
              <w:t xml:space="preserve">Calendrier indicatif d'achèvement </w:t>
            </w:r>
          </w:p>
        </w:tc>
        <w:tc>
          <w:tcPr>
            <w:tcW w:w="2126" w:type="dxa"/>
            <w:vMerge w:val="restart"/>
            <w:shd w:val="clear" w:color="auto" w:fill="BDD7EE"/>
            <w:vAlign w:val="center"/>
            <w:hideMark/>
          </w:tcPr>
          <w:p w14:paraId="50B4BA98" w14:textId="77777777" w:rsidR="003B5F50" w:rsidRDefault="000D2D85">
            <w:pPr>
              <w:pStyle w:val="P68B1DB1-Normal40"/>
              <w:spacing w:after="0" w:line="259" w:lineRule="auto"/>
              <w:jc w:val="center"/>
              <w:rPr>
                <w:rFonts w:eastAsia="Times New Roman"/>
                <w:noProof/>
                <w:szCs w:val="20"/>
              </w:rPr>
            </w:pPr>
            <w:r>
              <w:rPr>
                <w:noProof/>
              </w:rPr>
              <w:t>Description et définition claire de chaque jalon et cible</w:t>
            </w:r>
          </w:p>
        </w:tc>
      </w:tr>
      <w:tr w:rsidR="003B5F50" w14:paraId="50B4BAA5" w14:textId="77777777" w:rsidTr="00F8541A">
        <w:trPr>
          <w:trHeight w:val="987"/>
          <w:tblHeader/>
        </w:trPr>
        <w:tc>
          <w:tcPr>
            <w:tcW w:w="738" w:type="dxa"/>
            <w:vMerge/>
            <w:vAlign w:val="center"/>
            <w:hideMark/>
          </w:tcPr>
          <w:p w14:paraId="50B4BA9A" w14:textId="77777777" w:rsidR="003B5F50" w:rsidRDefault="003B5F50">
            <w:pPr>
              <w:spacing w:after="0" w:line="259" w:lineRule="auto"/>
              <w:rPr>
                <w:rFonts w:ascii="Times New Roman" w:eastAsia="Times New Roman" w:hAnsi="Times New Roman" w:cs="Arial"/>
                <w:b/>
                <w:noProof/>
                <w:sz w:val="20"/>
                <w:szCs w:val="20"/>
              </w:rPr>
            </w:pPr>
          </w:p>
        </w:tc>
        <w:tc>
          <w:tcPr>
            <w:tcW w:w="1701" w:type="dxa"/>
            <w:vMerge/>
            <w:vAlign w:val="center"/>
            <w:hideMark/>
          </w:tcPr>
          <w:p w14:paraId="50B4BA9B" w14:textId="77777777" w:rsidR="003B5F50" w:rsidRDefault="003B5F50">
            <w:pPr>
              <w:spacing w:after="0" w:line="259" w:lineRule="auto"/>
              <w:rPr>
                <w:rFonts w:ascii="Times New Roman" w:eastAsia="Times New Roman" w:hAnsi="Times New Roman" w:cs="Arial"/>
                <w:b/>
                <w:noProof/>
                <w:sz w:val="20"/>
                <w:szCs w:val="20"/>
              </w:rPr>
            </w:pPr>
          </w:p>
        </w:tc>
        <w:tc>
          <w:tcPr>
            <w:tcW w:w="1276" w:type="dxa"/>
            <w:vMerge/>
            <w:vAlign w:val="center"/>
            <w:hideMark/>
          </w:tcPr>
          <w:p w14:paraId="50B4BA9C" w14:textId="77777777" w:rsidR="003B5F50" w:rsidRDefault="003B5F50">
            <w:pPr>
              <w:spacing w:after="0" w:line="259" w:lineRule="auto"/>
              <w:rPr>
                <w:rFonts w:ascii="Times New Roman" w:eastAsia="Times New Roman" w:hAnsi="Times New Roman" w:cs="Arial"/>
                <w:b/>
                <w:noProof/>
                <w:sz w:val="20"/>
                <w:szCs w:val="20"/>
              </w:rPr>
            </w:pPr>
          </w:p>
        </w:tc>
        <w:tc>
          <w:tcPr>
            <w:tcW w:w="992" w:type="dxa"/>
            <w:vMerge/>
            <w:vAlign w:val="center"/>
            <w:hideMark/>
          </w:tcPr>
          <w:p w14:paraId="50B4BA9D" w14:textId="77777777" w:rsidR="003B5F50" w:rsidRDefault="003B5F50">
            <w:pPr>
              <w:spacing w:after="0" w:line="259" w:lineRule="auto"/>
              <w:rPr>
                <w:rFonts w:ascii="Times New Roman" w:eastAsia="Times New Roman" w:hAnsi="Times New Roman" w:cs="Arial"/>
                <w:b/>
                <w:noProof/>
                <w:sz w:val="20"/>
                <w:szCs w:val="20"/>
              </w:rPr>
            </w:pPr>
          </w:p>
        </w:tc>
        <w:tc>
          <w:tcPr>
            <w:tcW w:w="1559" w:type="dxa"/>
            <w:vMerge/>
            <w:vAlign w:val="center"/>
            <w:hideMark/>
          </w:tcPr>
          <w:p w14:paraId="50B4BA9E" w14:textId="77777777" w:rsidR="003B5F50" w:rsidRDefault="003B5F50">
            <w:pPr>
              <w:spacing w:after="0" w:line="259" w:lineRule="auto"/>
              <w:rPr>
                <w:rFonts w:ascii="Times New Roman" w:eastAsia="Times New Roman" w:hAnsi="Times New Roman" w:cs="Arial"/>
                <w:b/>
                <w:noProof/>
                <w:sz w:val="20"/>
                <w:szCs w:val="20"/>
              </w:rPr>
            </w:pPr>
          </w:p>
        </w:tc>
        <w:tc>
          <w:tcPr>
            <w:tcW w:w="1559" w:type="dxa"/>
            <w:shd w:val="clear" w:color="auto" w:fill="BDD7EE"/>
            <w:vAlign w:val="center"/>
            <w:hideMark/>
          </w:tcPr>
          <w:p w14:paraId="50B4BA9F" w14:textId="77777777" w:rsidR="003B5F50" w:rsidRDefault="000D2D85">
            <w:pPr>
              <w:pStyle w:val="P68B1DB1-Normal40"/>
              <w:spacing w:after="0" w:line="259" w:lineRule="auto"/>
              <w:jc w:val="center"/>
              <w:rPr>
                <w:rFonts w:eastAsia="Times New Roman"/>
                <w:noProof/>
                <w:szCs w:val="20"/>
              </w:rPr>
            </w:pPr>
            <w:r>
              <w:rPr>
                <w:noProof/>
              </w:rPr>
              <w:t>Unité de mesure</w:t>
            </w:r>
          </w:p>
        </w:tc>
        <w:tc>
          <w:tcPr>
            <w:tcW w:w="1418" w:type="dxa"/>
            <w:shd w:val="clear" w:color="auto" w:fill="BDD7EE"/>
            <w:vAlign w:val="center"/>
            <w:hideMark/>
          </w:tcPr>
          <w:p w14:paraId="50B4BAA0" w14:textId="77777777" w:rsidR="003B5F50" w:rsidRDefault="000D2D85">
            <w:pPr>
              <w:pStyle w:val="P68B1DB1-Normal40"/>
              <w:spacing w:after="0" w:line="259" w:lineRule="auto"/>
              <w:jc w:val="center"/>
              <w:rPr>
                <w:rFonts w:eastAsia="Times New Roman"/>
                <w:noProof/>
                <w:szCs w:val="20"/>
              </w:rPr>
            </w:pPr>
            <w:r>
              <w:rPr>
                <w:noProof/>
              </w:rPr>
              <w:t>Données de référence</w:t>
            </w:r>
          </w:p>
        </w:tc>
        <w:tc>
          <w:tcPr>
            <w:tcW w:w="992" w:type="dxa"/>
            <w:shd w:val="clear" w:color="auto" w:fill="BDD7EE"/>
            <w:vAlign w:val="center"/>
            <w:hideMark/>
          </w:tcPr>
          <w:p w14:paraId="50B4BAA1" w14:textId="77777777" w:rsidR="003B5F50" w:rsidRDefault="000D2D85">
            <w:pPr>
              <w:pStyle w:val="P68B1DB1-Normal40"/>
              <w:spacing w:after="0" w:line="259" w:lineRule="auto"/>
              <w:jc w:val="center"/>
              <w:rPr>
                <w:rFonts w:eastAsia="Times New Roman"/>
                <w:noProof/>
                <w:szCs w:val="20"/>
              </w:rPr>
            </w:pPr>
            <w:r>
              <w:rPr>
                <w:noProof/>
              </w:rPr>
              <w:t>Objectif</w:t>
            </w:r>
          </w:p>
        </w:tc>
        <w:tc>
          <w:tcPr>
            <w:tcW w:w="1134" w:type="dxa"/>
            <w:shd w:val="clear" w:color="auto" w:fill="BDD7EE"/>
            <w:vAlign w:val="center"/>
            <w:hideMark/>
          </w:tcPr>
          <w:p w14:paraId="50B4BAA2" w14:textId="77777777" w:rsidR="003B5F50" w:rsidRDefault="000D2D85">
            <w:pPr>
              <w:pStyle w:val="P68B1DB1-Normal40"/>
              <w:spacing w:after="0" w:line="259" w:lineRule="auto"/>
              <w:jc w:val="center"/>
              <w:rPr>
                <w:rFonts w:eastAsia="Times New Roman"/>
                <w:noProof/>
                <w:szCs w:val="20"/>
              </w:rPr>
            </w:pPr>
            <w:r>
              <w:rPr>
                <w:noProof/>
              </w:rPr>
              <w:t>Trimestre</w:t>
            </w:r>
          </w:p>
        </w:tc>
        <w:tc>
          <w:tcPr>
            <w:tcW w:w="1134" w:type="dxa"/>
            <w:shd w:val="clear" w:color="auto" w:fill="BDD7EE"/>
            <w:vAlign w:val="center"/>
            <w:hideMark/>
          </w:tcPr>
          <w:p w14:paraId="50B4BAA3" w14:textId="77777777" w:rsidR="003B5F50" w:rsidRDefault="000D2D85">
            <w:pPr>
              <w:pStyle w:val="P68B1DB1-Normal40"/>
              <w:spacing w:after="0" w:line="259" w:lineRule="auto"/>
              <w:jc w:val="center"/>
              <w:rPr>
                <w:rFonts w:eastAsia="Times New Roman"/>
                <w:noProof/>
                <w:szCs w:val="20"/>
              </w:rPr>
            </w:pPr>
            <w:r>
              <w:rPr>
                <w:noProof/>
              </w:rPr>
              <w:t>Année</w:t>
            </w:r>
          </w:p>
        </w:tc>
        <w:tc>
          <w:tcPr>
            <w:tcW w:w="2126" w:type="dxa"/>
            <w:vMerge/>
            <w:vAlign w:val="center"/>
            <w:hideMark/>
          </w:tcPr>
          <w:p w14:paraId="50B4BAA4" w14:textId="77777777" w:rsidR="003B5F50" w:rsidRDefault="003B5F50">
            <w:pPr>
              <w:spacing w:after="0" w:line="259" w:lineRule="auto"/>
              <w:rPr>
                <w:rFonts w:ascii="Times New Roman" w:eastAsia="Times New Roman" w:hAnsi="Times New Roman" w:cs="Arial"/>
                <w:noProof/>
                <w:sz w:val="20"/>
                <w:szCs w:val="20"/>
              </w:rPr>
            </w:pPr>
          </w:p>
        </w:tc>
      </w:tr>
      <w:tr w:rsidR="003B5F50" w14:paraId="50B4BAB3" w14:textId="77777777" w:rsidTr="00F8541A">
        <w:trPr>
          <w:trHeight w:val="961"/>
        </w:trPr>
        <w:tc>
          <w:tcPr>
            <w:tcW w:w="738" w:type="dxa"/>
            <w:shd w:val="clear" w:color="auto" w:fill="C6EFCE"/>
            <w:noWrap/>
            <w:hideMark/>
          </w:tcPr>
          <w:p w14:paraId="50B4BAA6" w14:textId="77777777" w:rsidR="003B5F50" w:rsidRDefault="000D2D85">
            <w:pPr>
              <w:pStyle w:val="P68B1DB1-Normal42"/>
              <w:spacing w:after="0" w:line="259" w:lineRule="auto"/>
              <w:rPr>
                <w:rFonts w:eastAsia="Times New Roman"/>
                <w:noProof/>
                <w:szCs w:val="20"/>
              </w:rPr>
            </w:pPr>
            <w:r>
              <w:rPr>
                <w:noProof/>
              </w:rPr>
              <w:t>1</w:t>
            </w:r>
          </w:p>
        </w:tc>
        <w:tc>
          <w:tcPr>
            <w:tcW w:w="1701" w:type="dxa"/>
            <w:shd w:val="clear" w:color="auto" w:fill="C6EFCE"/>
          </w:tcPr>
          <w:p w14:paraId="50B4BAA7" w14:textId="77777777" w:rsidR="003B5F50" w:rsidRDefault="000D2D85">
            <w:pPr>
              <w:pStyle w:val="P68B1DB1-Normal42"/>
              <w:spacing w:after="0" w:line="259" w:lineRule="auto"/>
              <w:rPr>
                <w:rFonts w:eastAsia="Times New Roman"/>
                <w:noProof/>
                <w:szCs w:val="20"/>
              </w:rPr>
            </w:pPr>
            <w:r>
              <w:rPr>
                <w:noProof/>
              </w:rPr>
              <w:t>1 – REPowerEU – Réforme 1 – Sous-mesure 1 – Modifications législatives et procédurales accélérant la délivrance des autorisations environnementales</w:t>
            </w:r>
          </w:p>
        </w:tc>
        <w:tc>
          <w:tcPr>
            <w:tcW w:w="1276" w:type="dxa"/>
            <w:shd w:val="clear" w:color="auto" w:fill="C6EFCE"/>
            <w:noWrap/>
          </w:tcPr>
          <w:p w14:paraId="50B4BAA8" w14:textId="77777777" w:rsidR="003B5F50" w:rsidRDefault="000D2D85">
            <w:pPr>
              <w:pStyle w:val="P68B1DB1-Normal42"/>
              <w:spacing w:after="0" w:line="259" w:lineRule="auto"/>
              <w:rPr>
                <w:rFonts w:eastAsia="Times New Roman"/>
                <w:noProof/>
                <w:szCs w:val="20"/>
              </w:rPr>
            </w:pPr>
            <w:r>
              <w:rPr>
                <w:noProof/>
              </w:rPr>
              <w:t>Objectif</w:t>
            </w:r>
          </w:p>
        </w:tc>
        <w:tc>
          <w:tcPr>
            <w:tcW w:w="992" w:type="dxa"/>
            <w:shd w:val="clear" w:color="auto" w:fill="C6EFCE"/>
          </w:tcPr>
          <w:p w14:paraId="50B4BAA9" w14:textId="77777777" w:rsidR="003B5F50" w:rsidRDefault="000D2D85">
            <w:pPr>
              <w:pStyle w:val="P68B1DB1-Normal42"/>
              <w:spacing w:after="0" w:line="259" w:lineRule="auto"/>
              <w:rPr>
                <w:rFonts w:eastAsia="Times New Roman"/>
                <w:noProof/>
                <w:szCs w:val="20"/>
              </w:rPr>
            </w:pPr>
            <w:r>
              <w:rPr>
                <w:noProof/>
              </w:rPr>
              <w:t xml:space="preserve">Assistance technique pour accélérer et améliorer la qualité des procédures d'autorisation environnementale </w:t>
            </w:r>
          </w:p>
        </w:tc>
        <w:tc>
          <w:tcPr>
            <w:tcW w:w="1559" w:type="dxa"/>
            <w:shd w:val="clear" w:color="auto" w:fill="C6EFCE"/>
          </w:tcPr>
          <w:p w14:paraId="50B4BAAA" w14:textId="77777777" w:rsidR="003B5F50" w:rsidRDefault="000D2D85">
            <w:pPr>
              <w:pStyle w:val="P68B1DB1-Normal42"/>
              <w:spacing w:after="0" w:line="259" w:lineRule="auto"/>
              <w:rPr>
                <w:rFonts w:eastAsia="Times New Roman"/>
                <w:noProof/>
                <w:szCs w:val="20"/>
              </w:rPr>
            </w:pPr>
            <w:r>
              <w:rPr>
                <w:noProof/>
              </w:rPr>
              <w:t>Publication des changements organisationnels stratégiques de l'Inspection slovaque de l'environnement (SEI) et des organes compétents</w:t>
            </w:r>
          </w:p>
        </w:tc>
        <w:tc>
          <w:tcPr>
            <w:tcW w:w="1559" w:type="dxa"/>
            <w:shd w:val="clear" w:color="auto" w:fill="C6EFCE"/>
            <w:noWrap/>
          </w:tcPr>
          <w:p w14:paraId="50B4BAAB" w14:textId="77777777" w:rsidR="003B5F50" w:rsidRDefault="000D2D85">
            <w:pPr>
              <w:pStyle w:val="P68B1DB1-Normal42"/>
              <w:spacing w:after="0" w:line="259" w:lineRule="auto"/>
              <w:rPr>
                <w:rFonts w:eastAsia="Times New Roman"/>
                <w:noProof/>
                <w:szCs w:val="20"/>
              </w:rPr>
            </w:pPr>
            <w:r>
              <w:rPr>
                <w:noProof/>
              </w:rPr>
              <w:t xml:space="preserve">Nombre d'employés à temps plein. </w:t>
            </w:r>
          </w:p>
        </w:tc>
        <w:tc>
          <w:tcPr>
            <w:tcW w:w="1418" w:type="dxa"/>
            <w:shd w:val="clear" w:color="auto" w:fill="C6EFCE"/>
            <w:noWrap/>
          </w:tcPr>
          <w:p w14:paraId="50B4BAAC" w14:textId="77777777" w:rsidR="003B5F50" w:rsidRDefault="000D2D85">
            <w:pPr>
              <w:pStyle w:val="P68B1DB1-Normal42"/>
              <w:spacing w:after="0" w:line="259" w:lineRule="auto"/>
              <w:rPr>
                <w:rFonts w:eastAsia="Times New Roman"/>
                <w:noProof/>
                <w:szCs w:val="20"/>
              </w:rPr>
            </w:pPr>
            <w:r>
              <w:rPr>
                <w:noProof/>
              </w:rPr>
              <w:t>0</w:t>
            </w:r>
          </w:p>
        </w:tc>
        <w:tc>
          <w:tcPr>
            <w:tcW w:w="992" w:type="dxa"/>
            <w:shd w:val="clear" w:color="auto" w:fill="C6EFCE"/>
            <w:noWrap/>
          </w:tcPr>
          <w:p w14:paraId="50B4BAAD" w14:textId="77777777" w:rsidR="003B5F50" w:rsidRDefault="000D2D85">
            <w:pPr>
              <w:pStyle w:val="P68B1DB1-Normal42"/>
              <w:spacing w:after="0" w:line="259" w:lineRule="auto"/>
              <w:rPr>
                <w:rFonts w:eastAsia="Times New Roman"/>
                <w:noProof/>
                <w:szCs w:val="20"/>
              </w:rPr>
            </w:pPr>
            <w:r>
              <w:rPr>
                <w:noProof/>
              </w:rPr>
              <w:t>115</w:t>
            </w:r>
          </w:p>
        </w:tc>
        <w:tc>
          <w:tcPr>
            <w:tcW w:w="1134" w:type="dxa"/>
            <w:shd w:val="clear" w:color="auto" w:fill="C6EFCE"/>
            <w:noWrap/>
          </w:tcPr>
          <w:p w14:paraId="50B4BAAE" w14:textId="77777777" w:rsidR="003B5F50" w:rsidRDefault="000D2D85">
            <w:pPr>
              <w:pStyle w:val="P68B1DB1-Normal42"/>
              <w:spacing w:after="0" w:line="259" w:lineRule="auto"/>
              <w:rPr>
                <w:rFonts w:eastAsia="Times New Roman"/>
                <w:noProof/>
                <w:szCs w:val="20"/>
              </w:rPr>
            </w:pPr>
            <w:r>
              <w:rPr>
                <w:noProof/>
              </w:rPr>
              <w:t>T2</w:t>
            </w:r>
          </w:p>
        </w:tc>
        <w:tc>
          <w:tcPr>
            <w:tcW w:w="1134" w:type="dxa"/>
            <w:shd w:val="clear" w:color="auto" w:fill="C6EFCE"/>
            <w:noWrap/>
          </w:tcPr>
          <w:p w14:paraId="50B4BAAF" w14:textId="77777777" w:rsidR="003B5F50" w:rsidRDefault="000D2D85">
            <w:pPr>
              <w:pStyle w:val="P68B1DB1-Normal42"/>
              <w:spacing w:after="0" w:line="259" w:lineRule="auto"/>
              <w:rPr>
                <w:rFonts w:eastAsia="Times New Roman"/>
                <w:noProof/>
                <w:szCs w:val="20"/>
              </w:rPr>
            </w:pPr>
            <w:r>
              <w:rPr>
                <w:noProof/>
              </w:rPr>
              <w:t>2026</w:t>
            </w:r>
          </w:p>
        </w:tc>
        <w:tc>
          <w:tcPr>
            <w:tcW w:w="2126" w:type="dxa"/>
            <w:shd w:val="clear" w:color="auto" w:fill="C6EFCE"/>
          </w:tcPr>
          <w:p w14:paraId="6B525098" w14:textId="019F6C73" w:rsidR="003B5F50" w:rsidRDefault="000D2D85">
            <w:pPr>
              <w:pStyle w:val="P68B1DB1-Normal32"/>
              <w:shd w:val="clear" w:color="auto" w:fill="C6EFCE"/>
              <w:spacing w:after="0" w:line="240" w:lineRule="auto"/>
              <w:jc w:val="both"/>
              <w:textAlignment w:val="baseline"/>
              <w:rPr>
                <w:rFonts w:ascii="Times New Roman" w:eastAsia="MS Mincho" w:hAnsi="Times New Roman" w:cs="Arial"/>
                <w:noProof/>
              </w:rPr>
            </w:pPr>
            <w:r>
              <w:rPr>
                <w:rFonts w:ascii="Times New Roman" w:eastAsia="MS Mincho" w:hAnsi="Times New Roman" w:cs="Arial" w:hint="eastAsia"/>
                <w:noProof/>
              </w:rPr>
              <w:t>115 membres du personnel technique supplémentaires ont été fournis pour accélérer les procédures</w:t>
            </w:r>
            <w:r>
              <w:rPr>
                <w:rFonts w:ascii="Times New Roman" w:eastAsia="MS Mincho" w:hAnsi="Times New Roman" w:cs="Arial"/>
                <w:noProof/>
              </w:rPr>
              <w:t xml:space="preserve"> en vertu de la Loi sur l'EIE et les procédures d'autorisation subséquentes pour la délivrance de permis intégrés pour les projets d'énergie renouvelable proposés ou modifiés. Au moins 100 des 115 membres du personnel travaillent sur un ou plusieurs des éléments suivants:</w:t>
            </w:r>
          </w:p>
          <w:p w14:paraId="5693811B" w14:textId="64CDFD39" w:rsidR="003B5F50" w:rsidRDefault="000D2D85">
            <w:pPr>
              <w:pStyle w:val="P68B1DB1-ListParagraph75"/>
              <w:numPr>
                <w:ilvl w:val="0"/>
                <w:numId w:val="52"/>
              </w:numPr>
              <w:shd w:val="clear" w:color="auto" w:fill="C6EFCE"/>
              <w:spacing w:after="0" w:line="240" w:lineRule="auto"/>
              <w:ind w:left="318" w:hanging="318"/>
              <w:jc w:val="both"/>
              <w:textAlignment w:val="baseline"/>
              <w:rPr>
                <w:rFonts w:eastAsia="Times New Roman"/>
                <w:noProof/>
              </w:rPr>
            </w:pPr>
            <w:r>
              <w:rPr>
                <w:noProof/>
              </w:rPr>
              <w:t>l'évaluation des incidences sur l'environnement donne son accord,</w:t>
            </w:r>
          </w:p>
          <w:p w14:paraId="341A9224" w14:textId="77777777" w:rsidR="003B5F50" w:rsidRDefault="000D2D85">
            <w:pPr>
              <w:pStyle w:val="P68B1DB1-ListParagraph75"/>
              <w:numPr>
                <w:ilvl w:val="0"/>
                <w:numId w:val="52"/>
              </w:numPr>
              <w:shd w:val="clear" w:color="auto" w:fill="C6EFCE"/>
              <w:spacing w:after="0" w:line="240" w:lineRule="auto"/>
              <w:ind w:left="318" w:hanging="318"/>
              <w:jc w:val="both"/>
              <w:textAlignment w:val="baseline"/>
              <w:rPr>
                <w:rFonts w:eastAsia="Times New Roman"/>
                <w:noProof/>
              </w:rPr>
            </w:pPr>
            <w:r>
              <w:rPr>
                <w:noProof/>
              </w:rPr>
              <w:t>permis de construire ultérieurs pour des installations d'énergie renouvelable,</w:t>
            </w:r>
          </w:p>
          <w:p w14:paraId="50B4BAB2" w14:textId="2DBD9BB1" w:rsidR="003B5F50" w:rsidRDefault="000D2D85">
            <w:pPr>
              <w:pStyle w:val="P68B1DB1-ListParagraph75"/>
              <w:numPr>
                <w:ilvl w:val="0"/>
                <w:numId w:val="52"/>
              </w:numPr>
              <w:shd w:val="clear" w:color="auto" w:fill="C6EFCE"/>
              <w:spacing w:after="0" w:line="240" w:lineRule="auto"/>
              <w:ind w:left="318" w:hanging="318"/>
              <w:jc w:val="both"/>
              <w:textAlignment w:val="baseline"/>
              <w:rPr>
                <w:rFonts w:eastAsia="Times New Roman"/>
                <w:noProof/>
              </w:rPr>
            </w:pPr>
            <w:r>
              <w:rPr>
                <w:noProof/>
              </w:rPr>
              <w:t>la surveillance du respect des autorisations délivrées pour les installations d’énergie renouvelable.</w:t>
            </w:r>
          </w:p>
        </w:tc>
      </w:tr>
      <w:tr w:rsidR="003B5F50" w14:paraId="50B4BAC8" w14:textId="77777777" w:rsidTr="00F8541A">
        <w:trPr>
          <w:trHeight w:val="782"/>
        </w:trPr>
        <w:tc>
          <w:tcPr>
            <w:tcW w:w="738" w:type="dxa"/>
            <w:shd w:val="clear" w:color="auto" w:fill="C6EFCE"/>
            <w:noWrap/>
          </w:tcPr>
          <w:p w14:paraId="50B4BAB4" w14:textId="77777777" w:rsidR="003B5F50" w:rsidRDefault="000D2D85">
            <w:pPr>
              <w:pStyle w:val="P68B1DB1-Normal42"/>
              <w:spacing w:after="0" w:line="259" w:lineRule="auto"/>
              <w:rPr>
                <w:rFonts w:eastAsia="Times New Roman"/>
                <w:noProof/>
                <w:szCs w:val="20"/>
              </w:rPr>
            </w:pPr>
            <w:r>
              <w:rPr>
                <w:noProof/>
              </w:rPr>
              <w:t>2</w:t>
            </w:r>
          </w:p>
        </w:tc>
        <w:tc>
          <w:tcPr>
            <w:tcW w:w="1701" w:type="dxa"/>
            <w:shd w:val="clear" w:color="auto" w:fill="C6EFCE"/>
          </w:tcPr>
          <w:p w14:paraId="50B4BAB5" w14:textId="77777777" w:rsidR="003B5F50" w:rsidRDefault="000D2D85">
            <w:pPr>
              <w:pStyle w:val="P68B1DB1-Normal42"/>
              <w:spacing w:after="0" w:line="259" w:lineRule="auto"/>
              <w:rPr>
                <w:rFonts w:eastAsia="Times New Roman"/>
                <w:noProof/>
                <w:szCs w:val="20"/>
              </w:rPr>
            </w:pPr>
            <w:r>
              <w:rPr>
                <w:noProof/>
              </w:rPr>
              <w:t>2 – REPowerEU – Réforme 1 – Sous-mesure 1 – Modifications législatives et procédurales accélérant la délivrance des autorisations environnementales  </w:t>
            </w:r>
          </w:p>
        </w:tc>
        <w:tc>
          <w:tcPr>
            <w:tcW w:w="1276" w:type="dxa"/>
            <w:shd w:val="clear" w:color="auto" w:fill="C6EFCE"/>
            <w:noWrap/>
          </w:tcPr>
          <w:p w14:paraId="50B4BAB6" w14:textId="77777777" w:rsidR="003B5F50" w:rsidRDefault="000D2D85">
            <w:pPr>
              <w:pStyle w:val="P68B1DB1-Normal42"/>
              <w:spacing w:line="240" w:lineRule="auto"/>
              <w:jc w:val="both"/>
              <w:rPr>
                <w:rFonts w:eastAsia="Times New Roman"/>
                <w:noProof/>
                <w:szCs w:val="20"/>
              </w:rPr>
            </w:pPr>
            <w:r>
              <w:rPr>
                <w:noProof/>
              </w:rPr>
              <w:t>Étape</w:t>
            </w:r>
          </w:p>
          <w:p w14:paraId="50B4BAB7" w14:textId="77777777" w:rsidR="003B5F50" w:rsidRDefault="000D2D85">
            <w:pPr>
              <w:pStyle w:val="P68B1DB1-Normal42"/>
              <w:spacing w:after="0" w:line="259" w:lineRule="auto"/>
              <w:rPr>
                <w:rFonts w:eastAsia="Times New Roman"/>
                <w:noProof/>
                <w:szCs w:val="20"/>
              </w:rPr>
            </w:pPr>
            <w:r>
              <w:rPr>
                <w:noProof/>
              </w:rPr>
              <w:t> </w:t>
            </w:r>
          </w:p>
        </w:tc>
        <w:tc>
          <w:tcPr>
            <w:tcW w:w="992" w:type="dxa"/>
            <w:shd w:val="clear" w:color="auto" w:fill="C6EFCE"/>
          </w:tcPr>
          <w:p w14:paraId="50B4BAB8" w14:textId="5EF6E20D" w:rsidR="003B5F50" w:rsidRDefault="000D2D85">
            <w:pPr>
              <w:pStyle w:val="P68B1DB1-Normal42"/>
              <w:spacing w:after="0" w:line="259" w:lineRule="auto"/>
              <w:rPr>
                <w:rFonts w:eastAsia="Times New Roman"/>
                <w:noProof/>
                <w:szCs w:val="20"/>
              </w:rPr>
            </w:pPr>
            <w:r>
              <w:rPr>
                <w:noProof/>
              </w:rPr>
              <w:t xml:space="preserve">Entrée en vigueur des modifications législatives et procédurales </w:t>
            </w:r>
          </w:p>
        </w:tc>
        <w:tc>
          <w:tcPr>
            <w:tcW w:w="1559" w:type="dxa"/>
            <w:shd w:val="clear" w:color="auto" w:fill="C6EFCE"/>
          </w:tcPr>
          <w:p w14:paraId="50B4BAB9" w14:textId="77777777" w:rsidR="003B5F50" w:rsidRDefault="000D2D85">
            <w:pPr>
              <w:pStyle w:val="P68B1DB1-Normal42"/>
              <w:spacing w:after="0" w:line="259" w:lineRule="auto"/>
              <w:rPr>
                <w:rFonts w:eastAsia="Times New Roman"/>
                <w:noProof/>
                <w:szCs w:val="20"/>
              </w:rPr>
            </w:pPr>
            <w:r>
              <w:rPr>
                <w:noProof/>
              </w:rPr>
              <w:t>Disposition des lois indiquant l'entrée en vigueur</w:t>
            </w:r>
          </w:p>
        </w:tc>
        <w:tc>
          <w:tcPr>
            <w:tcW w:w="1559" w:type="dxa"/>
            <w:shd w:val="clear" w:color="auto" w:fill="C6EFCE"/>
            <w:noWrap/>
          </w:tcPr>
          <w:p w14:paraId="50B4BABA" w14:textId="77777777" w:rsidR="003B5F50" w:rsidRDefault="000D2D85">
            <w:pPr>
              <w:pStyle w:val="P68B1DB1-Normal42"/>
              <w:spacing w:after="0" w:line="259" w:lineRule="auto"/>
              <w:rPr>
                <w:rFonts w:eastAsia="Times New Roman"/>
                <w:noProof/>
                <w:szCs w:val="20"/>
              </w:rPr>
            </w:pPr>
            <w:r>
              <w:rPr>
                <w:noProof/>
              </w:rPr>
              <w:t> </w:t>
            </w:r>
          </w:p>
        </w:tc>
        <w:tc>
          <w:tcPr>
            <w:tcW w:w="1418" w:type="dxa"/>
            <w:shd w:val="clear" w:color="auto" w:fill="C6EFCE"/>
            <w:noWrap/>
          </w:tcPr>
          <w:p w14:paraId="50B4BABB" w14:textId="77777777" w:rsidR="003B5F50" w:rsidRDefault="000D2D85">
            <w:pPr>
              <w:pStyle w:val="P68B1DB1-Normal42"/>
              <w:spacing w:after="0" w:line="259" w:lineRule="auto"/>
              <w:rPr>
                <w:rFonts w:eastAsia="Times New Roman"/>
                <w:noProof/>
                <w:szCs w:val="20"/>
              </w:rPr>
            </w:pPr>
            <w:r>
              <w:rPr>
                <w:noProof/>
              </w:rPr>
              <w:t> </w:t>
            </w:r>
          </w:p>
        </w:tc>
        <w:tc>
          <w:tcPr>
            <w:tcW w:w="992" w:type="dxa"/>
            <w:shd w:val="clear" w:color="auto" w:fill="C6EFCE"/>
            <w:noWrap/>
          </w:tcPr>
          <w:p w14:paraId="50B4BABC" w14:textId="77777777" w:rsidR="003B5F50" w:rsidRDefault="000D2D85">
            <w:pPr>
              <w:pStyle w:val="P68B1DB1-Normal42"/>
              <w:spacing w:after="0" w:line="259" w:lineRule="auto"/>
              <w:rPr>
                <w:rFonts w:eastAsia="Times New Roman"/>
                <w:noProof/>
                <w:szCs w:val="20"/>
              </w:rPr>
            </w:pPr>
            <w:r>
              <w:rPr>
                <w:noProof/>
              </w:rPr>
              <w:t> </w:t>
            </w:r>
          </w:p>
        </w:tc>
        <w:tc>
          <w:tcPr>
            <w:tcW w:w="1134" w:type="dxa"/>
            <w:shd w:val="clear" w:color="auto" w:fill="C6EFCE"/>
            <w:noWrap/>
          </w:tcPr>
          <w:p w14:paraId="50B4BABD" w14:textId="77777777" w:rsidR="003B5F50" w:rsidRDefault="000D2D85">
            <w:pPr>
              <w:pStyle w:val="P68B1DB1-Normal42"/>
              <w:spacing w:line="240" w:lineRule="auto"/>
              <w:jc w:val="both"/>
              <w:rPr>
                <w:rFonts w:eastAsia="Times New Roman"/>
                <w:noProof/>
                <w:szCs w:val="20"/>
              </w:rPr>
            </w:pPr>
            <w:r>
              <w:rPr>
                <w:noProof/>
              </w:rPr>
              <w:t>T2 </w:t>
            </w:r>
          </w:p>
          <w:p w14:paraId="50B4BABE" w14:textId="77777777" w:rsidR="003B5F50" w:rsidRDefault="000D2D85">
            <w:pPr>
              <w:pStyle w:val="P68B1DB1-Normal42"/>
              <w:spacing w:after="0" w:line="259" w:lineRule="auto"/>
              <w:rPr>
                <w:rFonts w:eastAsia="Times New Roman"/>
                <w:noProof/>
                <w:szCs w:val="20"/>
              </w:rPr>
            </w:pPr>
            <w:r>
              <w:rPr>
                <w:noProof/>
              </w:rPr>
              <w:t> </w:t>
            </w:r>
          </w:p>
        </w:tc>
        <w:tc>
          <w:tcPr>
            <w:tcW w:w="1134" w:type="dxa"/>
            <w:shd w:val="clear" w:color="auto" w:fill="C6EFCE"/>
            <w:noWrap/>
          </w:tcPr>
          <w:p w14:paraId="50B4BABF" w14:textId="77777777" w:rsidR="003B5F50" w:rsidRDefault="000D2D85">
            <w:pPr>
              <w:pStyle w:val="P68B1DB1-Normal42"/>
              <w:spacing w:line="240" w:lineRule="auto"/>
              <w:jc w:val="both"/>
              <w:rPr>
                <w:rFonts w:eastAsia="Times New Roman"/>
                <w:noProof/>
                <w:szCs w:val="20"/>
              </w:rPr>
            </w:pPr>
            <w:r>
              <w:rPr>
                <w:noProof/>
              </w:rPr>
              <w:t>2025 </w:t>
            </w:r>
          </w:p>
          <w:p w14:paraId="50B4BAC0" w14:textId="77777777" w:rsidR="003B5F50" w:rsidRDefault="000D2D85">
            <w:pPr>
              <w:pStyle w:val="P68B1DB1-Normal42"/>
              <w:spacing w:after="0" w:line="259" w:lineRule="auto"/>
              <w:rPr>
                <w:rFonts w:eastAsia="Times New Roman"/>
                <w:noProof/>
                <w:szCs w:val="20"/>
              </w:rPr>
            </w:pPr>
            <w:r>
              <w:rPr>
                <w:noProof/>
              </w:rPr>
              <w:t> </w:t>
            </w:r>
          </w:p>
        </w:tc>
        <w:tc>
          <w:tcPr>
            <w:tcW w:w="2126" w:type="dxa"/>
            <w:shd w:val="clear" w:color="auto" w:fill="C6EFCE"/>
          </w:tcPr>
          <w:p w14:paraId="50B4BAC1" w14:textId="77777777" w:rsidR="003B5F50" w:rsidRDefault="000D2D85">
            <w:pPr>
              <w:pStyle w:val="P68B1DB1-Normal43"/>
              <w:shd w:val="clear" w:color="auto" w:fill="C6EFCE"/>
              <w:spacing w:after="0" w:line="240" w:lineRule="auto"/>
              <w:jc w:val="both"/>
              <w:textAlignment w:val="baseline"/>
              <w:rPr>
                <w:noProof/>
              </w:rPr>
            </w:pPr>
            <w:r>
              <w:rPr>
                <w:noProof/>
              </w:rPr>
              <w:t>Les modifications législatives rationalisent les procédures applicables aux projets d’énergie renouvelable au titre des lois EIE et PRIP en établissant un processus unique comprenant à la fois des évaluations des incidences sur l’environnement et d’autres évaluations, ainsi qu’un permis de construire, créant ainsi un permis intégré. L'octroi d'un permis de construire dépend de l'achèvement des procédures d'autorisation. La législation garantit au public concerné un droit clairement stipulé de former un recours contre les décisions rendues en vertu de la loi sur l'EIE. Pour les projets qui ne feront pas l'objet d'une procédure intégrée, la procédure d'autorisation est simplifiée par la mise à jour et l'interconnexion des registres et des systèmes d'information existants.</w:t>
            </w:r>
          </w:p>
          <w:p w14:paraId="50B4BAC2" w14:textId="77777777" w:rsidR="003B5F50" w:rsidRDefault="003B5F50">
            <w:pPr>
              <w:shd w:val="clear" w:color="auto" w:fill="C6EFCE"/>
              <w:spacing w:after="0" w:line="240" w:lineRule="auto"/>
              <w:jc w:val="both"/>
              <w:textAlignment w:val="baseline"/>
              <w:rPr>
                <w:rFonts w:ascii="Times New Roman" w:eastAsia="MS Mincho" w:hAnsi="Times New Roman" w:cs="Arial"/>
                <w:noProof/>
                <w:color w:val="006100"/>
                <w:sz w:val="20"/>
                <w:szCs w:val="20"/>
              </w:rPr>
            </w:pPr>
          </w:p>
          <w:p w14:paraId="50B4BAC3" w14:textId="77777777" w:rsidR="003B5F50" w:rsidRDefault="000D2D85">
            <w:pPr>
              <w:pStyle w:val="P68B1DB1-Normal43"/>
              <w:shd w:val="clear" w:color="auto" w:fill="C6EFCE"/>
              <w:spacing w:after="0" w:line="240" w:lineRule="auto"/>
              <w:jc w:val="both"/>
              <w:textAlignment w:val="baseline"/>
              <w:rPr>
                <w:rFonts w:cs="Times New Roman"/>
                <w:noProof/>
              </w:rPr>
            </w:pPr>
            <w:r>
              <w:rPr>
                <w:noProof/>
              </w:rPr>
              <w:t xml:space="preserve">Le SEI devient l'autorité chargée du processus unique susmentionné. La compétence d’évaluer les incidences de l’activité proposée ou modifiée et de délivrer une autorisation intégrée est transférée à l’IED. À cette fin, une nouvelle compétence est introduite pour les différentes autorités au sein de la structure de l’IES, les inspections régionales servant d’autorité de première instance et le siège de l’IES étant désigné comme autorité de deuxième instance pour l’EIE en ce qui concerne les sources d’énergie renouvelables. </w:t>
            </w:r>
          </w:p>
          <w:p w14:paraId="50B4BAC4" w14:textId="77777777" w:rsidR="003B5F50" w:rsidRDefault="003B5F50">
            <w:pPr>
              <w:shd w:val="clear" w:color="auto" w:fill="C6EFCE"/>
              <w:spacing w:after="0" w:line="240" w:lineRule="auto"/>
              <w:jc w:val="both"/>
              <w:textAlignment w:val="baseline"/>
              <w:rPr>
                <w:rFonts w:ascii="Times New Roman" w:eastAsia="MS Mincho" w:hAnsi="Times New Roman" w:cs="Arial"/>
                <w:noProof/>
                <w:color w:val="006100"/>
                <w:sz w:val="20"/>
                <w:szCs w:val="20"/>
              </w:rPr>
            </w:pPr>
          </w:p>
          <w:p w14:paraId="50B4BAC5" w14:textId="77777777" w:rsidR="003B5F50" w:rsidRDefault="000D2D85">
            <w:pPr>
              <w:pStyle w:val="P68B1DB1-Normal43"/>
              <w:shd w:val="clear" w:color="auto" w:fill="C6EFCE"/>
              <w:spacing w:after="0" w:line="240" w:lineRule="auto"/>
              <w:jc w:val="both"/>
              <w:textAlignment w:val="baseline"/>
              <w:rPr>
                <w:noProof/>
              </w:rPr>
            </w:pPr>
            <w:r>
              <w:rPr>
                <w:noProof/>
              </w:rPr>
              <w:t>Les valeurs seuils figurant dans les annexes de la loi sur l’EIE sont modifiées afin d’accélérer les procédures d’EIE pour l’énergie géothermique et éolienne. Au lieu d’une évaluation EIE obligatoire, une procédure d’examen préalable au titre de la loi sur l’EIE est requise pour l’installation d’éoliennes individuelles d’une puissance comprise entre 0,1 et 1 MW inclusivement. En ce qui concerne l’énergie géothermique, elle est soumise à une procédure de filtrage en vertu de la loi sur l’EIE pour les puits d’une profondeur supérieure à 300 m (inclus).</w:t>
            </w:r>
          </w:p>
          <w:p w14:paraId="50B4BAC6" w14:textId="77777777" w:rsidR="003B5F50" w:rsidRDefault="003B5F50">
            <w:pPr>
              <w:shd w:val="clear" w:color="auto" w:fill="C6EFCE"/>
              <w:spacing w:after="0" w:line="240" w:lineRule="auto"/>
              <w:jc w:val="both"/>
              <w:textAlignment w:val="baseline"/>
              <w:rPr>
                <w:rFonts w:ascii="Times New Roman" w:eastAsia="Times New Roman" w:hAnsi="Times New Roman" w:cs="Arial"/>
                <w:noProof/>
                <w:color w:val="006100"/>
                <w:sz w:val="20"/>
                <w:szCs w:val="20"/>
              </w:rPr>
            </w:pPr>
          </w:p>
          <w:p w14:paraId="50B4BAC7" w14:textId="77777777" w:rsidR="003B5F50" w:rsidRDefault="000D2D85">
            <w:pPr>
              <w:pStyle w:val="P68B1DB1-Normal76"/>
              <w:shd w:val="clear" w:color="auto" w:fill="C6EFCE"/>
              <w:spacing w:after="0" w:line="240" w:lineRule="auto"/>
              <w:jc w:val="both"/>
              <w:textAlignment w:val="baseline"/>
              <w:rPr>
                <w:rFonts w:eastAsia="Times New Roman"/>
                <w:noProof/>
                <w:szCs w:val="20"/>
              </w:rPr>
            </w:pPr>
            <w:r>
              <w:rPr>
                <w:noProof/>
                <w:szCs w:val="20"/>
              </w:rPr>
              <w:t xml:space="preserve">La loi EIE modifiée introduit de nouveaux délais contraignants et exécutoires pour toutes les procédures au titre de la loi EIE et crée une «administration publique partiellement spécialisée» pour les procédures au titre de la loi EIE. </w:t>
            </w:r>
            <w:r>
              <w:rPr>
                <w:noProof/>
                <w:szCs w:val="22"/>
              </w:rPr>
              <w:t>Pour tous les projets dans le domaine des énergies renouvelables, à l’exception de l’énergie hydraulique, une évaluation obligatoire ne prend pas plus de huit mois et une évaluation préalable ne dépasse pas trois mois.</w:t>
            </w:r>
          </w:p>
        </w:tc>
      </w:tr>
      <w:tr w:rsidR="003B5F50" w14:paraId="50B4BAD6" w14:textId="77777777" w:rsidTr="00F8541A">
        <w:trPr>
          <w:trHeight w:val="961"/>
        </w:trPr>
        <w:tc>
          <w:tcPr>
            <w:tcW w:w="738" w:type="dxa"/>
            <w:shd w:val="clear" w:color="auto" w:fill="C6EFCE"/>
            <w:noWrap/>
          </w:tcPr>
          <w:p w14:paraId="50B4BAC9" w14:textId="77777777" w:rsidR="003B5F50" w:rsidRDefault="000D2D85">
            <w:pPr>
              <w:pStyle w:val="P68B1DB1-Normal42"/>
              <w:spacing w:after="0" w:line="240" w:lineRule="auto"/>
              <w:jc w:val="both"/>
              <w:rPr>
                <w:rFonts w:eastAsia="Times New Roman"/>
                <w:noProof/>
                <w:szCs w:val="20"/>
              </w:rPr>
            </w:pPr>
            <w:r>
              <w:rPr>
                <w:noProof/>
              </w:rPr>
              <w:t>3</w:t>
            </w:r>
          </w:p>
        </w:tc>
        <w:tc>
          <w:tcPr>
            <w:tcW w:w="1701" w:type="dxa"/>
            <w:shd w:val="clear" w:color="auto" w:fill="C6EFCE"/>
          </w:tcPr>
          <w:p w14:paraId="50B4BACA" w14:textId="77777777" w:rsidR="003B5F50" w:rsidRDefault="000D2D85">
            <w:pPr>
              <w:pStyle w:val="P68B1DB1-Normal42"/>
              <w:spacing w:line="240" w:lineRule="auto"/>
              <w:rPr>
                <w:rFonts w:eastAsia="Times New Roman"/>
                <w:noProof/>
                <w:szCs w:val="20"/>
              </w:rPr>
            </w:pPr>
            <w:r>
              <w:rPr>
                <w:noProof/>
              </w:rPr>
              <w:t>3 – REPowerEU – Réforme 1 – Sous-mesure 2 – Améliorer l’utilisation de l’énergie géothermique</w:t>
            </w:r>
          </w:p>
          <w:p w14:paraId="50B4BACB" w14:textId="77777777" w:rsidR="003B5F50" w:rsidRDefault="003B5F50">
            <w:pPr>
              <w:spacing w:after="0" w:line="240" w:lineRule="auto"/>
              <w:rPr>
                <w:rFonts w:ascii="Times New Roman" w:eastAsia="Times New Roman" w:hAnsi="Times New Roman" w:cs="Arial"/>
                <w:noProof/>
                <w:color w:val="006100"/>
                <w:sz w:val="20"/>
                <w:szCs w:val="20"/>
              </w:rPr>
            </w:pPr>
          </w:p>
        </w:tc>
        <w:tc>
          <w:tcPr>
            <w:tcW w:w="1276" w:type="dxa"/>
            <w:shd w:val="clear" w:color="auto" w:fill="C6EFCE"/>
            <w:noWrap/>
          </w:tcPr>
          <w:p w14:paraId="50B4BACC" w14:textId="77777777" w:rsidR="003B5F50" w:rsidRDefault="000D2D85">
            <w:pPr>
              <w:pStyle w:val="P68B1DB1-Normal42"/>
              <w:spacing w:after="0" w:line="240" w:lineRule="auto"/>
              <w:rPr>
                <w:rFonts w:eastAsia="Times New Roman"/>
                <w:noProof/>
                <w:szCs w:val="20"/>
              </w:rPr>
            </w:pPr>
            <w:r>
              <w:rPr>
                <w:noProof/>
              </w:rPr>
              <w:t>Objectif</w:t>
            </w:r>
          </w:p>
        </w:tc>
        <w:tc>
          <w:tcPr>
            <w:tcW w:w="992" w:type="dxa"/>
            <w:shd w:val="clear" w:color="auto" w:fill="C6EFCE"/>
          </w:tcPr>
          <w:p w14:paraId="50B4BACD" w14:textId="77777777" w:rsidR="003B5F50" w:rsidRDefault="000D2D85">
            <w:pPr>
              <w:pStyle w:val="P68B1DB1-Normal42"/>
              <w:spacing w:after="0" w:line="240" w:lineRule="auto"/>
              <w:rPr>
                <w:rFonts w:eastAsia="Times New Roman"/>
                <w:noProof/>
                <w:szCs w:val="20"/>
              </w:rPr>
            </w:pPr>
            <w:r>
              <w:rPr>
                <w:noProof/>
              </w:rPr>
              <w:t xml:space="preserve">« Passeporti-sation » de puits géothermiques </w:t>
            </w:r>
          </w:p>
        </w:tc>
        <w:tc>
          <w:tcPr>
            <w:tcW w:w="1559" w:type="dxa"/>
            <w:shd w:val="clear" w:color="auto" w:fill="C6EFCE"/>
          </w:tcPr>
          <w:p w14:paraId="50B4BACE"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1559" w:type="dxa"/>
            <w:shd w:val="clear" w:color="auto" w:fill="C6EFCE"/>
            <w:noWrap/>
          </w:tcPr>
          <w:p w14:paraId="50B4BACF" w14:textId="77777777" w:rsidR="003B5F50" w:rsidRDefault="000D2D85">
            <w:pPr>
              <w:pStyle w:val="P68B1DB1-Normal42"/>
              <w:spacing w:after="0" w:line="240" w:lineRule="auto"/>
              <w:jc w:val="both"/>
              <w:rPr>
                <w:rFonts w:eastAsia="Times New Roman"/>
                <w:noProof/>
                <w:szCs w:val="20"/>
              </w:rPr>
            </w:pPr>
            <w:r>
              <w:rPr>
                <w:noProof/>
              </w:rPr>
              <w:t>Nombre de puits géothermiques «passeporti-sed»</w:t>
            </w:r>
          </w:p>
        </w:tc>
        <w:tc>
          <w:tcPr>
            <w:tcW w:w="1418" w:type="dxa"/>
            <w:shd w:val="clear" w:color="auto" w:fill="C6EFCE"/>
            <w:noWrap/>
          </w:tcPr>
          <w:p w14:paraId="50B4BAD0" w14:textId="77777777" w:rsidR="003B5F50" w:rsidRDefault="000D2D85">
            <w:pPr>
              <w:pStyle w:val="P68B1DB1-Normal42"/>
              <w:spacing w:after="0" w:line="240" w:lineRule="auto"/>
              <w:jc w:val="both"/>
              <w:rPr>
                <w:rFonts w:eastAsia="Times New Roman"/>
                <w:noProof/>
                <w:szCs w:val="20"/>
              </w:rPr>
            </w:pPr>
            <w:r>
              <w:rPr>
                <w:noProof/>
              </w:rPr>
              <w:t>0</w:t>
            </w:r>
          </w:p>
        </w:tc>
        <w:tc>
          <w:tcPr>
            <w:tcW w:w="992" w:type="dxa"/>
            <w:shd w:val="clear" w:color="auto" w:fill="C6EFCE"/>
            <w:noWrap/>
          </w:tcPr>
          <w:p w14:paraId="50B4BAD1" w14:textId="77777777" w:rsidR="003B5F50" w:rsidRDefault="000D2D85">
            <w:pPr>
              <w:pStyle w:val="P68B1DB1-Normal42"/>
              <w:spacing w:after="0" w:line="240" w:lineRule="auto"/>
              <w:jc w:val="both"/>
              <w:rPr>
                <w:rFonts w:eastAsia="Times New Roman"/>
                <w:noProof/>
                <w:szCs w:val="20"/>
              </w:rPr>
            </w:pPr>
            <w:r>
              <w:rPr>
                <w:noProof/>
              </w:rPr>
              <w:t>60</w:t>
            </w:r>
          </w:p>
        </w:tc>
        <w:tc>
          <w:tcPr>
            <w:tcW w:w="1134" w:type="dxa"/>
            <w:shd w:val="clear" w:color="auto" w:fill="C6EFCE"/>
            <w:noWrap/>
          </w:tcPr>
          <w:p w14:paraId="50B4BAD2" w14:textId="77777777" w:rsidR="003B5F50" w:rsidRDefault="000D2D85">
            <w:pPr>
              <w:pStyle w:val="P68B1DB1-Normal42"/>
              <w:spacing w:line="240" w:lineRule="auto"/>
              <w:jc w:val="both"/>
              <w:rPr>
                <w:rFonts w:eastAsia="Times New Roman"/>
                <w:noProof/>
                <w:szCs w:val="20"/>
              </w:rPr>
            </w:pPr>
            <w:r>
              <w:rPr>
                <w:noProof/>
              </w:rPr>
              <w:t>T2</w:t>
            </w:r>
          </w:p>
        </w:tc>
        <w:tc>
          <w:tcPr>
            <w:tcW w:w="1134" w:type="dxa"/>
            <w:shd w:val="clear" w:color="auto" w:fill="C6EFCE"/>
            <w:noWrap/>
          </w:tcPr>
          <w:p w14:paraId="50B4BAD3" w14:textId="77777777" w:rsidR="003B5F50" w:rsidRDefault="000D2D85">
            <w:pPr>
              <w:pStyle w:val="P68B1DB1-Normal42"/>
              <w:spacing w:line="240" w:lineRule="auto"/>
              <w:jc w:val="both"/>
              <w:rPr>
                <w:rFonts w:eastAsia="Times New Roman"/>
                <w:noProof/>
                <w:szCs w:val="20"/>
              </w:rPr>
            </w:pPr>
            <w:r>
              <w:rPr>
                <w:noProof/>
              </w:rPr>
              <w:t>2026</w:t>
            </w:r>
          </w:p>
        </w:tc>
        <w:tc>
          <w:tcPr>
            <w:tcW w:w="2126" w:type="dxa"/>
            <w:shd w:val="clear" w:color="auto" w:fill="C6EFCE"/>
          </w:tcPr>
          <w:p w14:paraId="50B4BAD4" w14:textId="5E0A991C" w:rsidR="003B5F50" w:rsidRDefault="000D2D85">
            <w:pPr>
              <w:pStyle w:val="P68B1DB1-Normal43"/>
              <w:spacing w:after="0" w:line="240" w:lineRule="auto"/>
              <w:jc w:val="both"/>
              <w:rPr>
                <w:noProof/>
              </w:rPr>
            </w:pPr>
            <w:r>
              <w:rPr>
                <w:noProof/>
              </w:rPr>
              <w:t xml:space="preserve">Au moins 60 puits géothermiques en Slovaquie sont «passeportisés», ce qui signifie que les informations sur les sites géothermiques sont mises à la disposition du public sur le site web de l’Institut géologique national Dionyza Stura, comprenant les informations suivantes: localisation du puits, sa profondeur, son état technique, les paramètres de l'eau et son potentiel d'utilisation géothermique. </w:t>
            </w:r>
          </w:p>
        </w:tc>
      </w:tr>
      <w:tr w:rsidR="003B5F50" w14:paraId="50B4BAE5" w14:textId="77777777" w:rsidTr="00F8541A">
        <w:trPr>
          <w:trHeight w:val="961"/>
        </w:trPr>
        <w:tc>
          <w:tcPr>
            <w:tcW w:w="738" w:type="dxa"/>
            <w:shd w:val="clear" w:color="auto" w:fill="C6EFCE"/>
            <w:noWrap/>
          </w:tcPr>
          <w:p w14:paraId="50B4BAD7" w14:textId="77777777" w:rsidR="003B5F50" w:rsidRDefault="000D2D85">
            <w:pPr>
              <w:pStyle w:val="P68B1DB1-Normal42"/>
              <w:spacing w:after="0" w:line="240" w:lineRule="auto"/>
              <w:jc w:val="both"/>
              <w:rPr>
                <w:rFonts w:eastAsia="Times New Roman"/>
                <w:noProof/>
                <w:szCs w:val="20"/>
              </w:rPr>
            </w:pPr>
            <w:r>
              <w:rPr>
                <w:noProof/>
              </w:rPr>
              <w:t>4</w:t>
            </w:r>
          </w:p>
        </w:tc>
        <w:tc>
          <w:tcPr>
            <w:tcW w:w="1701" w:type="dxa"/>
            <w:shd w:val="clear" w:color="auto" w:fill="C6EFCE"/>
          </w:tcPr>
          <w:p w14:paraId="50B4BAD8" w14:textId="77777777" w:rsidR="003B5F50" w:rsidRDefault="000D2D85">
            <w:pPr>
              <w:pStyle w:val="P68B1DB1-Normal42"/>
              <w:spacing w:line="240" w:lineRule="auto"/>
              <w:rPr>
                <w:rFonts w:eastAsia="Times New Roman"/>
                <w:noProof/>
                <w:szCs w:val="20"/>
              </w:rPr>
            </w:pPr>
            <w:r>
              <w:rPr>
                <w:noProof/>
              </w:rPr>
              <w:t xml:space="preserve">4 – REPowerEU – Réforme 1 – Sous-mesure 3 – Soutien à la pompe à chaleur </w:t>
            </w:r>
          </w:p>
          <w:p w14:paraId="50B4BAD9" w14:textId="77777777" w:rsidR="003B5F50" w:rsidRDefault="003B5F50">
            <w:pPr>
              <w:spacing w:after="0" w:line="240" w:lineRule="auto"/>
              <w:rPr>
                <w:rFonts w:ascii="Times New Roman" w:eastAsia="Times New Roman" w:hAnsi="Times New Roman" w:cs="Arial"/>
                <w:noProof/>
                <w:color w:val="006100"/>
                <w:sz w:val="20"/>
                <w:szCs w:val="20"/>
              </w:rPr>
            </w:pPr>
          </w:p>
        </w:tc>
        <w:tc>
          <w:tcPr>
            <w:tcW w:w="1276" w:type="dxa"/>
            <w:shd w:val="clear" w:color="auto" w:fill="C6EFCE"/>
            <w:noWrap/>
          </w:tcPr>
          <w:p w14:paraId="50B4BADA" w14:textId="77777777" w:rsidR="003B5F50" w:rsidRDefault="000D2D85">
            <w:pPr>
              <w:pStyle w:val="P68B1DB1-Normal42"/>
              <w:spacing w:after="0" w:line="240" w:lineRule="auto"/>
              <w:rPr>
                <w:rFonts w:eastAsia="Times New Roman"/>
                <w:noProof/>
                <w:szCs w:val="20"/>
              </w:rPr>
            </w:pPr>
            <w:r>
              <w:rPr>
                <w:noProof/>
              </w:rPr>
              <w:t>Étape</w:t>
            </w:r>
          </w:p>
        </w:tc>
        <w:tc>
          <w:tcPr>
            <w:tcW w:w="992" w:type="dxa"/>
            <w:shd w:val="clear" w:color="auto" w:fill="C6EFCE"/>
          </w:tcPr>
          <w:p w14:paraId="50B4BADB" w14:textId="77777777" w:rsidR="003B5F50" w:rsidRDefault="000D2D85">
            <w:pPr>
              <w:pStyle w:val="P68B1DB1-Normal42"/>
              <w:spacing w:after="0" w:line="240" w:lineRule="auto"/>
              <w:jc w:val="both"/>
              <w:rPr>
                <w:rFonts w:eastAsia="Times New Roman"/>
                <w:noProof/>
                <w:szCs w:val="20"/>
              </w:rPr>
            </w:pPr>
            <w:r>
              <w:rPr>
                <w:noProof/>
              </w:rPr>
              <w:t xml:space="preserve">Entrée en vigueur de la modification législative </w:t>
            </w:r>
          </w:p>
        </w:tc>
        <w:tc>
          <w:tcPr>
            <w:tcW w:w="1559" w:type="dxa"/>
            <w:shd w:val="clear" w:color="auto" w:fill="C6EFCE"/>
          </w:tcPr>
          <w:p w14:paraId="50B4BADC" w14:textId="77777777" w:rsidR="003B5F50" w:rsidRDefault="000D2D85">
            <w:pPr>
              <w:pStyle w:val="P68B1DB1-Normal42"/>
              <w:spacing w:after="0" w:line="240" w:lineRule="auto"/>
              <w:jc w:val="both"/>
              <w:rPr>
                <w:rFonts w:eastAsia="Times New Roman"/>
                <w:noProof/>
                <w:szCs w:val="20"/>
              </w:rPr>
            </w:pPr>
            <w:r>
              <w:rPr>
                <w:noProof/>
              </w:rPr>
              <w:t xml:space="preserve">Disposition de la loi indiquant l'entrée en vigueur </w:t>
            </w:r>
          </w:p>
        </w:tc>
        <w:tc>
          <w:tcPr>
            <w:tcW w:w="1559" w:type="dxa"/>
            <w:shd w:val="clear" w:color="auto" w:fill="C6EFCE"/>
            <w:noWrap/>
          </w:tcPr>
          <w:p w14:paraId="50B4BADD"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1418" w:type="dxa"/>
            <w:shd w:val="clear" w:color="auto" w:fill="C6EFCE"/>
            <w:noWrap/>
          </w:tcPr>
          <w:p w14:paraId="50B4BADE"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ADF"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1134" w:type="dxa"/>
            <w:shd w:val="clear" w:color="auto" w:fill="C6EFCE"/>
            <w:noWrap/>
          </w:tcPr>
          <w:p w14:paraId="50B4BAE0" w14:textId="77777777" w:rsidR="003B5F50" w:rsidRDefault="000D2D85">
            <w:pPr>
              <w:pStyle w:val="P68B1DB1-Normal42"/>
              <w:spacing w:after="0" w:line="240" w:lineRule="auto"/>
              <w:jc w:val="both"/>
              <w:rPr>
                <w:rFonts w:eastAsia="Times New Roman"/>
                <w:noProof/>
                <w:szCs w:val="20"/>
              </w:rPr>
            </w:pPr>
            <w:r>
              <w:rPr>
                <w:noProof/>
              </w:rPr>
              <w:t>T3</w:t>
            </w:r>
          </w:p>
        </w:tc>
        <w:tc>
          <w:tcPr>
            <w:tcW w:w="1134" w:type="dxa"/>
            <w:shd w:val="clear" w:color="auto" w:fill="C6EFCE"/>
            <w:noWrap/>
          </w:tcPr>
          <w:p w14:paraId="50B4BAE1" w14:textId="77777777" w:rsidR="003B5F50" w:rsidRDefault="000D2D85">
            <w:pPr>
              <w:pStyle w:val="P68B1DB1-Normal42"/>
              <w:spacing w:after="0" w:line="240" w:lineRule="auto"/>
              <w:jc w:val="both"/>
              <w:rPr>
                <w:rFonts w:eastAsia="Times New Roman"/>
                <w:noProof/>
                <w:szCs w:val="20"/>
              </w:rPr>
            </w:pPr>
            <w:r>
              <w:rPr>
                <w:noProof/>
              </w:rPr>
              <w:t>2024</w:t>
            </w:r>
          </w:p>
        </w:tc>
        <w:tc>
          <w:tcPr>
            <w:tcW w:w="2126" w:type="dxa"/>
            <w:shd w:val="clear" w:color="auto" w:fill="C6EFCE"/>
          </w:tcPr>
          <w:p w14:paraId="50B4BAE3" w14:textId="18BA831A" w:rsidR="003B5F50" w:rsidRDefault="000D2D85">
            <w:pPr>
              <w:pStyle w:val="P68B1DB1-Normal43"/>
              <w:spacing w:line="240" w:lineRule="auto"/>
              <w:jc w:val="both"/>
              <w:rPr>
                <w:rFonts w:eastAsia="Times New Roman"/>
                <w:noProof/>
              </w:rPr>
            </w:pPr>
            <w:r>
              <w:rPr>
                <w:noProof/>
              </w:rPr>
              <w:t xml:space="preserve">Une modification législative introduit une exemption de l’obligation de payer une redevance pour l’utilisation des eaux souterraines (à l’exception des eaux géothermiques) pour la consommation d’énergie des pompes à chaleur eau-eau. </w:t>
            </w:r>
          </w:p>
        </w:tc>
      </w:tr>
      <w:tr w:rsidR="003B5F50" w14:paraId="50B4BAF3" w14:textId="77777777" w:rsidTr="00F8541A">
        <w:trPr>
          <w:trHeight w:val="961"/>
        </w:trPr>
        <w:tc>
          <w:tcPr>
            <w:tcW w:w="738" w:type="dxa"/>
            <w:shd w:val="clear" w:color="auto" w:fill="C6EFCE"/>
            <w:noWrap/>
          </w:tcPr>
          <w:p w14:paraId="50B4BAE6" w14:textId="77777777" w:rsidR="003B5F50" w:rsidRDefault="000D2D85">
            <w:pPr>
              <w:pStyle w:val="P68B1DB1-Normal42"/>
              <w:spacing w:after="0" w:line="240" w:lineRule="auto"/>
              <w:jc w:val="both"/>
              <w:rPr>
                <w:noProof/>
              </w:rPr>
            </w:pPr>
            <w:r>
              <w:rPr>
                <w:noProof/>
              </w:rPr>
              <w:t>5</w:t>
            </w:r>
          </w:p>
        </w:tc>
        <w:tc>
          <w:tcPr>
            <w:tcW w:w="1701" w:type="dxa"/>
            <w:shd w:val="clear" w:color="auto" w:fill="C6EFCE"/>
          </w:tcPr>
          <w:p w14:paraId="50B4BAE7" w14:textId="77777777" w:rsidR="003B5F50" w:rsidRDefault="000D2D85">
            <w:pPr>
              <w:pStyle w:val="P68B1DB1-Normal42"/>
              <w:spacing w:line="240" w:lineRule="auto"/>
              <w:rPr>
                <w:noProof/>
              </w:rPr>
            </w:pPr>
            <w:r>
              <w:rPr>
                <w:noProof/>
              </w:rPr>
              <w:t>5 – REPowerEU – Réforme 1 – Sous-mesure 4 – Meilleur centre technologique disponible</w:t>
            </w:r>
          </w:p>
        </w:tc>
        <w:tc>
          <w:tcPr>
            <w:tcW w:w="1276" w:type="dxa"/>
            <w:shd w:val="clear" w:color="auto" w:fill="C6EFCE"/>
            <w:noWrap/>
          </w:tcPr>
          <w:p w14:paraId="50B4BAE8" w14:textId="77777777" w:rsidR="003B5F50" w:rsidRDefault="000D2D85">
            <w:pPr>
              <w:pStyle w:val="P68B1DB1-Normal42"/>
              <w:spacing w:after="0" w:line="240" w:lineRule="auto"/>
              <w:rPr>
                <w:noProof/>
              </w:rPr>
            </w:pPr>
            <w:r>
              <w:rPr>
                <w:noProof/>
              </w:rPr>
              <w:t>Objectif</w:t>
            </w:r>
          </w:p>
        </w:tc>
        <w:tc>
          <w:tcPr>
            <w:tcW w:w="992" w:type="dxa"/>
            <w:shd w:val="clear" w:color="auto" w:fill="C6EFCE"/>
          </w:tcPr>
          <w:p w14:paraId="50B4BAE9" w14:textId="77777777" w:rsidR="003B5F50" w:rsidRDefault="000D2D85">
            <w:pPr>
              <w:pStyle w:val="P68B1DB1-Normal43"/>
              <w:spacing w:after="0" w:line="240" w:lineRule="auto"/>
              <w:jc w:val="both"/>
              <w:rPr>
                <w:noProof/>
                <w:szCs w:val="22"/>
              </w:rPr>
            </w:pPr>
            <w:r>
              <w:rPr>
                <w:noProof/>
              </w:rPr>
              <w:t>Mise en place d’un centre des meilleures technologies disponibles (MTD) et fourniture de documents de référence MTD</w:t>
            </w:r>
          </w:p>
        </w:tc>
        <w:tc>
          <w:tcPr>
            <w:tcW w:w="1559" w:type="dxa"/>
            <w:shd w:val="clear" w:color="auto" w:fill="C6EFCE"/>
          </w:tcPr>
          <w:p w14:paraId="50B4BAEA" w14:textId="77777777" w:rsidR="003B5F50" w:rsidRDefault="000D2D85">
            <w:pPr>
              <w:pStyle w:val="P68B1DB1-Normal42"/>
              <w:spacing w:after="0" w:line="240" w:lineRule="auto"/>
              <w:jc w:val="both"/>
              <w:rPr>
                <w:noProof/>
              </w:rPr>
            </w:pPr>
            <w:r>
              <w:rPr>
                <w:noProof/>
              </w:rPr>
              <w:t>Établissement du centre MTD et publication des documents de référence MTD</w:t>
            </w:r>
          </w:p>
        </w:tc>
        <w:tc>
          <w:tcPr>
            <w:tcW w:w="1559" w:type="dxa"/>
            <w:shd w:val="clear" w:color="auto" w:fill="C6EFCE"/>
            <w:noWrap/>
          </w:tcPr>
          <w:p w14:paraId="50B4BAEB"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1418" w:type="dxa"/>
            <w:shd w:val="clear" w:color="auto" w:fill="C6EFCE"/>
            <w:noWrap/>
          </w:tcPr>
          <w:p w14:paraId="50B4BAEC"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AED"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1134" w:type="dxa"/>
            <w:shd w:val="clear" w:color="auto" w:fill="C6EFCE"/>
            <w:noWrap/>
          </w:tcPr>
          <w:p w14:paraId="50B4BAEE" w14:textId="77777777" w:rsidR="003B5F50" w:rsidRDefault="000D2D85">
            <w:pPr>
              <w:pStyle w:val="P68B1DB1-Normal42"/>
              <w:spacing w:after="0" w:line="240" w:lineRule="auto"/>
              <w:jc w:val="both"/>
              <w:rPr>
                <w:noProof/>
              </w:rPr>
            </w:pPr>
            <w:r>
              <w:rPr>
                <w:noProof/>
              </w:rPr>
              <w:t xml:space="preserve">T4 </w:t>
            </w:r>
          </w:p>
        </w:tc>
        <w:tc>
          <w:tcPr>
            <w:tcW w:w="1134" w:type="dxa"/>
            <w:shd w:val="clear" w:color="auto" w:fill="C6EFCE"/>
            <w:noWrap/>
          </w:tcPr>
          <w:p w14:paraId="50B4BAEF" w14:textId="77777777" w:rsidR="003B5F50" w:rsidRDefault="000D2D85">
            <w:pPr>
              <w:pStyle w:val="P68B1DB1-Normal42"/>
              <w:spacing w:after="0" w:line="240" w:lineRule="auto"/>
              <w:jc w:val="both"/>
              <w:rPr>
                <w:noProof/>
              </w:rPr>
            </w:pPr>
            <w:r>
              <w:rPr>
                <w:noProof/>
              </w:rPr>
              <w:t>2025</w:t>
            </w:r>
          </w:p>
        </w:tc>
        <w:tc>
          <w:tcPr>
            <w:tcW w:w="2126" w:type="dxa"/>
            <w:shd w:val="clear" w:color="auto" w:fill="C6EFCE"/>
          </w:tcPr>
          <w:p w14:paraId="50B4BAF0" w14:textId="77777777" w:rsidR="003B5F50" w:rsidRDefault="000D2D85">
            <w:pPr>
              <w:pStyle w:val="P68B1DB1-Normal43"/>
              <w:spacing w:line="240" w:lineRule="auto"/>
              <w:jc w:val="both"/>
              <w:rPr>
                <w:rFonts w:eastAsia="Times New Roman"/>
                <w:noProof/>
              </w:rPr>
            </w:pPr>
            <w:r>
              <w:rPr>
                <w:noProof/>
              </w:rPr>
              <w:t>Le centre MTD coordonne et facilite l’échange d’informations sur les MTD et les nouvelles technologies, y compris dans des domaines tels que la circularité industrielle, la décarbonation industrielle et la diversification énergétique.</w:t>
            </w:r>
          </w:p>
          <w:p w14:paraId="50B4BAF1" w14:textId="4322A90F" w:rsidR="003B5F50" w:rsidRDefault="000D2D85">
            <w:pPr>
              <w:pStyle w:val="P68B1DB1-Normal43"/>
              <w:spacing w:line="240" w:lineRule="auto"/>
              <w:jc w:val="both"/>
              <w:rPr>
                <w:noProof/>
              </w:rPr>
            </w:pPr>
            <w:r>
              <w:rPr>
                <w:noProof/>
              </w:rPr>
              <w:t xml:space="preserve">Les documents MTD (BREF) traduits en slovaque sont publiés et rendus accessibles à l’industrie et aux organismes d’autorisation afin de garantir la transition vers des procédés industriels plus propres. </w:t>
            </w:r>
          </w:p>
        </w:tc>
      </w:tr>
      <w:tr w:rsidR="003B5F50" w14:paraId="50B4BB01" w14:textId="77777777" w:rsidTr="00F8541A">
        <w:trPr>
          <w:trHeight w:val="961"/>
        </w:trPr>
        <w:tc>
          <w:tcPr>
            <w:tcW w:w="738" w:type="dxa"/>
            <w:shd w:val="clear" w:color="auto" w:fill="C6EFCE"/>
            <w:noWrap/>
          </w:tcPr>
          <w:p w14:paraId="50B4BAF4" w14:textId="77777777" w:rsidR="003B5F50" w:rsidRDefault="000D2D85">
            <w:pPr>
              <w:pStyle w:val="P68B1DB1-Normal42"/>
              <w:spacing w:after="0" w:line="240" w:lineRule="auto"/>
              <w:jc w:val="both"/>
              <w:rPr>
                <w:noProof/>
              </w:rPr>
            </w:pPr>
            <w:r>
              <w:rPr>
                <w:noProof/>
              </w:rPr>
              <w:t>6</w:t>
            </w:r>
          </w:p>
        </w:tc>
        <w:tc>
          <w:tcPr>
            <w:tcW w:w="1701" w:type="dxa"/>
            <w:shd w:val="clear" w:color="auto" w:fill="C6EFCE"/>
          </w:tcPr>
          <w:p w14:paraId="50B4BAF5" w14:textId="77777777" w:rsidR="003B5F50" w:rsidRDefault="000D2D85">
            <w:pPr>
              <w:pStyle w:val="P68B1DB1-Normal42"/>
              <w:spacing w:line="240" w:lineRule="auto"/>
              <w:rPr>
                <w:noProof/>
              </w:rPr>
            </w:pPr>
            <w:r>
              <w:rPr>
                <w:noProof/>
              </w:rPr>
              <w:t>5 – REPowerEU – Réforme 1 – Sous-mesure 5 – Préparation d’une évaluation des trajectoires d’utilisation et d’approvisionnement durables en biomasse en Slovaquie pour la période 2025-2035</w:t>
            </w:r>
          </w:p>
        </w:tc>
        <w:tc>
          <w:tcPr>
            <w:tcW w:w="1276" w:type="dxa"/>
            <w:shd w:val="clear" w:color="auto" w:fill="C6EFCE"/>
            <w:noWrap/>
          </w:tcPr>
          <w:p w14:paraId="50B4BAF6" w14:textId="77777777" w:rsidR="003B5F50" w:rsidRDefault="000D2D85">
            <w:pPr>
              <w:pStyle w:val="P68B1DB1-Normal42"/>
              <w:spacing w:after="0" w:line="240" w:lineRule="auto"/>
              <w:rPr>
                <w:noProof/>
              </w:rPr>
            </w:pPr>
            <w:r>
              <w:rPr>
                <w:noProof/>
              </w:rPr>
              <w:t>Étape</w:t>
            </w:r>
          </w:p>
        </w:tc>
        <w:tc>
          <w:tcPr>
            <w:tcW w:w="992" w:type="dxa"/>
            <w:shd w:val="clear" w:color="auto" w:fill="C6EFCE"/>
          </w:tcPr>
          <w:p w14:paraId="50B4BAF7" w14:textId="77777777" w:rsidR="003B5F50" w:rsidRDefault="000D2D85">
            <w:pPr>
              <w:pStyle w:val="P68B1DB1-Normal42"/>
              <w:spacing w:after="0" w:line="240" w:lineRule="auto"/>
              <w:jc w:val="both"/>
              <w:rPr>
                <w:noProof/>
              </w:rPr>
            </w:pPr>
            <w:r>
              <w:rPr>
                <w:noProof/>
              </w:rPr>
              <w:t xml:space="preserve">Évaluation des trajectoires d’utilisation durable de la biomasse et d’approvisionnement en biomasse en Slovaquie </w:t>
            </w:r>
          </w:p>
        </w:tc>
        <w:tc>
          <w:tcPr>
            <w:tcW w:w="1559" w:type="dxa"/>
            <w:shd w:val="clear" w:color="auto" w:fill="C6EFCE"/>
          </w:tcPr>
          <w:p w14:paraId="50B4BAF8" w14:textId="77777777" w:rsidR="003B5F50" w:rsidRDefault="000D2D85">
            <w:pPr>
              <w:pStyle w:val="P68B1DB1-Normal42"/>
              <w:spacing w:after="0" w:line="240" w:lineRule="auto"/>
              <w:jc w:val="both"/>
              <w:rPr>
                <w:noProof/>
              </w:rPr>
            </w:pPr>
            <w:r>
              <w:rPr>
                <w:noProof/>
              </w:rPr>
              <w:t xml:space="preserve">Publication de l'évaluation </w:t>
            </w:r>
          </w:p>
        </w:tc>
        <w:tc>
          <w:tcPr>
            <w:tcW w:w="1559" w:type="dxa"/>
            <w:shd w:val="clear" w:color="auto" w:fill="C6EFCE"/>
            <w:noWrap/>
          </w:tcPr>
          <w:p w14:paraId="50B4BAF9"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1418" w:type="dxa"/>
            <w:shd w:val="clear" w:color="auto" w:fill="C6EFCE"/>
            <w:noWrap/>
          </w:tcPr>
          <w:p w14:paraId="50B4BAFA"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AFB"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1134" w:type="dxa"/>
            <w:shd w:val="clear" w:color="auto" w:fill="C6EFCE"/>
            <w:noWrap/>
          </w:tcPr>
          <w:p w14:paraId="50B4BAFC" w14:textId="77777777" w:rsidR="003B5F50" w:rsidRDefault="000D2D85">
            <w:pPr>
              <w:pStyle w:val="P68B1DB1-Normal42"/>
              <w:spacing w:after="0" w:line="240" w:lineRule="auto"/>
              <w:jc w:val="both"/>
              <w:rPr>
                <w:noProof/>
              </w:rPr>
            </w:pPr>
            <w:r>
              <w:rPr>
                <w:noProof/>
              </w:rPr>
              <w:t xml:space="preserve"> T2</w:t>
            </w:r>
          </w:p>
        </w:tc>
        <w:tc>
          <w:tcPr>
            <w:tcW w:w="1134" w:type="dxa"/>
            <w:shd w:val="clear" w:color="auto" w:fill="C6EFCE"/>
            <w:noWrap/>
          </w:tcPr>
          <w:p w14:paraId="50B4BAFD" w14:textId="77777777" w:rsidR="003B5F50" w:rsidRDefault="000D2D85">
            <w:pPr>
              <w:pStyle w:val="P68B1DB1-Normal42"/>
              <w:spacing w:after="0" w:line="240" w:lineRule="auto"/>
              <w:jc w:val="both"/>
              <w:rPr>
                <w:noProof/>
              </w:rPr>
            </w:pPr>
            <w:r>
              <w:rPr>
                <w:noProof/>
              </w:rPr>
              <w:t>2025</w:t>
            </w:r>
          </w:p>
        </w:tc>
        <w:tc>
          <w:tcPr>
            <w:tcW w:w="2126" w:type="dxa"/>
            <w:shd w:val="clear" w:color="auto" w:fill="C6EFCE"/>
          </w:tcPr>
          <w:p w14:paraId="50B4BAFF" w14:textId="60B67E9E" w:rsidR="003B5F50" w:rsidRDefault="000D2D85">
            <w:pPr>
              <w:pStyle w:val="P68B1DB1-Normal43"/>
              <w:spacing w:before="40" w:line="240" w:lineRule="auto"/>
              <w:jc w:val="both"/>
              <w:rPr>
                <w:noProof/>
              </w:rPr>
            </w:pPr>
            <w:r>
              <w:rPr>
                <w:noProof/>
              </w:rPr>
              <w:t xml:space="preserve">Le ministère de l’environnement publie l’évaluation des trajectoires d’utilisation durable de la biomasse en Slovaquie et de ses incidences sur l’utilisation des terres, le changement d’affectation des terres et les puits forestiers, la biodiversité ainsi que la qualité de l’air en Slovaquie pour la période allant jusqu’en 2035. L’incidence sur la qualité de l’air est évaluée dans la mesure des données disponibles et, le cas échéant, les lacunes en matière de disponibilité des données sont identifiées par l’évaluation. L’évaluation fournit des recommandations pour orienter les futurs investissements dans la biomasse. L’évaluation porte sur l’état des zones protégées et des écosystèmes forestiers, les émissions de gaz à effet de serre associées à la culture, à la transformation et au transport de la biomasse et comprend l’incidence des importations de biomasse en provenance d’autres pays. </w:t>
            </w:r>
          </w:p>
        </w:tc>
      </w:tr>
      <w:tr w:rsidR="003B5F50" w14:paraId="50B4BB1A" w14:textId="77777777" w:rsidTr="00F8541A">
        <w:trPr>
          <w:trHeight w:val="961"/>
        </w:trPr>
        <w:tc>
          <w:tcPr>
            <w:tcW w:w="738" w:type="dxa"/>
            <w:shd w:val="clear" w:color="auto" w:fill="C6EFCE"/>
            <w:noWrap/>
          </w:tcPr>
          <w:p w14:paraId="50B4BB02" w14:textId="77777777" w:rsidR="003B5F50" w:rsidRDefault="000D2D85">
            <w:pPr>
              <w:pStyle w:val="P68B1DB1-Normal42"/>
              <w:spacing w:after="0" w:line="240" w:lineRule="auto"/>
              <w:jc w:val="both"/>
              <w:rPr>
                <w:noProof/>
              </w:rPr>
            </w:pPr>
            <w:r>
              <w:rPr>
                <w:noProof/>
              </w:rPr>
              <w:t>7</w:t>
            </w:r>
          </w:p>
        </w:tc>
        <w:tc>
          <w:tcPr>
            <w:tcW w:w="1701" w:type="dxa"/>
            <w:shd w:val="clear" w:color="auto" w:fill="C6EFCE"/>
          </w:tcPr>
          <w:p w14:paraId="50B4BB03" w14:textId="77777777" w:rsidR="003B5F50" w:rsidRDefault="000D2D85">
            <w:pPr>
              <w:pStyle w:val="P68B1DB1-Normal42"/>
              <w:spacing w:line="240" w:lineRule="auto"/>
              <w:rPr>
                <w:noProof/>
              </w:rPr>
            </w:pPr>
            <w:r>
              <w:rPr>
                <w:noProof/>
              </w:rPr>
              <w:t>7- REPowerEU – Réforme 1 – Sous-mesure 6 – Développement et promotion de la production de biométhane, d’engrais organiques et de la bioéconomie circulaire</w:t>
            </w:r>
          </w:p>
        </w:tc>
        <w:tc>
          <w:tcPr>
            <w:tcW w:w="1276" w:type="dxa"/>
            <w:shd w:val="clear" w:color="auto" w:fill="C6EFCE"/>
            <w:noWrap/>
          </w:tcPr>
          <w:p w14:paraId="50B4BB04" w14:textId="77777777" w:rsidR="003B5F50" w:rsidRDefault="000D2D85">
            <w:pPr>
              <w:pStyle w:val="P68B1DB1-Normal42"/>
              <w:spacing w:after="0" w:line="240" w:lineRule="auto"/>
              <w:rPr>
                <w:noProof/>
              </w:rPr>
            </w:pPr>
            <w:r>
              <w:rPr>
                <w:noProof/>
              </w:rPr>
              <w:t>Étape</w:t>
            </w:r>
          </w:p>
        </w:tc>
        <w:tc>
          <w:tcPr>
            <w:tcW w:w="992" w:type="dxa"/>
            <w:shd w:val="clear" w:color="auto" w:fill="C6EFCE"/>
          </w:tcPr>
          <w:p w14:paraId="50B4BB05" w14:textId="77777777" w:rsidR="003B5F50" w:rsidRDefault="000D2D85">
            <w:pPr>
              <w:pStyle w:val="P68B1DB1-Normal42"/>
              <w:spacing w:after="0" w:line="240" w:lineRule="auto"/>
              <w:jc w:val="both"/>
              <w:rPr>
                <w:noProof/>
              </w:rPr>
            </w:pPr>
            <w:r>
              <w:rPr>
                <w:noProof/>
              </w:rPr>
              <w:t>Développer et promouvoir la production de biométhane, d’engrais organiques et la bioéconomie circulaire </w:t>
            </w:r>
          </w:p>
        </w:tc>
        <w:tc>
          <w:tcPr>
            <w:tcW w:w="1559" w:type="dxa"/>
            <w:shd w:val="clear" w:color="auto" w:fill="C6EFCE"/>
          </w:tcPr>
          <w:p w14:paraId="50B4BB06" w14:textId="77777777" w:rsidR="003B5F50" w:rsidRDefault="000D2D85">
            <w:pPr>
              <w:pStyle w:val="P68B1DB1-Normal43"/>
              <w:spacing w:after="0" w:line="240" w:lineRule="auto"/>
              <w:jc w:val="both"/>
              <w:rPr>
                <w:noProof/>
                <w:szCs w:val="22"/>
              </w:rPr>
            </w:pPr>
            <w:r>
              <w:rPr>
                <w:noProof/>
              </w:rPr>
              <w:t>Publication de la feuille de route de la bioéconomie circulaire, d’une carte complète et de deux catalogues technologiques. Entrée en vigueur de mesures législatives et/ou publication de mesures non législatives facilitant les investissements dans le biométhane.</w:t>
            </w:r>
          </w:p>
        </w:tc>
        <w:tc>
          <w:tcPr>
            <w:tcW w:w="1559" w:type="dxa"/>
            <w:shd w:val="clear" w:color="auto" w:fill="C6EFCE"/>
            <w:noWrap/>
          </w:tcPr>
          <w:p w14:paraId="50B4BB07"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1418" w:type="dxa"/>
            <w:shd w:val="clear" w:color="auto" w:fill="C6EFCE"/>
            <w:noWrap/>
          </w:tcPr>
          <w:p w14:paraId="50B4BB08"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B09" w14:textId="77777777" w:rsidR="003B5F50" w:rsidRDefault="003B5F50">
            <w:pPr>
              <w:spacing w:after="0" w:line="240" w:lineRule="auto"/>
              <w:jc w:val="both"/>
              <w:rPr>
                <w:rFonts w:ascii="Times New Roman" w:eastAsia="Times New Roman" w:hAnsi="Times New Roman" w:cs="Arial"/>
                <w:noProof/>
                <w:color w:val="006100"/>
                <w:sz w:val="20"/>
                <w:szCs w:val="20"/>
              </w:rPr>
            </w:pPr>
          </w:p>
        </w:tc>
        <w:tc>
          <w:tcPr>
            <w:tcW w:w="1134" w:type="dxa"/>
            <w:shd w:val="clear" w:color="auto" w:fill="C6EFCE"/>
            <w:noWrap/>
          </w:tcPr>
          <w:p w14:paraId="50B4BB0A" w14:textId="77777777" w:rsidR="003B5F50" w:rsidRDefault="000D2D85">
            <w:pPr>
              <w:pStyle w:val="P68B1DB1-Normal42"/>
              <w:spacing w:after="0" w:line="240" w:lineRule="auto"/>
              <w:jc w:val="both"/>
              <w:rPr>
                <w:noProof/>
              </w:rPr>
            </w:pPr>
            <w:r>
              <w:rPr>
                <w:noProof/>
              </w:rPr>
              <w:t xml:space="preserve">T4 </w:t>
            </w:r>
          </w:p>
        </w:tc>
        <w:tc>
          <w:tcPr>
            <w:tcW w:w="1134" w:type="dxa"/>
            <w:shd w:val="clear" w:color="auto" w:fill="C6EFCE"/>
            <w:noWrap/>
          </w:tcPr>
          <w:p w14:paraId="50B4BB0B" w14:textId="77777777" w:rsidR="003B5F50" w:rsidRDefault="000D2D85">
            <w:pPr>
              <w:pStyle w:val="P68B1DB1-Normal42"/>
              <w:spacing w:after="0" w:line="240" w:lineRule="auto"/>
              <w:jc w:val="both"/>
              <w:rPr>
                <w:noProof/>
              </w:rPr>
            </w:pPr>
            <w:r>
              <w:rPr>
                <w:noProof/>
              </w:rPr>
              <w:t>2025</w:t>
            </w:r>
          </w:p>
        </w:tc>
        <w:tc>
          <w:tcPr>
            <w:tcW w:w="2126" w:type="dxa"/>
            <w:shd w:val="clear" w:color="auto" w:fill="C6EFCE"/>
          </w:tcPr>
          <w:p w14:paraId="50B4BB0C" w14:textId="77777777" w:rsidR="003B5F50" w:rsidRDefault="000D2D85">
            <w:pPr>
              <w:pStyle w:val="P68B1DB1-Normal43"/>
              <w:spacing w:line="240" w:lineRule="auto"/>
              <w:jc w:val="both"/>
              <w:rPr>
                <w:rFonts w:eastAsia="Times New Roman"/>
                <w:noProof/>
              </w:rPr>
            </w:pPr>
            <w:r>
              <w:rPr>
                <w:noProof/>
              </w:rPr>
              <w:t>La feuille de route circulaire pour la bioéconomie est publiée et:</w:t>
            </w:r>
          </w:p>
          <w:p w14:paraId="50B4BB0D" w14:textId="10E3F2F4" w:rsidR="003B5F50" w:rsidRDefault="000D2D85">
            <w:pPr>
              <w:pStyle w:val="P68B1DB1-ListParagraph75"/>
              <w:numPr>
                <w:ilvl w:val="0"/>
                <w:numId w:val="44"/>
              </w:numPr>
              <w:spacing w:line="240" w:lineRule="auto"/>
              <w:ind w:left="316" w:hanging="284"/>
              <w:jc w:val="both"/>
              <w:rPr>
                <w:rFonts w:eastAsia="Times New Roman"/>
                <w:noProof/>
              </w:rPr>
            </w:pPr>
            <w:r>
              <w:rPr>
                <w:noProof/>
              </w:rPr>
              <w:t>évaluer le potentiel de production de biogaz et de biométhane de Slovakia´s,</w:t>
            </w:r>
          </w:p>
          <w:p w14:paraId="50B4BB0E" w14:textId="77777777" w:rsidR="003B5F50" w:rsidRDefault="000D2D85">
            <w:pPr>
              <w:pStyle w:val="P68B1DB1-ListParagraph75"/>
              <w:numPr>
                <w:ilvl w:val="0"/>
                <w:numId w:val="44"/>
              </w:numPr>
              <w:spacing w:line="240" w:lineRule="auto"/>
              <w:ind w:left="316" w:hanging="284"/>
              <w:jc w:val="both"/>
              <w:rPr>
                <w:rFonts w:eastAsia="Times New Roman"/>
                <w:noProof/>
              </w:rPr>
            </w:pPr>
            <w:r>
              <w:rPr>
                <w:noProof/>
              </w:rPr>
              <w:t>Évaluer l'intégration efficace du biométhane dans le réseau</w:t>
            </w:r>
          </w:p>
          <w:p w14:paraId="50B4BB0F" w14:textId="57A0AFC5" w:rsidR="003B5F50" w:rsidRDefault="000D2D85">
            <w:pPr>
              <w:pStyle w:val="P68B1DB1-ListParagraph75"/>
              <w:numPr>
                <w:ilvl w:val="0"/>
                <w:numId w:val="44"/>
              </w:numPr>
              <w:spacing w:line="240" w:lineRule="auto"/>
              <w:ind w:left="316" w:hanging="284"/>
              <w:jc w:val="both"/>
              <w:rPr>
                <w:rFonts w:eastAsia="Times New Roman"/>
                <w:noProof/>
              </w:rPr>
            </w:pPr>
            <w:r>
              <w:rPr>
                <w:noProof/>
              </w:rPr>
              <w:t xml:space="preserve"> identifier les stations de biogaz adaptées à la transformation en production de biométhane. </w:t>
            </w:r>
          </w:p>
          <w:p w14:paraId="50B4BB10" w14:textId="77777777" w:rsidR="003B5F50" w:rsidRDefault="000D2D85">
            <w:pPr>
              <w:pStyle w:val="P68B1DB1-ListParagraph75"/>
              <w:numPr>
                <w:ilvl w:val="0"/>
                <w:numId w:val="44"/>
              </w:numPr>
              <w:spacing w:line="240" w:lineRule="auto"/>
              <w:ind w:left="316" w:hanging="284"/>
              <w:jc w:val="both"/>
              <w:rPr>
                <w:rFonts w:eastAsia="Times New Roman"/>
                <w:noProof/>
              </w:rPr>
            </w:pPr>
            <w:r>
              <w:rPr>
                <w:noProof/>
              </w:rPr>
              <w:t xml:space="preserve"> fournir des scénarios pour atteindre le potentiel national identifié d’ici 2030 et 2050.</w:t>
            </w:r>
          </w:p>
          <w:p w14:paraId="50B4BB11" w14:textId="6A60DC26" w:rsidR="003B5F50" w:rsidRDefault="000D2D85">
            <w:pPr>
              <w:pStyle w:val="P68B1DB1-Normal43"/>
              <w:spacing w:line="240" w:lineRule="auto"/>
              <w:jc w:val="both"/>
              <w:rPr>
                <w:rFonts w:eastAsia="Times New Roman"/>
                <w:noProof/>
              </w:rPr>
            </w:pPr>
            <w:r>
              <w:rPr>
                <w:noProof/>
              </w:rPr>
              <w:t>Un ensemble de mesures législatives ou non législatives nécessaires pour supprimer les obstacles recensés à l’autorisation et à la production ou à l’injection du biométhane dans le réseau entre en vigueur ou est publié, dans le cas de mesures non législatives.</w:t>
            </w:r>
          </w:p>
          <w:p w14:paraId="50B4BB12" w14:textId="77777777" w:rsidR="003B5F50" w:rsidRDefault="000D2D85">
            <w:pPr>
              <w:pStyle w:val="P68B1DB1-Normal42"/>
              <w:spacing w:line="240" w:lineRule="auto"/>
              <w:jc w:val="both"/>
              <w:rPr>
                <w:rFonts w:eastAsia="Times New Roman"/>
                <w:noProof/>
                <w:szCs w:val="20"/>
              </w:rPr>
            </w:pPr>
            <w:r>
              <w:rPr>
                <w:noProof/>
              </w:rPr>
              <w:t>La faisabilité de l'utilisation de CO2 biogénique doit être examinée.</w:t>
            </w:r>
          </w:p>
          <w:p w14:paraId="50B4BB13" w14:textId="625254B1" w:rsidR="003B5F50" w:rsidRDefault="000D2D85">
            <w:pPr>
              <w:pStyle w:val="P68B1DB1-Normal43"/>
              <w:spacing w:line="240" w:lineRule="auto"/>
              <w:jc w:val="both"/>
              <w:rPr>
                <w:rFonts w:eastAsia="Times New Roman"/>
                <w:noProof/>
              </w:rPr>
            </w:pPr>
            <w:r>
              <w:rPr>
                <w:noProof/>
              </w:rPr>
              <w:t xml:space="preserve">Une carte complète du potentiel de production de biogaz et de biométhane, deux catalogues technologiques et un catalogue contenant des mesures, ainsi qu’une feuille de route circulaire pour la bioéconomie sont publiés sur le site web du ministère de l’agriculture. </w:t>
            </w:r>
          </w:p>
          <w:p w14:paraId="50B4BB14" w14:textId="77777777" w:rsidR="003B5F50" w:rsidRDefault="000D2D85">
            <w:pPr>
              <w:pStyle w:val="P68B1DB1-Normal43"/>
              <w:spacing w:line="240" w:lineRule="auto"/>
              <w:jc w:val="both"/>
              <w:rPr>
                <w:noProof/>
              </w:rPr>
            </w:pPr>
            <w:r>
              <w:rPr>
                <w:noProof/>
              </w:rPr>
              <w:t>La carte complète comprend:</w:t>
            </w:r>
          </w:p>
          <w:p w14:paraId="50B4BB15" w14:textId="77777777" w:rsidR="003B5F50" w:rsidRDefault="000D2D85">
            <w:pPr>
              <w:pStyle w:val="P68B1DB1-ListParagraph75"/>
              <w:numPr>
                <w:ilvl w:val="0"/>
                <w:numId w:val="45"/>
              </w:numPr>
              <w:spacing w:line="240" w:lineRule="auto"/>
              <w:ind w:left="316" w:hanging="284"/>
              <w:jc w:val="both"/>
              <w:rPr>
                <w:noProof/>
              </w:rPr>
            </w:pPr>
            <w:r>
              <w:rPr>
                <w:noProof/>
              </w:rPr>
              <w:t>la collecte et la mise à jour de données sur la qualité, la quantité et l’emplacement géographique des biodéchets en Slovaquie adaptés à la récupération d’énergie et de nutriments;</w:t>
            </w:r>
          </w:p>
          <w:p w14:paraId="50B4BB16" w14:textId="77777777" w:rsidR="003B5F50" w:rsidRDefault="000D2D85">
            <w:pPr>
              <w:pStyle w:val="P68B1DB1-ListParagraph75"/>
              <w:numPr>
                <w:ilvl w:val="0"/>
                <w:numId w:val="45"/>
              </w:numPr>
              <w:spacing w:line="240" w:lineRule="auto"/>
              <w:ind w:left="316" w:hanging="284"/>
              <w:jc w:val="both"/>
              <w:rPr>
                <w:noProof/>
              </w:rPr>
            </w:pPr>
            <w:r>
              <w:rPr>
                <w:noProof/>
              </w:rPr>
              <w:t xml:space="preserve">des données sur le réseau d’installations de biogaz et de biométhane, son état structurel et ses paramètres opérationnels. </w:t>
            </w:r>
          </w:p>
          <w:p w14:paraId="50B4BB17" w14:textId="77777777" w:rsidR="003B5F50" w:rsidRDefault="000D2D85">
            <w:pPr>
              <w:pStyle w:val="P68B1DB1-Normal43"/>
              <w:spacing w:line="240" w:lineRule="auto"/>
              <w:jc w:val="both"/>
              <w:rPr>
                <w:noProof/>
                <w:sz w:val="22"/>
                <w:szCs w:val="22"/>
              </w:rPr>
            </w:pPr>
            <w:r>
              <w:rPr>
                <w:noProof/>
              </w:rPr>
              <w:t xml:space="preserve">La carte complète doit être préparée de manière à servir à la fois les investissements du secteur privé et ceux du secteur public. </w:t>
            </w:r>
          </w:p>
          <w:p w14:paraId="50B4BB18" w14:textId="463EABB1" w:rsidR="003B5F50" w:rsidRDefault="000D2D85">
            <w:pPr>
              <w:pStyle w:val="P68B1DB1-Normal43"/>
              <w:spacing w:line="240" w:lineRule="auto"/>
              <w:jc w:val="both"/>
              <w:rPr>
                <w:noProof/>
              </w:rPr>
            </w:pPr>
            <w:r>
              <w:rPr>
                <w:noProof/>
              </w:rPr>
              <w:t>Un plan fournissant un scénario d’investissement permettant d’atteindre le potentiel national recensé d’ici 2030 et 2050 est introduit.</w:t>
            </w:r>
          </w:p>
        </w:tc>
      </w:tr>
      <w:tr w:rsidR="003B5F50" w14:paraId="50B4BB29" w14:textId="77777777" w:rsidTr="00F8541A">
        <w:trPr>
          <w:trHeight w:val="961"/>
        </w:trPr>
        <w:tc>
          <w:tcPr>
            <w:tcW w:w="738" w:type="dxa"/>
            <w:shd w:val="clear" w:color="auto" w:fill="C6EFCE"/>
            <w:noWrap/>
          </w:tcPr>
          <w:p w14:paraId="50B4BB1B" w14:textId="77777777" w:rsidR="003B5F50" w:rsidRDefault="000D2D85">
            <w:pPr>
              <w:pStyle w:val="P68B1DB1-Normal42"/>
              <w:spacing w:line="240" w:lineRule="auto"/>
              <w:jc w:val="both"/>
              <w:rPr>
                <w:rFonts w:eastAsia="Times New Roman"/>
                <w:noProof/>
                <w:szCs w:val="20"/>
              </w:rPr>
            </w:pPr>
            <w:r>
              <w:rPr>
                <w:noProof/>
              </w:rPr>
              <w:t>8</w:t>
            </w:r>
          </w:p>
        </w:tc>
        <w:tc>
          <w:tcPr>
            <w:tcW w:w="1701" w:type="dxa"/>
            <w:shd w:val="clear" w:color="auto" w:fill="C6EFCE"/>
          </w:tcPr>
          <w:p w14:paraId="50B4BB1C" w14:textId="77777777" w:rsidR="003B5F50" w:rsidRDefault="000D2D85">
            <w:pPr>
              <w:pStyle w:val="P68B1DB1-Normal43"/>
              <w:spacing w:line="240" w:lineRule="auto"/>
              <w:rPr>
                <w:rFonts w:eastAsia="Times New Roman"/>
                <w:noProof/>
              </w:rPr>
            </w:pPr>
            <w:r>
              <w:rPr>
                <w:noProof/>
              </w:rPr>
              <w:t>8 – REPowerEU – Réforme 2 – Sous-mesure 1 – Adoption de méthodologies et de 2 domaines pilotes adaptés au développement de l’énergie éolienne </w:t>
            </w:r>
          </w:p>
        </w:tc>
        <w:tc>
          <w:tcPr>
            <w:tcW w:w="1276" w:type="dxa"/>
            <w:shd w:val="clear" w:color="auto" w:fill="C6EFCE"/>
            <w:noWrap/>
          </w:tcPr>
          <w:p w14:paraId="50B4BB1D" w14:textId="77777777" w:rsidR="003B5F50" w:rsidRDefault="000D2D85">
            <w:pPr>
              <w:pStyle w:val="P68B1DB1-Normal42"/>
              <w:spacing w:line="240" w:lineRule="auto"/>
              <w:rPr>
                <w:rFonts w:eastAsia="Times New Roman"/>
                <w:noProof/>
                <w:szCs w:val="20"/>
              </w:rPr>
            </w:pPr>
            <w:r>
              <w:rPr>
                <w:noProof/>
              </w:rPr>
              <w:t>Étape</w:t>
            </w:r>
          </w:p>
        </w:tc>
        <w:tc>
          <w:tcPr>
            <w:tcW w:w="992" w:type="dxa"/>
            <w:shd w:val="clear" w:color="auto" w:fill="C6EFCE"/>
          </w:tcPr>
          <w:p w14:paraId="50B4BB1E" w14:textId="77777777" w:rsidR="003B5F50" w:rsidRDefault="000D2D85">
            <w:pPr>
              <w:pStyle w:val="P68B1DB1-Normal42"/>
              <w:spacing w:line="240" w:lineRule="auto"/>
              <w:rPr>
                <w:rFonts w:eastAsia="Times New Roman"/>
                <w:noProof/>
                <w:szCs w:val="20"/>
              </w:rPr>
            </w:pPr>
            <w:r>
              <w:rPr>
                <w:noProof/>
              </w:rPr>
              <w:t>Entrée en vigueur de la législation sur les «zones propices au déploiement» des énergies renouvelables et adoption de la méthode d’établissement des «zones propices au déploiement»</w:t>
            </w:r>
          </w:p>
        </w:tc>
        <w:tc>
          <w:tcPr>
            <w:tcW w:w="1559" w:type="dxa"/>
            <w:shd w:val="clear" w:color="auto" w:fill="C6EFCE"/>
          </w:tcPr>
          <w:p w14:paraId="50B4BB1F" w14:textId="77777777" w:rsidR="003B5F50" w:rsidRDefault="000D2D85">
            <w:pPr>
              <w:pStyle w:val="P68B1DB1-Normal42"/>
              <w:spacing w:line="240" w:lineRule="auto"/>
              <w:rPr>
                <w:rFonts w:eastAsia="Times New Roman"/>
                <w:noProof/>
                <w:szCs w:val="20"/>
              </w:rPr>
            </w:pPr>
            <w:r>
              <w:rPr>
                <w:noProof/>
              </w:rPr>
              <w:t>Disposition des lois indiquant l'entrée en vigueur</w:t>
            </w:r>
          </w:p>
          <w:p w14:paraId="50B4BB20" w14:textId="77777777" w:rsidR="003B5F50" w:rsidRDefault="003B5F50">
            <w:pPr>
              <w:spacing w:line="240" w:lineRule="auto"/>
              <w:rPr>
                <w:rFonts w:ascii="Times New Roman" w:eastAsia="Times New Roman" w:hAnsi="Times New Roman" w:cs="Arial"/>
                <w:noProof/>
                <w:color w:val="006100"/>
                <w:sz w:val="20"/>
                <w:szCs w:val="20"/>
              </w:rPr>
            </w:pPr>
          </w:p>
        </w:tc>
        <w:tc>
          <w:tcPr>
            <w:tcW w:w="1559" w:type="dxa"/>
            <w:shd w:val="clear" w:color="auto" w:fill="C6EFCE"/>
            <w:noWrap/>
          </w:tcPr>
          <w:p w14:paraId="50B4BB21" w14:textId="77777777" w:rsidR="003B5F50" w:rsidRDefault="003B5F50">
            <w:pPr>
              <w:spacing w:line="240" w:lineRule="auto"/>
              <w:jc w:val="both"/>
              <w:rPr>
                <w:rFonts w:ascii="Times New Roman" w:eastAsia="Times New Roman" w:hAnsi="Times New Roman" w:cs="Arial"/>
                <w:noProof/>
                <w:color w:val="006100"/>
                <w:sz w:val="20"/>
                <w:szCs w:val="20"/>
              </w:rPr>
            </w:pPr>
          </w:p>
        </w:tc>
        <w:tc>
          <w:tcPr>
            <w:tcW w:w="1418" w:type="dxa"/>
            <w:shd w:val="clear" w:color="auto" w:fill="C6EFCE"/>
            <w:noWrap/>
          </w:tcPr>
          <w:p w14:paraId="50B4BB22" w14:textId="77777777" w:rsidR="003B5F50" w:rsidRDefault="003B5F50">
            <w:pPr>
              <w:spacing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B23" w14:textId="77777777" w:rsidR="003B5F50" w:rsidRDefault="003B5F50">
            <w:pPr>
              <w:spacing w:line="240" w:lineRule="auto"/>
              <w:jc w:val="both"/>
              <w:rPr>
                <w:rFonts w:ascii="Times New Roman" w:eastAsia="Times New Roman" w:hAnsi="Times New Roman" w:cs="Arial"/>
                <w:noProof/>
                <w:color w:val="006100"/>
                <w:sz w:val="20"/>
                <w:szCs w:val="20"/>
              </w:rPr>
            </w:pPr>
          </w:p>
        </w:tc>
        <w:tc>
          <w:tcPr>
            <w:tcW w:w="1134" w:type="dxa"/>
            <w:shd w:val="clear" w:color="auto" w:fill="C6EFCE"/>
            <w:noWrap/>
          </w:tcPr>
          <w:p w14:paraId="50B4BB24" w14:textId="77777777" w:rsidR="003B5F50" w:rsidRDefault="000D2D85">
            <w:pPr>
              <w:pStyle w:val="P68B1DB1-Normal42"/>
              <w:spacing w:line="240" w:lineRule="auto"/>
              <w:jc w:val="both"/>
              <w:rPr>
                <w:rFonts w:eastAsia="Times New Roman"/>
                <w:noProof/>
                <w:szCs w:val="20"/>
              </w:rPr>
            </w:pPr>
            <w:r>
              <w:rPr>
                <w:noProof/>
              </w:rPr>
              <w:t>T4</w:t>
            </w:r>
          </w:p>
        </w:tc>
        <w:tc>
          <w:tcPr>
            <w:tcW w:w="1134" w:type="dxa"/>
            <w:shd w:val="clear" w:color="auto" w:fill="C6EFCE"/>
            <w:noWrap/>
          </w:tcPr>
          <w:p w14:paraId="50B4BB25" w14:textId="77777777" w:rsidR="003B5F50" w:rsidRDefault="000D2D85">
            <w:pPr>
              <w:pStyle w:val="P68B1DB1-Normal42"/>
              <w:spacing w:line="240" w:lineRule="auto"/>
              <w:jc w:val="both"/>
              <w:rPr>
                <w:rFonts w:eastAsia="Times New Roman"/>
                <w:noProof/>
                <w:szCs w:val="20"/>
              </w:rPr>
            </w:pPr>
            <w:r>
              <w:rPr>
                <w:noProof/>
              </w:rPr>
              <w:t>2024</w:t>
            </w:r>
          </w:p>
        </w:tc>
        <w:tc>
          <w:tcPr>
            <w:tcW w:w="2126" w:type="dxa"/>
            <w:shd w:val="clear" w:color="auto" w:fill="C6EFCE"/>
          </w:tcPr>
          <w:p w14:paraId="50B4BB26" w14:textId="7A4A6816" w:rsidR="003B5F50" w:rsidRDefault="000D2D85">
            <w:pPr>
              <w:pStyle w:val="P68B1DB1-Normal35"/>
              <w:spacing w:after="0" w:line="240" w:lineRule="auto"/>
              <w:jc w:val="both"/>
              <w:textAlignment w:val="baseline"/>
              <w:rPr>
                <w:rFonts w:eastAsia="Times New Roman"/>
                <w:noProof/>
              </w:rPr>
            </w:pPr>
            <w:r>
              <w:rPr>
                <w:noProof/>
                <w:color w:val="006100"/>
                <w:sz w:val="20"/>
                <w:szCs w:val="20"/>
              </w:rPr>
              <w:t xml:space="preserve">Entrée en vigueur de la législation sur les «zones d’accès», introduisant des procédures d’autorisation simplifiées spécifiques pour le développement d’installations dans ces zones. La réforme rationalise également les </w:t>
            </w:r>
            <w:r>
              <w:rPr>
                <w:noProof/>
                <w:color w:val="275317" w:themeColor="accent6" w:themeShade="80"/>
                <w:sz w:val="20"/>
                <w:szCs w:val="20"/>
              </w:rPr>
              <w:t>procédures</w:t>
            </w:r>
            <w:r>
              <w:rPr>
                <w:noProof/>
              </w:rPr>
              <w:t xml:space="preserve"> d’examen analytique et d’évaluation obligatoire </w:t>
            </w:r>
            <w:r>
              <w:rPr>
                <w:noProof/>
                <w:color w:val="196B24" w:themeColor="accent3"/>
                <w:sz w:val="20"/>
                <w:szCs w:val="20"/>
              </w:rPr>
              <w:t>(en vertu de la loi sur l’EIE)   relatives aux domaines «à privilégier».</w:t>
            </w:r>
            <w:r>
              <w:rPr>
                <w:noProof/>
              </w:rPr>
              <w:t xml:space="preserve"> </w:t>
            </w:r>
          </w:p>
          <w:p w14:paraId="50B4BB27" w14:textId="77777777" w:rsidR="003B5F50" w:rsidRDefault="003B5F50">
            <w:pPr>
              <w:spacing w:line="240" w:lineRule="auto"/>
              <w:jc w:val="both"/>
              <w:rPr>
                <w:rFonts w:ascii="Times New Roman" w:eastAsia="Times New Roman" w:hAnsi="Times New Roman" w:cs="Arial"/>
                <w:noProof/>
                <w:color w:val="006100"/>
                <w:sz w:val="20"/>
                <w:szCs w:val="20"/>
              </w:rPr>
            </w:pPr>
          </w:p>
          <w:p w14:paraId="50B4BB28" w14:textId="67A0C6B8" w:rsidR="003B5F50" w:rsidRDefault="000D2D85">
            <w:pPr>
              <w:pStyle w:val="P68B1DB1-Normal42"/>
              <w:spacing w:line="240" w:lineRule="auto"/>
              <w:jc w:val="both"/>
              <w:rPr>
                <w:rFonts w:eastAsia="Times New Roman"/>
                <w:noProof/>
                <w:szCs w:val="20"/>
              </w:rPr>
            </w:pPr>
            <w:r>
              <w:rPr>
                <w:noProof/>
              </w:rPr>
              <w:t xml:space="preserve">Adoption de la version finale de la méthodologie pour l’établissement de «zones propices» au développement de l’énergie éolienne («méthodologie de l’énergie éolienne»), sous la forme d’un décret. La méthodologie pour l’énergie éolienne introduit des critères unifiés pour la sélection et l’évaluation des sites propices au développement de l’énergie éolienne. La méthodologie introduit également des critères environnementaux, économiques, techniques et de participation du public ainsi que des critères de connectivité au réseau pour la délimitation des zones propices au déploiement. La méthodologie est élaborée en coopération avec les parties prenantes concernées, y compris au moyen d’une consultation publique et d’un dialogue transparent. </w:t>
            </w:r>
          </w:p>
        </w:tc>
      </w:tr>
      <w:tr w:rsidR="003B5F50" w14:paraId="50B4BB36" w14:textId="77777777" w:rsidTr="00F8541A">
        <w:trPr>
          <w:trHeight w:val="961"/>
        </w:trPr>
        <w:tc>
          <w:tcPr>
            <w:tcW w:w="738" w:type="dxa"/>
            <w:shd w:val="clear" w:color="auto" w:fill="C6EFCE"/>
            <w:noWrap/>
          </w:tcPr>
          <w:p w14:paraId="50B4BB2A" w14:textId="77777777" w:rsidR="003B5F50" w:rsidRDefault="000D2D85">
            <w:pPr>
              <w:pStyle w:val="P68B1DB1-Normal42"/>
              <w:spacing w:after="0" w:line="259" w:lineRule="auto"/>
              <w:rPr>
                <w:rFonts w:eastAsia="Times New Roman"/>
                <w:noProof/>
                <w:szCs w:val="20"/>
              </w:rPr>
            </w:pPr>
            <w:r>
              <w:rPr>
                <w:noProof/>
              </w:rPr>
              <w:t>9</w:t>
            </w:r>
          </w:p>
        </w:tc>
        <w:tc>
          <w:tcPr>
            <w:tcW w:w="1701" w:type="dxa"/>
            <w:shd w:val="clear" w:color="auto" w:fill="C6EFCE"/>
          </w:tcPr>
          <w:p w14:paraId="50B4BB2B" w14:textId="77777777" w:rsidR="003B5F50" w:rsidRDefault="000D2D85">
            <w:pPr>
              <w:pStyle w:val="P68B1DB1-Normal43"/>
              <w:spacing w:line="240" w:lineRule="auto"/>
              <w:rPr>
                <w:rFonts w:eastAsia="Times New Roman"/>
                <w:noProof/>
              </w:rPr>
            </w:pPr>
            <w:r>
              <w:rPr>
                <w:noProof/>
              </w:rPr>
              <w:t>9 — REPowerEU — Réforme 2 — Sous-mesure 1 — Adoption de méthodes et mise en place de deux zones pilotes propices au développement de l’énergie éolienne </w:t>
            </w:r>
          </w:p>
          <w:p w14:paraId="50B4BB2C" w14:textId="77777777" w:rsidR="003B5F50" w:rsidRDefault="003B5F50">
            <w:pPr>
              <w:spacing w:after="0" w:line="240" w:lineRule="auto"/>
              <w:rPr>
                <w:rFonts w:ascii="Times New Roman" w:eastAsia="Times New Roman" w:hAnsi="Times New Roman" w:cs="Arial"/>
                <w:noProof/>
                <w:color w:val="006100"/>
                <w:sz w:val="20"/>
                <w:szCs w:val="20"/>
              </w:rPr>
            </w:pPr>
          </w:p>
        </w:tc>
        <w:tc>
          <w:tcPr>
            <w:tcW w:w="1276" w:type="dxa"/>
            <w:shd w:val="clear" w:color="auto" w:fill="C6EFCE"/>
            <w:noWrap/>
          </w:tcPr>
          <w:p w14:paraId="50B4BB2D" w14:textId="77777777" w:rsidR="003B5F50" w:rsidRDefault="000D2D85">
            <w:pPr>
              <w:pStyle w:val="P68B1DB1-Normal42"/>
              <w:spacing w:after="0" w:line="240" w:lineRule="auto"/>
              <w:rPr>
                <w:rFonts w:eastAsia="Times New Roman"/>
                <w:noProof/>
                <w:szCs w:val="20"/>
              </w:rPr>
            </w:pPr>
            <w:r>
              <w:rPr>
                <w:noProof/>
              </w:rPr>
              <w:t>Objectif</w:t>
            </w:r>
          </w:p>
        </w:tc>
        <w:tc>
          <w:tcPr>
            <w:tcW w:w="992" w:type="dxa"/>
            <w:shd w:val="clear" w:color="auto" w:fill="C6EFCE"/>
          </w:tcPr>
          <w:p w14:paraId="50B4BB2E" w14:textId="77777777" w:rsidR="003B5F50" w:rsidRDefault="000D2D85">
            <w:pPr>
              <w:pStyle w:val="P68B1DB1-Normal43"/>
              <w:spacing w:after="0" w:line="240" w:lineRule="auto"/>
              <w:rPr>
                <w:rFonts w:eastAsia="Times New Roman"/>
                <w:noProof/>
              </w:rPr>
            </w:pPr>
            <w:r>
              <w:rPr>
                <w:noProof/>
              </w:rPr>
              <w:t>Mise en place de zones pilotes propices au développement de l’énergie éolienne</w:t>
            </w:r>
          </w:p>
        </w:tc>
        <w:tc>
          <w:tcPr>
            <w:tcW w:w="1559" w:type="dxa"/>
            <w:shd w:val="clear" w:color="auto" w:fill="C6EFCE"/>
          </w:tcPr>
          <w:p w14:paraId="50B4BB2F" w14:textId="77777777" w:rsidR="003B5F50" w:rsidRDefault="003B5F50">
            <w:pPr>
              <w:spacing w:after="0" w:line="240" w:lineRule="auto"/>
              <w:rPr>
                <w:rFonts w:ascii="Times New Roman" w:eastAsia="Times New Roman" w:hAnsi="Times New Roman" w:cs="Arial"/>
                <w:noProof/>
                <w:color w:val="006100"/>
                <w:sz w:val="20"/>
                <w:szCs w:val="20"/>
              </w:rPr>
            </w:pPr>
          </w:p>
        </w:tc>
        <w:tc>
          <w:tcPr>
            <w:tcW w:w="1559" w:type="dxa"/>
            <w:shd w:val="clear" w:color="auto" w:fill="C6EFCE"/>
            <w:noWrap/>
          </w:tcPr>
          <w:p w14:paraId="50B4BB30" w14:textId="77777777" w:rsidR="003B5F50" w:rsidRDefault="000D2D85">
            <w:pPr>
              <w:pStyle w:val="P68B1DB1-Normal42"/>
              <w:spacing w:after="0" w:line="240" w:lineRule="auto"/>
              <w:jc w:val="both"/>
              <w:rPr>
                <w:rFonts w:eastAsia="Times New Roman"/>
                <w:noProof/>
                <w:szCs w:val="20"/>
              </w:rPr>
            </w:pPr>
            <w:r>
              <w:rPr>
                <w:noProof/>
              </w:rPr>
              <w:t>MW</w:t>
            </w:r>
          </w:p>
        </w:tc>
        <w:tc>
          <w:tcPr>
            <w:tcW w:w="1418" w:type="dxa"/>
            <w:shd w:val="clear" w:color="auto" w:fill="C6EFCE"/>
            <w:noWrap/>
          </w:tcPr>
          <w:p w14:paraId="50B4BB31" w14:textId="77777777" w:rsidR="003B5F50" w:rsidRDefault="000D2D85">
            <w:pPr>
              <w:pStyle w:val="P68B1DB1-Normal42"/>
              <w:spacing w:after="0" w:line="240" w:lineRule="auto"/>
              <w:jc w:val="both"/>
              <w:rPr>
                <w:rFonts w:eastAsia="Times New Roman"/>
                <w:noProof/>
                <w:szCs w:val="20"/>
              </w:rPr>
            </w:pPr>
            <w:r>
              <w:rPr>
                <w:noProof/>
              </w:rPr>
              <w:t>0</w:t>
            </w:r>
          </w:p>
        </w:tc>
        <w:tc>
          <w:tcPr>
            <w:tcW w:w="992" w:type="dxa"/>
            <w:shd w:val="clear" w:color="auto" w:fill="C6EFCE"/>
            <w:noWrap/>
          </w:tcPr>
          <w:p w14:paraId="50B4BB32" w14:textId="77777777" w:rsidR="003B5F50" w:rsidRDefault="000D2D85">
            <w:pPr>
              <w:pStyle w:val="P68B1DB1-Normal42"/>
              <w:spacing w:after="0" w:line="240" w:lineRule="auto"/>
              <w:jc w:val="both"/>
              <w:rPr>
                <w:rFonts w:eastAsia="Times New Roman"/>
                <w:noProof/>
                <w:szCs w:val="20"/>
              </w:rPr>
            </w:pPr>
            <w:r>
              <w:rPr>
                <w:noProof/>
              </w:rPr>
              <w:t>300</w:t>
            </w:r>
          </w:p>
        </w:tc>
        <w:tc>
          <w:tcPr>
            <w:tcW w:w="1134" w:type="dxa"/>
            <w:shd w:val="clear" w:color="auto" w:fill="C6EFCE"/>
            <w:noWrap/>
          </w:tcPr>
          <w:p w14:paraId="50B4BB33" w14:textId="77777777" w:rsidR="003B5F50" w:rsidRDefault="000D2D85">
            <w:pPr>
              <w:pStyle w:val="P68B1DB1-Normal42"/>
              <w:spacing w:after="0" w:line="240" w:lineRule="auto"/>
              <w:jc w:val="both"/>
              <w:rPr>
                <w:rFonts w:eastAsia="Times New Roman"/>
                <w:noProof/>
                <w:szCs w:val="20"/>
              </w:rPr>
            </w:pPr>
            <w:r>
              <w:rPr>
                <w:noProof/>
              </w:rPr>
              <w:t>T4</w:t>
            </w:r>
          </w:p>
        </w:tc>
        <w:tc>
          <w:tcPr>
            <w:tcW w:w="1134" w:type="dxa"/>
            <w:shd w:val="clear" w:color="auto" w:fill="C6EFCE"/>
            <w:noWrap/>
          </w:tcPr>
          <w:p w14:paraId="50B4BB34" w14:textId="77777777" w:rsidR="003B5F50" w:rsidRDefault="000D2D85">
            <w:pPr>
              <w:pStyle w:val="P68B1DB1-Normal42"/>
              <w:spacing w:after="0" w:line="240" w:lineRule="auto"/>
              <w:jc w:val="both"/>
              <w:rPr>
                <w:rFonts w:eastAsia="Times New Roman"/>
                <w:noProof/>
                <w:szCs w:val="20"/>
              </w:rPr>
            </w:pPr>
            <w:r>
              <w:rPr>
                <w:noProof/>
              </w:rPr>
              <w:t>2025</w:t>
            </w:r>
          </w:p>
        </w:tc>
        <w:tc>
          <w:tcPr>
            <w:tcW w:w="2126" w:type="dxa"/>
            <w:shd w:val="clear" w:color="auto" w:fill="C6EFCE"/>
          </w:tcPr>
          <w:p w14:paraId="50B4BB35" w14:textId="77777777" w:rsidR="003B5F50" w:rsidRDefault="000D2D85">
            <w:pPr>
              <w:pStyle w:val="P68B1DB1-Normal43"/>
              <w:spacing w:line="240" w:lineRule="auto"/>
              <w:jc w:val="both"/>
              <w:rPr>
                <w:rFonts w:eastAsia="Times New Roman"/>
                <w:noProof/>
              </w:rPr>
            </w:pPr>
            <w:r>
              <w:rPr>
                <w:noProof/>
              </w:rPr>
              <w:t>Les «zones de destination» pilotes pour l’énergie éolienne sont établies conformément à la méthodologie de l’énergie éolienne adoptée, avec une puissance installée totale potentielle d’au moins 300 MW. Les zones de destination des pilotes comprennent leurs cartes numériques (y compris, sans s’y limiter, la vitesse du vent et l’énergie éolienne, le nombre de jours de vent, la distance par rapport aux trajectoires de vol, les zones tampons, les zones d’alimentation des oiseaux, les corridors de migration). Une autorisation au titre de la loi sur l’EIE est accordée pour les zones propices aux projets et aux investissements sur son territoire en vue de simplifier les procédures d’autorisation pour les projets dans la zone.</w:t>
            </w:r>
          </w:p>
        </w:tc>
      </w:tr>
      <w:tr w:rsidR="003B5F50" w14:paraId="50B4BB44" w14:textId="77777777" w:rsidTr="00F8541A">
        <w:trPr>
          <w:trHeight w:val="961"/>
        </w:trPr>
        <w:tc>
          <w:tcPr>
            <w:tcW w:w="738" w:type="dxa"/>
            <w:shd w:val="clear" w:color="auto" w:fill="C6EFCE"/>
            <w:noWrap/>
          </w:tcPr>
          <w:p w14:paraId="50B4BB37" w14:textId="77777777" w:rsidR="003B5F50" w:rsidRDefault="000D2D85">
            <w:pPr>
              <w:pStyle w:val="P68B1DB1-Normal14"/>
              <w:spacing w:after="0" w:line="259" w:lineRule="auto"/>
              <w:rPr>
                <w:rFonts w:eastAsia="MS Mincho" w:cs="Arial"/>
                <w:noProof/>
                <w:szCs w:val="22"/>
              </w:rPr>
            </w:pPr>
            <w:r>
              <w:rPr>
                <w:noProof/>
              </w:rPr>
              <w:t>10</w:t>
            </w:r>
          </w:p>
        </w:tc>
        <w:tc>
          <w:tcPr>
            <w:tcW w:w="1701" w:type="dxa"/>
            <w:shd w:val="clear" w:color="auto" w:fill="C6EFCE"/>
          </w:tcPr>
          <w:p w14:paraId="50B4BB38" w14:textId="77777777" w:rsidR="003B5F50" w:rsidRDefault="000D2D85">
            <w:pPr>
              <w:pStyle w:val="P68B1DB1-Normal14"/>
              <w:spacing w:line="240" w:lineRule="auto"/>
              <w:rPr>
                <w:rFonts w:eastAsia="MS Mincho" w:cs="Arial"/>
                <w:noProof/>
                <w:szCs w:val="22"/>
              </w:rPr>
            </w:pPr>
            <w:r>
              <w:rPr>
                <w:noProof/>
              </w:rPr>
              <w:t>10- REPowerEU – Réforme 2 – Sous-mesure 2 – Plan d’action pour l’hydrogène</w:t>
            </w:r>
          </w:p>
        </w:tc>
        <w:tc>
          <w:tcPr>
            <w:tcW w:w="1276" w:type="dxa"/>
            <w:shd w:val="clear" w:color="auto" w:fill="C6EFCE"/>
            <w:noWrap/>
          </w:tcPr>
          <w:p w14:paraId="50B4BB39" w14:textId="77777777" w:rsidR="003B5F50" w:rsidRDefault="000D2D85">
            <w:pPr>
              <w:pStyle w:val="P68B1DB1-Normal14"/>
              <w:spacing w:after="0" w:line="240" w:lineRule="auto"/>
              <w:rPr>
                <w:rFonts w:eastAsia="MS Mincho" w:cs="Arial"/>
                <w:noProof/>
                <w:szCs w:val="22"/>
              </w:rPr>
            </w:pPr>
            <w:r>
              <w:rPr>
                <w:noProof/>
              </w:rPr>
              <w:t>Étape</w:t>
            </w:r>
          </w:p>
        </w:tc>
        <w:tc>
          <w:tcPr>
            <w:tcW w:w="992" w:type="dxa"/>
            <w:shd w:val="clear" w:color="auto" w:fill="C6EFCE"/>
          </w:tcPr>
          <w:p w14:paraId="50B4BB3A" w14:textId="77777777" w:rsidR="003B5F50" w:rsidRDefault="000D2D85">
            <w:pPr>
              <w:pStyle w:val="P68B1DB1-Normal14"/>
              <w:spacing w:after="0" w:line="240" w:lineRule="auto"/>
              <w:rPr>
                <w:rFonts w:eastAsia="MS Mincho" w:cs="Arial"/>
                <w:noProof/>
                <w:szCs w:val="22"/>
              </w:rPr>
            </w:pPr>
            <w:r>
              <w:rPr>
                <w:noProof/>
              </w:rPr>
              <w:t xml:space="preserve">Publication du plan d'action pour l'hydrogène </w:t>
            </w:r>
          </w:p>
        </w:tc>
        <w:tc>
          <w:tcPr>
            <w:tcW w:w="1559" w:type="dxa"/>
            <w:shd w:val="clear" w:color="auto" w:fill="C6EFCE"/>
          </w:tcPr>
          <w:p w14:paraId="50B4BB3B" w14:textId="77777777" w:rsidR="003B5F50" w:rsidRDefault="000D2D85">
            <w:pPr>
              <w:pStyle w:val="P68B1DB1-Normal14"/>
              <w:spacing w:after="0" w:line="240" w:lineRule="auto"/>
              <w:rPr>
                <w:rFonts w:eastAsia="Times New Roman" w:cs="Arial"/>
                <w:noProof/>
                <w:szCs w:val="20"/>
              </w:rPr>
            </w:pPr>
            <w:r>
              <w:rPr>
                <w:noProof/>
              </w:rPr>
              <w:t>Adoption par le gouvernement du plan d'action</w:t>
            </w:r>
          </w:p>
        </w:tc>
        <w:tc>
          <w:tcPr>
            <w:tcW w:w="1559" w:type="dxa"/>
            <w:shd w:val="clear" w:color="auto" w:fill="C6EFCE"/>
            <w:noWrap/>
          </w:tcPr>
          <w:p w14:paraId="50B4BB3C" w14:textId="77777777" w:rsidR="003B5F50" w:rsidRDefault="003B5F50">
            <w:pPr>
              <w:spacing w:after="0" w:line="240" w:lineRule="auto"/>
              <w:jc w:val="both"/>
              <w:rPr>
                <w:rFonts w:ascii="Times New Roman" w:eastAsia="MS Mincho" w:hAnsi="Times New Roman" w:cs="Arial"/>
                <w:noProof/>
                <w:color w:val="006100"/>
                <w:sz w:val="20"/>
                <w:szCs w:val="22"/>
              </w:rPr>
            </w:pPr>
          </w:p>
        </w:tc>
        <w:tc>
          <w:tcPr>
            <w:tcW w:w="1418" w:type="dxa"/>
            <w:shd w:val="clear" w:color="auto" w:fill="C6EFCE"/>
            <w:noWrap/>
          </w:tcPr>
          <w:p w14:paraId="50B4BB3D" w14:textId="77777777" w:rsidR="003B5F50" w:rsidRDefault="003B5F50">
            <w:pPr>
              <w:spacing w:after="0" w:line="240" w:lineRule="auto"/>
              <w:jc w:val="both"/>
              <w:rPr>
                <w:rFonts w:ascii="Times New Roman" w:eastAsia="MS Mincho" w:hAnsi="Times New Roman" w:cs="Arial"/>
                <w:noProof/>
                <w:color w:val="006100"/>
                <w:sz w:val="20"/>
                <w:szCs w:val="22"/>
              </w:rPr>
            </w:pPr>
          </w:p>
        </w:tc>
        <w:tc>
          <w:tcPr>
            <w:tcW w:w="992" w:type="dxa"/>
            <w:shd w:val="clear" w:color="auto" w:fill="C6EFCE"/>
            <w:noWrap/>
          </w:tcPr>
          <w:p w14:paraId="50B4BB3E" w14:textId="77777777" w:rsidR="003B5F50" w:rsidRDefault="003B5F50">
            <w:pPr>
              <w:spacing w:after="0" w:line="240" w:lineRule="auto"/>
              <w:jc w:val="both"/>
              <w:rPr>
                <w:rFonts w:ascii="Times New Roman" w:eastAsia="MS Mincho" w:hAnsi="Times New Roman" w:cs="Arial"/>
                <w:noProof/>
                <w:color w:val="006100"/>
                <w:sz w:val="20"/>
                <w:szCs w:val="22"/>
              </w:rPr>
            </w:pPr>
          </w:p>
        </w:tc>
        <w:tc>
          <w:tcPr>
            <w:tcW w:w="1134" w:type="dxa"/>
            <w:shd w:val="clear" w:color="auto" w:fill="C6EFCE"/>
            <w:noWrap/>
          </w:tcPr>
          <w:p w14:paraId="50B4BB3F" w14:textId="77777777" w:rsidR="003B5F50" w:rsidRDefault="000D2D85">
            <w:pPr>
              <w:pStyle w:val="P68B1DB1-Normal14"/>
              <w:spacing w:after="0" w:line="240" w:lineRule="auto"/>
              <w:jc w:val="both"/>
              <w:rPr>
                <w:rFonts w:eastAsia="MS Mincho" w:cs="Arial"/>
                <w:noProof/>
                <w:szCs w:val="22"/>
              </w:rPr>
            </w:pPr>
            <w:r>
              <w:rPr>
                <w:noProof/>
              </w:rPr>
              <w:t>T2</w:t>
            </w:r>
          </w:p>
        </w:tc>
        <w:tc>
          <w:tcPr>
            <w:tcW w:w="1134" w:type="dxa"/>
            <w:shd w:val="clear" w:color="auto" w:fill="C6EFCE"/>
            <w:noWrap/>
          </w:tcPr>
          <w:p w14:paraId="50B4BB40" w14:textId="77777777" w:rsidR="003B5F50" w:rsidRDefault="000D2D85">
            <w:pPr>
              <w:pStyle w:val="P68B1DB1-Normal14"/>
              <w:spacing w:after="0" w:line="240" w:lineRule="auto"/>
              <w:jc w:val="both"/>
              <w:rPr>
                <w:rFonts w:eastAsia="MS Mincho" w:cs="Arial"/>
                <w:noProof/>
                <w:szCs w:val="22"/>
              </w:rPr>
            </w:pPr>
            <w:r>
              <w:rPr>
                <w:noProof/>
              </w:rPr>
              <w:t>2024</w:t>
            </w:r>
          </w:p>
        </w:tc>
        <w:tc>
          <w:tcPr>
            <w:tcW w:w="2126" w:type="dxa"/>
            <w:shd w:val="clear" w:color="auto" w:fill="C6EFCE"/>
          </w:tcPr>
          <w:p w14:paraId="50B4BB41" w14:textId="77777777" w:rsidR="003B5F50" w:rsidRDefault="000D2D85">
            <w:pPr>
              <w:pStyle w:val="P68B1DB1-Normal14"/>
              <w:spacing w:line="240" w:lineRule="auto"/>
              <w:jc w:val="both"/>
              <w:rPr>
                <w:rFonts w:eastAsia="Times New Roman"/>
                <w:noProof/>
                <w:szCs w:val="20"/>
              </w:rPr>
            </w:pPr>
            <w:r>
              <w:rPr>
                <w:noProof/>
              </w:rPr>
              <w:t xml:space="preserve">Le plan d’action définit les priorités du développement d’un écosystème d’hydrogène principalement renouvelable en Slovaquie, notamment en analysant les différents segments de l’économie slovaque de l’hydrogène, en particulier en alignant l’offre et la demande d’hydrogène renouvelable sur le cadre législatif de l’Union. </w:t>
            </w:r>
          </w:p>
          <w:p w14:paraId="50B4BB42" w14:textId="77777777" w:rsidR="003B5F50" w:rsidRDefault="000D2D85">
            <w:pPr>
              <w:pStyle w:val="P68B1DB1-Normal14"/>
              <w:spacing w:line="240" w:lineRule="auto"/>
              <w:jc w:val="both"/>
              <w:rPr>
                <w:rFonts w:eastAsia="Times New Roman"/>
                <w:noProof/>
                <w:szCs w:val="20"/>
              </w:rPr>
            </w:pPr>
            <w:r>
              <w:rPr>
                <w:noProof/>
              </w:rPr>
              <w:t>Le plan d’action définit des priorités de financement public pour différents segments de l’écosystème slovaque de l’hydrogène et fixe des calendriers pour le lancement d’appels de financement pertinents.</w:t>
            </w:r>
          </w:p>
          <w:p w14:paraId="50B4BB43" w14:textId="77777777" w:rsidR="003B5F50" w:rsidRDefault="000D2D85">
            <w:pPr>
              <w:pStyle w:val="P68B1DB1-Normal14"/>
              <w:spacing w:line="240" w:lineRule="auto"/>
              <w:jc w:val="both"/>
              <w:rPr>
                <w:rFonts w:eastAsia="MS Mincho" w:cs="Arial"/>
                <w:noProof/>
                <w:szCs w:val="20"/>
              </w:rPr>
            </w:pPr>
            <w:r>
              <w:rPr>
                <w:noProof/>
              </w:rPr>
              <w:t>Le plan d'action est accompagné d'une liste de textes de droit primaire, de droit dérivé et de normes techniques contraignantes qui sont adoptés pour s'aligner sur le cadre juridique de l'UE.</w:t>
            </w:r>
          </w:p>
        </w:tc>
      </w:tr>
      <w:tr w:rsidR="003B5F50" w14:paraId="50B4BB54" w14:textId="77777777" w:rsidTr="00F8541A">
        <w:trPr>
          <w:trHeight w:val="961"/>
        </w:trPr>
        <w:tc>
          <w:tcPr>
            <w:tcW w:w="738" w:type="dxa"/>
            <w:shd w:val="clear" w:color="auto" w:fill="C6EFCE"/>
            <w:noWrap/>
          </w:tcPr>
          <w:p w14:paraId="50B4BB45" w14:textId="77777777" w:rsidR="003B5F50" w:rsidRDefault="000D2D85">
            <w:pPr>
              <w:pStyle w:val="P68B1DB1-Normal14"/>
              <w:spacing w:after="0" w:line="259" w:lineRule="auto"/>
              <w:rPr>
                <w:rFonts w:eastAsia="MS Mincho" w:cs="Arial"/>
                <w:noProof/>
                <w:szCs w:val="22"/>
              </w:rPr>
            </w:pPr>
            <w:r>
              <w:rPr>
                <w:noProof/>
              </w:rPr>
              <w:t>11</w:t>
            </w:r>
          </w:p>
        </w:tc>
        <w:tc>
          <w:tcPr>
            <w:tcW w:w="1701" w:type="dxa"/>
            <w:shd w:val="clear" w:color="auto" w:fill="C6EFCE"/>
          </w:tcPr>
          <w:p w14:paraId="50B4BB46" w14:textId="77777777" w:rsidR="003B5F50" w:rsidRDefault="000D2D85">
            <w:pPr>
              <w:pStyle w:val="P68B1DB1-Normal14"/>
              <w:spacing w:line="240" w:lineRule="auto"/>
              <w:rPr>
                <w:rFonts w:eastAsia="MS Mincho" w:cs="Arial"/>
                <w:noProof/>
                <w:szCs w:val="22"/>
              </w:rPr>
            </w:pPr>
            <w:r>
              <w:rPr>
                <w:noProof/>
              </w:rPr>
              <w:t>11- REPowerEU – Réforme 2 – Sous-mesure 2 – Plan d’action pour l’hydrogène</w:t>
            </w:r>
          </w:p>
        </w:tc>
        <w:tc>
          <w:tcPr>
            <w:tcW w:w="1276" w:type="dxa"/>
            <w:shd w:val="clear" w:color="auto" w:fill="C6EFCE"/>
            <w:noWrap/>
          </w:tcPr>
          <w:p w14:paraId="50B4BB47" w14:textId="77777777" w:rsidR="003B5F50" w:rsidRDefault="000D2D85">
            <w:pPr>
              <w:pStyle w:val="P68B1DB1-Normal14"/>
              <w:spacing w:after="0" w:line="240" w:lineRule="auto"/>
              <w:rPr>
                <w:rFonts w:eastAsia="MS Mincho" w:cs="Arial"/>
                <w:noProof/>
                <w:szCs w:val="22"/>
              </w:rPr>
            </w:pPr>
            <w:r>
              <w:rPr>
                <w:noProof/>
              </w:rPr>
              <w:t>Étape</w:t>
            </w:r>
          </w:p>
        </w:tc>
        <w:tc>
          <w:tcPr>
            <w:tcW w:w="992" w:type="dxa"/>
            <w:shd w:val="clear" w:color="auto" w:fill="C6EFCE"/>
          </w:tcPr>
          <w:p w14:paraId="50B4BB48" w14:textId="77777777" w:rsidR="003B5F50" w:rsidRDefault="000D2D85">
            <w:pPr>
              <w:pStyle w:val="P68B1DB1-Normal14"/>
              <w:spacing w:after="0" w:line="240" w:lineRule="auto"/>
              <w:rPr>
                <w:rFonts w:eastAsia="MS Mincho" w:cs="Arial"/>
                <w:noProof/>
                <w:szCs w:val="22"/>
              </w:rPr>
            </w:pPr>
            <w:r>
              <w:rPr>
                <w:noProof/>
              </w:rPr>
              <w:t xml:space="preserve">Mesures visant à promouvoir l’utilisation de l’hydrogène </w:t>
            </w:r>
          </w:p>
        </w:tc>
        <w:tc>
          <w:tcPr>
            <w:tcW w:w="1559" w:type="dxa"/>
            <w:shd w:val="clear" w:color="auto" w:fill="C6EFCE"/>
          </w:tcPr>
          <w:p w14:paraId="50B4BB49" w14:textId="77777777" w:rsidR="003B5F50" w:rsidRDefault="000D2D85">
            <w:pPr>
              <w:pStyle w:val="P68B1DB1-Normal15"/>
              <w:spacing w:after="0" w:line="240" w:lineRule="auto"/>
              <w:rPr>
                <w:rFonts w:eastAsia="Times New Roman" w:cs="Arial"/>
                <w:noProof/>
              </w:rPr>
            </w:pPr>
            <w:r>
              <w:rPr>
                <w:noProof/>
              </w:rPr>
              <w:t>Entrée en vigueur d'un ensemble de mesures législatives et autres</w:t>
            </w:r>
          </w:p>
        </w:tc>
        <w:tc>
          <w:tcPr>
            <w:tcW w:w="1559" w:type="dxa"/>
            <w:shd w:val="clear" w:color="auto" w:fill="C6EFCE"/>
            <w:noWrap/>
          </w:tcPr>
          <w:p w14:paraId="50B4BB4A" w14:textId="77777777" w:rsidR="003B5F50" w:rsidRDefault="003B5F50">
            <w:pPr>
              <w:spacing w:after="0" w:line="240" w:lineRule="auto"/>
              <w:jc w:val="both"/>
              <w:rPr>
                <w:rFonts w:ascii="Times New Roman" w:eastAsia="MS Mincho" w:hAnsi="Times New Roman" w:cs="Arial"/>
                <w:noProof/>
                <w:color w:val="006100"/>
                <w:sz w:val="20"/>
                <w:szCs w:val="22"/>
              </w:rPr>
            </w:pPr>
          </w:p>
        </w:tc>
        <w:tc>
          <w:tcPr>
            <w:tcW w:w="1418" w:type="dxa"/>
            <w:shd w:val="clear" w:color="auto" w:fill="C6EFCE"/>
            <w:noWrap/>
          </w:tcPr>
          <w:p w14:paraId="50B4BB4B" w14:textId="77777777" w:rsidR="003B5F50" w:rsidRDefault="003B5F50">
            <w:pPr>
              <w:spacing w:after="0" w:line="240" w:lineRule="auto"/>
              <w:jc w:val="both"/>
              <w:rPr>
                <w:rFonts w:ascii="Times New Roman" w:eastAsia="MS Mincho" w:hAnsi="Times New Roman" w:cs="Arial"/>
                <w:noProof/>
                <w:color w:val="006100"/>
                <w:sz w:val="20"/>
                <w:szCs w:val="22"/>
              </w:rPr>
            </w:pPr>
          </w:p>
        </w:tc>
        <w:tc>
          <w:tcPr>
            <w:tcW w:w="992" w:type="dxa"/>
            <w:shd w:val="clear" w:color="auto" w:fill="C6EFCE"/>
            <w:noWrap/>
          </w:tcPr>
          <w:p w14:paraId="50B4BB4C" w14:textId="77777777" w:rsidR="003B5F50" w:rsidRDefault="003B5F50">
            <w:pPr>
              <w:spacing w:after="0" w:line="240" w:lineRule="auto"/>
              <w:jc w:val="both"/>
              <w:rPr>
                <w:rFonts w:ascii="Times New Roman" w:eastAsia="MS Mincho" w:hAnsi="Times New Roman" w:cs="Arial"/>
                <w:noProof/>
                <w:color w:val="006100"/>
                <w:sz w:val="20"/>
                <w:szCs w:val="22"/>
              </w:rPr>
            </w:pPr>
          </w:p>
        </w:tc>
        <w:tc>
          <w:tcPr>
            <w:tcW w:w="1134" w:type="dxa"/>
            <w:shd w:val="clear" w:color="auto" w:fill="C6EFCE"/>
            <w:noWrap/>
          </w:tcPr>
          <w:p w14:paraId="50B4BB4D" w14:textId="77777777" w:rsidR="003B5F50" w:rsidRDefault="000D2D85">
            <w:pPr>
              <w:pStyle w:val="P68B1DB1-Normal14"/>
              <w:spacing w:after="0" w:line="240" w:lineRule="auto"/>
              <w:jc w:val="both"/>
              <w:rPr>
                <w:rFonts w:eastAsia="MS Mincho" w:cs="Arial"/>
                <w:noProof/>
                <w:szCs w:val="22"/>
              </w:rPr>
            </w:pPr>
            <w:r>
              <w:rPr>
                <w:noProof/>
              </w:rPr>
              <w:t>T2</w:t>
            </w:r>
          </w:p>
        </w:tc>
        <w:tc>
          <w:tcPr>
            <w:tcW w:w="1134" w:type="dxa"/>
            <w:shd w:val="clear" w:color="auto" w:fill="C6EFCE"/>
            <w:noWrap/>
          </w:tcPr>
          <w:p w14:paraId="50B4BB4E" w14:textId="77777777" w:rsidR="003B5F50" w:rsidRDefault="000D2D85">
            <w:pPr>
              <w:pStyle w:val="P68B1DB1-Normal14"/>
              <w:spacing w:after="0" w:line="240" w:lineRule="auto"/>
              <w:jc w:val="both"/>
              <w:rPr>
                <w:rFonts w:eastAsia="MS Mincho" w:cs="Arial"/>
                <w:noProof/>
                <w:szCs w:val="22"/>
              </w:rPr>
            </w:pPr>
            <w:r>
              <w:rPr>
                <w:noProof/>
              </w:rPr>
              <w:t>2025</w:t>
            </w:r>
          </w:p>
        </w:tc>
        <w:tc>
          <w:tcPr>
            <w:tcW w:w="2126" w:type="dxa"/>
            <w:shd w:val="clear" w:color="auto" w:fill="C6EFCE"/>
          </w:tcPr>
          <w:p w14:paraId="50B4BB4F" w14:textId="77777777" w:rsidR="003B5F50" w:rsidRDefault="000D2D85">
            <w:pPr>
              <w:pStyle w:val="P68B1DB1-Normal15"/>
              <w:spacing w:after="0" w:line="240" w:lineRule="auto"/>
              <w:jc w:val="both"/>
              <w:rPr>
                <w:rFonts w:eastAsia="MS Mincho" w:cs="Arial"/>
                <w:noProof/>
              </w:rPr>
            </w:pPr>
            <w:r>
              <w:rPr>
                <w:noProof/>
              </w:rPr>
              <w:t xml:space="preserve">Dans le cadre des conditions favorisantes du plan d’action pour l’hydrogène, les autorités slovaques adoptent des mesures législatives et techniques pour la production d’hydrogène renouvelable, des normes de stockage de l’hydrogène, ainsi que pour l’utilisation industrielle et énergétique et pour différents modes de transport. En particulier, la Slovaquie modifie son cadre législatif afin de fixer des objectifs pour les carburants renouvelables d’origine non biologique. </w:t>
            </w:r>
          </w:p>
          <w:p w14:paraId="50B4BB50" w14:textId="77777777" w:rsidR="003B5F50" w:rsidRDefault="003B5F50">
            <w:pPr>
              <w:spacing w:after="0" w:line="240" w:lineRule="auto"/>
              <w:jc w:val="both"/>
              <w:rPr>
                <w:rFonts w:ascii="Times New Roman" w:hAnsi="Times New Roman"/>
                <w:noProof/>
                <w:color w:val="006100"/>
                <w:sz w:val="20"/>
                <w:szCs w:val="20"/>
              </w:rPr>
            </w:pPr>
          </w:p>
          <w:p w14:paraId="50B4BB51" w14:textId="77777777" w:rsidR="003B5F50" w:rsidRDefault="000D2D85">
            <w:pPr>
              <w:pStyle w:val="P68B1DB1-Normal15"/>
              <w:spacing w:after="0" w:line="240" w:lineRule="auto"/>
              <w:jc w:val="both"/>
              <w:rPr>
                <w:rFonts w:eastAsia="Times New Roman"/>
                <w:noProof/>
              </w:rPr>
            </w:pPr>
            <w:r>
              <w:rPr>
                <w:noProof/>
              </w:rPr>
              <w:t>Les mesures législatives sont adoptées par le Conseil national de la République slovaque et entrent en vigueur au plus tard le 31 décembre 2025.</w:t>
            </w:r>
          </w:p>
          <w:p w14:paraId="50B4BB52" w14:textId="77777777" w:rsidR="003B5F50" w:rsidRDefault="003B5F50">
            <w:pPr>
              <w:spacing w:after="0" w:line="240" w:lineRule="auto"/>
              <w:jc w:val="both"/>
              <w:rPr>
                <w:rFonts w:ascii="Times New Roman" w:eastAsia="Times New Roman" w:hAnsi="Times New Roman"/>
                <w:noProof/>
                <w:color w:val="006100"/>
                <w:sz w:val="20"/>
                <w:szCs w:val="20"/>
              </w:rPr>
            </w:pPr>
          </w:p>
          <w:p w14:paraId="50B4BB53" w14:textId="77777777" w:rsidR="003B5F50" w:rsidRDefault="000D2D85">
            <w:pPr>
              <w:pStyle w:val="P68B1DB1-Normal15"/>
              <w:spacing w:line="240" w:lineRule="auto"/>
              <w:jc w:val="both"/>
              <w:rPr>
                <w:rFonts w:eastAsia="MS Mincho" w:cs="Arial"/>
                <w:noProof/>
              </w:rPr>
            </w:pPr>
            <w:r>
              <w:rPr>
                <w:noProof/>
              </w:rPr>
              <w:t>La liste des mesures est fondée sur la liste des mesures législatives et des normes techniques accompagnant le plan d’action pour l’hydrogène. Le gouvernement slovaque adopte un document stratégique sur l’écosystème de l’hydrogène de la Slovaquie. Le document stratégique définit des priorités pour le développement de l’écosystème national de l’hydrogène et des objectifs en matière d’hydrogène renouvelable à l’horizon 2050 sur la base de scénarios de bilan de production, de consommation d’hydrogène et de bilans d’importation et d’exportation d’hydrogène au sein du réseau européen de transport d’hydrogène.</w:t>
            </w:r>
          </w:p>
        </w:tc>
      </w:tr>
      <w:tr w:rsidR="003B5F50" w14:paraId="50B4BB69" w14:textId="77777777" w:rsidTr="00F8541A">
        <w:trPr>
          <w:trHeight w:val="961"/>
        </w:trPr>
        <w:tc>
          <w:tcPr>
            <w:tcW w:w="738" w:type="dxa"/>
            <w:shd w:val="clear" w:color="auto" w:fill="C6EFCE"/>
            <w:noWrap/>
          </w:tcPr>
          <w:p w14:paraId="50B4BB55" w14:textId="77777777" w:rsidR="003B5F50" w:rsidRDefault="000D2D85">
            <w:pPr>
              <w:pStyle w:val="P68B1DB1-Normal42"/>
              <w:spacing w:after="0" w:line="259" w:lineRule="auto"/>
              <w:rPr>
                <w:rFonts w:eastAsia="Times New Roman"/>
                <w:noProof/>
                <w:szCs w:val="20"/>
              </w:rPr>
            </w:pPr>
            <w:r>
              <w:rPr>
                <w:noProof/>
              </w:rPr>
              <w:t>12</w:t>
            </w:r>
          </w:p>
        </w:tc>
        <w:tc>
          <w:tcPr>
            <w:tcW w:w="1701" w:type="dxa"/>
            <w:shd w:val="clear" w:color="auto" w:fill="C6EFCE"/>
          </w:tcPr>
          <w:p w14:paraId="50B4BB56" w14:textId="77777777" w:rsidR="003B5F50" w:rsidRDefault="000D2D85">
            <w:pPr>
              <w:pStyle w:val="P68B1DB1-Normal42"/>
              <w:spacing w:after="0" w:line="240" w:lineRule="auto"/>
              <w:rPr>
                <w:rFonts w:eastAsia="Times New Roman"/>
                <w:noProof/>
                <w:szCs w:val="20"/>
              </w:rPr>
            </w:pPr>
            <w:r>
              <w:rPr>
                <w:noProof/>
              </w:rPr>
              <w:t>11 – REPowerEU – Réforme 2 – Sous-mesure 3 – Intégration des énergies renouvelables dans le réseau électrique </w:t>
            </w:r>
          </w:p>
          <w:p w14:paraId="50B4BB57" w14:textId="77777777" w:rsidR="003B5F50" w:rsidRDefault="000D2D85">
            <w:pPr>
              <w:pStyle w:val="P68B1DB1-Normal42"/>
              <w:spacing w:after="0" w:line="240" w:lineRule="auto"/>
              <w:rPr>
                <w:rFonts w:eastAsia="Times New Roman"/>
                <w:noProof/>
                <w:szCs w:val="20"/>
              </w:rPr>
            </w:pPr>
            <w:r>
              <w:rPr>
                <w:noProof/>
              </w:rPr>
              <w:t xml:space="preserve"> </w:t>
            </w:r>
          </w:p>
          <w:p w14:paraId="50B4BB58" w14:textId="77777777" w:rsidR="003B5F50" w:rsidRDefault="003B5F50">
            <w:pPr>
              <w:spacing w:after="0" w:line="259" w:lineRule="auto"/>
              <w:rPr>
                <w:rFonts w:ascii="Times New Roman" w:eastAsia="Times New Roman" w:hAnsi="Times New Roman" w:cs="Arial"/>
                <w:noProof/>
                <w:color w:val="006100"/>
                <w:sz w:val="20"/>
                <w:szCs w:val="20"/>
              </w:rPr>
            </w:pPr>
          </w:p>
        </w:tc>
        <w:tc>
          <w:tcPr>
            <w:tcW w:w="1276" w:type="dxa"/>
            <w:shd w:val="clear" w:color="auto" w:fill="C6EFCE"/>
            <w:noWrap/>
          </w:tcPr>
          <w:p w14:paraId="50B4BB59" w14:textId="77777777" w:rsidR="003B5F50" w:rsidRDefault="000D2D85">
            <w:pPr>
              <w:pStyle w:val="P68B1DB1-Normal42"/>
              <w:spacing w:after="0" w:line="259" w:lineRule="auto"/>
              <w:rPr>
                <w:rFonts w:eastAsia="Times New Roman"/>
                <w:noProof/>
                <w:szCs w:val="20"/>
              </w:rPr>
            </w:pPr>
            <w:r>
              <w:rPr>
                <w:noProof/>
              </w:rPr>
              <w:t>Étape</w:t>
            </w:r>
          </w:p>
        </w:tc>
        <w:tc>
          <w:tcPr>
            <w:tcW w:w="992" w:type="dxa"/>
            <w:shd w:val="clear" w:color="auto" w:fill="C6EFCE"/>
          </w:tcPr>
          <w:p w14:paraId="50B4BB5A" w14:textId="77777777" w:rsidR="003B5F50" w:rsidRDefault="000D2D85">
            <w:pPr>
              <w:pStyle w:val="P68B1DB1-Normal42"/>
              <w:spacing w:after="0" w:line="240" w:lineRule="auto"/>
              <w:rPr>
                <w:rFonts w:eastAsia="Times New Roman"/>
                <w:noProof/>
                <w:szCs w:val="20"/>
              </w:rPr>
            </w:pPr>
            <w:r>
              <w:rPr>
                <w:noProof/>
              </w:rPr>
              <w:t xml:space="preserve">Mesures de rationalisation et d’accélération du raccordement des énergies renouvelables au réseau </w:t>
            </w:r>
          </w:p>
          <w:p w14:paraId="50B4BB5B" w14:textId="77777777" w:rsidR="003B5F50" w:rsidRDefault="003B5F50">
            <w:pPr>
              <w:spacing w:after="0" w:line="259" w:lineRule="auto"/>
              <w:rPr>
                <w:rFonts w:ascii="Times New Roman" w:eastAsia="Times New Roman" w:hAnsi="Times New Roman" w:cs="Arial"/>
                <w:noProof/>
                <w:color w:val="006100"/>
                <w:sz w:val="20"/>
                <w:szCs w:val="20"/>
              </w:rPr>
            </w:pPr>
          </w:p>
        </w:tc>
        <w:tc>
          <w:tcPr>
            <w:tcW w:w="1559" w:type="dxa"/>
            <w:shd w:val="clear" w:color="auto" w:fill="C6EFCE"/>
          </w:tcPr>
          <w:p w14:paraId="50B4BB5C" w14:textId="77777777" w:rsidR="003B5F50" w:rsidRDefault="000D2D85">
            <w:pPr>
              <w:pStyle w:val="P68B1DB1-Normal42"/>
              <w:spacing w:after="0" w:line="259" w:lineRule="auto"/>
              <w:rPr>
                <w:rFonts w:eastAsia="Times New Roman"/>
                <w:noProof/>
                <w:szCs w:val="20"/>
              </w:rPr>
            </w:pPr>
            <w:r>
              <w:rPr>
                <w:noProof/>
              </w:rPr>
              <w:t>Entrée en vigueur d'un ensemble de mesures obligatoires répondant à cinq objectifs</w:t>
            </w:r>
          </w:p>
        </w:tc>
        <w:tc>
          <w:tcPr>
            <w:tcW w:w="1559" w:type="dxa"/>
            <w:shd w:val="clear" w:color="auto" w:fill="C6EFCE"/>
            <w:noWrap/>
          </w:tcPr>
          <w:p w14:paraId="50B4BB5D" w14:textId="77777777" w:rsidR="003B5F50" w:rsidRDefault="003B5F50">
            <w:pPr>
              <w:spacing w:after="0" w:line="259" w:lineRule="auto"/>
              <w:rPr>
                <w:rFonts w:ascii="Times New Roman" w:eastAsia="Times New Roman" w:hAnsi="Times New Roman" w:cs="Arial"/>
                <w:noProof/>
                <w:color w:val="006100"/>
                <w:sz w:val="20"/>
                <w:szCs w:val="20"/>
              </w:rPr>
            </w:pPr>
          </w:p>
        </w:tc>
        <w:tc>
          <w:tcPr>
            <w:tcW w:w="1418" w:type="dxa"/>
            <w:shd w:val="clear" w:color="auto" w:fill="C6EFCE"/>
            <w:noWrap/>
          </w:tcPr>
          <w:p w14:paraId="50B4BB5E" w14:textId="77777777" w:rsidR="003B5F50" w:rsidRDefault="003B5F50">
            <w:pPr>
              <w:spacing w:after="0" w:line="259" w:lineRule="auto"/>
              <w:rPr>
                <w:rFonts w:ascii="Times New Roman" w:eastAsia="Times New Roman" w:hAnsi="Times New Roman" w:cs="Arial"/>
                <w:noProof/>
                <w:color w:val="006100"/>
                <w:sz w:val="20"/>
                <w:szCs w:val="20"/>
              </w:rPr>
            </w:pPr>
          </w:p>
        </w:tc>
        <w:tc>
          <w:tcPr>
            <w:tcW w:w="992" w:type="dxa"/>
            <w:shd w:val="clear" w:color="auto" w:fill="C6EFCE"/>
            <w:noWrap/>
          </w:tcPr>
          <w:p w14:paraId="50B4BB5F" w14:textId="77777777" w:rsidR="003B5F50" w:rsidRDefault="003B5F50">
            <w:pPr>
              <w:spacing w:after="0" w:line="259" w:lineRule="auto"/>
              <w:rPr>
                <w:rFonts w:ascii="Times New Roman" w:eastAsia="Times New Roman" w:hAnsi="Times New Roman" w:cs="Arial"/>
                <w:noProof/>
                <w:color w:val="006100"/>
                <w:sz w:val="20"/>
                <w:szCs w:val="20"/>
              </w:rPr>
            </w:pPr>
          </w:p>
        </w:tc>
        <w:tc>
          <w:tcPr>
            <w:tcW w:w="1134" w:type="dxa"/>
            <w:shd w:val="clear" w:color="auto" w:fill="C6EFCE"/>
            <w:noWrap/>
          </w:tcPr>
          <w:p w14:paraId="50B4BB60" w14:textId="77777777" w:rsidR="003B5F50" w:rsidRDefault="000D2D85">
            <w:pPr>
              <w:pStyle w:val="P68B1DB1-Normal42"/>
              <w:spacing w:after="0" w:line="259" w:lineRule="auto"/>
              <w:rPr>
                <w:rFonts w:eastAsia="Times New Roman"/>
                <w:noProof/>
                <w:szCs w:val="20"/>
              </w:rPr>
            </w:pPr>
            <w:r>
              <w:rPr>
                <w:noProof/>
              </w:rPr>
              <w:t>T1</w:t>
            </w:r>
          </w:p>
        </w:tc>
        <w:tc>
          <w:tcPr>
            <w:tcW w:w="1134" w:type="dxa"/>
            <w:shd w:val="clear" w:color="auto" w:fill="C6EFCE"/>
            <w:noWrap/>
          </w:tcPr>
          <w:p w14:paraId="50B4BB61" w14:textId="77777777" w:rsidR="003B5F50" w:rsidRDefault="000D2D85">
            <w:pPr>
              <w:pStyle w:val="P68B1DB1-Normal42"/>
              <w:spacing w:after="0" w:line="259" w:lineRule="auto"/>
              <w:rPr>
                <w:rFonts w:eastAsia="Times New Roman"/>
                <w:noProof/>
                <w:szCs w:val="20"/>
              </w:rPr>
            </w:pPr>
            <w:r>
              <w:rPr>
                <w:noProof/>
              </w:rPr>
              <w:t>2025</w:t>
            </w:r>
          </w:p>
        </w:tc>
        <w:tc>
          <w:tcPr>
            <w:tcW w:w="2126" w:type="dxa"/>
            <w:shd w:val="clear" w:color="auto" w:fill="C6EFCE"/>
          </w:tcPr>
          <w:p w14:paraId="50B4BB62" w14:textId="77777777" w:rsidR="003B5F50" w:rsidRDefault="000D2D85">
            <w:pPr>
              <w:pStyle w:val="P68B1DB1-Normal43"/>
              <w:spacing w:after="0" w:line="240" w:lineRule="auto"/>
              <w:jc w:val="both"/>
              <w:rPr>
                <w:noProof/>
              </w:rPr>
            </w:pPr>
            <w:r>
              <w:rPr>
                <w:noProof/>
              </w:rPr>
              <w:t>Les mesures appliquées par les autorités nationales ou les gestionnaires de réseau comprennent:</w:t>
            </w:r>
          </w:p>
          <w:p w14:paraId="50B4BB63" w14:textId="77777777" w:rsidR="003B5F50" w:rsidRDefault="000D2D85">
            <w:pPr>
              <w:pStyle w:val="P68B1DB1-Normal42"/>
              <w:spacing w:after="0" w:line="240" w:lineRule="auto"/>
              <w:jc w:val="both"/>
              <w:rPr>
                <w:noProof/>
              </w:rPr>
            </w:pPr>
            <w:r>
              <w:rPr>
                <w:noProof/>
              </w:rPr>
              <w:t xml:space="preserve">1/ l'abaissement des barrières pour le raccordement au réseau par l'adaptation des règles pour la réutilisation des capacités inutilisées; et au moins un des éléments suivants: a) préciser les délais de réservation des capacités du réseau; b) l'introduction d'incitations financières décourageant la non-utilisation des capacités allouées en temps voulu; </w:t>
            </w:r>
          </w:p>
          <w:p w14:paraId="50B4BB64" w14:textId="77777777" w:rsidR="003B5F50" w:rsidRDefault="000D2D85">
            <w:pPr>
              <w:pStyle w:val="P68B1DB1-Normal42"/>
              <w:spacing w:after="0" w:line="240" w:lineRule="auto"/>
              <w:jc w:val="both"/>
              <w:rPr>
                <w:noProof/>
              </w:rPr>
            </w:pPr>
            <w:r>
              <w:rPr>
                <w:noProof/>
              </w:rPr>
              <w:t xml:space="preserve">2/ des mesures visant à accroître la transparence du processus de raccordement (les décisions de raccordement en particulier) au moyen d'informations en ligne régulièrement mises à jour sur les capacités de raccordement au réseau disponibles et d'autres informations pertinentes, tant au niveau des gestionnaires de réseau de distribution régionaux que du gestionnaire de réseau de transport. Les exigences de transparence devraient être harmonisées entre toutes les sociétés de distribution. </w:t>
            </w:r>
          </w:p>
          <w:p w14:paraId="50B4BB65" w14:textId="77777777" w:rsidR="003B5F50" w:rsidRDefault="000D2D85">
            <w:pPr>
              <w:pStyle w:val="P68B1DB1-Normal42"/>
              <w:spacing w:after="0" w:line="240" w:lineRule="auto"/>
              <w:jc w:val="both"/>
              <w:rPr>
                <w:noProof/>
              </w:rPr>
            </w:pPr>
            <w:r>
              <w:rPr>
                <w:noProof/>
              </w:rPr>
              <w:t xml:space="preserve">3/ harmonisation des règles de raccordement des installations renouvelables aux réseaux de distribution d'électricité entre tous les gestionnaires de réseau de distribution régionaux, notamment au moyen d'un processus unifié de délivrance des agréments pour le raccordement au réseau. </w:t>
            </w:r>
          </w:p>
          <w:p w14:paraId="50B4BB66" w14:textId="77777777" w:rsidR="003B5F50" w:rsidRDefault="000D2D85">
            <w:pPr>
              <w:pStyle w:val="P68B1DB1-Normal42"/>
              <w:spacing w:after="0" w:line="240" w:lineRule="auto"/>
              <w:jc w:val="both"/>
              <w:rPr>
                <w:rFonts w:eastAsia="Times New Roman"/>
                <w:noProof/>
                <w:szCs w:val="20"/>
              </w:rPr>
            </w:pPr>
            <w:r>
              <w:rPr>
                <w:noProof/>
              </w:rPr>
              <w:t>4/ adoption par le régulateur des industries de réseau de mécanismes réglementaires incitatifs permettant aux GRD d'investir dans le développement du réseau de distribution afin de soutenir l'intégration des SER dans le réseau.</w:t>
            </w:r>
          </w:p>
          <w:p w14:paraId="50B4BB67" w14:textId="77777777" w:rsidR="003B5F50" w:rsidRDefault="000D2D85">
            <w:pPr>
              <w:pStyle w:val="P68B1DB1-Normal42"/>
              <w:spacing w:after="0" w:line="240" w:lineRule="auto"/>
              <w:jc w:val="both"/>
              <w:rPr>
                <w:noProof/>
              </w:rPr>
            </w:pPr>
            <w:r>
              <w:rPr>
                <w:noProof/>
              </w:rPr>
              <w:t>5/ introduction de délais contraignants pour les procédures de raccordement au réseau pour les énergies renouvelables à petite échelle et locales.</w:t>
            </w:r>
          </w:p>
          <w:p w14:paraId="50B4BB68" w14:textId="77777777" w:rsidR="003B5F50" w:rsidRDefault="003B5F50">
            <w:pPr>
              <w:spacing w:after="0" w:line="240" w:lineRule="auto"/>
              <w:contextualSpacing/>
              <w:jc w:val="both"/>
              <w:rPr>
                <w:rFonts w:ascii="Times New Roman" w:eastAsia="MS Mincho" w:hAnsi="Times New Roman" w:cs="Arial"/>
                <w:noProof/>
                <w:color w:val="006100"/>
                <w:sz w:val="20"/>
                <w:szCs w:val="22"/>
              </w:rPr>
            </w:pPr>
          </w:p>
        </w:tc>
      </w:tr>
      <w:tr w:rsidR="003B5F50" w14:paraId="50B4BB7B" w14:textId="77777777" w:rsidTr="00F8541A">
        <w:trPr>
          <w:trHeight w:val="961"/>
        </w:trPr>
        <w:tc>
          <w:tcPr>
            <w:tcW w:w="738" w:type="dxa"/>
            <w:shd w:val="clear" w:color="auto" w:fill="C6EFCE"/>
            <w:noWrap/>
          </w:tcPr>
          <w:p w14:paraId="50B4BB6A" w14:textId="77777777" w:rsidR="003B5F50" w:rsidRDefault="000D2D85">
            <w:pPr>
              <w:pStyle w:val="P68B1DB1-Normal42"/>
              <w:spacing w:after="0" w:line="259" w:lineRule="auto"/>
              <w:rPr>
                <w:rFonts w:eastAsia="Times New Roman"/>
                <w:noProof/>
                <w:szCs w:val="20"/>
              </w:rPr>
            </w:pPr>
            <w:r>
              <w:rPr>
                <w:noProof/>
              </w:rPr>
              <w:t>15 </w:t>
            </w:r>
          </w:p>
        </w:tc>
        <w:tc>
          <w:tcPr>
            <w:tcW w:w="1701" w:type="dxa"/>
            <w:shd w:val="clear" w:color="auto" w:fill="C6EFCE"/>
          </w:tcPr>
          <w:p w14:paraId="50B4BB6B" w14:textId="43810F26" w:rsidR="003B5F50" w:rsidRDefault="000D2D85">
            <w:pPr>
              <w:pStyle w:val="P68B1DB1-Normal42"/>
              <w:spacing w:after="0" w:line="240" w:lineRule="auto"/>
              <w:rPr>
                <w:rFonts w:eastAsia="Times New Roman"/>
                <w:noProof/>
                <w:szCs w:val="20"/>
              </w:rPr>
            </w:pPr>
            <w:r>
              <w:rPr>
                <w:noProof/>
              </w:rPr>
              <w:t xml:space="preserve">15 – REPowerEU – Investissement 1.3.: Modernisation et numérisation du réseau de transport et des réseaux de distribution régionaux – modernisation des réseaux de distribution </w:t>
            </w:r>
          </w:p>
          <w:p w14:paraId="50B4BB6C" w14:textId="77777777" w:rsidR="003B5F50" w:rsidRDefault="000D2D85">
            <w:pPr>
              <w:pStyle w:val="P68B1DB1-Normal42"/>
              <w:spacing w:after="0" w:line="259" w:lineRule="auto"/>
              <w:rPr>
                <w:rFonts w:eastAsia="Times New Roman"/>
                <w:noProof/>
                <w:szCs w:val="20"/>
              </w:rPr>
            </w:pPr>
            <w:r>
              <w:rPr>
                <w:noProof/>
              </w:rPr>
              <w:t> </w:t>
            </w:r>
          </w:p>
        </w:tc>
        <w:tc>
          <w:tcPr>
            <w:tcW w:w="1276" w:type="dxa"/>
            <w:shd w:val="clear" w:color="auto" w:fill="C6EFCE"/>
            <w:noWrap/>
          </w:tcPr>
          <w:p w14:paraId="50B4BB6D" w14:textId="77777777" w:rsidR="003B5F50" w:rsidRDefault="000D2D85">
            <w:pPr>
              <w:pStyle w:val="P68B1DB1-Normal42"/>
              <w:spacing w:after="0" w:line="240" w:lineRule="auto"/>
              <w:jc w:val="both"/>
              <w:textAlignment w:val="baseline"/>
              <w:rPr>
                <w:rFonts w:eastAsia="Times New Roman"/>
                <w:noProof/>
                <w:szCs w:val="20"/>
              </w:rPr>
            </w:pPr>
            <w:r>
              <w:rPr>
                <w:noProof/>
              </w:rPr>
              <w:t>Objectif </w:t>
            </w:r>
          </w:p>
          <w:p w14:paraId="50B4BB6E" w14:textId="77777777" w:rsidR="003B5F50" w:rsidRDefault="000D2D85">
            <w:pPr>
              <w:pStyle w:val="P68B1DB1-Normal42"/>
              <w:spacing w:after="0" w:line="259" w:lineRule="auto"/>
              <w:rPr>
                <w:rFonts w:eastAsia="Times New Roman"/>
                <w:noProof/>
                <w:szCs w:val="20"/>
              </w:rPr>
            </w:pPr>
            <w:r>
              <w:rPr>
                <w:noProof/>
              </w:rPr>
              <w:t> </w:t>
            </w:r>
          </w:p>
        </w:tc>
        <w:tc>
          <w:tcPr>
            <w:tcW w:w="992" w:type="dxa"/>
            <w:shd w:val="clear" w:color="auto" w:fill="C6EFCE"/>
          </w:tcPr>
          <w:p w14:paraId="50B4BB6F" w14:textId="77777777" w:rsidR="003B5F50" w:rsidRDefault="000D2D85">
            <w:pPr>
              <w:pStyle w:val="P68B1DB1-Normal42"/>
              <w:spacing w:after="0" w:line="259" w:lineRule="auto"/>
              <w:rPr>
                <w:rFonts w:eastAsia="Times New Roman"/>
                <w:noProof/>
                <w:szCs w:val="20"/>
              </w:rPr>
            </w:pPr>
            <w:r>
              <w:rPr>
                <w:noProof/>
              </w:rPr>
              <w:t xml:space="preserve">Achèvement des investissements dans la modernisation des réseaux de distribution en République slovaque </w:t>
            </w:r>
          </w:p>
        </w:tc>
        <w:tc>
          <w:tcPr>
            <w:tcW w:w="1559" w:type="dxa"/>
            <w:shd w:val="clear" w:color="auto" w:fill="C6EFCE"/>
          </w:tcPr>
          <w:p w14:paraId="50B4BB70" w14:textId="77777777" w:rsidR="003B5F50" w:rsidRDefault="003B5F50">
            <w:pPr>
              <w:spacing w:after="0" w:line="259" w:lineRule="auto"/>
              <w:rPr>
                <w:rFonts w:ascii="Times New Roman" w:eastAsia="Times New Roman" w:hAnsi="Times New Roman" w:cs="Arial"/>
                <w:noProof/>
                <w:color w:val="006100"/>
                <w:sz w:val="20"/>
                <w:szCs w:val="20"/>
              </w:rPr>
            </w:pPr>
          </w:p>
        </w:tc>
        <w:tc>
          <w:tcPr>
            <w:tcW w:w="1559" w:type="dxa"/>
            <w:shd w:val="clear" w:color="auto" w:fill="C6EFCE"/>
            <w:noWrap/>
          </w:tcPr>
          <w:p w14:paraId="50B4BB71" w14:textId="77777777" w:rsidR="003B5F50" w:rsidRDefault="000D2D85">
            <w:pPr>
              <w:pStyle w:val="P68B1DB1-Normal42"/>
              <w:spacing w:after="0" w:line="259" w:lineRule="auto"/>
              <w:rPr>
                <w:rFonts w:eastAsia="Times New Roman"/>
                <w:noProof/>
                <w:szCs w:val="20"/>
              </w:rPr>
            </w:pPr>
            <w:r>
              <w:rPr>
                <w:noProof/>
              </w:rPr>
              <w:t>MW</w:t>
            </w:r>
          </w:p>
        </w:tc>
        <w:tc>
          <w:tcPr>
            <w:tcW w:w="1418" w:type="dxa"/>
            <w:shd w:val="clear" w:color="auto" w:fill="C6EFCE"/>
            <w:noWrap/>
          </w:tcPr>
          <w:p w14:paraId="50B4BB72" w14:textId="77777777" w:rsidR="003B5F50" w:rsidRDefault="000D2D85">
            <w:pPr>
              <w:pStyle w:val="P68B1DB1-Normal42"/>
              <w:spacing w:after="0" w:line="259" w:lineRule="auto"/>
              <w:rPr>
                <w:rFonts w:eastAsia="Times New Roman"/>
                <w:noProof/>
                <w:szCs w:val="20"/>
              </w:rPr>
            </w:pPr>
            <w:r>
              <w:rPr>
                <w:noProof/>
              </w:rPr>
              <w:t>0</w:t>
            </w:r>
          </w:p>
        </w:tc>
        <w:tc>
          <w:tcPr>
            <w:tcW w:w="992" w:type="dxa"/>
            <w:shd w:val="clear" w:color="auto" w:fill="C6EFCE"/>
            <w:noWrap/>
          </w:tcPr>
          <w:p w14:paraId="50B4BB73" w14:textId="77777777" w:rsidR="003B5F50" w:rsidRDefault="000D2D85">
            <w:pPr>
              <w:spacing w:after="0" w:line="240" w:lineRule="auto"/>
              <w:jc w:val="both"/>
              <w:rPr>
                <w:rFonts w:ascii="Times New Roman" w:eastAsia="Times New Roman" w:hAnsi="Times New Roman" w:cs="Arial"/>
                <w:noProof/>
                <w:color w:val="006100"/>
                <w:sz w:val="20"/>
                <w:szCs w:val="20"/>
              </w:rPr>
            </w:pPr>
            <w:r>
              <w:rPr>
                <w:rFonts w:ascii="Times New Roman" w:hAnsi="Times New Roman" w:cs="Times New Roman"/>
                <w:noProof/>
                <w:color w:val="196B24" w:themeColor="accent3"/>
                <w:sz w:val="20"/>
                <w:szCs w:val="20"/>
              </w:rPr>
              <w:t>1</w:t>
            </w:r>
            <w:r>
              <w:rPr>
                <w:noProof/>
              </w:rPr>
              <w:t> </w:t>
            </w:r>
            <w:r>
              <w:rPr>
                <w:rFonts w:ascii="Times New Roman" w:hAnsi="Times New Roman" w:cs="Times New Roman"/>
                <w:noProof/>
                <w:color w:val="196B24" w:themeColor="accent3"/>
                <w:sz w:val="20"/>
                <w:szCs w:val="20"/>
              </w:rPr>
              <w:t>263 MW</w:t>
            </w:r>
          </w:p>
        </w:tc>
        <w:tc>
          <w:tcPr>
            <w:tcW w:w="1134" w:type="dxa"/>
            <w:shd w:val="clear" w:color="auto" w:fill="C6EFCE"/>
            <w:noWrap/>
          </w:tcPr>
          <w:p w14:paraId="50B4BB74" w14:textId="77777777" w:rsidR="003B5F50" w:rsidRDefault="000D2D85">
            <w:pPr>
              <w:pStyle w:val="P68B1DB1-Normal43"/>
              <w:spacing w:after="0" w:line="240" w:lineRule="auto"/>
              <w:jc w:val="both"/>
              <w:textAlignment w:val="baseline"/>
              <w:rPr>
                <w:rFonts w:eastAsia="Times New Roman"/>
                <w:noProof/>
              </w:rPr>
            </w:pPr>
            <w:r>
              <w:rPr>
                <w:noProof/>
              </w:rPr>
              <w:t>T2 </w:t>
            </w:r>
          </w:p>
          <w:p w14:paraId="50B4BB75" w14:textId="77777777" w:rsidR="003B5F50" w:rsidRDefault="000D2D85">
            <w:pPr>
              <w:pStyle w:val="P68B1DB1-Normal43"/>
              <w:spacing w:after="0" w:line="259" w:lineRule="auto"/>
              <w:rPr>
                <w:rFonts w:eastAsia="Times New Roman"/>
                <w:noProof/>
              </w:rPr>
            </w:pPr>
            <w:r>
              <w:rPr>
                <w:noProof/>
              </w:rPr>
              <w:t> </w:t>
            </w:r>
          </w:p>
        </w:tc>
        <w:tc>
          <w:tcPr>
            <w:tcW w:w="1134" w:type="dxa"/>
            <w:shd w:val="clear" w:color="auto" w:fill="C6EFCE"/>
            <w:noWrap/>
          </w:tcPr>
          <w:p w14:paraId="50B4BB76" w14:textId="77777777" w:rsidR="003B5F50" w:rsidRDefault="000D2D85">
            <w:pPr>
              <w:pStyle w:val="P68B1DB1-Normal43"/>
              <w:spacing w:after="0" w:line="240" w:lineRule="auto"/>
              <w:jc w:val="both"/>
              <w:textAlignment w:val="baseline"/>
              <w:rPr>
                <w:rFonts w:eastAsia="Times New Roman"/>
                <w:noProof/>
              </w:rPr>
            </w:pPr>
            <w:r>
              <w:rPr>
                <w:noProof/>
              </w:rPr>
              <w:t>2026 </w:t>
            </w:r>
          </w:p>
          <w:p w14:paraId="50B4BB77" w14:textId="77777777" w:rsidR="003B5F50" w:rsidRDefault="000D2D85">
            <w:pPr>
              <w:pStyle w:val="P68B1DB1-Normal43"/>
              <w:spacing w:after="0" w:line="259" w:lineRule="auto"/>
              <w:rPr>
                <w:rFonts w:eastAsia="Times New Roman"/>
                <w:noProof/>
              </w:rPr>
            </w:pPr>
            <w:r>
              <w:rPr>
                <w:noProof/>
              </w:rPr>
              <w:t> </w:t>
            </w:r>
          </w:p>
        </w:tc>
        <w:tc>
          <w:tcPr>
            <w:tcW w:w="2126" w:type="dxa"/>
            <w:shd w:val="clear" w:color="auto" w:fill="C6EFCE"/>
          </w:tcPr>
          <w:p w14:paraId="50B4BB78" w14:textId="77777777" w:rsidR="003B5F50" w:rsidRDefault="000D2D85">
            <w:pPr>
              <w:spacing w:after="0" w:line="240" w:lineRule="auto"/>
              <w:jc w:val="both"/>
              <w:rPr>
                <w:rFonts w:ascii="Times New Roman" w:eastAsia="MS Mincho" w:hAnsi="Times New Roman" w:cs="Arial"/>
                <w:noProof/>
                <w:color w:val="006100"/>
                <w:sz w:val="20"/>
                <w:szCs w:val="20"/>
              </w:rPr>
            </w:pPr>
            <w:r>
              <w:rPr>
                <w:rFonts w:ascii="Times New Roman" w:eastAsia="MS Mincho" w:hAnsi="Times New Roman" w:cs="Arial"/>
                <w:noProof/>
                <w:color w:val="006100"/>
                <w:sz w:val="20"/>
                <w:szCs w:val="20"/>
              </w:rPr>
              <w:t>Au moins 1</w:t>
            </w:r>
            <w:r>
              <w:rPr>
                <w:noProof/>
              </w:rPr>
              <w:t> </w:t>
            </w:r>
            <w:r>
              <w:rPr>
                <w:rFonts w:ascii="Times New Roman" w:eastAsia="MS Mincho" w:hAnsi="Times New Roman" w:cs="Arial"/>
                <w:noProof/>
                <w:color w:val="006100"/>
                <w:sz w:val="20"/>
                <w:szCs w:val="20"/>
              </w:rPr>
              <w:t xml:space="preserve">263 MW de capacité supplémentaire cumulée pour le raccordement de sources d’énergie renouvelables aux réseaux de distribution en Slovaquie sont fournis. </w:t>
            </w:r>
          </w:p>
          <w:p w14:paraId="50B4BB79" w14:textId="77777777" w:rsidR="003B5F50" w:rsidRDefault="003B5F50">
            <w:pPr>
              <w:spacing w:after="0" w:line="240" w:lineRule="auto"/>
              <w:jc w:val="both"/>
              <w:rPr>
                <w:rFonts w:ascii="Times New Roman" w:eastAsia="MS Mincho" w:hAnsi="Times New Roman" w:cs="Arial"/>
                <w:noProof/>
                <w:color w:val="006100"/>
                <w:sz w:val="20"/>
                <w:szCs w:val="20"/>
              </w:rPr>
            </w:pPr>
          </w:p>
          <w:p w14:paraId="50B4BB7A" w14:textId="77777777" w:rsidR="003B5F50" w:rsidRDefault="003B5F50">
            <w:pPr>
              <w:spacing w:after="0" w:line="240" w:lineRule="auto"/>
              <w:jc w:val="both"/>
              <w:rPr>
                <w:rFonts w:ascii="Times New Roman" w:eastAsia="Times New Roman" w:hAnsi="Times New Roman" w:cs="Arial"/>
                <w:noProof/>
                <w:color w:val="006100"/>
                <w:sz w:val="20"/>
                <w:szCs w:val="20"/>
              </w:rPr>
            </w:pPr>
          </w:p>
        </w:tc>
      </w:tr>
      <w:tr w:rsidR="003B5F50" w14:paraId="50B4BB89" w14:textId="77777777" w:rsidTr="00F8541A">
        <w:trPr>
          <w:trHeight w:val="961"/>
        </w:trPr>
        <w:tc>
          <w:tcPr>
            <w:tcW w:w="738" w:type="dxa"/>
            <w:shd w:val="clear" w:color="auto" w:fill="C6EFCE"/>
            <w:noWrap/>
          </w:tcPr>
          <w:p w14:paraId="50B4BB7C" w14:textId="77777777" w:rsidR="003B5F50" w:rsidRDefault="000D2D85">
            <w:pPr>
              <w:pStyle w:val="P68B1DB1-Normal42"/>
              <w:spacing w:after="0" w:line="259" w:lineRule="auto"/>
              <w:rPr>
                <w:rFonts w:eastAsia="Times New Roman"/>
                <w:noProof/>
                <w:szCs w:val="20"/>
              </w:rPr>
            </w:pPr>
            <w:r>
              <w:rPr>
                <w:noProof/>
              </w:rPr>
              <w:t>16</w:t>
            </w:r>
          </w:p>
        </w:tc>
        <w:tc>
          <w:tcPr>
            <w:tcW w:w="1701" w:type="dxa"/>
            <w:shd w:val="clear" w:color="auto" w:fill="C6EFCE"/>
          </w:tcPr>
          <w:p w14:paraId="50B4BB7D" w14:textId="77777777" w:rsidR="003B5F50" w:rsidRDefault="000D2D85">
            <w:pPr>
              <w:pStyle w:val="P68B1DB1-Normal42"/>
              <w:spacing w:after="0" w:line="259" w:lineRule="auto"/>
              <w:rPr>
                <w:rFonts w:eastAsia="Times New Roman"/>
                <w:noProof/>
                <w:szCs w:val="20"/>
              </w:rPr>
            </w:pPr>
            <w:r>
              <w:rPr>
                <w:noProof/>
              </w:rPr>
              <w:t>16 – REPowerEU – Investissement 1.4.: Modernisation et numérisation du réseau de transport et des réseaux de distribution régionaux – le centre de données sur l’énergie</w:t>
            </w:r>
          </w:p>
          <w:p w14:paraId="50B4BB7E" w14:textId="77777777" w:rsidR="003B5F50" w:rsidRDefault="003B5F50">
            <w:pPr>
              <w:spacing w:after="0" w:line="259" w:lineRule="auto"/>
              <w:rPr>
                <w:rFonts w:ascii="Times New Roman" w:eastAsia="Times New Roman" w:hAnsi="Times New Roman" w:cs="Arial"/>
                <w:noProof/>
                <w:color w:val="006100"/>
                <w:sz w:val="20"/>
                <w:szCs w:val="20"/>
              </w:rPr>
            </w:pPr>
          </w:p>
        </w:tc>
        <w:tc>
          <w:tcPr>
            <w:tcW w:w="1276" w:type="dxa"/>
            <w:shd w:val="clear" w:color="auto" w:fill="C6EFCE"/>
            <w:noWrap/>
          </w:tcPr>
          <w:p w14:paraId="50B4BB7F" w14:textId="77777777" w:rsidR="003B5F50" w:rsidRDefault="000D2D85">
            <w:pPr>
              <w:pStyle w:val="P68B1DB1-Normal42"/>
              <w:spacing w:after="0" w:line="259" w:lineRule="auto"/>
              <w:rPr>
                <w:rFonts w:eastAsia="Times New Roman"/>
                <w:noProof/>
                <w:szCs w:val="20"/>
              </w:rPr>
            </w:pPr>
            <w:r>
              <w:rPr>
                <w:noProof/>
              </w:rPr>
              <w:t>Étape</w:t>
            </w:r>
          </w:p>
        </w:tc>
        <w:tc>
          <w:tcPr>
            <w:tcW w:w="992" w:type="dxa"/>
            <w:shd w:val="clear" w:color="auto" w:fill="C6EFCE"/>
          </w:tcPr>
          <w:p w14:paraId="50B4BB80" w14:textId="77777777" w:rsidR="003B5F50" w:rsidRDefault="000D2D85">
            <w:pPr>
              <w:pStyle w:val="P68B1DB1-Normal42"/>
              <w:spacing w:after="0" w:line="259" w:lineRule="auto"/>
              <w:rPr>
                <w:rFonts w:eastAsia="Times New Roman"/>
                <w:noProof/>
                <w:szCs w:val="20"/>
              </w:rPr>
            </w:pPr>
            <w:r>
              <w:rPr>
                <w:noProof/>
              </w:rPr>
              <w:t>Mise en service du centre de données sur l’énergie</w:t>
            </w:r>
          </w:p>
          <w:p w14:paraId="50B4BB81" w14:textId="77777777" w:rsidR="003B5F50" w:rsidRDefault="003B5F50">
            <w:pPr>
              <w:spacing w:after="0" w:line="259" w:lineRule="auto"/>
              <w:rPr>
                <w:rFonts w:ascii="Times New Roman" w:eastAsia="Times New Roman" w:hAnsi="Times New Roman" w:cs="Arial"/>
                <w:noProof/>
                <w:color w:val="006100"/>
                <w:sz w:val="20"/>
                <w:szCs w:val="20"/>
              </w:rPr>
            </w:pPr>
          </w:p>
        </w:tc>
        <w:tc>
          <w:tcPr>
            <w:tcW w:w="1559" w:type="dxa"/>
            <w:shd w:val="clear" w:color="auto" w:fill="C6EFCE"/>
          </w:tcPr>
          <w:p w14:paraId="50B4BB82" w14:textId="77777777" w:rsidR="003B5F50" w:rsidRDefault="000D2D85">
            <w:pPr>
              <w:pStyle w:val="P68B1DB1-Normal42"/>
              <w:spacing w:after="0" w:line="259" w:lineRule="auto"/>
              <w:rPr>
                <w:rFonts w:eastAsia="Times New Roman"/>
                <w:noProof/>
                <w:szCs w:val="20"/>
              </w:rPr>
            </w:pPr>
            <w:r>
              <w:rPr>
                <w:noProof/>
              </w:rPr>
              <w:t xml:space="preserve">La mise en service de l'opération de production du centre de données sur l'énergie. </w:t>
            </w:r>
          </w:p>
        </w:tc>
        <w:tc>
          <w:tcPr>
            <w:tcW w:w="1559" w:type="dxa"/>
            <w:shd w:val="clear" w:color="auto" w:fill="C6EFCE"/>
            <w:noWrap/>
          </w:tcPr>
          <w:p w14:paraId="50B4BB83" w14:textId="77777777" w:rsidR="003B5F50" w:rsidRDefault="003B5F50">
            <w:pPr>
              <w:spacing w:after="0" w:line="259" w:lineRule="auto"/>
              <w:rPr>
                <w:rFonts w:ascii="Times New Roman" w:eastAsia="Times New Roman" w:hAnsi="Times New Roman" w:cs="Arial"/>
                <w:noProof/>
                <w:color w:val="006100"/>
                <w:sz w:val="20"/>
                <w:szCs w:val="20"/>
              </w:rPr>
            </w:pPr>
          </w:p>
        </w:tc>
        <w:tc>
          <w:tcPr>
            <w:tcW w:w="1418" w:type="dxa"/>
            <w:shd w:val="clear" w:color="auto" w:fill="C6EFCE"/>
            <w:noWrap/>
          </w:tcPr>
          <w:p w14:paraId="50B4BB84" w14:textId="77777777" w:rsidR="003B5F50" w:rsidRDefault="003B5F50">
            <w:pPr>
              <w:spacing w:after="0" w:line="259" w:lineRule="auto"/>
              <w:rPr>
                <w:rFonts w:ascii="Times New Roman" w:eastAsia="Times New Roman" w:hAnsi="Times New Roman" w:cs="Arial"/>
                <w:noProof/>
                <w:color w:val="006100"/>
                <w:sz w:val="20"/>
                <w:szCs w:val="20"/>
              </w:rPr>
            </w:pPr>
          </w:p>
        </w:tc>
        <w:tc>
          <w:tcPr>
            <w:tcW w:w="992" w:type="dxa"/>
            <w:shd w:val="clear" w:color="auto" w:fill="C6EFCE"/>
            <w:noWrap/>
          </w:tcPr>
          <w:p w14:paraId="50B4BB85" w14:textId="77777777" w:rsidR="003B5F50" w:rsidRDefault="003B5F50">
            <w:pPr>
              <w:spacing w:after="0" w:line="259" w:lineRule="auto"/>
              <w:rPr>
                <w:rFonts w:ascii="Times New Roman" w:eastAsia="Times New Roman" w:hAnsi="Times New Roman" w:cs="Arial"/>
                <w:noProof/>
                <w:color w:val="006100"/>
                <w:sz w:val="20"/>
                <w:szCs w:val="20"/>
              </w:rPr>
            </w:pPr>
          </w:p>
        </w:tc>
        <w:tc>
          <w:tcPr>
            <w:tcW w:w="1134" w:type="dxa"/>
            <w:shd w:val="clear" w:color="auto" w:fill="C6EFCE"/>
            <w:noWrap/>
          </w:tcPr>
          <w:p w14:paraId="50B4BB86" w14:textId="77777777" w:rsidR="003B5F50" w:rsidRDefault="000D2D85">
            <w:pPr>
              <w:pStyle w:val="P68B1DB1-Normal42"/>
              <w:spacing w:after="0" w:line="259" w:lineRule="auto"/>
              <w:rPr>
                <w:rFonts w:eastAsia="Times New Roman"/>
                <w:noProof/>
                <w:szCs w:val="20"/>
              </w:rPr>
            </w:pPr>
            <w:r>
              <w:rPr>
                <w:noProof/>
              </w:rPr>
              <w:t>T3</w:t>
            </w:r>
          </w:p>
        </w:tc>
        <w:tc>
          <w:tcPr>
            <w:tcW w:w="1134" w:type="dxa"/>
            <w:shd w:val="clear" w:color="auto" w:fill="C6EFCE"/>
            <w:noWrap/>
          </w:tcPr>
          <w:p w14:paraId="50B4BB87" w14:textId="77777777" w:rsidR="003B5F50" w:rsidRDefault="000D2D85">
            <w:pPr>
              <w:pStyle w:val="P68B1DB1-Normal42"/>
              <w:spacing w:after="0" w:line="259" w:lineRule="auto"/>
              <w:rPr>
                <w:rFonts w:eastAsia="Times New Roman"/>
                <w:noProof/>
                <w:szCs w:val="20"/>
              </w:rPr>
            </w:pPr>
            <w:r>
              <w:rPr>
                <w:noProof/>
              </w:rPr>
              <w:t>2024</w:t>
            </w:r>
          </w:p>
        </w:tc>
        <w:tc>
          <w:tcPr>
            <w:tcW w:w="2126" w:type="dxa"/>
            <w:shd w:val="clear" w:color="auto" w:fill="C6EFCE"/>
          </w:tcPr>
          <w:p w14:paraId="50B4BB88" w14:textId="77777777" w:rsidR="003B5F50" w:rsidRDefault="000D2D85">
            <w:pPr>
              <w:pStyle w:val="P68B1DB1-Normal42"/>
              <w:shd w:val="clear" w:color="auto" w:fill="C6EFCE"/>
              <w:spacing w:after="0" w:line="259" w:lineRule="auto"/>
              <w:jc w:val="both"/>
              <w:textAlignment w:val="baseline"/>
              <w:rPr>
                <w:rFonts w:eastAsia="Times New Roman"/>
                <w:noProof/>
                <w:szCs w:val="20"/>
              </w:rPr>
            </w:pPr>
            <w:r>
              <w:rPr>
                <w:noProof/>
              </w:rPr>
              <w:t xml:space="preserve">Le centre de données sur l'énergie démarre ses activités de production. </w:t>
            </w:r>
          </w:p>
        </w:tc>
      </w:tr>
      <w:tr w:rsidR="003B5F50" w14:paraId="50B4BBA1" w14:textId="77777777" w:rsidTr="00F8541A">
        <w:trPr>
          <w:trHeight w:val="961"/>
        </w:trPr>
        <w:tc>
          <w:tcPr>
            <w:tcW w:w="738" w:type="dxa"/>
            <w:shd w:val="clear" w:color="auto" w:fill="C6EFCE"/>
            <w:noWrap/>
          </w:tcPr>
          <w:p w14:paraId="50B4BB8A" w14:textId="77777777" w:rsidR="003B5F50" w:rsidRDefault="000D2D85">
            <w:pPr>
              <w:pStyle w:val="P68B1DB1-Normal42"/>
              <w:spacing w:after="0" w:line="259" w:lineRule="auto"/>
              <w:rPr>
                <w:noProof/>
              </w:rPr>
            </w:pPr>
            <w:r>
              <w:rPr>
                <w:noProof/>
              </w:rPr>
              <w:t>17</w:t>
            </w:r>
          </w:p>
        </w:tc>
        <w:tc>
          <w:tcPr>
            <w:tcW w:w="1701" w:type="dxa"/>
            <w:shd w:val="clear" w:color="auto" w:fill="C6EFCE"/>
          </w:tcPr>
          <w:p w14:paraId="50B4BB8B" w14:textId="77777777" w:rsidR="003B5F50" w:rsidRDefault="000D2D85">
            <w:pPr>
              <w:pStyle w:val="P68B1DB1-Normal42"/>
              <w:spacing w:after="0" w:line="259" w:lineRule="auto"/>
              <w:rPr>
                <w:rFonts w:eastAsia="Times New Roman"/>
                <w:noProof/>
                <w:szCs w:val="20"/>
              </w:rPr>
            </w:pPr>
            <w:r>
              <w:rPr>
                <w:noProof/>
              </w:rPr>
              <w:t>17 – REPowerEU – Réforme 3: Création d'une base de données et d'un système d'échange de données sur la performance énergétique des bâtiments </w:t>
            </w:r>
          </w:p>
          <w:p w14:paraId="50B4BB8C" w14:textId="77777777" w:rsidR="003B5F50" w:rsidRDefault="000D2D85">
            <w:pPr>
              <w:pStyle w:val="P68B1DB1-Normal42"/>
              <w:spacing w:after="0" w:line="259" w:lineRule="auto"/>
              <w:rPr>
                <w:noProof/>
              </w:rPr>
            </w:pPr>
            <w:r>
              <w:rPr>
                <w:noProof/>
              </w:rPr>
              <w:t> </w:t>
            </w:r>
          </w:p>
        </w:tc>
        <w:tc>
          <w:tcPr>
            <w:tcW w:w="1276" w:type="dxa"/>
            <w:shd w:val="clear" w:color="auto" w:fill="C6EFCE"/>
            <w:noWrap/>
          </w:tcPr>
          <w:p w14:paraId="50B4BB8D" w14:textId="77777777" w:rsidR="003B5F50" w:rsidRDefault="000D2D85">
            <w:pPr>
              <w:pStyle w:val="P68B1DB1-Normal42"/>
              <w:spacing w:after="0" w:line="259" w:lineRule="auto"/>
              <w:rPr>
                <w:rFonts w:eastAsia="Times New Roman"/>
                <w:noProof/>
                <w:szCs w:val="20"/>
              </w:rPr>
            </w:pPr>
            <w:r>
              <w:rPr>
                <w:noProof/>
              </w:rPr>
              <w:t>Objectif</w:t>
            </w:r>
          </w:p>
          <w:p w14:paraId="50B4BB8E" w14:textId="77777777" w:rsidR="003B5F50" w:rsidRDefault="000D2D85">
            <w:pPr>
              <w:pStyle w:val="P68B1DB1-Normal42"/>
              <w:spacing w:after="0" w:line="259" w:lineRule="auto"/>
              <w:rPr>
                <w:noProof/>
              </w:rPr>
            </w:pPr>
            <w:r>
              <w:rPr>
                <w:noProof/>
              </w:rPr>
              <w:t> </w:t>
            </w:r>
          </w:p>
        </w:tc>
        <w:tc>
          <w:tcPr>
            <w:tcW w:w="992" w:type="dxa"/>
            <w:shd w:val="clear" w:color="auto" w:fill="C6EFCE"/>
          </w:tcPr>
          <w:p w14:paraId="50B4BB8F" w14:textId="77777777" w:rsidR="003B5F50" w:rsidRDefault="000D2D85">
            <w:pPr>
              <w:pStyle w:val="P68B1DB1-Normal42"/>
              <w:spacing w:after="0" w:line="259" w:lineRule="auto"/>
              <w:rPr>
                <w:noProof/>
              </w:rPr>
            </w:pPr>
            <w:r>
              <w:rPr>
                <w:noProof/>
              </w:rPr>
              <w:t>Collecte de données sur les certificats énergétiques et les passeports de rénovation des bâtiments publics</w:t>
            </w:r>
          </w:p>
        </w:tc>
        <w:tc>
          <w:tcPr>
            <w:tcW w:w="1559" w:type="dxa"/>
            <w:shd w:val="clear" w:color="auto" w:fill="C6EFCE"/>
          </w:tcPr>
          <w:p w14:paraId="50B4BB90" w14:textId="77777777" w:rsidR="003B5F50" w:rsidRDefault="000D2D85">
            <w:pPr>
              <w:pStyle w:val="P68B1DB1-Normal42"/>
              <w:spacing w:after="0" w:line="259" w:lineRule="auto"/>
              <w:rPr>
                <w:rFonts w:eastAsia="Times New Roman"/>
                <w:noProof/>
                <w:szCs w:val="20"/>
              </w:rPr>
            </w:pPr>
            <w:r>
              <w:rPr>
                <w:noProof/>
              </w:rPr>
              <w:t> </w:t>
            </w:r>
          </w:p>
          <w:p w14:paraId="50B4BB91" w14:textId="77777777" w:rsidR="003B5F50" w:rsidRDefault="003B5F50">
            <w:pPr>
              <w:spacing w:after="0" w:line="259" w:lineRule="auto"/>
              <w:rPr>
                <w:rFonts w:ascii="Times New Roman" w:eastAsia="MS Mincho" w:hAnsi="Times New Roman" w:cs="Arial"/>
                <w:noProof/>
                <w:color w:val="006100"/>
                <w:sz w:val="20"/>
                <w:szCs w:val="22"/>
              </w:rPr>
            </w:pPr>
          </w:p>
        </w:tc>
        <w:tc>
          <w:tcPr>
            <w:tcW w:w="1559" w:type="dxa"/>
            <w:shd w:val="clear" w:color="auto" w:fill="C6EFCE"/>
            <w:noWrap/>
          </w:tcPr>
          <w:p w14:paraId="50B4BB92" w14:textId="77777777" w:rsidR="003B5F50" w:rsidRDefault="000D2D85">
            <w:pPr>
              <w:pStyle w:val="P68B1DB1-Normal42"/>
              <w:spacing w:after="0" w:line="259" w:lineRule="auto"/>
              <w:rPr>
                <w:rFonts w:eastAsia="Times New Roman"/>
                <w:noProof/>
                <w:szCs w:val="20"/>
              </w:rPr>
            </w:pPr>
            <w:r>
              <w:rPr>
                <w:noProof/>
              </w:rPr>
              <w:t>Numéro</w:t>
            </w:r>
          </w:p>
        </w:tc>
        <w:tc>
          <w:tcPr>
            <w:tcW w:w="1418" w:type="dxa"/>
            <w:shd w:val="clear" w:color="auto" w:fill="C6EFCE"/>
            <w:noWrap/>
          </w:tcPr>
          <w:p w14:paraId="50B4BB93" w14:textId="77777777" w:rsidR="003B5F50" w:rsidRDefault="000D2D85">
            <w:pPr>
              <w:pStyle w:val="P68B1DB1-Normal42"/>
              <w:spacing w:after="0" w:line="259" w:lineRule="auto"/>
              <w:rPr>
                <w:rFonts w:eastAsia="Times New Roman"/>
                <w:noProof/>
                <w:szCs w:val="20"/>
              </w:rPr>
            </w:pPr>
            <w:r>
              <w:rPr>
                <w:noProof/>
              </w:rPr>
              <w:t>0</w:t>
            </w:r>
          </w:p>
        </w:tc>
        <w:tc>
          <w:tcPr>
            <w:tcW w:w="992" w:type="dxa"/>
            <w:shd w:val="clear" w:color="auto" w:fill="C6EFCE"/>
            <w:noWrap/>
          </w:tcPr>
          <w:p w14:paraId="50B4BB94" w14:textId="69EB4424" w:rsidR="003B5F50" w:rsidRDefault="000D2D85">
            <w:pPr>
              <w:pStyle w:val="P68B1DB1-Normal43"/>
              <w:spacing w:after="0" w:line="259" w:lineRule="auto"/>
              <w:rPr>
                <w:rFonts w:eastAsia="Times New Roman"/>
                <w:noProof/>
              </w:rPr>
            </w:pPr>
            <w:r>
              <w:rPr>
                <w:noProof/>
              </w:rPr>
              <w:t>1 025</w:t>
            </w:r>
          </w:p>
        </w:tc>
        <w:tc>
          <w:tcPr>
            <w:tcW w:w="1134" w:type="dxa"/>
            <w:shd w:val="clear" w:color="auto" w:fill="C6EFCE"/>
            <w:noWrap/>
          </w:tcPr>
          <w:p w14:paraId="50B4BB95" w14:textId="77777777" w:rsidR="003B5F50" w:rsidRDefault="000D2D85">
            <w:pPr>
              <w:pStyle w:val="P68B1DB1-Normal43"/>
              <w:spacing w:after="0" w:line="259" w:lineRule="auto"/>
              <w:rPr>
                <w:rFonts w:eastAsia="Times New Roman"/>
                <w:noProof/>
              </w:rPr>
            </w:pPr>
            <w:r>
              <w:rPr>
                <w:noProof/>
              </w:rPr>
              <w:t>T2 </w:t>
            </w:r>
          </w:p>
          <w:p w14:paraId="50B4BB96" w14:textId="77777777" w:rsidR="003B5F50" w:rsidRDefault="000D2D85">
            <w:pPr>
              <w:pStyle w:val="P68B1DB1-Normal42"/>
              <w:spacing w:after="0" w:line="259" w:lineRule="auto"/>
              <w:rPr>
                <w:noProof/>
              </w:rPr>
            </w:pPr>
            <w:r>
              <w:rPr>
                <w:noProof/>
              </w:rPr>
              <w:t> </w:t>
            </w:r>
          </w:p>
        </w:tc>
        <w:tc>
          <w:tcPr>
            <w:tcW w:w="1134" w:type="dxa"/>
            <w:shd w:val="clear" w:color="auto" w:fill="C6EFCE"/>
            <w:noWrap/>
          </w:tcPr>
          <w:p w14:paraId="50B4BB97" w14:textId="77777777" w:rsidR="003B5F50" w:rsidRDefault="000D2D85">
            <w:pPr>
              <w:pStyle w:val="P68B1DB1-Normal42"/>
              <w:shd w:val="clear" w:color="auto" w:fill="C6EFCE"/>
              <w:spacing w:after="0" w:line="259" w:lineRule="auto"/>
              <w:jc w:val="both"/>
              <w:rPr>
                <w:noProof/>
                <w:szCs w:val="20"/>
              </w:rPr>
            </w:pPr>
            <w:r>
              <w:rPr>
                <w:noProof/>
              </w:rPr>
              <w:t>2026 </w:t>
            </w:r>
          </w:p>
          <w:p w14:paraId="50B4BB98" w14:textId="77777777" w:rsidR="003B5F50" w:rsidRDefault="000D2D85">
            <w:pPr>
              <w:pStyle w:val="P68B1DB1-Normal42"/>
              <w:shd w:val="clear" w:color="auto" w:fill="C6EFCE"/>
              <w:spacing w:after="0" w:line="259" w:lineRule="auto"/>
              <w:jc w:val="both"/>
              <w:rPr>
                <w:noProof/>
              </w:rPr>
            </w:pPr>
            <w:r>
              <w:rPr>
                <w:noProof/>
              </w:rPr>
              <w:t> </w:t>
            </w:r>
          </w:p>
        </w:tc>
        <w:tc>
          <w:tcPr>
            <w:tcW w:w="2126" w:type="dxa"/>
            <w:shd w:val="clear" w:color="auto" w:fill="C6EFCE"/>
          </w:tcPr>
          <w:p w14:paraId="50B4BB99" w14:textId="2F8F9FEC" w:rsidR="003B5F50" w:rsidRDefault="000D2D85">
            <w:pPr>
              <w:pStyle w:val="P68B1DB1-Normal32"/>
              <w:shd w:val="clear" w:color="auto" w:fill="C6EFCE"/>
              <w:spacing w:after="0" w:line="259" w:lineRule="auto"/>
              <w:jc w:val="both"/>
              <w:rPr>
                <w:rFonts w:ascii="Times New Roman" w:eastAsia="MS Mincho" w:hAnsi="Times New Roman" w:cs="Arial"/>
                <w:noProof/>
              </w:rPr>
            </w:pPr>
            <w:r>
              <w:rPr>
                <w:rFonts w:ascii="Times New Roman" w:eastAsia="MS Mincho" w:hAnsi="Times New Roman" w:cs="Arial"/>
                <w:noProof/>
              </w:rPr>
              <w:t xml:space="preserve">Les données relatives aux certificats énergétiques et aux passeports de rénovation des bâtiments pour au moins 1 025 bâtiments publics, dont </w:t>
            </w:r>
            <w:r>
              <w:rPr>
                <w:rFonts w:ascii="Times New Roman" w:eastAsia="MS Mincho" w:hAnsi="Times New Roman" w:cs="Arial" w:hint="eastAsia"/>
                <w:noProof/>
              </w:rPr>
              <w:t>au moins</w:t>
            </w:r>
            <w:r>
              <w:rPr>
                <w:rFonts w:ascii="Times New Roman" w:eastAsia="MS Mincho" w:hAnsi="Times New Roman" w:cs="Arial"/>
                <w:noProof/>
              </w:rPr>
              <w:t xml:space="preserve"> 250 ont une surface au sol supérieure à 2 000 m2, sont collectées. Les données sont chargées dans la nouvelle base de données fonctionnelle.</w:t>
            </w:r>
          </w:p>
          <w:p w14:paraId="50B4BB9A" w14:textId="77777777" w:rsidR="003B5F50" w:rsidRDefault="000D2D85">
            <w:pPr>
              <w:pStyle w:val="P68B1DB1-Normal43"/>
              <w:shd w:val="clear" w:color="auto" w:fill="C6EFCE"/>
              <w:spacing w:after="0" w:line="259" w:lineRule="auto"/>
              <w:jc w:val="both"/>
              <w:rPr>
                <w:noProof/>
              </w:rPr>
            </w:pPr>
            <w:r>
              <w:rPr>
                <w:noProof/>
              </w:rPr>
              <w:t> </w:t>
            </w:r>
          </w:p>
          <w:p w14:paraId="50B4BB9B" w14:textId="77777777" w:rsidR="003B5F50" w:rsidRDefault="000D2D85">
            <w:pPr>
              <w:pStyle w:val="P68B1DB1-Normal43"/>
              <w:shd w:val="clear" w:color="auto" w:fill="C6EFCE"/>
              <w:spacing w:after="0" w:line="259" w:lineRule="auto"/>
              <w:jc w:val="both"/>
              <w:rPr>
                <w:noProof/>
              </w:rPr>
            </w:pPr>
            <w:r>
              <w:rPr>
                <w:noProof/>
              </w:rPr>
              <w:t>La base de données:</w:t>
            </w:r>
          </w:p>
          <w:p w14:paraId="50B4BB9C" w14:textId="77777777" w:rsidR="003B5F50" w:rsidRDefault="000D2D85">
            <w:pPr>
              <w:pStyle w:val="P68B1DB1-ListParagraph75"/>
              <w:numPr>
                <w:ilvl w:val="0"/>
                <w:numId w:val="45"/>
              </w:numPr>
              <w:shd w:val="clear" w:color="auto" w:fill="C6EFCE"/>
              <w:spacing w:after="0"/>
              <w:ind w:left="177" w:hanging="142"/>
              <w:jc w:val="both"/>
              <w:rPr>
                <w:noProof/>
              </w:rPr>
            </w:pPr>
            <w:r>
              <w:rPr>
                <w:noProof/>
              </w:rPr>
              <w:t xml:space="preserve"> être le point d’accès central aux données relatives aux bâtiments au niveau des bâtiments individuels,</w:t>
            </w:r>
          </w:p>
          <w:p w14:paraId="50B4BB9D" w14:textId="77777777" w:rsidR="003B5F50" w:rsidRDefault="000D2D85">
            <w:pPr>
              <w:pStyle w:val="P68B1DB1-ListParagraph75"/>
              <w:numPr>
                <w:ilvl w:val="0"/>
                <w:numId w:val="45"/>
              </w:numPr>
              <w:shd w:val="clear" w:color="auto" w:fill="C6EFCE"/>
              <w:spacing w:after="0"/>
              <w:ind w:left="177" w:hanging="142"/>
              <w:jc w:val="both"/>
              <w:rPr>
                <w:noProof/>
              </w:rPr>
            </w:pPr>
            <w:r>
              <w:rPr>
                <w:noProof/>
              </w:rPr>
              <w:t xml:space="preserve"> assure l'interopérabilité avec les systèmes nationaux de construction existants,</w:t>
            </w:r>
          </w:p>
          <w:p w14:paraId="50B4BB9E" w14:textId="77777777" w:rsidR="003B5F50" w:rsidRDefault="000D2D85">
            <w:pPr>
              <w:pStyle w:val="P68B1DB1-ListParagraph77"/>
              <w:numPr>
                <w:ilvl w:val="0"/>
                <w:numId w:val="45"/>
              </w:numPr>
              <w:shd w:val="clear" w:color="auto" w:fill="C6EFCE"/>
              <w:spacing w:after="0"/>
              <w:ind w:left="177" w:hanging="142"/>
              <w:jc w:val="both"/>
              <w:rPr>
                <w:rFonts w:hint="default"/>
                <w:noProof/>
              </w:rPr>
            </w:pPr>
            <w:r>
              <w:rPr>
                <w:noProof/>
              </w:rPr>
              <w:t>et permet le transfert de données à l</w:t>
            </w:r>
            <w:r>
              <w:rPr>
                <w:noProof/>
              </w:rPr>
              <w:t>’</w:t>
            </w:r>
            <w:r>
              <w:rPr>
                <w:noProof/>
              </w:rPr>
              <w:t>Observatoire du parc immobilier de l</w:t>
            </w:r>
            <w:r>
              <w:rPr>
                <w:noProof/>
              </w:rPr>
              <w:t>’</w:t>
            </w:r>
            <w:r>
              <w:rPr>
                <w:noProof/>
              </w:rPr>
              <w:t xml:space="preserve">UE. </w:t>
            </w:r>
          </w:p>
          <w:p w14:paraId="50B4BB9F" w14:textId="77777777" w:rsidR="003B5F50" w:rsidRDefault="003B5F50">
            <w:pPr>
              <w:shd w:val="clear" w:color="auto" w:fill="C6EFCE"/>
              <w:spacing w:after="0" w:line="259" w:lineRule="auto"/>
              <w:jc w:val="both"/>
              <w:rPr>
                <w:rFonts w:ascii="Times New Roman" w:eastAsia="MS Mincho" w:hAnsi="Times New Roman" w:cs="Arial"/>
                <w:noProof/>
                <w:color w:val="006100"/>
                <w:sz w:val="20"/>
                <w:szCs w:val="20"/>
              </w:rPr>
            </w:pPr>
          </w:p>
          <w:p w14:paraId="50B4BBA0" w14:textId="77777777" w:rsidR="003B5F50" w:rsidRDefault="000D2D85">
            <w:pPr>
              <w:pStyle w:val="P68B1DB1-Normal43"/>
              <w:shd w:val="clear" w:color="auto" w:fill="C6EFCE"/>
              <w:spacing w:after="0" w:line="259" w:lineRule="auto"/>
              <w:jc w:val="both"/>
              <w:textAlignment w:val="baseline"/>
              <w:rPr>
                <w:noProof/>
              </w:rPr>
            </w:pPr>
            <w:r>
              <w:rPr>
                <w:noProof/>
              </w:rPr>
              <w:t xml:space="preserve">La réforme comprend également i) une campagne d’information ciblant les propriétaires de bâtiments publics afin de soutenir l’adoption de rénovations et d’économies d’énergie et ii) des activités de formation pour les experts indépendants chargés de la préparation des passeports de rénovation des bâtiments. </w:t>
            </w:r>
          </w:p>
        </w:tc>
      </w:tr>
      <w:tr w:rsidR="003B5F50" w14:paraId="50B4BBB4" w14:textId="77777777" w:rsidTr="00F8541A">
        <w:trPr>
          <w:trHeight w:val="961"/>
        </w:trPr>
        <w:tc>
          <w:tcPr>
            <w:tcW w:w="738" w:type="dxa"/>
            <w:shd w:val="clear" w:color="auto" w:fill="C6EFCE"/>
            <w:noWrap/>
          </w:tcPr>
          <w:p w14:paraId="50B4BBA2" w14:textId="77777777" w:rsidR="003B5F50" w:rsidRDefault="000D2D85">
            <w:pPr>
              <w:pStyle w:val="P68B1DB1-Normal42"/>
              <w:spacing w:after="0" w:line="240" w:lineRule="auto"/>
              <w:textAlignment w:val="baseline"/>
              <w:rPr>
                <w:rFonts w:eastAsia="Times New Roman"/>
                <w:noProof/>
                <w:szCs w:val="20"/>
              </w:rPr>
            </w:pPr>
            <w:r>
              <w:rPr>
                <w:noProof/>
              </w:rPr>
              <w:t>18</w:t>
            </w:r>
          </w:p>
          <w:p w14:paraId="50B4BBA3" w14:textId="77777777" w:rsidR="003B5F50" w:rsidRDefault="000D2D85">
            <w:pPr>
              <w:pStyle w:val="P68B1DB1-Normal42"/>
              <w:spacing w:after="0" w:line="259" w:lineRule="auto"/>
              <w:rPr>
                <w:noProof/>
              </w:rPr>
            </w:pPr>
            <w:r>
              <w:rPr>
                <w:noProof/>
              </w:rPr>
              <w:t> </w:t>
            </w:r>
          </w:p>
        </w:tc>
        <w:tc>
          <w:tcPr>
            <w:tcW w:w="1701" w:type="dxa"/>
            <w:shd w:val="clear" w:color="auto" w:fill="C6EFCE"/>
          </w:tcPr>
          <w:p w14:paraId="50B4BBA4" w14:textId="2C86DF1F" w:rsidR="003B5F50" w:rsidRDefault="000D2D85">
            <w:pPr>
              <w:pStyle w:val="P68B1DB1-Normal42"/>
              <w:spacing w:after="0" w:line="259" w:lineRule="auto"/>
              <w:rPr>
                <w:noProof/>
              </w:rPr>
            </w:pPr>
            <w:r>
              <w:rPr>
                <w:noProof/>
              </w:rPr>
              <w:t>18 – REPowerEU – Réforme 4: Gestion des bâtiments du gouvernement central  </w:t>
            </w:r>
          </w:p>
        </w:tc>
        <w:tc>
          <w:tcPr>
            <w:tcW w:w="1276" w:type="dxa"/>
            <w:shd w:val="clear" w:color="auto" w:fill="C6EFCE"/>
            <w:noWrap/>
          </w:tcPr>
          <w:p w14:paraId="50B4BBA5" w14:textId="77777777" w:rsidR="003B5F50" w:rsidRDefault="000D2D85">
            <w:pPr>
              <w:pStyle w:val="P68B1DB1-Normal42"/>
              <w:spacing w:after="0" w:line="240" w:lineRule="auto"/>
              <w:textAlignment w:val="baseline"/>
              <w:rPr>
                <w:rFonts w:eastAsia="Times New Roman"/>
                <w:noProof/>
                <w:szCs w:val="20"/>
              </w:rPr>
            </w:pPr>
            <w:r>
              <w:rPr>
                <w:noProof/>
              </w:rPr>
              <w:t>Étape </w:t>
            </w:r>
          </w:p>
          <w:p w14:paraId="50B4BBA6" w14:textId="77777777" w:rsidR="003B5F50" w:rsidRDefault="000D2D85">
            <w:pPr>
              <w:pStyle w:val="P68B1DB1-Normal42"/>
              <w:spacing w:after="0" w:line="259" w:lineRule="auto"/>
              <w:rPr>
                <w:noProof/>
              </w:rPr>
            </w:pPr>
            <w:r>
              <w:rPr>
                <w:noProof/>
              </w:rPr>
              <w:t> </w:t>
            </w:r>
          </w:p>
        </w:tc>
        <w:tc>
          <w:tcPr>
            <w:tcW w:w="992" w:type="dxa"/>
            <w:shd w:val="clear" w:color="auto" w:fill="C6EFCE"/>
          </w:tcPr>
          <w:p w14:paraId="50B4BBA7" w14:textId="70A8E9D1" w:rsidR="003B5F50" w:rsidRDefault="000D2D85">
            <w:pPr>
              <w:pStyle w:val="P68B1DB1-Normal42"/>
              <w:spacing w:after="0" w:line="259" w:lineRule="auto"/>
              <w:rPr>
                <w:noProof/>
              </w:rPr>
            </w:pPr>
            <w:r>
              <w:rPr>
                <w:noProof/>
              </w:rPr>
              <w:t xml:space="preserve">Stratégie de gestion des bâtiments du gouvernement central </w:t>
            </w:r>
          </w:p>
        </w:tc>
        <w:tc>
          <w:tcPr>
            <w:tcW w:w="1559" w:type="dxa"/>
            <w:shd w:val="clear" w:color="auto" w:fill="C6EFCE"/>
          </w:tcPr>
          <w:p w14:paraId="50B4BBA8" w14:textId="77777777" w:rsidR="003B5F50" w:rsidRDefault="000D2D85">
            <w:pPr>
              <w:pStyle w:val="P68B1DB1-Normal43"/>
              <w:spacing w:after="0" w:line="259" w:lineRule="auto"/>
              <w:rPr>
                <w:noProof/>
                <w:szCs w:val="22"/>
              </w:rPr>
            </w:pPr>
            <w:r>
              <w:rPr>
                <w:noProof/>
              </w:rPr>
              <w:t>Adoption de la stratégie par le Gouvernement </w:t>
            </w:r>
          </w:p>
        </w:tc>
        <w:tc>
          <w:tcPr>
            <w:tcW w:w="1559" w:type="dxa"/>
            <w:shd w:val="clear" w:color="auto" w:fill="C6EFCE"/>
            <w:noWrap/>
          </w:tcPr>
          <w:p w14:paraId="50B4BBA9" w14:textId="77777777" w:rsidR="003B5F50" w:rsidRDefault="000D2D85">
            <w:pPr>
              <w:pStyle w:val="P68B1DB1-Normal42"/>
              <w:spacing w:after="0" w:line="259" w:lineRule="auto"/>
              <w:rPr>
                <w:noProof/>
              </w:rPr>
            </w:pPr>
            <w:r>
              <w:rPr>
                <w:noProof/>
              </w:rPr>
              <w:t> </w:t>
            </w:r>
          </w:p>
        </w:tc>
        <w:tc>
          <w:tcPr>
            <w:tcW w:w="1418" w:type="dxa"/>
            <w:shd w:val="clear" w:color="auto" w:fill="C6EFCE"/>
            <w:noWrap/>
          </w:tcPr>
          <w:p w14:paraId="50B4BBAA" w14:textId="77777777" w:rsidR="003B5F50" w:rsidRDefault="000D2D85">
            <w:pPr>
              <w:pStyle w:val="P68B1DB1-Normal42"/>
              <w:spacing w:after="0" w:line="259" w:lineRule="auto"/>
              <w:rPr>
                <w:noProof/>
              </w:rPr>
            </w:pPr>
            <w:r>
              <w:rPr>
                <w:noProof/>
              </w:rPr>
              <w:t> </w:t>
            </w:r>
          </w:p>
        </w:tc>
        <w:tc>
          <w:tcPr>
            <w:tcW w:w="992" w:type="dxa"/>
            <w:shd w:val="clear" w:color="auto" w:fill="C6EFCE"/>
            <w:noWrap/>
          </w:tcPr>
          <w:p w14:paraId="50B4BBAB" w14:textId="77777777" w:rsidR="003B5F50" w:rsidRDefault="000D2D85">
            <w:pPr>
              <w:pStyle w:val="P68B1DB1-Normal42"/>
              <w:spacing w:after="0" w:line="259" w:lineRule="auto"/>
              <w:rPr>
                <w:noProof/>
                <w:szCs w:val="20"/>
              </w:rPr>
            </w:pPr>
            <w:r>
              <w:rPr>
                <w:noProof/>
              </w:rPr>
              <w:t> </w:t>
            </w:r>
          </w:p>
        </w:tc>
        <w:tc>
          <w:tcPr>
            <w:tcW w:w="1134" w:type="dxa"/>
            <w:shd w:val="clear" w:color="auto" w:fill="C6EFCE"/>
            <w:noWrap/>
          </w:tcPr>
          <w:p w14:paraId="50B4BBAC" w14:textId="77777777" w:rsidR="003B5F50" w:rsidRDefault="000D2D85">
            <w:pPr>
              <w:pStyle w:val="P68B1DB1-Normal42"/>
              <w:spacing w:after="0" w:line="240" w:lineRule="auto"/>
              <w:textAlignment w:val="baseline"/>
              <w:rPr>
                <w:rFonts w:eastAsia="Times New Roman"/>
                <w:noProof/>
                <w:szCs w:val="20"/>
              </w:rPr>
            </w:pPr>
            <w:r>
              <w:rPr>
                <w:noProof/>
              </w:rPr>
              <w:t>T2 </w:t>
            </w:r>
          </w:p>
          <w:p w14:paraId="50B4BBAD" w14:textId="77777777" w:rsidR="003B5F50" w:rsidRDefault="003B5F50">
            <w:pPr>
              <w:spacing w:after="0" w:line="259" w:lineRule="auto"/>
              <w:rPr>
                <w:rFonts w:ascii="Times New Roman" w:eastAsia="MS Mincho" w:hAnsi="Times New Roman" w:cs="Arial"/>
                <w:noProof/>
                <w:color w:val="006100"/>
                <w:sz w:val="20"/>
                <w:szCs w:val="20"/>
              </w:rPr>
            </w:pPr>
          </w:p>
        </w:tc>
        <w:tc>
          <w:tcPr>
            <w:tcW w:w="1134" w:type="dxa"/>
            <w:shd w:val="clear" w:color="auto" w:fill="C6EFCE"/>
            <w:noWrap/>
          </w:tcPr>
          <w:p w14:paraId="50B4BBAE" w14:textId="77777777" w:rsidR="003B5F50" w:rsidRDefault="000D2D85">
            <w:pPr>
              <w:pStyle w:val="P68B1DB1-Normal42"/>
              <w:spacing w:after="0" w:line="259" w:lineRule="auto"/>
              <w:rPr>
                <w:noProof/>
              </w:rPr>
            </w:pPr>
            <w:r>
              <w:rPr>
                <w:noProof/>
              </w:rPr>
              <w:t>2025 </w:t>
            </w:r>
          </w:p>
        </w:tc>
        <w:tc>
          <w:tcPr>
            <w:tcW w:w="2126" w:type="dxa"/>
            <w:shd w:val="clear" w:color="auto" w:fill="C6EFCE"/>
          </w:tcPr>
          <w:p w14:paraId="50B4BBAF" w14:textId="77777777" w:rsidR="003B5F50" w:rsidRDefault="000D2D85">
            <w:pPr>
              <w:pStyle w:val="P68B1DB1-Normal43"/>
              <w:spacing w:after="0" w:line="240" w:lineRule="auto"/>
              <w:jc w:val="both"/>
              <w:rPr>
                <w:rFonts w:eastAsia="Times New Roman"/>
                <w:noProof/>
              </w:rPr>
            </w:pPr>
            <w:r>
              <w:rPr>
                <w:noProof/>
              </w:rPr>
              <w:t xml:space="preserve">La stratégie de gestion des bâtiments de l’administration centrale définit les outils et les processus pour i) la gestion du parc immobilier de l’administration centrale et l’augmentation de son taux d’utilisation; ii) accroître l'efficacité énergétique, réaliser des économies d'énergie et accroître l'utilisation des énergies renouvelables et des solutions respectueuses de l'environnement, et iii) réduire le coût global de l'utilisation des bâtiments. </w:t>
            </w:r>
          </w:p>
          <w:p w14:paraId="50B4BBB0" w14:textId="77777777" w:rsidR="003B5F50" w:rsidRDefault="003B5F50">
            <w:pPr>
              <w:spacing w:after="0" w:line="240" w:lineRule="auto"/>
              <w:jc w:val="both"/>
              <w:rPr>
                <w:rFonts w:ascii="Times New Roman" w:eastAsia="MS Mincho" w:hAnsi="Times New Roman" w:cs="Arial"/>
                <w:noProof/>
                <w:color w:val="006100"/>
                <w:sz w:val="20"/>
                <w:szCs w:val="20"/>
              </w:rPr>
            </w:pPr>
          </w:p>
          <w:p w14:paraId="50B4BBB1" w14:textId="77777777" w:rsidR="003B5F50" w:rsidRDefault="000D2D85">
            <w:pPr>
              <w:pStyle w:val="P68B1DB1-Normal43"/>
              <w:spacing w:after="0" w:line="240" w:lineRule="auto"/>
              <w:jc w:val="both"/>
              <w:rPr>
                <w:rFonts w:eastAsia="Times New Roman"/>
                <w:noProof/>
              </w:rPr>
            </w:pPr>
            <w:r>
              <w:rPr>
                <w:noProof/>
              </w:rPr>
              <w:t>La stratégie comprend une vue d’ensemble des cadres réglementaires, financiers et opérationnels actuels pour les bâtiments publics et est adoptée par le gouvernement.</w:t>
            </w:r>
          </w:p>
          <w:p w14:paraId="50B4BBB2" w14:textId="77777777" w:rsidR="003B5F50" w:rsidRDefault="003B5F50">
            <w:pPr>
              <w:spacing w:after="0" w:line="240" w:lineRule="auto"/>
              <w:jc w:val="both"/>
              <w:textAlignment w:val="baseline"/>
              <w:rPr>
                <w:rFonts w:ascii="Times New Roman" w:eastAsia="Times New Roman" w:hAnsi="Times New Roman" w:cs="Arial"/>
                <w:noProof/>
                <w:color w:val="006100"/>
                <w:sz w:val="20"/>
                <w:szCs w:val="20"/>
              </w:rPr>
            </w:pPr>
          </w:p>
          <w:p w14:paraId="50B4BBB3" w14:textId="77777777" w:rsidR="003B5F50" w:rsidRDefault="000D2D85">
            <w:pPr>
              <w:pStyle w:val="P68B1DB1-Normal43"/>
              <w:shd w:val="clear" w:color="auto" w:fill="C6EFCE"/>
              <w:spacing w:after="0" w:line="259" w:lineRule="auto"/>
              <w:jc w:val="both"/>
              <w:rPr>
                <w:noProof/>
              </w:rPr>
            </w:pPr>
            <w:r>
              <w:rPr>
                <w:noProof/>
              </w:rPr>
              <w:t>La stratégie comprend également une étude cartographique des régimes et instruments d’aide à la rénovation, ainsi que des propositions visant à les optimiser et des recommandations pour les pratiques de rénovation en profondeur et de gestion de l’énergie.</w:t>
            </w:r>
          </w:p>
        </w:tc>
      </w:tr>
      <w:tr w:rsidR="003B5F50" w14:paraId="50B4BBC3" w14:textId="77777777" w:rsidTr="00F8541A">
        <w:trPr>
          <w:trHeight w:val="961"/>
        </w:trPr>
        <w:tc>
          <w:tcPr>
            <w:tcW w:w="738" w:type="dxa"/>
            <w:shd w:val="clear" w:color="auto" w:fill="C6EFCE"/>
            <w:noWrap/>
          </w:tcPr>
          <w:p w14:paraId="50B4BBB5" w14:textId="77777777" w:rsidR="003B5F50" w:rsidRDefault="000D2D85">
            <w:pPr>
              <w:pStyle w:val="P68B1DB1-Normal42"/>
              <w:spacing w:after="0" w:line="240" w:lineRule="auto"/>
              <w:textAlignment w:val="baseline"/>
              <w:rPr>
                <w:noProof/>
              </w:rPr>
            </w:pPr>
            <w:r>
              <w:rPr>
                <w:noProof/>
              </w:rPr>
              <w:t>19</w:t>
            </w:r>
          </w:p>
        </w:tc>
        <w:tc>
          <w:tcPr>
            <w:tcW w:w="1701" w:type="dxa"/>
            <w:shd w:val="clear" w:color="auto" w:fill="C6EFCE"/>
          </w:tcPr>
          <w:p w14:paraId="50B4BBB6" w14:textId="77777777" w:rsidR="003B5F50" w:rsidRDefault="000D2D85">
            <w:pPr>
              <w:pStyle w:val="P68B1DB1-Normal42"/>
              <w:spacing w:after="0" w:line="259" w:lineRule="auto"/>
              <w:rPr>
                <w:noProof/>
              </w:rPr>
            </w:pPr>
            <w:r>
              <w:rPr>
                <w:noProof/>
              </w:rPr>
              <w:t>19 – REPowerEU – Réforme 4: Gestion des bâtiments du gouvernement central </w:t>
            </w:r>
          </w:p>
        </w:tc>
        <w:tc>
          <w:tcPr>
            <w:tcW w:w="1276" w:type="dxa"/>
            <w:shd w:val="clear" w:color="auto" w:fill="C6EFCE"/>
            <w:noWrap/>
          </w:tcPr>
          <w:p w14:paraId="50B4BBB7" w14:textId="77777777" w:rsidR="003B5F50" w:rsidRDefault="000D2D85">
            <w:pPr>
              <w:pStyle w:val="P68B1DB1-Normal42"/>
              <w:spacing w:after="0" w:line="240" w:lineRule="auto"/>
              <w:textAlignment w:val="baseline"/>
              <w:rPr>
                <w:rFonts w:eastAsia="Times New Roman"/>
                <w:noProof/>
                <w:szCs w:val="20"/>
              </w:rPr>
            </w:pPr>
            <w:r>
              <w:rPr>
                <w:noProof/>
              </w:rPr>
              <w:t>Étape </w:t>
            </w:r>
          </w:p>
          <w:p w14:paraId="50B4BBB8" w14:textId="77777777" w:rsidR="003B5F50" w:rsidRDefault="003B5F50">
            <w:pPr>
              <w:spacing w:after="0" w:line="240" w:lineRule="auto"/>
              <w:textAlignment w:val="baseline"/>
              <w:rPr>
                <w:rFonts w:ascii="Times New Roman" w:eastAsia="MS Mincho" w:hAnsi="Times New Roman" w:cs="Arial"/>
                <w:noProof/>
                <w:color w:val="006100"/>
                <w:sz w:val="20"/>
                <w:szCs w:val="22"/>
              </w:rPr>
            </w:pPr>
          </w:p>
        </w:tc>
        <w:tc>
          <w:tcPr>
            <w:tcW w:w="992" w:type="dxa"/>
            <w:shd w:val="clear" w:color="auto" w:fill="C6EFCE"/>
          </w:tcPr>
          <w:p w14:paraId="50B4BBB9" w14:textId="77777777" w:rsidR="003B5F50" w:rsidRDefault="000D2D85">
            <w:pPr>
              <w:pStyle w:val="P68B1DB1-Normal43"/>
              <w:spacing w:after="0" w:line="259" w:lineRule="auto"/>
              <w:rPr>
                <w:noProof/>
                <w:szCs w:val="22"/>
              </w:rPr>
            </w:pPr>
            <w:r>
              <w:rPr>
                <w:noProof/>
              </w:rPr>
              <w:t xml:space="preserve">Création d'un organe central de coordination pour les bâtiments administratifs du gouvernement central </w:t>
            </w:r>
          </w:p>
        </w:tc>
        <w:tc>
          <w:tcPr>
            <w:tcW w:w="1559" w:type="dxa"/>
            <w:shd w:val="clear" w:color="auto" w:fill="C6EFCE"/>
          </w:tcPr>
          <w:p w14:paraId="50B4BBBA" w14:textId="1DED162C" w:rsidR="003B5F50" w:rsidRDefault="000D2D85">
            <w:pPr>
              <w:pStyle w:val="P68B1DB1-Normal43"/>
              <w:spacing w:after="0" w:line="259" w:lineRule="auto"/>
              <w:rPr>
                <w:noProof/>
              </w:rPr>
            </w:pPr>
            <w:r>
              <w:rPr>
                <w:noProof/>
              </w:rPr>
              <w:t>Entrée en vigueur de la législation instituant l'organisme de coordination</w:t>
            </w:r>
          </w:p>
        </w:tc>
        <w:tc>
          <w:tcPr>
            <w:tcW w:w="1559" w:type="dxa"/>
            <w:shd w:val="clear" w:color="auto" w:fill="C6EFCE"/>
            <w:noWrap/>
          </w:tcPr>
          <w:p w14:paraId="50B4BBBB" w14:textId="77777777" w:rsidR="003B5F50" w:rsidRDefault="003B5F50">
            <w:pPr>
              <w:spacing w:after="0" w:line="259" w:lineRule="auto"/>
              <w:rPr>
                <w:rFonts w:ascii="Times New Roman" w:eastAsia="MS Mincho" w:hAnsi="Times New Roman" w:cs="Arial"/>
                <w:noProof/>
                <w:color w:val="006100"/>
                <w:sz w:val="20"/>
                <w:szCs w:val="22"/>
              </w:rPr>
            </w:pPr>
          </w:p>
        </w:tc>
        <w:tc>
          <w:tcPr>
            <w:tcW w:w="1418" w:type="dxa"/>
            <w:shd w:val="clear" w:color="auto" w:fill="C6EFCE"/>
            <w:noWrap/>
          </w:tcPr>
          <w:p w14:paraId="50B4BBBC" w14:textId="77777777" w:rsidR="003B5F50" w:rsidRDefault="003B5F50">
            <w:pPr>
              <w:spacing w:after="0" w:line="259" w:lineRule="auto"/>
              <w:rPr>
                <w:rFonts w:ascii="Times New Roman" w:eastAsia="MS Mincho" w:hAnsi="Times New Roman" w:cs="Arial"/>
                <w:noProof/>
                <w:color w:val="006100"/>
                <w:sz w:val="20"/>
                <w:szCs w:val="22"/>
              </w:rPr>
            </w:pPr>
          </w:p>
        </w:tc>
        <w:tc>
          <w:tcPr>
            <w:tcW w:w="992" w:type="dxa"/>
            <w:shd w:val="clear" w:color="auto" w:fill="C6EFCE"/>
            <w:noWrap/>
          </w:tcPr>
          <w:p w14:paraId="50B4BBBD" w14:textId="77777777" w:rsidR="003B5F50" w:rsidRDefault="003B5F50">
            <w:pPr>
              <w:spacing w:after="0" w:line="259" w:lineRule="auto"/>
              <w:rPr>
                <w:rFonts w:ascii="Times New Roman" w:eastAsia="MS Mincho" w:hAnsi="Times New Roman" w:cs="Arial"/>
                <w:noProof/>
                <w:color w:val="006100"/>
                <w:sz w:val="20"/>
                <w:szCs w:val="22"/>
              </w:rPr>
            </w:pPr>
          </w:p>
        </w:tc>
        <w:tc>
          <w:tcPr>
            <w:tcW w:w="1134" w:type="dxa"/>
            <w:shd w:val="clear" w:color="auto" w:fill="C6EFCE"/>
            <w:noWrap/>
          </w:tcPr>
          <w:p w14:paraId="50B4BBBE" w14:textId="77777777" w:rsidR="003B5F50" w:rsidRDefault="000D2D85">
            <w:pPr>
              <w:pStyle w:val="P68B1DB1-Normal42"/>
              <w:spacing w:after="0" w:line="240" w:lineRule="auto"/>
              <w:textAlignment w:val="baseline"/>
              <w:rPr>
                <w:noProof/>
              </w:rPr>
            </w:pPr>
            <w:r>
              <w:rPr>
                <w:noProof/>
              </w:rPr>
              <w:t>T2</w:t>
            </w:r>
          </w:p>
        </w:tc>
        <w:tc>
          <w:tcPr>
            <w:tcW w:w="1134" w:type="dxa"/>
            <w:shd w:val="clear" w:color="auto" w:fill="C6EFCE"/>
            <w:noWrap/>
          </w:tcPr>
          <w:p w14:paraId="50B4BBBF" w14:textId="77777777" w:rsidR="003B5F50" w:rsidRDefault="000D2D85">
            <w:pPr>
              <w:pStyle w:val="P68B1DB1-Normal42"/>
              <w:spacing w:after="0" w:line="259" w:lineRule="auto"/>
              <w:rPr>
                <w:noProof/>
              </w:rPr>
            </w:pPr>
            <w:r>
              <w:rPr>
                <w:noProof/>
              </w:rPr>
              <w:t>2026</w:t>
            </w:r>
          </w:p>
        </w:tc>
        <w:tc>
          <w:tcPr>
            <w:tcW w:w="2126" w:type="dxa"/>
            <w:shd w:val="clear" w:color="auto" w:fill="C6EFCE"/>
          </w:tcPr>
          <w:p w14:paraId="50B4BBC0" w14:textId="2B78457E" w:rsidR="003B5F50" w:rsidRDefault="000D2D85">
            <w:pPr>
              <w:pStyle w:val="P68B1DB1-Normal43"/>
              <w:spacing w:after="0" w:line="259" w:lineRule="auto"/>
              <w:rPr>
                <w:rFonts w:eastAsia="Times New Roman"/>
                <w:noProof/>
              </w:rPr>
            </w:pPr>
            <w:r>
              <w:rPr>
                <w:noProof/>
              </w:rPr>
              <w:t>La législation instituant un organe central de coordination pour les bâtiments administratifs du gouvernement central entre en vigueur. L'organisme central de coordination exerce les fonctions suivantes: gestion immobilière, avis contraignant sur les politiques de rénovation et la politique de location et de propriété, gestion des installations et publication de lignes directrices en matière de gestion de l’énergie.</w:t>
            </w:r>
          </w:p>
          <w:p w14:paraId="50B4BBC1" w14:textId="77777777" w:rsidR="003B5F50" w:rsidRDefault="003B5F50">
            <w:pPr>
              <w:spacing w:after="0" w:line="259" w:lineRule="auto"/>
              <w:rPr>
                <w:rFonts w:ascii="Times New Roman" w:eastAsia="MS Mincho" w:hAnsi="Times New Roman" w:cs="Arial"/>
                <w:noProof/>
                <w:color w:val="006100"/>
                <w:sz w:val="20"/>
                <w:szCs w:val="20"/>
              </w:rPr>
            </w:pPr>
          </w:p>
          <w:p w14:paraId="50B4BBC2" w14:textId="77777777" w:rsidR="003B5F50" w:rsidRDefault="000D2D85">
            <w:pPr>
              <w:pStyle w:val="P68B1DB1-Normal43"/>
              <w:spacing w:after="0" w:line="240" w:lineRule="auto"/>
              <w:jc w:val="both"/>
              <w:rPr>
                <w:noProof/>
              </w:rPr>
            </w:pPr>
            <w:r>
              <w:rPr>
                <w:noProof/>
              </w:rPr>
              <w:t>Cet organe central de coordination est établi sur la base d'une feuille de route et des conclusions formulées dans la stratégie.</w:t>
            </w:r>
          </w:p>
        </w:tc>
      </w:tr>
      <w:tr w:rsidR="003B5F50" w14:paraId="50B4BBD6" w14:textId="77777777" w:rsidTr="00F8541A">
        <w:trPr>
          <w:trHeight w:val="961"/>
        </w:trPr>
        <w:tc>
          <w:tcPr>
            <w:tcW w:w="738" w:type="dxa"/>
            <w:shd w:val="clear" w:color="auto" w:fill="C6EFCE"/>
            <w:noWrap/>
            <w:vAlign w:val="center"/>
          </w:tcPr>
          <w:p w14:paraId="50B4BBC4" w14:textId="77777777" w:rsidR="003B5F50" w:rsidRDefault="000D2D85">
            <w:pPr>
              <w:pStyle w:val="P68B1DB1-Normal42"/>
              <w:spacing w:after="0" w:line="240" w:lineRule="auto"/>
              <w:textAlignment w:val="baseline"/>
              <w:rPr>
                <w:rFonts w:eastAsia="Times New Roman"/>
                <w:noProof/>
                <w:szCs w:val="20"/>
              </w:rPr>
            </w:pPr>
            <w:r>
              <w:rPr>
                <w:noProof/>
              </w:rPr>
              <w:t>20 </w:t>
            </w:r>
          </w:p>
          <w:p w14:paraId="50B4BBC5" w14:textId="77777777" w:rsidR="003B5F50" w:rsidRDefault="000D2D85">
            <w:pPr>
              <w:pStyle w:val="P68B1DB1-Normal42"/>
              <w:spacing w:after="0" w:line="240" w:lineRule="auto"/>
              <w:textAlignment w:val="baseline"/>
              <w:rPr>
                <w:noProof/>
              </w:rPr>
            </w:pPr>
            <w:r>
              <w:rPr>
                <w:noProof/>
              </w:rPr>
              <w:t> </w:t>
            </w:r>
          </w:p>
        </w:tc>
        <w:tc>
          <w:tcPr>
            <w:tcW w:w="1701" w:type="dxa"/>
            <w:shd w:val="clear" w:color="auto" w:fill="C6EFCE"/>
          </w:tcPr>
          <w:p w14:paraId="50B4BBC6" w14:textId="0B243F88" w:rsidR="003B5F50" w:rsidRDefault="000D2D85">
            <w:pPr>
              <w:pStyle w:val="P68B1DB1-Normal43"/>
              <w:spacing w:after="0" w:line="259" w:lineRule="auto"/>
              <w:rPr>
                <w:noProof/>
                <w:szCs w:val="22"/>
              </w:rPr>
            </w:pPr>
            <w:r>
              <w:rPr>
                <w:noProof/>
              </w:rPr>
              <w:t xml:space="preserve">20 – REPowerEU – Investissement 2: Accroître l'efficacité énergétique des bâtiments publics </w:t>
            </w:r>
          </w:p>
        </w:tc>
        <w:tc>
          <w:tcPr>
            <w:tcW w:w="1276" w:type="dxa"/>
            <w:shd w:val="clear" w:color="auto" w:fill="C6EFCE"/>
            <w:noWrap/>
          </w:tcPr>
          <w:p w14:paraId="50B4BBC7" w14:textId="77777777" w:rsidR="003B5F50" w:rsidRDefault="000D2D85">
            <w:pPr>
              <w:pStyle w:val="P68B1DB1-Normal43"/>
              <w:spacing w:after="0" w:line="240" w:lineRule="auto"/>
              <w:textAlignment w:val="baseline"/>
              <w:rPr>
                <w:rFonts w:eastAsia="Times New Roman"/>
                <w:noProof/>
              </w:rPr>
            </w:pPr>
            <w:r>
              <w:rPr>
                <w:noProof/>
              </w:rPr>
              <w:t>Objectif </w:t>
            </w:r>
          </w:p>
          <w:p w14:paraId="50B4BBC8" w14:textId="77777777" w:rsidR="003B5F50" w:rsidRDefault="000D2D85">
            <w:pPr>
              <w:pStyle w:val="P68B1DB1-Normal43"/>
              <w:spacing w:after="0" w:line="240" w:lineRule="auto"/>
              <w:textAlignment w:val="baseline"/>
              <w:rPr>
                <w:noProof/>
                <w:szCs w:val="22"/>
              </w:rPr>
            </w:pPr>
            <w:r>
              <w:rPr>
                <w:noProof/>
              </w:rPr>
              <w:t> </w:t>
            </w:r>
          </w:p>
        </w:tc>
        <w:tc>
          <w:tcPr>
            <w:tcW w:w="992" w:type="dxa"/>
            <w:shd w:val="clear" w:color="auto" w:fill="C6EFCE"/>
          </w:tcPr>
          <w:p w14:paraId="50B4BBC9" w14:textId="77777777" w:rsidR="003B5F50" w:rsidRDefault="000D2D85">
            <w:pPr>
              <w:pStyle w:val="P68B1DB1-Normal43"/>
              <w:spacing w:after="0" w:line="259" w:lineRule="auto"/>
              <w:rPr>
                <w:noProof/>
              </w:rPr>
            </w:pPr>
            <w:r>
              <w:rPr>
                <w:noProof/>
              </w:rPr>
              <w:t>Surface au sol totale des bâtiments avec mesures d’efficacité énergétique installées </w:t>
            </w:r>
          </w:p>
        </w:tc>
        <w:tc>
          <w:tcPr>
            <w:tcW w:w="1559" w:type="dxa"/>
            <w:shd w:val="clear" w:color="auto" w:fill="C6EFCE"/>
          </w:tcPr>
          <w:p w14:paraId="50B4BBCA" w14:textId="77777777" w:rsidR="003B5F50" w:rsidRDefault="000D2D85">
            <w:pPr>
              <w:pStyle w:val="P68B1DB1-Normal43"/>
              <w:spacing w:after="0" w:line="259" w:lineRule="auto"/>
              <w:rPr>
                <w:noProof/>
              </w:rPr>
            </w:pPr>
            <w:r>
              <w:rPr>
                <w:noProof/>
              </w:rPr>
              <w:t> </w:t>
            </w:r>
          </w:p>
        </w:tc>
        <w:tc>
          <w:tcPr>
            <w:tcW w:w="1559" w:type="dxa"/>
            <w:shd w:val="clear" w:color="auto" w:fill="C6EFCE"/>
            <w:noWrap/>
          </w:tcPr>
          <w:p w14:paraId="50B4BBCB" w14:textId="77777777" w:rsidR="003B5F50" w:rsidRDefault="000D2D85">
            <w:pPr>
              <w:pStyle w:val="P68B1DB1-Normal42"/>
              <w:spacing w:after="0" w:line="259" w:lineRule="auto"/>
              <w:rPr>
                <w:noProof/>
              </w:rPr>
            </w:pPr>
            <w:r>
              <w:rPr>
                <w:noProof/>
              </w:rPr>
              <w:t>Superficie (m2) </w:t>
            </w:r>
          </w:p>
        </w:tc>
        <w:tc>
          <w:tcPr>
            <w:tcW w:w="1418" w:type="dxa"/>
            <w:shd w:val="clear" w:color="auto" w:fill="C6EFCE"/>
            <w:noWrap/>
          </w:tcPr>
          <w:p w14:paraId="50B4BBCC" w14:textId="77777777" w:rsidR="003B5F50" w:rsidRDefault="000D2D85">
            <w:pPr>
              <w:pStyle w:val="P68B1DB1-Normal43"/>
              <w:spacing w:after="0" w:line="259" w:lineRule="auto"/>
              <w:rPr>
                <w:noProof/>
                <w:szCs w:val="22"/>
              </w:rPr>
            </w:pPr>
            <w:r>
              <w:rPr>
                <w:noProof/>
              </w:rPr>
              <w:t> 0</w:t>
            </w:r>
          </w:p>
        </w:tc>
        <w:tc>
          <w:tcPr>
            <w:tcW w:w="992" w:type="dxa"/>
            <w:shd w:val="clear" w:color="auto" w:fill="C6EFCE"/>
            <w:noWrap/>
          </w:tcPr>
          <w:p w14:paraId="50B4BBCD" w14:textId="14681BB6" w:rsidR="003B5F50" w:rsidRDefault="000D2D85">
            <w:pPr>
              <w:pStyle w:val="P68B1DB1-Normal43"/>
              <w:spacing w:after="0" w:line="259" w:lineRule="auto"/>
              <w:rPr>
                <w:noProof/>
              </w:rPr>
            </w:pPr>
            <w:r>
              <w:rPr>
                <w:noProof/>
              </w:rPr>
              <w:t>449 829</w:t>
            </w:r>
          </w:p>
        </w:tc>
        <w:tc>
          <w:tcPr>
            <w:tcW w:w="1134" w:type="dxa"/>
            <w:shd w:val="clear" w:color="auto" w:fill="C6EFCE"/>
            <w:noWrap/>
          </w:tcPr>
          <w:p w14:paraId="50B4BBCE" w14:textId="77777777" w:rsidR="003B5F50" w:rsidRDefault="000D2D85">
            <w:pPr>
              <w:pStyle w:val="P68B1DB1-Normal43"/>
              <w:spacing w:after="0" w:line="240" w:lineRule="auto"/>
              <w:textAlignment w:val="baseline"/>
              <w:rPr>
                <w:rFonts w:eastAsia="Times New Roman"/>
                <w:noProof/>
              </w:rPr>
            </w:pPr>
            <w:r>
              <w:rPr>
                <w:noProof/>
              </w:rPr>
              <w:t>T2</w:t>
            </w:r>
          </w:p>
          <w:p w14:paraId="50B4BBCF" w14:textId="77777777" w:rsidR="003B5F50" w:rsidRDefault="000D2D85">
            <w:pPr>
              <w:pStyle w:val="P68B1DB1-Normal42"/>
              <w:spacing w:after="0" w:line="240" w:lineRule="auto"/>
              <w:textAlignment w:val="baseline"/>
              <w:rPr>
                <w:noProof/>
              </w:rPr>
            </w:pPr>
            <w:r>
              <w:rPr>
                <w:noProof/>
              </w:rPr>
              <w:t> </w:t>
            </w:r>
          </w:p>
        </w:tc>
        <w:tc>
          <w:tcPr>
            <w:tcW w:w="1134" w:type="dxa"/>
            <w:shd w:val="clear" w:color="auto" w:fill="C6EFCE"/>
            <w:noWrap/>
          </w:tcPr>
          <w:p w14:paraId="50B4BBD0" w14:textId="77777777" w:rsidR="003B5F50" w:rsidRDefault="000D2D85">
            <w:pPr>
              <w:pStyle w:val="P68B1DB1-Normal43"/>
              <w:spacing w:after="0" w:line="240" w:lineRule="auto"/>
              <w:textAlignment w:val="baseline"/>
              <w:rPr>
                <w:rFonts w:eastAsia="Times New Roman"/>
                <w:noProof/>
              </w:rPr>
            </w:pPr>
            <w:r>
              <w:rPr>
                <w:noProof/>
              </w:rPr>
              <w:t>2026 </w:t>
            </w:r>
          </w:p>
          <w:p w14:paraId="50B4BBD1" w14:textId="77777777" w:rsidR="003B5F50" w:rsidRDefault="000D2D85">
            <w:pPr>
              <w:pStyle w:val="P68B1DB1-Normal43"/>
              <w:spacing w:after="0" w:line="259" w:lineRule="auto"/>
              <w:rPr>
                <w:noProof/>
                <w:szCs w:val="22"/>
              </w:rPr>
            </w:pPr>
            <w:r>
              <w:rPr>
                <w:noProof/>
              </w:rPr>
              <w:t> </w:t>
            </w:r>
          </w:p>
        </w:tc>
        <w:tc>
          <w:tcPr>
            <w:tcW w:w="2126" w:type="dxa"/>
            <w:shd w:val="clear" w:color="auto" w:fill="C6EFCE"/>
          </w:tcPr>
          <w:p w14:paraId="50B4BBD2" w14:textId="573690B4" w:rsidR="003B5F50" w:rsidRDefault="000D2D85">
            <w:pPr>
              <w:spacing w:after="0" w:line="240" w:lineRule="auto"/>
              <w:jc w:val="both"/>
              <w:textAlignment w:val="baseline"/>
              <w:rPr>
                <w:rFonts w:ascii="Times New Roman" w:eastAsia="Times New Roman" w:hAnsi="Times New Roman" w:cs="Arial"/>
                <w:noProof/>
                <w:color w:val="006100"/>
                <w:sz w:val="20"/>
                <w:szCs w:val="20"/>
              </w:rPr>
            </w:pPr>
            <w:r>
              <w:rPr>
                <w:rFonts w:ascii="Times New Roman" w:eastAsia="MS Mincho" w:hAnsi="Times New Roman" w:cs="Arial"/>
                <w:noProof/>
                <w:color w:val="006100"/>
                <w:sz w:val="20"/>
                <w:szCs w:val="20"/>
              </w:rPr>
              <w:t>Les interventions en matière d’efficacité énergétique sont mises en place dans au moins 212 bâtiments</w:t>
            </w:r>
            <w:r>
              <w:rPr>
                <w:noProof/>
              </w:rPr>
              <w:t xml:space="preserve"> </w:t>
            </w:r>
            <w:r>
              <w:rPr>
                <w:rFonts w:ascii="Times New Roman" w:eastAsia="MS Mincho" w:hAnsi="Times New Roman" w:cs="Arial"/>
                <w:noProof/>
                <w:color w:val="006100"/>
                <w:sz w:val="20"/>
                <w:szCs w:val="20"/>
              </w:rPr>
              <w:t xml:space="preserve">sélectionnés dans le cadre d’un appel en faveur de bâtiments publics, couvrant une superficie totale d’au moins 449 829 m2. </w:t>
            </w:r>
          </w:p>
          <w:p w14:paraId="50B4BBD3" w14:textId="77777777" w:rsidR="003B5F50" w:rsidRDefault="003B5F50">
            <w:pPr>
              <w:spacing w:after="0" w:line="240" w:lineRule="auto"/>
              <w:jc w:val="both"/>
              <w:textAlignment w:val="baseline"/>
              <w:rPr>
                <w:rFonts w:ascii="Times New Roman" w:eastAsia="Times New Roman" w:hAnsi="Times New Roman" w:cs="Arial"/>
                <w:noProof/>
                <w:color w:val="006100"/>
                <w:sz w:val="20"/>
                <w:szCs w:val="20"/>
              </w:rPr>
            </w:pPr>
          </w:p>
          <w:p w14:paraId="50B4BBD4" w14:textId="652E67B9" w:rsidR="003B5F50" w:rsidRDefault="000D2D85">
            <w:pPr>
              <w:pStyle w:val="P68B1DB1-Normal43"/>
              <w:spacing w:after="0" w:line="240" w:lineRule="auto"/>
              <w:jc w:val="both"/>
              <w:textAlignment w:val="baseline"/>
              <w:rPr>
                <w:rFonts w:eastAsia="Times New Roman"/>
                <w:noProof/>
              </w:rPr>
            </w:pPr>
            <w:r>
              <w:rPr>
                <w:noProof/>
              </w:rPr>
              <w:t xml:space="preserve">L’appel nécessite l’introduction d’au moins deux des interventions suivantes en matière d’efficacité énergétique: i) le remplacement des fenêtres, ii) la gestion de l’énergie du bâtiment (telle que l’installation de systèmes intelligents de mesure de l’énergie, l’introduction de modes d’économie d’énergie, le contrôle équithermique ou de zone dans le système de chauffage, l’installation de thermostats), iii) la modernisation de l’éclairage et iv) l’isolation thermique du toit ou du grenier. </w:t>
            </w:r>
          </w:p>
          <w:p w14:paraId="50B4BBD5" w14:textId="77777777" w:rsidR="003B5F50" w:rsidRDefault="000D2D85">
            <w:pPr>
              <w:pStyle w:val="P68B1DB1-Normal43"/>
              <w:spacing w:after="0" w:line="259" w:lineRule="auto"/>
              <w:rPr>
                <w:noProof/>
              </w:rPr>
            </w:pPr>
            <w:r>
              <w:rPr>
                <w:noProof/>
              </w:rPr>
              <w:t>Les certificats énergétiques et les passeports de rénovation sont délivrés et introduits dans la base de données au titre de la réforme 3 (sans compter pour atteindre l’objectif de la réforme 3).</w:t>
            </w:r>
          </w:p>
        </w:tc>
      </w:tr>
      <w:tr w:rsidR="003B5F50" w14:paraId="50B4BBE7" w14:textId="77777777" w:rsidTr="00F8541A">
        <w:trPr>
          <w:trHeight w:val="961"/>
        </w:trPr>
        <w:tc>
          <w:tcPr>
            <w:tcW w:w="738" w:type="dxa"/>
            <w:shd w:val="clear" w:color="auto" w:fill="C6EFCE"/>
            <w:noWrap/>
          </w:tcPr>
          <w:p w14:paraId="50B4BBD7" w14:textId="77777777" w:rsidR="003B5F50" w:rsidRDefault="000D2D85">
            <w:pPr>
              <w:pStyle w:val="P68B1DB1-Normal42"/>
              <w:spacing w:after="0" w:line="240" w:lineRule="auto"/>
              <w:textAlignment w:val="baseline"/>
              <w:rPr>
                <w:rFonts w:eastAsia="Times New Roman"/>
                <w:noProof/>
                <w:szCs w:val="20"/>
              </w:rPr>
            </w:pPr>
            <w:r>
              <w:rPr>
                <w:noProof/>
              </w:rPr>
              <w:t>21 </w:t>
            </w:r>
          </w:p>
          <w:p w14:paraId="50B4BBD8" w14:textId="77777777" w:rsidR="003B5F50" w:rsidRDefault="000D2D85">
            <w:pPr>
              <w:pStyle w:val="P68B1DB1-Normal42"/>
              <w:spacing w:after="0" w:line="240" w:lineRule="auto"/>
              <w:textAlignment w:val="baseline"/>
              <w:rPr>
                <w:noProof/>
              </w:rPr>
            </w:pPr>
            <w:r>
              <w:rPr>
                <w:noProof/>
              </w:rPr>
              <w:t> </w:t>
            </w:r>
          </w:p>
        </w:tc>
        <w:tc>
          <w:tcPr>
            <w:tcW w:w="1701" w:type="dxa"/>
            <w:shd w:val="clear" w:color="auto" w:fill="C6EFCE"/>
          </w:tcPr>
          <w:p w14:paraId="50B4BBD9" w14:textId="42E93CE0" w:rsidR="003B5F50" w:rsidRDefault="000D2D85">
            <w:pPr>
              <w:pStyle w:val="P68B1DB1-Normal42"/>
              <w:spacing w:after="0" w:line="240" w:lineRule="auto"/>
              <w:textAlignment w:val="baseline"/>
              <w:rPr>
                <w:rFonts w:eastAsia="Times New Roman"/>
                <w:noProof/>
                <w:szCs w:val="20"/>
              </w:rPr>
            </w:pPr>
            <w:r>
              <w:rPr>
                <w:noProof/>
              </w:rPr>
              <w:t>21 – REPowerEU – Investissement 3: Rénovation de bâtiments publics historiques et classés - SCALE UP mesure SK-C[C2]-I[I2] </w:t>
            </w:r>
          </w:p>
          <w:p w14:paraId="50B4BBDA" w14:textId="77777777" w:rsidR="003B5F50" w:rsidRDefault="000D2D85">
            <w:pPr>
              <w:pStyle w:val="P68B1DB1-Normal42"/>
              <w:spacing w:after="0" w:line="259" w:lineRule="auto"/>
              <w:rPr>
                <w:noProof/>
                <w:szCs w:val="20"/>
              </w:rPr>
            </w:pPr>
            <w:r>
              <w:rPr>
                <w:noProof/>
              </w:rPr>
              <w:t> </w:t>
            </w:r>
          </w:p>
        </w:tc>
        <w:tc>
          <w:tcPr>
            <w:tcW w:w="1276" w:type="dxa"/>
            <w:shd w:val="clear" w:color="auto" w:fill="C6EFCE"/>
            <w:noWrap/>
          </w:tcPr>
          <w:p w14:paraId="50B4BBDB" w14:textId="77777777" w:rsidR="003B5F50" w:rsidRDefault="000D2D85">
            <w:pPr>
              <w:pStyle w:val="P68B1DB1-Normal42"/>
              <w:spacing w:after="0" w:line="240" w:lineRule="auto"/>
              <w:jc w:val="both"/>
              <w:textAlignment w:val="baseline"/>
              <w:rPr>
                <w:rFonts w:eastAsia="Times New Roman"/>
                <w:noProof/>
                <w:szCs w:val="20"/>
              </w:rPr>
            </w:pPr>
            <w:r>
              <w:rPr>
                <w:noProof/>
              </w:rPr>
              <w:t>Objectif </w:t>
            </w:r>
          </w:p>
          <w:p w14:paraId="50B4BBDC" w14:textId="77777777" w:rsidR="003B5F50" w:rsidRDefault="000D2D85">
            <w:pPr>
              <w:pStyle w:val="P68B1DB1-Normal42"/>
              <w:spacing w:after="0" w:line="240" w:lineRule="auto"/>
              <w:textAlignment w:val="baseline"/>
              <w:rPr>
                <w:noProof/>
                <w:szCs w:val="20"/>
              </w:rPr>
            </w:pPr>
            <w:r>
              <w:rPr>
                <w:noProof/>
              </w:rPr>
              <w:t> </w:t>
            </w:r>
          </w:p>
        </w:tc>
        <w:tc>
          <w:tcPr>
            <w:tcW w:w="992" w:type="dxa"/>
            <w:shd w:val="clear" w:color="auto" w:fill="C6EFCE"/>
          </w:tcPr>
          <w:p w14:paraId="50B4BBDD" w14:textId="77777777" w:rsidR="003B5F50" w:rsidRDefault="000D2D85">
            <w:pPr>
              <w:pStyle w:val="P68B1DB1-Normal42"/>
              <w:spacing w:after="0" w:line="259" w:lineRule="auto"/>
              <w:rPr>
                <w:noProof/>
                <w:szCs w:val="20"/>
              </w:rPr>
            </w:pPr>
            <w:r>
              <w:rPr>
                <w:noProof/>
              </w:rPr>
              <w:t xml:space="preserve">Rénovation de bâtiments publics historiques et classés </w:t>
            </w:r>
          </w:p>
        </w:tc>
        <w:tc>
          <w:tcPr>
            <w:tcW w:w="1559" w:type="dxa"/>
            <w:shd w:val="clear" w:color="auto" w:fill="C6EFCE"/>
          </w:tcPr>
          <w:p w14:paraId="50B4BBDE" w14:textId="77777777" w:rsidR="003B5F50" w:rsidRDefault="000D2D85">
            <w:pPr>
              <w:pStyle w:val="P68B1DB1-Normal42"/>
              <w:spacing w:after="0" w:line="259" w:lineRule="auto"/>
              <w:rPr>
                <w:noProof/>
                <w:szCs w:val="20"/>
              </w:rPr>
            </w:pPr>
            <w:r>
              <w:rPr>
                <w:noProof/>
              </w:rPr>
              <w:t> </w:t>
            </w:r>
          </w:p>
        </w:tc>
        <w:tc>
          <w:tcPr>
            <w:tcW w:w="1559" w:type="dxa"/>
            <w:shd w:val="clear" w:color="auto" w:fill="C6EFCE"/>
            <w:noWrap/>
          </w:tcPr>
          <w:p w14:paraId="50B4BBDF" w14:textId="77777777" w:rsidR="003B5F50" w:rsidRDefault="000D2D85">
            <w:pPr>
              <w:pStyle w:val="P68B1DB1-Normal42"/>
              <w:spacing w:after="0" w:line="259" w:lineRule="auto"/>
              <w:rPr>
                <w:noProof/>
              </w:rPr>
            </w:pPr>
            <w:r>
              <w:rPr>
                <w:noProof/>
              </w:rPr>
              <w:t>Superficie (m2) </w:t>
            </w:r>
          </w:p>
        </w:tc>
        <w:tc>
          <w:tcPr>
            <w:tcW w:w="1418" w:type="dxa"/>
            <w:shd w:val="clear" w:color="auto" w:fill="C6EFCE"/>
            <w:noWrap/>
          </w:tcPr>
          <w:p w14:paraId="50B4BBE0" w14:textId="3E8640CF" w:rsidR="003B5F50" w:rsidRDefault="000D2D85">
            <w:pPr>
              <w:pStyle w:val="P68B1DB1-Normal78"/>
              <w:spacing w:after="0" w:line="259" w:lineRule="auto"/>
              <w:rPr>
                <w:noProof/>
              </w:rPr>
            </w:pPr>
            <w:r>
              <w:rPr>
                <w:noProof/>
              </w:rPr>
              <w:t>99 348</w:t>
            </w:r>
          </w:p>
        </w:tc>
        <w:tc>
          <w:tcPr>
            <w:tcW w:w="992" w:type="dxa"/>
            <w:shd w:val="clear" w:color="auto" w:fill="C6EFCE"/>
            <w:noWrap/>
          </w:tcPr>
          <w:p w14:paraId="597885B0" w14:textId="70D7CA3E" w:rsidR="003B5F50" w:rsidRDefault="000D2D85">
            <w:pPr>
              <w:pStyle w:val="P68B1DB1-Normal78"/>
              <w:spacing w:after="0" w:line="259" w:lineRule="auto"/>
              <w:rPr>
                <w:noProof/>
              </w:rPr>
            </w:pPr>
            <w:r>
              <w:rPr>
                <w:noProof/>
              </w:rPr>
              <w:t>135 105</w:t>
            </w:r>
          </w:p>
          <w:p w14:paraId="50B4BBE1" w14:textId="203AD12A" w:rsidR="003B5F50" w:rsidRDefault="003B5F50">
            <w:pPr>
              <w:spacing w:after="0" w:line="259" w:lineRule="auto"/>
              <w:rPr>
                <w:rFonts w:ascii="Times New Roman" w:eastAsia="MS Mincho" w:hAnsi="Times New Roman" w:cs="Arial"/>
                <w:noProof/>
                <w:color w:val="006100"/>
                <w:sz w:val="15"/>
                <w:szCs w:val="15"/>
              </w:rPr>
            </w:pPr>
          </w:p>
        </w:tc>
        <w:tc>
          <w:tcPr>
            <w:tcW w:w="1134" w:type="dxa"/>
            <w:shd w:val="clear" w:color="auto" w:fill="C6EFCE"/>
            <w:noWrap/>
          </w:tcPr>
          <w:p w14:paraId="50B4BBE2" w14:textId="77777777" w:rsidR="003B5F50" w:rsidRDefault="000D2D85">
            <w:pPr>
              <w:pStyle w:val="P68B1DB1-Normal42"/>
              <w:spacing w:after="0" w:line="240" w:lineRule="auto"/>
              <w:jc w:val="both"/>
              <w:textAlignment w:val="baseline"/>
              <w:rPr>
                <w:rFonts w:eastAsia="Times New Roman"/>
                <w:noProof/>
                <w:szCs w:val="20"/>
              </w:rPr>
            </w:pPr>
            <w:r>
              <w:rPr>
                <w:noProof/>
              </w:rPr>
              <w:t>T2 </w:t>
            </w:r>
          </w:p>
          <w:p w14:paraId="50B4BBE3" w14:textId="77777777" w:rsidR="003B5F50" w:rsidRDefault="000D2D85">
            <w:pPr>
              <w:pStyle w:val="P68B1DB1-Normal42"/>
              <w:spacing w:after="0" w:line="240" w:lineRule="auto"/>
              <w:textAlignment w:val="baseline"/>
              <w:rPr>
                <w:noProof/>
              </w:rPr>
            </w:pPr>
            <w:r>
              <w:rPr>
                <w:noProof/>
              </w:rPr>
              <w:t> </w:t>
            </w:r>
          </w:p>
        </w:tc>
        <w:tc>
          <w:tcPr>
            <w:tcW w:w="1134" w:type="dxa"/>
            <w:shd w:val="clear" w:color="auto" w:fill="C6EFCE"/>
            <w:noWrap/>
          </w:tcPr>
          <w:p w14:paraId="50B4BBE4" w14:textId="77777777" w:rsidR="003B5F50" w:rsidRDefault="000D2D85">
            <w:pPr>
              <w:pStyle w:val="P68B1DB1-Normal42"/>
              <w:spacing w:after="0" w:line="240" w:lineRule="auto"/>
              <w:jc w:val="both"/>
              <w:textAlignment w:val="baseline"/>
              <w:rPr>
                <w:rFonts w:eastAsia="Times New Roman"/>
                <w:noProof/>
                <w:szCs w:val="20"/>
              </w:rPr>
            </w:pPr>
            <w:r>
              <w:rPr>
                <w:noProof/>
              </w:rPr>
              <w:t>2026 </w:t>
            </w:r>
          </w:p>
          <w:p w14:paraId="50B4BBE5" w14:textId="77777777" w:rsidR="003B5F50" w:rsidRDefault="000D2D85">
            <w:pPr>
              <w:pStyle w:val="P68B1DB1-Normal42"/>
              <w:spacing w:after="0" w:line="240" w:lineRule="auto"/>
              <w:textAlignment w:val="baseline"/>
              <w:rPr>
                <w:noProof/>
                <w:szCs w:val="20"/>
              </w:rPr>
            </w:pPr>
            <w:r>
              <w:rPr>
                <w:noProof/>
              </w:rPr>
              <w:t> </w:t>
            </w:r>
          </w:p>
        </w:tc>
        <w:tc>
          <w:tcPr>
            <w:tcW w:w="2126" w:type="dxa"/>
            <w:shd w:val="clear" w:color="auto" w:fill="C6EFCE"/>
          </w:tcPr>
          <w:p w14:paraId="50B4BBE6" w14:textId="5FA44F1B" w:rsidR="003B5F50" w:rsidRDefault="000D2D85">
            <w:pPr>
              <w:spacing w:after="0" w:line="240" w:lineRule="auto"/>
              <w:jc w:val="both"/>
              <w:textAlignment w:val="baseline"/>
              <w:rPr>
                <w:rFonts w:ascii="Times New Roman" w:eastAsia="MS Mincho" w:hAnsi="Times New Roman" w:cs="Arial"/>
                <w:noProof/>
                <w:color w:val="006100"/>
                <w:sz w:val="20"/>
                <w:szCs w:val="20"/>
              </w:rPr>
            </w:pPr>
            <w:r>
              <w:rPr>
                <w:rFonts w:ascii="Times New Roman" w:eastAsia="MS Mincho" w:hAnsi="Times New Roman" w:cs="Arial"/>
                <w:noProof/>
                <w:color w:val="006100"/>
                <w:sz w:val="20"/>
                <w:szCs w:val="20"/>
              </w:rPr>
              <w:t xml:space="preserve">Au moins 35 757 m2 de surface supplémentaire de bâtiments sont rénovés, sélectionnés dans le cadre d’un appel ou d’un appel direct en faveur de bâtiments publics historiques et classés, afin d’atteindre l’objectif final d’une surface au sol rénovée d’au moins 135 105 m2. </w:t>
            </w:r>
            <w:r>
              <w:rPr>
                <w:noProof/>
              </w:rPr>
              <w:t xml:space="preserve"> </w:t>
            </w:r>
            <w:r>
              <w:rPr>
                <w:rFonts w:ascii="Times New Roman" w:eastAsia="MS Mincho" w:hAnsi="Times New Roman" w:cs="Arial"/>
                <w:noProof/>
                <w:color w:val="006100"/>
                <w:sz w:val="20"/>
                <w:szCs w:val="20"/>
              </w:rPr>
              <w:t>L’appel définit les conditions permettant de réaliser en moyenne au moins 30 % d’économies d’énergie primaire, respecte les principes consistant à «ne pas causer de préjudice important» et permet l’exécution d’autres mesures complémentaires. Les subventions octroyées après</w:t>
            </w:r>
            <w:r>
              <w:rPr>
                <w:rFonts w:ascii="Times New Roman" w:eastAsia="MS Mincho" w:hAnsi="Times New Roman" w:cs="Arial"/>
                <w:noProof/>
                <w:color w:val="006100"/>
                <w:sz w:val="20"/>
                <w:szCs w:val="20"/>
                <w:vertAlign w:val="superscript"/>
              </w:rPr>
              <w:t xml:space="preserve"> le 1er janvier</w:t>
            </w:r>
            <w:r>
              <w:rPr>
                <w:rFonts w:ascii="Times New Roman" w:eastAsia="MS Mincho" w:hAnsi="Times New Roman" w:cs="Arial"/>
                <w:noProof/>
                <w:color w:val="006100"/>
                <w:sz w:val="20"/>
                <w:szCs w:val="20"/>
              </w:rPr>
              <w:t xml:space="preserve"> 2025 ne soutiennent pas le remplacement des chaudières à gaz.</w:t>
            </w:r>
          </w:p>
        </w:tc>
      </w:tr>
      <w:tr w:rsidR="003B5F50" w14:paraId="50B4BBFC" w14:textId="77777777" w:rsidTr="00F8541A">
        <w:trPr>
          <w:trHeight w:val="961"/>
        </w:trPr>
        <w:tc>
          <w:tcPr>
            <w:tcW w:w="738" w:type="dxa"/>
            <w:shd w:val="clear" w:color="auto" w:fill="C6EFCE"/>
            <w:noWrap/>
          </w:tcPr>
          <w:p w14:paraId="50B4BBE8" w14:textId="77777777" w:rsidR="003B5F50" w:rsidRDefault="000D2D85">
            <w:pPr>
              <w:pStyle w:val="P68B1DB1-Normal42"/>
              <w:spacing w:after="0" w:line="240" w:lineRule="auto"/>
              <w:textAlignment w:val="baseline"/>
              <w:rPr>
                <w:rFonts w:eastAsia="Times New Roman"/>
                <w:noProof/>
                <w:szCs w:val="20"/>
              </w:rPr>
            </w:pPr>
            <w:r>
              <w:rPr>
                <w:noProof/>
              </w:rPr>
              <w:t>22 </w:t>
            </w:r>
          </w:p>
          <w:p w14:paraId="50B4BBE9" w14:textId="77777777" w:rsidR="003B5F50" w:rsidRDefault="000D2D85">
            <w:pPr>
              <w:pStyle w:val="P68B1DB1-Normal42"/>
              <w:spacing w:after="0" w:line="240" w:lineRule="auto"/>
              <w:textAlignment w:val="baseline"/>
              <w:rPr>
                <w:noProof/>
              </w:rPr>
            </w:pPr>
            <w:r>
              <w:rPr>
                <w:noProof/>
              </w:rPr>
              <w:t> </w:t>
            </w:r>
          </w:p>
        </w:tc>
        <w:tc>
          <w:tcPr>
            <w:tcW w:w="1701" w:type="dxa"/>
            <w:shd w:val="clear" w:color="auto" w:fill="C6EFCE"/>
          </w:tcPr>
          <w:p w14:paraId="50B4BBEA" w14:textId="77777777" w:rsidR="003B5F50" w:rsidRDefault="000D2D85">
            <w:pPr>
              <w:pStyle w:val="P68B1DB1-Normal42"/>
              <w:spacing w:after="0" w:line="240" w:lineRule="auto"/>
              <w:textAlignment w:val="baseline"/>
              <w:rPr>
                <w:rFonts w:eastAsia="Times New Roman"/>
                <w:noProof/>
                <w:szCs w:val="20"/>
              </w:rPr>
            </w:pPr>
            <w:r>
              <w:rPr>
                <w:noProof/>
              </w:rPr>
              <w:t>22 – REPowerEU – Investissement 4: Soutien à la rénovation des ménages exposés au risque de précarité énergétique – programme de rénovation légère</w:t>
            </w:r>
          </w:p>
          <w:p w14:paraId="50B4BBEB" w14:textId="77777777" w:rsidR="003B5F50" w:rsidRDefault="000D2D85">
            <w:pPr>
              <w:pStyle w:val="P68B1DB1-Normal42"/>
              <w:spacing w:after="0" w:line="240" w:lineRule="auto"/>
              <w:textAlignment w:val="baseline"/>
              <w:rPr>
                <w:noProof/>
              </w:rPr>
            </w:pPr>
            <w:r>
              <w:rPr>
                <w:noProof/>
              </w:rPr>
              <w:t> </w:t>
            </w:r>
          </w:p>
        </w:tc>
        <w:tc>
          <w:tcPr>
            <w:tcW w:w="1276" w:type="dxa"/>
            <w:shd w:val="clear" w:color="auto" w:fill="C6EFCE"/>
            <w:noWrap/>
          </w:tcPr>
          <w:p w14:paraId="50B4BBEC" w14:textId="77777777" w:rsidR="003B5F50" w:rsidRDefault="000D2D85">
            <w:pPr>
              <w:pStyle w:val="P68B1DB1-Normal42"/>
              <w:spacing w:after="0" w:line="240" w:lineRule="auto"/>
              <w:textAlignment w:val="baseline"/>
              <w:rPr>
                <w:rFonts w:eastAsia="Times New Roman"/>
                <w:noProof/>
                <w:szCs w:val="20"/>
              </w:rPr>
            </w:pPr>
            <w:r>
              <w:rPr>
                <w:noProof/>
              </w:rPr>
              <w:t>Objectif </w:t>
            </w:r>
          </w:p>
          <w:p w14:paraId="50B4BBED" w14:textId="77777777" w:rsidR="003B5F50" w:rsidRDefault="000D2D85">
            <w:pPr>
              <w:pStyle w:val="P68B1DB1-Normal42"/>
              <w:spacing w:after="0" w:line="240" w:lineRule="auto"/>
              <w:jc w:val="both"/>
              <w:textAlignment w:val="baseline"/>
              <w:rPr>
                <w:noProof/>
              </w:rPr>
            </w:pPr>
            <w:r>
              <w:rPr>
                <w:noProof/>
              </w:rPr>
              <w:t> </w:t>
            </w:r>
          </w:p>
        </w:tc>
        <w:tc>
          <w:tcPr>
            <w:tcW w:w="992" w:type="dxa"/>
            <w:shd w:val="clear" w:color="auto" w:fill="C6EFCE"/>
          </w:tcPr>
          <w:p w14:paraId="50B4BBEE" w14:textId="77777777" w:rsidR="003B5F50" w:rsidRDefault="000D2D85">
            <w:pPr>
              <w:pStyle w:val="P68B1DB1-Normal42"/>
              <w:spacing w:after="0" w:line="259" w:lineRule="auto"/>
              <w:rPr>
                <w:noProof/>
              </w:rPr>
            </w:pPr>
            <w:r>
              <w:rPr>
                <w:noProof/>
              </w:rPr>
              <w:t>Nombre de maisons rénovées de personnes exposées au risque de précarité énergétique </w:t>
            </w:r>
          </w:p>
        </w:tc>
        <w:tc>
          <w:tcPr>
            <w:tcW w:w="1559" w:type="dxa"/>
            <w:shd w:val="clear" w:color="auto" w:fill="C6EFCE"/>
          </w:tcPr>
          <w:p w14:paraId="50B4BBEF" w14:textId="77777777" w:rsidR="003B5F50" w:rsidRDefault="000D2D85">
            <w:pPr>
              <w:pStyle w:val="P68B1DB1-Normal42"/>
              <w:spacing w:after="0" w:line="259" w:lineRule="auto"/>
              <w:rPr>
                <w:noProof/>
              </w:rPr>
            </w:pPr>
            <w:r>
              <w:rPr>
                <w:noProof/>
              </w:rPr>
              <w:t> </w:t>
            </w:r>
          </w:p>
        </w:tc>
        <w:tc>
          <w:tcPr>
            <w:tcW w:w="1559" w:type="dxa"/>
            <w:shd w:val="clear" w:color="auto" w:fill="C6EFCE"/>
            <w:noWrap/>
          </w:tcPr>
          <w:p w14:paraId="50B4BBF0" w14:textId="77777777" w:rsidR="003B5F50" w:rsidRDefault="000D2D85">
            <w:pPr>
              <w:pStyle w:val="P68B1DB1-Normal42"/>
              <w:spacing w:after="0" w:line="259" w:lineRule="auto"/>
              <w:rPr>
                <w:noProof/>
              </w:rPr>
            </w:pPr>
            <w:r>
              <w:rPr>
                <w:noProof/>
              </w:rPr>
              <w:t>nombre </w:t>
            </w:r>
          </w:p>
        </w:tc>
        <w:tc>
          <w:tcPr>
            <w:tcW w:w="1418" w:type="dxa"/>
            <w:shd w:val="clear" w:color="auto" w:fill="C6EFCE"/>
            <w:noWrap/>
          </w:tcPr>
          <w:p w14:paraId="50B4BBF1" w14:textId="77777777" w:rsidR="003B5F50" w:rsidRDefault="000D2D85">
            <w:pPr>
              <w:pStyle w:val="P68B1DB1-Normal42"/>
              <w:spacing w:after="0" w:line="259" w:lineRule="auto"/>
              <w:rPr>
                <w:noProof/>
                <w:szCs w:val="20"/>
              </w:rPr>
            </w:pPr>
            <w:r>
              <w:rPr>
                <w:noProof/>
              </w:rPr>
              <w:t>0</w:t>
            </w:r>
          </w:p>
        </w:tc>
        <w:tc>
          <w:tcPr>
            <w:tcW w:w="992" w:type="dxa"/>
            <w:shd w:val="clear" w:color="auto" w:fill="C6EFCE"/>
            <w:noWrap/>
          </w:tcPr>
          <w:p w14:paraId="50B4BBF2" w14:textId="77777777" w:rsidR="003B5F50" w:rsidRDefault="000D2D85">
            <w:pPr>
              <w:pStyle w:val="P68B1DB1-Normal76"/>
              <w:spacing w:after="0" w:line="259" w:lineRule="auto"/>
              <w:rPr>
                <w:noProof/>
                <w:szCs w:val="20"/>
              </w:rPr>
            </w:pPr>
            <w:r>
              <w:rPr>
                <w:noProof/>
                <w:szCs w:val="20"/>
              </w:rPr>
              <w:t>4</w:t>
            </w:r>
            <w:r>
              <w:rPr>
                <w:noProof/>
                <w:szCs w:val="22"/>
              </w:rPr>
              <w:t xml:space="preserve"> </w:t>
            </w:r>
            <w:r>
              <w:rPr>
                <w:noProof/>
                <w:szCs w:val="20"/>
              </w:rPr>
              <w:t>080</w:t>
            </w:r>
          </w:p>
        </w:tc>
        <w:tc>
          <w:tcPr>
            <w:tcW w:w="1134" w:type="dxa"/>
            <w:shd w:val="clear" w:color="auto" w:fill="C6EFCE"/>
            <w:noWrap/>
          </w:tcPr>
          <w:p w14:paraId="50B4BBF3" w14:textId="77777777" w:rsidR="003B5F50" w:rsidRDefault="000D2D85">
            <w:pPr>
              <w:pStyle w:val="P68B1DB1-Normal42"/>
              <w:spacing w:after="0" w:line="240" w:lineRule="auto"/>
              <w:jc w:val="both"/>
              <w:textAlignment w:val="baseline"/>
              <w:rPr>
                <w:rFonts w:eastAsia="Times New Roman"/>
                <w:noProof/>
                <w:szCs w:val="20"/>
              </w:rPr>
            </w:pPr>
            <w:r>
              <w:rPr>
                <w:noProof/>
              </w:rPr>
              <w:t>T3 </w:t>
            </w:r>
          </w:p>
          <w:p w14:paraId="50B4BBF4" w14:textId="77777777" w:rsidR="003B5F50" w:rsidRDefault="000D2D85">
            <w:pPr>
              <w:pStyle w:val="P68B1DB1-Normal42"/>
              <w:spacing w:after="0" w:line="240" w:lineRule="auto"/>
              <w:jc w:val="both"/>
              <w:textAlignment w:val="baseline"/>
              <w:rPr>
                <w:noProof/>
              </w:rPr>
            </w:pPr>
            <w:r>
              <w:rPr>
                <w:noProof/>
              </w:rPr>
              <w:t> </w:t>
            </w:r>
          </w:p>
        </w:tc>
        <w:tc>
          <w:tcPr>
            <w:tcW w:w="1134" w:type="dxa"/>
            <w:shd w:val="clear" w:color="auto" w:fill="C6EFCE"/>
            <w:noWrap/>
          </w:tcPr>
          <w:p w14:paraId="50B4BBF5" w14:textId="77777777" w:rsidR="003B5F50" w:rsidRDefault="000D2D85">
            <w:pPr>
              <w:pStyle w:val="P68B1DB1-Normal42"/>
              <w:spacing w:after="0" w:line="240" w:lineRule="auto"/>
              <w:jc w:val="both"/>
              <w:textAlignment w:val="baseline"/>
              <w:rPr>
                <w:rFonts w:eastAsia="Times New Roman"/>
                <w:noProof/>
                <w:szCs w:val="20"/>
              </w:rPr>
            </w:pPr>
            <w:r>
              <w:rPr>
                <w:noProof/>
              </w:rPr>
              <w:t>2025 </w:t>
            </w:r>
          </w:p>
          <w:p w14:paraId="50B4BBF6" w14:textId="77777777" w:rsidR="003B5F50" w:rsidRDefault="000D2D85">
            <w:pPr>
              <w:pStyle w:val="P68B1DB1-Normal42"/>
              <w:spacing w:after="0" w:line="240" w:lineRule="auto"/>
              <w:jc w:val="both"/>
              <w:textAlignment w:val="baseline"/>
              <w:rPr>
                <w:noProof/>
              </w:rPr>
            </w:pPr>
            <w:r>
              <w:rPr>
                <w:noProof/>
              </w:rPr>
              <w:t> </w:t>
            </w:r>
          </w:p>
        </w:tc>
        <w:tc>
          <w:tcPr>
            <w:tcW w:w="2126" w:type="dxa"/>
            <w:shd w:val="clear" w:color="auto" w:fill="C6EFCE"/>
          </w:tcPr>
          <w:p w14:paraId="50B4BBF7" w14:textId="5824D48B" w:rsidR="003B5F50" w:rsidRDefault="000D2D85">
            <w:pPr>
              <w:pStyle w:val="P68B1DB1-Normal79"/>
              <w:spacing w:after="0" w:line="240" w:lineRule="auto"/>
              <w:jc w:val="both"/>
              <w:textAlignment w:val="baseline"/>
              <w:rPr>
                <w:rFonts w:eastAsia="Times New Roman"/>
                <w:noProof/>
              </w:rPr>
            </w:pPr>
            <w:r>
              <w:rPr>
                <w:noProof/>
              </w:rPr>
              <w:t xml:space="preserve">Au moins 4 080 maisons doivent être rénovées, sélectionnées dans le cadre d’un appel en faveur de la rénovation de maisons unifamiliales pour les personnes exposées au risque de précarité énergétique. </w:t>
            </w:r>
          </w:p>
          <w:p w14:paraId="50B4BBF8" w14:textId="77777777" w:rsidR="003B5F50" w:rsidRDefault="003B5F50">
            <w:pPr>
              <w:spacing w:after="0" w:line="240" w:lineRule="auto"/>
              <w:jc w:val="both"/>
              <w:rPr>
                <w:rFonts w:ascii="Times New Roman" w:eastAsia="Times New Roman" w:hAnsi="Times New Roman" w:cs="Arial"/>
                <w:noProof/>
                <w:color w:val="006100"/>
                <w:sz w:val="20"/>
                <w:szCs w:val="20"/>
              </w:rPr>
            </w:pPr>
          </w:p>
          <w:p w14:paraId="50B4BBFA" w14:textId="17FAB137" w:rsidR="003B5F50" w:rsidRDefault="000D2D85">
            <w:pPr>
              <w:pStyle w:val="P68B1DB1-Normal80"/>
              <w:spacing w:after="0" w:line="240" w:lineRule="auto"/>
              <w:jc w:val="both"/>
              <w:rPr>
                <w:noProof/>
              </w:rPr>
            </w:pPr>
            <w:r>
              <w:rPr>
                <w:noProof/>
              </w:rPr>
              <w:t>L'appel nécessite l'installation d'au moins une des mesures suivantes: isolation thermique, remplacement du chauffage et installations SER. Le soutien aux installations de chaudières à gaz n'est pas autorisé.</w:t>
            </w:r>
          </w:p>
          <w:p w14:paraId="50B4BBFB" w14:textId="77777777" w:rsidR="003B5F50" w:rsidRDefault="000D2D85">
            <w:pPr>
              <w:pStyle w:val="P68B1DB1-Normal43"/>
              <w:spacing w:after="0" w:line="240" w:lineRule="auto"/>
              <w:jc w:val="both"/>
              <w:rPr>
                <w:noProof/>
              </w:rPr>
            </w:pPr>
            <w:r>
              <w:rPr>
                <w:noProof/>
              </w:rPr>
              <w:t>Si des chaudières à biomasse sont incluses dans le système, elles doivent être conformes aux exigences des orientations techniques DNSH (2021/C58/01). Le remplacement de chaudières obsolètes au charbon, au pétrole, au gaz ou à la biomasse par des chaudières à biomasse est autorisé s’il est remplacé par des chaudières à biomasse à haut rendement dans l’une des deux classes d’efficacité énergétique les plus élevées au titre du règlement sur l’étiquetage énergétique. Aucun remplacement de chaudières à gaz par des chaudières à biomasse n'est autorisé dans les zones de qualité de l'air où les valeurs limites de PM10 sont dépassées.</w:t>
            </w:r>
          </w:p>
        </w:tc>
      </w:tr>
      <w:tr w:rsidR="003B5F50" w14:paraId="50B4BC0C" w14:textId="77777777" w:rsidTr="00F8541A">
        <w:trPr>
          <w:trHeight w:val="961"/>
        </w:trPr>
        <w:tc>
          <w:tcPr>
            <w:tcW w:w="738" w:type="dxa"/>
            <w:shd w:val="clear" w:color="auto" w:fill="C6EFCE"/>
            <w:noWrap/>
          </w:tcPr>
          <w:p w14:paraId="50B4BBFD" w14:textId="77777777" w:rsidR="003B5F50" w:rsidRDefault="000D2D85">
            <w:pPr>
              <w:pStyle w:val="P68B1DB1-Normal42"/>
              <w:spacing w:after="0" w:line="240" w:lineRule="auto"/>
              <w:textAlignment w:val="baseline"/>
              <w:rPr>
                <w:noProof/>
              </w:rPr>
            </w:pPr>
            <w:r>
              <w:rPr>
                <w:noProof/>
              </w:rPr>
              <w:t>23</w:t>
            </w:r>
          </w:p>
        </w:tc>
        <w:tc>
          <w:tcPr>
            <w:tcW w:w="1701" w:type="dxa"/>
            <w:shd w:val="clear" w:color="auto" w:fill="C6EFCE"/>
          </w:tcPr>
          <w:p w14:paraId="50B4BBFE" w14:textId="77777777" w:rsidR="003B5F50" w:rsidRDefault="000D2D85">
            <w:pPr>
              <w:pStyle w:val="P68B1DB1-Normal42"/>
              <w:spacing w:after="0" w:line="240" w:lineRule="auto"/>
              <w:textAlignment w:val="baseline"/>
              <w:rPr>
                <w:noProof/>
              </w:rPr>
            </w:pPr>
            <w:r>
              <w:rPr>
                <w:noProof/>
              </w:rPr>
              <w:t>23 – REPowerEU – Investissement 4: Soutien à la rénovation des ménages exposés au risque de précarité énergétique – programme de rénovation légère</w:t>
            </w:r>
          </w:p>
        </w:tc>
        <w:tc>
          <w:tcPr>
            <w:tcW w:w="1276" w:type="dxa"/>
            <w:shd w:val="clear" w:color="auto" w:fill="C6EFCE"/>
            <w:noWrap/>
          </w:tcPr>
          <w:p w14:paraId="50B4BBFF" w14:textId="77777777" w:rsidR="003B5F50" w:rsidRDefault="000D2D85">
            <w:pPr>
              <w:pStyle w:val="P68B1DB1-Normal42"/>
              <w:spacing w:after="0" w:line="240" w:lineRule="auto"/>
              <w:textAlignment w:val="baseline"/>
              <w:rPr>
                <w:noProof/>
              </w:rPr>
            </w:pPr>
            <w:r>
              <w:rPr>
                <w:noProof/>
              </w:rPr>
              <w:t>Objectif</w:t>
            </w:r>
          </w:p>
        </w:tc>
        <w:tc>
          <w:tcPr>
            <w:tcW w:w="992" w:type="dxa"/>
            <w:shd w:val="clear" w:color="auto" w:fill="C6EFCE"/>
          </w:tcPr>
          <w:p w14:paraId="50B4BC00" w14:textId="77777777" w:rsidR="003B5F50" w:rsidRDefault="000D2D85">
            <w:pPr>
              <w:pStyle w:val="P68B1DB1-Normal42"/>
              <w:spacing w:after="0" w:line="259" w:lineRule="auto"/>
              <w:rPr>
                <w:noProof/>
              </w:rPr>
            </w:pPr>
            <w:r>
              <w:rPr>
                <w:noProof/>
              </w:rPr>
              <w:t>Nombre de consultations effectuées</w:t>
            </w:r>
          </w:p>
        </w:tc>
        <w:tc>
          <w:tcPr>
            <w:tcW w:w="1559" w:type="dxa"/>
            <w:shd w:val="clear" w:color="auto" w:fill="C6EFCE"/>
          </w:tcPr>
          <w:p w14:paraId="50B4BC01" w14:textId="77777777" w:rsidR="003B5F50" w:rsidRDefault="003B5F50">
            <w:pPr>
              <w:spacing w:after="0" w:line="259" w:lineRule="auto"/>
              <w:rPr>
                <w:rFonts w:ascii="Times New Roman" w:eastAsia="MS Mincho" w:hAnsi="Times New Roman" w:cs="Arial"/>
                <w:noProof/>
                <w:color w:val="006100"/>
                <w:sz w:val="20"/>
                <w:szCs w:val="22"/>
              </w:rPr>
            </w:pPr>
          </w:p>
        </w:tc>
        <w:tc>
          <w:tcPr>
            <w:tcW w:w="1559" w:type="dxa"/>
            <w:shd w:val="clear" w:color="auto" w:fill="C6EFCE"/>
            <w:noWrap/>
          </w:tcPr>
          <w:p w14:paraId="50B4BC02" w14:textId="77777777" w:rsidR="003B5F50" w:rsidRDefault="000D2D85">
            <w:pPr>
              <w:pStyle w:val="P68B1DB1-Normal42"/>
              <w:spacing w:after="0" w:line="259" w:lineRule="auto"/>
              <w:rPr>
                <w:noProof/>
              </w:rPr>
            </w:pPr>
            <w:r>
              <w:rPr>
                <w:noProof/>
              </w:rPr>
              <w:t>nombre</w:t>
            </w:r>
          </w:p>
        </w:tc>
        <w:tc>
          <w:tcPr>
            <w:tcW w:w="1418" w:type="dxa"/>
            <w:shd w:val="clear" w:color="auto" w:fill="C6EFCE"/>
            <w:noWrap/>
          </w:tcPr>
          <w:p w14:paraId="50B4BC03" w14:textId="77777777" w:rsidR="003B5F50" w:rsidRDefault="000D2D85">
            <w:pPr>
              <w:pStyle w:val="P68B1DB1-Normal42"/>
              <w:spacing w:after="0" w:line="259" w:lineRule="auto"/>
              <w:rPr>
                <w:noProof/>
              </w:rPr>
            </w:pPr>
            <w:r>
              <w:rPr>
                <w:noProof/>
              </w:rPr>
              <w:t>0</w:t>
            </w:r>
          </w:p>
        </w:tc>
        <w:tc>
          <w:tcPr>
            <w:tcW w:w="992" w:type="dxa"/>
            <w:shd w:val="clear" w:color="auto" w:fill="C6EFCE"/>
            <w:noWrap/>
          </w:tcPr>
          <w:p w14:paraId="50B4BC04" w14:textId="77777777" w:rsidR="003B5F50" w:rsidRDefault="000D2D85">
            <w:pPr>
              <w:pStyle w:val="P68B1DB1-Normal81"/>
              <w:spacing w:after="0" w:line="259" w:lineRule="auto"/>
              <w:rPr>
                <w:rFonts w:ascii="Times New Roman" w:eastAsia="MS Mincho" w:hAnsi="Times New Roman" w:cs="Arial"/>
                <w:noProof/>
                <w:color w:val="006100"/>
              </w:rPr>
            </w:pPr>
            <w:r>
              <w:rPr>
                <w:rFonts w:ascii="Times New Roman" w:eastAsia="MS Mincho" w:hAnsi="Times New Roman" w:cs="Arial"/>
                <w:noProof/>
                <w:color w:val="006100"/>
              </w:rPr>
              <w:t>20</w:t>
            </w:r>
            <w:r>
              <w:rPr>
                <w:noProof/>
              </w:rPr>
              <w:t xml:space="preserve"> </w:t>
            </w:r>
            <w:r>
              <w:rPr>
                <w:rFonts w:ascii="Times New Roman" w:eastAsia="MS Mincho" w:hAnsi="Times New Roman" w:cs="Arial"/>
                <w:noProof/>
                <w:color w:val="006100"/>
              </w:rPr>
              <w:t>000</w:t>
            </w:r>
          </w:p>
        </w:tc>
        <w:tc>
          <w:tcPr>
            <w:tcW w:w="1134" w:type="dxa"/>
            <w:shd w:val="clear" w:color="auto" w:fill="C6EFCE"/>
            <w:noWrap/>
          </w:tcPr>
          <w:p w14:paraId="50B4BC05" w14:textId="77777777" w:rsidR="003B5F50" w:rsidRDefault="000D2D85">
            <w:pPr>
              <w:pStyle w:val="P68B1DB1-Normal42"/>
              <w:spacing w:after="0" w:line="240" w:lineRule="auto"/>
              <w:jc w:val="both"/>
              <w:textAlignment w:val="baseline"/>
              <w:rPr>
                <w:noProof/>
              </w:rPr>
            </w:pPr>
            <w:r>
              <w:rPr>
                <w:noProof/>
              </w:rPr>
              <w:t>T2</w:t>
            </w:r>
          </w:p>
        </w:tc>
        <w:tc>
          <w:tcPr>
            <w:tcW w:w="1134" w:type="dxa"/>
            <w:shd w:val="clear" w:color="auto" w:fill="C6EFCE"/>
            <w:noWrap/>
          </w:tcPr>
          <w:p w14:paraId="50B4BC06" w14:textId="77777777" w:rsidR="003B5F50" w:rsidRDefault="000D2D85">
            <w:pPr>
              <w:pStyle w:val="P68B1DB1-Normal42"/>
              <w:spacing w:after="0" w:line="240" w:lineRule="auto"/>
              <w:jc w:val="both"/>
              <w:textAlignment w:val="baseline"/>
              <w:rPr>
                <w:noProof/>
              </w:rPr>
            </w:pPr>
            <w:r>
              <w:rPr>
                <w:noProof/>
              </w:rPr>
              <w:t>2026</w:t>
            </w:r>
          </w:p>
        </w:tc>
        <w:tc>
          <w:tcPr>
            <w:tcW w:w="2126" w:type="dxa"/>
            <w:shd w:val="clear" w:color="auto" w:fill="C6EFCE"/>
          </w:tcPr>
          <w:p w14:paraId="50B4BC07" w14:textId="77777777" w:rsidR="003B5F50" w:rsidRDefault="000D2D85">
            <w:pPr>
              <w:pStyle w:val="P68B1DB1-Normal43"/>
              <w:spacing w:after="0" w:line="240" w:lineRule="auto"/>
              <w:jc w:val="both"/>
              <w:textAlignment w:val="baseline"/>
              <w:rPr>
                <w:noProof/>
              </w:rPr>
            </w:pPr>
            <w:r>
              <w:rPr>
                <w:noProof/>
              </w:rPr>
              <w:t>Le réseau des centres régionaux existants de l'Agence slovaque pour l'environnement est renforcé par 35 personnes supplémentaires à temps plein et par des experts externes.</w:t>
            </w:r>
          </w:p>
          <w:p w14:paraId="50B4BC08" w14:textId="77777777" w:rsidR="003B5F50" w:rsidRDefault="003B5F50">
            <w:pPr>
              <w:spacing w:after="0" w:line="240" w:lineRule="auto"/>
              <w:jc w:val="both"/>
              <w:textAlignment w:val="baseline"/>
              <w:rPr>
                <w:rFonts w:ascii="Times New Roman" w:eastAsia="MS Mincho" w:hAnsi="Times New Roman" w:cs="Arial"/>
                <w:noProof/>
                <w:color w:val="006100"/>
                <w:sz w:val="20"/>
                <w:szCs w:val="20"/>
              </w:rPr>
            </w:pPr>
          </w:p>
          <w:p w14:paraId="50B4BC09" w14:textId="77777777" w:rsidR="003B5F50" w:rsidRDefault="000D2D85">
            <w:pPr>
              <w:pStyle w:val="P68B1DB1-Normal43"/>
              <w:spacing w:after="0" w:line="240" w:lineRule="auto"/>
              <w:jc w:val="both"/>
              <w:textAlignment w:val="baseline"/>
              <w:rPr>
                <w:noProof/>
              </w:rPr>
            </w:pPr>
            <w:r>
              <w:rPr>
                <w:noProof/>
              </w:rPr>
              <w:t>L’assistance technique propose des consultations sur les mesures d’efficacité énergétique, une assistance dans la procédure de demande de subvention ou une inspection sur place de l’objet de rénovation.</w:t>
            </w:r>
          </w:p>
          <w:p w14:paraId="50B4BC0A" w14:textId="77777777" w:rsidR="003B5F50" w:rsidRDefault="003B5F50">
            <w:pPr>
              <w:spacing w:after="0" w:line="240" w:lineRule="auto"/>
              <w:jc w:val="both"/>
              <w:textAlignment w:val="baseline"/>
              <w:rPr>
                <w:rFonts w:ascii="Times New Roman" w:eastAsia="MS Mincho" w:hAnsi="Times New Roman" w:cs="Arial"/>
                <w:noProof/>
                <w:color w:val="006100"/>
                <w:sz w:val="20"/>
                <w:szCs w:val="20"/>
              </w:rPr>
            </w:pPr>
          </w:p>
          <w:p w14:paraId="50B4BC0B" w14:textId="77777777" w:rsidR="003B5F50" w:rsidRDefault="000D2D85">
            <w:pPr>
              <w:spacing w:after="0" w:line="240" w:lineRule="auto"/>
              <w:jc w:val="both"/>
              <w:textAlignment w:val="baseline"/>
              <w:rPr>
                <w:rFonts w:ascii="Times New Roman" w:eastAsia="MS Mincho" w:hAnsi="Times New Roman" w:cs="Arial"/>
                <w:noProof/>
                <w:color w:val="006100"/>
                <w:sz w:val="20"/>
                <w:szCs w:val="20"/>
              </w:rPr>
            </w:pPr>
            <w:r>
              <w:rPr>
                <w:rFonts w:ascii="Times New Roman" w:eastAsia="MS Mincho" w:hAnsi="Times New Roman" w:cs="Arial"/>
                <w:noProof/>
                <w:color w:val="006100"/>
                <w:sz w:val="20"/>
                <w:szCs w:val="20"/>
              </w:rPr>
              <w:t>Des consultations sont organisées auprès de 20</w:t>
            </w:r>
            <w:r>
              <w:rPr>
                <w:noProof/>
              </w:rPr>
              <w:t> </w:t>
            </w:r>
            <w:r>
              <w:rPr>
                <w:rFonts w:ascii="Times New Roman" w:eastAsia="MS Mincho" w:hAnsi="Times New Roman" w:cs="Arial"/>
                <w:noProof/>
                <w:color w:val="006100"/>
                <w:sz w:val="20"/>
                <w:szCs w:val="20"/>
              </w:rPr>
              <w:t>000 maisons.</w:t>
            </w:r>
          </w:p>
        </w:tc>
      </w:tr>
      <w:tr w:rsidR="003B5F50" w14:paraId="50B4BC1B" w14:textId="77777777" w:rsidTr="00F8541A">
        <w:trPr>
          <w:trHeight w:val="4907"/>
        </w:trPr>
        <w:tc>
          <w:tcPr>
            <w:tcW w:w="738" w:type="dxa"/>
            <w:shd w:val="clear" w:color="auto" w:fill="C6EFCE"/>
            <w:noWrap/>
          </w:tcPr>
          <w:p w14:paraId="50B4BC0D" w14:textId="4A3A02DD" w:rsidR="003B5F50" w:rsidRDefault="000D2D85">
            <w:pPr>
              <w:pStyle w:val="P68B1DB1-Normal15"/>
              <w:spacing w:after="0" w:line="240" w:lineRule="auto"/>
              <w:textAlignment w:val="baseline"/>
              <w:rPr>
                <w:rFonts w:eastAsia="MS Mincho" w:cs="Arial"/>
                <w:noProof/>
                <w:szCs w:val="22"/>
              </w:rPr>
            </w:pPr>
            <w:r>
              <w:rPr>
                <w:noProof/>
              </w:rPr>
              <w:t xml:space="preserve">24 </w:t>
            </w:r>
          </w:p>
        </w:tc>
        <w:tc>
          <w:tcPr>
            <w:tcW w:w="1701" w:type="dxa"/>
            <w:shd w:val="clear" w:color="auto" w:fill="C6EFCE"/>
          </w:tcPr>
          <w:p w14:paraId="50B4BC0E" w14:textId="671021FE" w:rsidR="003B5F50" w:rsidRDefault="000D2D85">
            <w:pPr>
              <w:pStyle w:val="P68B1DB1-Normal15"/>
              <w:spacing w:after="0" w:line="240" w:lineRule="auto"/>
              <w:textAlignment w:val="baseline"/>
              <w:rPr>
                <w:rFonts w:eastAsia="MS Mincho" w:cs="Arial"/>
                <w:noProof/>
                <w:szCs w:val="22"/>
              </w:rPr>
            </w:pPr>
            <w:r>
              <w:rPr>
                <w:noProof/>
              </w:rPr>
              <w:t xml:space="preserve">24 – REPowerEU – Investissement 5: Développement d’infrastructures de transport à faible intensité de carbone, mesure SCALE UP SK-C[C3]-I[I1.a] </w:t>
            </w:r>
          </w:p>
        </w:tc>
        <w:tc>
          <w:tcPr>
            <w:tcW w:w="1276" w:type="dxa"/>
            <w:shd w:val="clear" w:color="auto" w:fill="C6EFCE"/>
            <w:noWrap/>
          </w:tcPr>
          <w:p w14:paraId="50B4BC0F" w14:textId="77777777" w:rsidR="003B5F50" w:rsidRDefault="000D2D85">
            <w:pPr>
              <w:pStyle w:val="P68B1DB1-Normal15"/>
              <w:spacing w:after="0"/>
              <w:rPr>
                <w:rFonts w:eastAsia="Times New Roman"/>
                <w:noProof/>
              </w:rPr>
            </w:pPr>
            <w:r>
              <w:rPr>
                <w:noProof/>
              </w:rPr>
              <w:t>Objectif </w:t>
            </w:r>
          </w:p>
          <w:p w14:paraId="50B4BC10" w14:textId="77777777" w:rsidR="003B5F50" w:rsidRDefault="000D2D85">
            <w:pPr>
              <w:pStyle w:val="P68B1DB1-Normal15"/>
              <w:spacing w:after="0" w:line="240" w:lineRule="auto"/>
              <w:textAlignment w:val="baseline"/>
              <w:rPr>
                <w:rFonts w:eastAsia="MS Mincho" w:cs="Arial"/>
                <w:noProof/>
                <w:szCs w:val="22"/>
              </w:rPr>
            </w:pPr>
            <w:r>
              <w:rPr>
                <w:noProof/>
              </w:rPr>
              <w:t> </w:t>
            </w:r>
          </w:p>
        </w:tc>
        <w:tc>
          <w:tcPr>
            <w:tcW w:w="992" w:type="dxa"/>
            <w:shd w:val="clear" w:color="auto" w:fill="C6EFCE"/>
          </w:tcPr>
          <w:p w14:paraId="50B4BC11" w14:textId="77777777" w:rsidR="003B5F50" w:rsidRDefault="000D2D85">
            <w:pPr>
              <w:pStyle w:val="P68B1DB1-Normal15"/>
              <w:spacing w:after="0" w:line="259" w:lineRule="auto"/>
              <w:rPr>
                <w:rFonts w:eastAsia="MS Mincho" w:cs="Arial"/>
                <w:noProof/>
                <w:szCs w:val="22"/>
              </w:rPr>
            </w:pPr>
            <w:r>
              <w:rPr>
                <w:noProof/>
              </w:rPr>
              <w:t>Longueur de l'infrastructure de voie reconstruite ou réaménagée pour le transport propre de passagers (en km pondérés) </w:t>
            </w:r>
          </w:p>
        </w:tc>
        <w:tc>
          <w:tcPr>
            <w:tcW w:w="1559" w:type="dxa"/>
            <w:shd w:val="clear" w:color="auto" w:fill="C6EFCE"/>
          </w:tcPr>
          <w:p w14:paraId="50B4BC12" w14:textId="77777777" w:rsidR="003B5F50" w:rsidRDefault="000D2D85">
            <w:pPr>
              <w:pStyle w:val="P68B1DB1-Normal15"/>
              <w:spacing w:after="0" w:line="259" w:lineRule="auto"/>
              <w:rPr>
                <w:rFonts w:eastAsia="MS Mincho" w:cs="Arial"/>
                <w:noProof/>
                <w:szCs w:val="22"/>
              </w:rPr>
            </w:pPr>
            <w:r>
              <w:rPr>
                <w:noProof/>
              </w:rPr>
              <w:t> </w:t>
            </w:r>
          </w:p>
        </w:tc>
        <w:tc>
          <w:tcPr>
            <w:tcW w:w="1559" w:type="dxa"/>
            <w:shd w:val="clear" w:color="auto" w:fill="C6EFCE"/>
            <w:noWrap/>
          </w:tcPr>
          <w:p w14:paraId="50B4BC13" w14:textId="77777777" w:rsidR="003B5F50" w:rsidRDefault="000D2D85">
            <w:pPr>
              <w:pStyle w:val="P68B1DB1-Normal15"/>
              <w:spacing w:after="0" w:line="259" w:lineRule="auto"/>
              <w:rPr>
                <w:rFonts w:eastAsia="MS Mincho" w:cs="Arial"/>
                <w:noProof/>
                <w:szCs w:val="22"/>
              </w:rPr>
            </w:pPr>
            <w:r>
              <w:rPr>
                <w:noProof/>
              </w:rPr>
              <w:t>Longueur (km pondérés)</w:t>
            </w:r>
          </w:p>
        </w:tc>
        <w:tc>
          <w:tcPr>
            <w:tcW w:w="1418" w:type="dxa"/>
            <w:shd w:val="clear" w:color="auto" w:fill="C6EFCE"/>
            <w:noWrap/>
          </w:tcPr>
          <w:p w14:paraId="50B4BC14" w14:textId="055DDC0B" w:rsidR="003B5F50" w:rsidRDefault="000D2D85">
            <w:pPr>
              <w:pStyle w:val="P68B1DB1-Normal15"/>
              <w:spacing w:after="0" w:line="259" w:lineRule="auto"/>
              <w:rPr>
                <w:rFonts w:eastAsia="MS Mincho" w:cs="Arial"/>
                <w:noProof/>
              </w:rPr>
            </w:pPr>
            <w:r>
              <w:rPr>
                <w:noProof/>
              </w:rPr>
              <w:t>51,45</w:t>
            </w:r>
          </w:p>
        </w:tc>
        <w:tc>
          <w:tcPr>
            <w:tcW w:w="992" w:type="dxa"/>
            <w:shd w:val="clear" w:color="auto" w:fill="C6EFCE"/>
            <w:noWrap/>
          </w:tcPr>
          <w:p w14:paraId="50B4BC15" w14:textId="39CA618F" w:rsidR="003B5F50" w:rsidRDefault="000D2D85">
            <w:pPr>
              <w:pStyle w:val="P68B1DB1-Normal15"/>
              <w:spacing w:after="0" w:line="259" w:lineRule="auto"/>
              <w:rPr>
                <w:rFonts w:eastAsia="MS Mincho" w:cs="Arial"/>
                <w:noProof/>
              </w:rPr>
            </w:pPr>
            <w:r>
              <w:rPr>
                <w:noProof/>
              </w:rPr>
              <w:t>53,45</w:t>
            </w:r>
          </w:p>
        </w:tc>
        <w:tc>
          <w:tcPr>
            <w:tcW w:w="1134" w:type="dxa"/>
            <w:shd w:val="clear" w:color="auto" w:fill="C6EFCE"/>
            <w:noWrap/>
          </w:tcPr>
          <w:p w14:paraId="50B4BC16" w14:textId="77777777" w:rsidR="003B5F50" w:rsidRDefault="000D2D85">
            <w:pPr>
              <w:pStyle w:val="P68B1DB1-Normal15"/>
              <w:spacing w:after="0"/>
              <w:rPr>
                <w:rFonts w:eastAsia="Times New Roman"/>
                <w:noProof/>
              </w:rPr>
            </w:pPr>
            <w:r>
              <w:rPr>
                <w:noProof/>
              </w:rPr>
              <w:t>T2 </w:t>
            </w:r>
          </w:p>
          <w:p w14:paraId="50B4BC17" w14:textId="77777777" w:rsidR="003B5F50" w:rsidRDefault="000D2D85">
            <w:pPr>
              <w:pStyle w:val="P68B1DB1-Normal15"/>
              <w:spacing w:after="0" w:line="240" w:lineRule="auto"/>
              <w:jc w:val="both"/>
              <w:textAlignment w:val="baseline"/>
              <w:rPr>
                <w:rFonts w:eastAsia="MS Mincho" w:cs="Arial"/>
                <w:noProof/>
                <w:szCs w:val="22"/>
              </w:rPr>
            </w:pPr>
            <w:r>
              <w:rPr>
                <w:noProof/>
              </w:rPr>
              <w:t> </w:t>
            </w:r>
          </w:p>
        </w:tc>
        <w:tc>
          <w:tcPr>
            <w:tcW w:w="1134" w:type="dxa"/>
            <w:shd w:val="clear" w:color="auto" w:fill="C6EFCE"/>
            <w:noWrap/>
          </w:tcPr>
          <w:p w14:paraId="50B4BC18" w14:textId="77777777" w:rsidR="003B5F50" w:rsidRDefault="000D2D85">
            <w:pPr>
              <w:pStyle w:val="P68B1DB1-Normal15"/>
              <w:spacing w:after="0"/>
              <w:rPr>
                <w:rFonts w:eastAsia="Times New Roman"/>
                <w:noProof/>
              </w:rPr>
            </w:pPr>
            <w:r>
              <w:rPr>
                <w:noProof/>
              </w:rPr>
              <w:t>2026 </w:t>
            </w:r>
          </w:p>
          <w:p w14:paraId="50B4BC19" w14:textId="77777777" w:rsidR="003B5F50" w:rsidRDefault="000D2D85">
            <w:pPr>
              <w:pStyle w:val="P68B1DB1-Normal15"/>
              <w:spacing w:after="0" w:line="240" w:lineRule="auto"/>
              <w:jc w:val="both"/>
              <w:textAlignment w:val="baseline"/>
              <w:rPr>
                <w:rFonts w:eastAsia="MS Mincho" w:cs="Arial"/>
                <w:noProof/>
                <w:szCs w:val="22"/>
              </w:rPr>
            </w:pPr>
            <w:r>
              <w:rPr>
                <w:noProof/>
              </w:rPr>
              <w:t> </w:t>
            </w:r>
          </w:p>
        </w:tc>
        <w:tc>
          <w:tcPr>
            <w:tcW w:w="2126" w:type="dxa"/>
            <w:shd w:val="clear" w:color="auto" w:fill="C6EFCE"/>
          </w:tcPr>
          <w:p w14:paraId="50B4BC1A" w14:textId="77777777" w:rsidR="003B5F50" w:rsidRDefault="000D2D85">
            <w:pPr>
              <w:pStyle w:val="P68B1DB1-Normal43"/>
              <w:spacing w:after="0" w:line="240" w:lineRule="auto"/>
              <w:jc w:val="both"/>
              <w:textAlignment w:val="baseline"/>
              <w:rPr>
                <w:noProof/>
              </w:rPr>
            </w:pPr>
            <w:r>
              <w:rPr>
                <w:noProof/>
              </w:rPr>
              <w:t xml:space="preserve">La reconstruction, la mise à niveau ou la construction d'au moins 2 km pondérés de voie simple unidirectionnelle de lignes de trolleybus électriques. </w:t>
            </w:r>
          </w:p>
        </w:tc>
      </w:tr>
      <w:tr w:rsidR="003B5F50" w14:paraId="50B4BC2B" w14:textId="77777777" w:rsidTr="00F8541A">
        <w:trPr>
          <w:trHeight w:val="2340"/>
        </w:trPr>
        <w:tc>
          <w:tcPr>
            <w:tcW w:w="738" w:type="dxa"/>
            <w:shd w:val="clear" w:color="auto" w:fill="C6EFCE"/>
            <w:noWrap/>
          </w:tcPr>
          <w:p w14:paraId="50B4BC1C" w14:textId="77777777" w:rsidR="003B5F50" w:rsidRDefault="000D2D85">
            <w:pPr>
              <w:pStyle w:val="P68B1DB1-Normal15"/>
              <w:spacing w:after="0" w:line="240" w:lineRule="auto"/>
              <w:textAlignment w:val="baseline"/>
              <w:rPr>
                <w:rFonts w:eastAsia="Times New Roman"/>
                <w:noProof/>
              </w:rPr>
            </w:pPr>
            <w:r>
              <w:rPr>
                <w:noProof/>
              </w:rPr>
              <w:t>25 </w:t>
            </w:r>
          </w:p>
          <w:p w14:paraId="50B4BC1D" w14:textId="77777777" w:rsidR="003B5F50" w:rsidRDefault="000D2D85">
            <w:pPr>
              <w:pStyle w:val="P68B1DB1-Normal15"/>
              <w:spacing w:after="0" w:line="240" w:lineRule="auto"/>
              <w:textAlignment w:val="baseline"/>
              <w:rPr>
                <w:noProof/>
              </w:rPr>
            </w:pPr>
            <w:r>
              <w:rPr>
                <w:noProof/>
              </w:rPr>
              <w:t> </w:t>
            </w:r>
          </w:p>
        </w:tc>
        <w:tc>
          <w:tcPr>
            <w:tcW w:w="1701" w:type="dxa"/>
            <w:shd w:val="clear" w:color="auto" w:fill="C6EFCE"/>
          </w:tcPr>
          <w:p w14:paraId="50B4BC1E" w14:textId="77777777" w:rsidR="003B5F50" w:rsidRDefault="000D2D85">
            <w:pPr>
              <w:pStyle w:val="P68B1DB1-Normal15"/>
              <w:spacing w:after="0" w:line="240" w:lineRule="auto"/>
              <w:textAlignment w:val="baseline"/>
              <w:rPr>
                <w:noProof/>
              </w:rPr>
            </w:pPr>
            <w:r>
              <w:rPr>
                <w:noProof/>
              </w:rPr>
              <w:t>25 – REPowerEU – Investissement 6: Promouvoir un transport de passagers respectueux de l’environnement, mesure SCALE UP SK-C[C3]-I[I2] </w:t>
            </w:r>
          </w:p>
        </w:tc>
        <w:tc>
          <w:tcPr>
            <w:tcW w:w="1276" w:type="dxa"/>
            <w:shd w:val="clear" w:color="auto" w:fill="C6EFCE"/>
            <w:noWrap/>
          </w:tcPr>
          <w:p w14:paraId="50B4BC1F" w14:textId="77777777" w:rsidR="003B5F50" w:rsidRDefault="000D2D85">
            <w:pPr>
              <w:pStyle w:val="P68B1DB1-Normal15"/>
              <w:spacing w:after="0" w:line="240" w:lineRule="auto"/>
              <w:textAlignment w:val="baseline"/>
              <w:rPr>
                <w:rFonts w:eastAsia="Times New Roman"/>
                <w:noProof/>
              </w:rPr>
            </w:pPr>
            <w:r>
              <w:rPr>
                <w:noProof/>
              </w:rPr>
              <w:t>Objectif </w:t>
            </w:r>
          </w:p>
          <w:p w14:paraId="50B4BC20" w14:textId="77777777" w:rsidR="003B5F50" w:rsidRDefault="000D2D85">
            <w:pPr>
              <w:pStyle w:val="P68B1DB1-Normal15"/>
              <w:spacing w:after="0"/>
              <w:rPr>
                <w:noProof/>
              </w:rPr>
            </w:pPr>
            <w:r>
              <w:rPr>
                <w:noProof/>
              </w:rPr>
              <w:t> </w:t>
            </w:r>
          </w:p>
        </w:tc>
        <w:tc>
          <w:tcPr>
            <w:tcW w:w="992" w:type="dxa"/>
            <w:shd w:val="clear" w:color="auto" w:fill="C6EFCE"/>
          </w:tcPr>
          <w:p w14:paraId="50B4BC21" w14:textId="77777777" w:rsidR="003B5F50" w:rsidRDefault="000D2D85">
            <w:pPr>
              <w:pStyle w:val="P68B1DB1-Normal15"/>
              <w:spacing w:after="0" w:line="259" w:lineRule="auto"/>
              <w:rPr>
                <w:noProof/>
              </w:rPr>
            </w:pPr>
            <w:r>
              <w:rPr>
                <w:noProof/>
              </w:rPr>
              <w:t>Nombre de matériel roulant propre destiné au transport de passagers acheté (pondéré) </w:t>
            </w:r>
          </w:p>
        </w:tc>
        <w:tc>
          <w:tcPr>
            <w:tcW w:w="1559" w:type="dxa"/>
            <w:shd w:val="clear" w:color="auto" w:fill="C6EFCE"/>
          </w:tcPr>
          <w:p w14:paraId="50B4BC22" w14:textId="77777777" w:rsidR="003B5F50" w:rsidRDefault="000D2D85">
            <w:pPr>
              <w:pStyle w:val="P68B1DB1-Normal15"/>
              <w:spacing w:after="0" w:line="259" w:lineRule="auto"/>
              <w:rPr>
                <w:noProof/>
              </w:rPr>
            </w:pPr>
            <w:r>
              <w:rPr>
                <w:noProof/>
              </w:rPr>
              <w:t> </w:t>
            </w:r>
          </w:p>
        </w:tc>
        <w:tc>
          <w:tcPr>
            <w:tcW w:w="1559" w:type="dxa"/>
            <w:shd w:val="clear" w:color="auto" w:fill="C6EFCE"/>
            <w:noWrap/>
          </w:tcPr>
          <w:p w14:paraId="50B4BC23" w14:textId="77777777" w:rsidR="003B5F50" w:rsidRDefault="000D2D85">
            <w:pPr>
              <w:pStyle w:val="P68B1DB1-Normal15"/>
              <w:spacing w:after="0"/>
              <w:rPr>
                <w:rFonts w:eastAsia="Times New Roman"/>
                <w:noProof/>
              </w:rPr>
            </w:pPr>
            <w:r>
              <w:rPr>
                <w:noProof/>
              </w:rPr>
              <w:t>Numéro</w:t>
            </w:r>
          </w:p>
          <w:p w14:paraId="50B4BC24" w14:textId="77777777" w:rsidR="003B5F50" w:rsidRDefault="000D2D85">
            <w:pPr>
              <w:pStyle w:val="P68B1DB1-Normal15"/>
              <w:spacing w:after="0" w:line="259" w:lineRule="auto"/>
              <w:rPr>
                <w:noProof/>
              </w:rPr>
            </w:pPr>
            <w:r>
              <w:rPr>
                <w:noProof/>
              </w:rPr>
              <w:t>(pondéré)</w:t>
            </w:r>
          </w:p>
        </w:tc>
        <w:tc>
          <w:tcPr>
            <w:tcW w:w="1418" w:type="dxa"/>
            <w:shd w:val="clear" w:color="auto" w:fill="C6EFCE"/>
            <w:noWrap/>
          </w:tcPr>
          <w:p w14:paraId="50B4BC25" w14:textId="240D6F36" w:rsidR="003B5F50" w:rsidRDefault="000D2D85">
            <w:pPr>
              <w:pStyle w:val="P68B1DB1-Normal15"/>
              <w:spacing w:after="0" w:line="259" w:lineRule="auto"/>
              <w:rPr>
                <w:noProof/>
              </w:rPr>
            </w:pPr>
            <w:r>
              <w:rPr>
                <w:noProof/>
              </w:rPr>
              <w:t>12</w:t>
            </w:r>
          </w:p>
        </w:tc>
        <w:tc>
          <w:tcPr>
            <w:tcW w:w="992" w:type="dxa"/>
            <w:shd w:val="clear" w:color="auto" w:fill="C6EFCE"/>
            <w:noWrap/>
          </w:tcPr>
          <w:p w14:paraId="50B4BC26" w14:textId="77777777" w:rsidR="003B5F50" w:rsidRDefault="000D2D85">
            <w:pPr>
              <w:pStyle w:val="P68B1DB1-Normal15"/>
              <w:spacing w:after="0" w:line="259" w:lineRule="auto"/>
              <w:rPr>
                <w:noProof/>
              </w:rPr>
            </w:pPr>
            <w:r>
              <w:rPr>
                <w:noProof/>
              </w:rPr>
              <w:t>20</w:t>
            </w:r>
          </w:p>
        </w:tc>
        <w:tc>
          <w:tcPr>
            <w:tcW w:w="1134" w:type="dxa"/>
            <w:shd w:val="clear" w:color="auto" w:fill="C6EFCE"/>
            <w:noWrap/>
          </w:tcPr>
          <w:p w14:paraId="50B4BC27" w14:textId="77777777" w:rsidR="003B5F50" w:rsidRDefault="000D2D85">
            <w:pPr>
              <w:pStyle w:val="P68B1DB1-Normal15"/>
              <w:spacing w:after="0"/>
              <w:rPr>
                <w:noProof/>
              </w:rPr>
            </w:pPr>
            <w:r>
              <w:rPr>
                <w:noProof/>
              </w:rPr>
              <w:t>T2 </w:t>
            </w:r>
          </w:p>
        </w:tc>
        <w:tc>
          <w:tcPr>
            <w:tcW w:w="1134" w:type="dxa"/>
            <w:shd w:val="clear" w:color="auto" w:fill="C6EFCE"/>
            <w:noWrap/>
          </w:tcPr>
          <w:p w14:paraId="50B4BC28" w14:textId="77777777" w:rsidR="003B5F50" w:rsidRDefault="000D2D85">
            <w:pPr>
              <w:pStyle w:val="P68B1DB1-Normal15"/>
              <w:spacing w:after="0" w:line="240" w:lineRule="auto"/>
              <w:textAlignment w:val="baseline"/>
              <w:rPr>
                <w:rFonts w:eastAsia="Times New Roman"/>
                <w:noProof/>
              </w:rPr>
            </w:pPr>
            <w:r>
              <w:rPr>
                <w:noProof/>
              </w:rPr>
              <w:t>2026 </w:t>
            </w:r>
          </w:p>
          <w:p w14:paraId="50B4BC29" w14:textId="77777777" w:rsidR="003B5F50" w:rsidRDefault="000D2D85">
            <w:pPr>
              <w:pStyle w:val="P68B1DB1-Normal15"/>
              <w:spacing w:after="0"/>
              <w:rPr>
                <w:noProof/>
              </w:rPr>
            </w:pPr>
            <w:r>
              <w:rPr>
                <w:noProof/>
              </w:rPr>
              <w:t> </w:t>
            </w:r>
          </w:p>
        </w:tc>
        <w:tc>
          <w:tcPr>
            <w:tcW w:w="2126" w:type="dxa"/>
            <w:shd w:val="clear" w:color="auto" w:fill="C6EFCE"/>
          </w:tcPr>
          <w:p w14:paraId="50B4BC2A" w14:textId="77777777" w:rsidR="003B5F50" w:rsidRDefault="000D2D85">
            <w:pPr>
              <w:pStyle w:val="P68B1DB1-Normal15"/>
              <w:spacing w:after="0"/>
              <w:jc w:val="both"/>
              <w:rPr>
                <w:noProof/>
              </w:rPr>
            </w:pPr>
            <w:r>
              <w:rPr>
                <w:noProof/>
              </w:rPr>
              <w:t>Livraison d'au moins 8 matériels roulants passagers propres pondérés supplémentaires. Le matériel roulant comprend: les rames électriques fermées standard (facteur de poids 1,0) et les tramways (facteur de poids 0,3).</w:t>
            </w:r>
          </w:p>
        </w:tc>
      </w:tr>
      <w:tr w:rsidR="003B5F50" w14:paraId="50B4BC3E" w14:textId="77777777" w:rsidTr="00F8541A">
        <w:trPr>
          <w:trHeight w:val="961"/>
        </w:trPr>
        <w:tc>
          <w:tcPr>
            <w:tcW w:w="738" w:type="dxa"/>
            <w:shd w:val="clear" w:color="auto" w:fill="C6EFCE"/>
            <w:noWrap/>
          </w:tcPr>
          <w:p w14:paraId="50B4BC2C" w14:textId="77777777" w:rsidR="003B5F50" w:rsidRDefault="000D2D85">
            <w:pPr>
              <w:pStyle w:val="P68B1DB1-Normal43"/>
              <w:spacing w:after="0" w:line="240" w:lineRule="auto"/>
              <w:rPr>
                <w:rFonts w:eastAsia="Times New Roman"/>
                <w:noProof/>
              </w:rPr>
            </w:pPr>
            <w:r>
              <w:rPr>
                <w:noProof/>
              </w:rPr>
              <w:t>26 </w:t>
            </w:r>
          </w:p>
          <w:p w14:paraId="50B4BC2D" w14:textId="77777777" w:rsidR="003B5F50" w:rsidRDefault="000D2D85">
            <w:pPr>
              <w:pStyle w:val="P68B1DB1-Normal42"/>
              <w:spacing w:after="0" w:line="240" w:lineRule="auto"/>
              <w:textAlignment w:val="baseline"/>
              <w:rPr>
                <w:noProof/>
              </w:rPr>
            </w:pPr>
            <w:r>
              <w:rPr>
                <w:noProof/>
              </w:rPr>
              <w:t> </w:t>
            </w:r>
          </w:p>
        </w:tc>
        <w:tc>
          <w:tcPr>
            <w:tcW w:w="1701" w:type="dxa"/>
            <w:shd w:val="clear" w:color="auto" w:fill="C6EFCE"/>
          </w:tcPr>
          <w:p w14:paraId="50B4BC2E" w14:textId="01AE8E8B" w:rsidR="003B5F50" w:rsidRDefault="000D2D85">
            <w:pPr>
              <w:pStyle w:val="P68B1DB1-Normal42"/>
              <w:spacing w:after="0" w:line="240" w:lineRule="auto"/>
              <w:textAlignment w:val="baseline"/>
              <w:rPr>
                <w:rFonts w:eastAsia="Times New Roman"/>
                <w:noProof/>
                <w:szCs w:val="20"/>
              </w:rPr>
            </w:pPr>
            <w:r>
              <w:rPr>
                <w:noProof/>
              </w:rPr>
              <w:t xml:space="preserve">26 – REPowerEU – Réforme 6: Compétences pour la transition écologique </w:t>
            </w:r>
          </w:p>
          <w:p w14:paraId="50B4BC2F" w14:textId="77777777" w:rsidR="003B5F50" w:rsidRDefault="000D2D85">
            <w:pPr>
              <w:pStyle w:val="P68B1DB1-Normal42"/>
              <w:spacing w:after="0" w:line="240" w:lineRule="auto"/>
              <w:textAlignment w:val="baseline"/>
              <w:rPr>
                <w:noProof/>
              </w:rPr>
            </w:pPr>
            <w:r>
              <w:rPr>
                <w:noProof/>
              </w:rPr>
              <w:t> </w:t>
            </w:r>
          </w:p>
        </w:tc>
        <w:tc>
          <w:tcPr>
            <w:tcW w:w="1276" w:type="dxa"/>
            <w:shd w:val="clear" w:color="auto" w:fill="C6EFCE"/>
            <w:noWrap/>
          </w:tcPr>
          <w:p w14:paraId="50B4BC30" w14:textId="77777777" w:rsidR="003B5F50" w:rsidRDefault="000D2D85">
            <w:pPr>
              <w:pStyle w:val="P68B1DB1-Normal42"/>
              <w:spacing w:after="0" w:line="240" w:lineRule="auto"/>
              <w:textAlignment w:val="baseline"/>
              <w:rPr>
                <w:rFonts w:eastAsia="Times New Roman"/>
                <w:noProof/>
                <w:szCs w:val="20"/>
              </w:rPr>
            </w:pPr>
            <w:r>
              <w:rPr>
                <w:noProof/>
              </w:rPr>
              <w:t>Étape </w:t>
            </w:r>
          </w:p>
          <w:p w14:paraId="50B4BC31" w14:textId="77777777" w:rsidR="003B5F50" w:rsidRDefault="000D2D85">
            <w:pPr>
              <w:pStyle w:val="P68B1DB1-Normal42"/>
              <w:spacing w:after="0" w:line="240" w:lineRule="auto"/>
              <w:textAlignment w:val="baseline"/>
              <w:rPr>
                <w:noProof/>
              </w:rPr>
            </w:pPr>
            <w:r>
              <w:rPr>
                <w:noProof/>
              </w:rPr>
              <w:t> </w:t>
            </w:r>
          </w:p>
        </w:tc>
        <w:tc>
          <w:tcPr>
            <w:tcW w:w="992" w:type="dxa"/>
            <w:shd w:val="clear" w:color="auto" w:fill="C6EFCE"/>
          </w:tcPr>
          <w:p w14:paraId="50B4BC32" w14:textId="77777777" w:rsidR="003B5F50" w:rsidRDefault="000D2D85">
            <w:pPr>
              <w:pStyle w:val="P68B1DB1-Normal42"/>
              <w:spacing w:after="0" w:line="259" w:lineRule="auto"/>
              <w:rPr>
                <w:noProof/>
              </w:rPr>
            </w:pPr>
            <w:r>
              <w:rPr>
                <w:noProof/>
              </w:rPr>
              <w:t>Nouveaux modules de formation dans les programmes éducatifs des écoles secondaires professionnelles et un programme de formation pour les enseignants et les adultes</w:t>
            </w:r>
          </w:p>
        </w:tc>
        <w:tc>
          <w:tcPr>
            <w:tcW w:w="1559" w:type="dxa"/>
            <w:shd w:val="clear" w:color="auto" w:fill="C6EFCE"/>
          </w:tcPr>
          <w:p w14:paraId="50B4BC33" w14:textId="77777777" w:rsidR="003B5F50" w:rsidRDefault="000D2D85">
            <w:pPr>
              <w:pStyle w:val="P68B1DB1-Normal42"/>
              <w:spacing w:after="0" w:line="259" w:lineRule="auto"/>
              <w:rPr>
                <w:rFonts w:eastAsia="Times New Roman"/>
                <w:noProof/>
                <w:szCs w:val="20"/>
              </w:rPr>
            </w:pPr>
            <w:r>
              <w:rPr>
                <w:noProof/>
              </w:rPr>
              <w:t>Approbation par le Ministère de l'éducation, de la science, de la recherche et des sports de la République slovaque du programme actualisé des écoles professionnelles secondaires et du programme de formation des enseignants et des adultes</w:t>
            </w:r>
          </w:p>
          <w:p w14:paraId="50B4BC34" w14:textId="77777777" w:rsidR="003B5F50" w:rsidRDefault="003B5F50">
            <w:pPr>
              <w:spacing w:line="259" w:lineRule="auto"/>
              <w:rPr>
                <w:rFonts w:ascii="Times New Roman" w:eastAsia="Times New Roman" w:hAnsi="Times New Roman" w:cs="Arial"/>
                <w:noProof/>
                <w:color w:val="006100"/>
                <w:sz w:val="20"/>
                <w:szCs w:val="20"/>
              </w:rPr>
            </w:pPr>
          </w:p>
          <w:p w14:paraId="50B4BC35" w14:textId="77777777" w:rsidR="003B5F50" w:rsidRDefault="003B5F50">
            <w:pPr>
              <w:spacing w:after="0" w:line="259" w:lineRule="auto"/>
              <w:rPr>
                <w:rFonts w:ascii="Times New Roman" w:eastAsia="MS Mincho" w:hAnsi="Times New Roman" w:cs="Arial"/>
                <w:noProof/>
                <w:color w:val="006100"/>
                <w:sz w:val="20"/>
                <w:szCs w:val="22"/>
              </w:rPr>
            </w:pPr>
          </w:p>
        </w:tc>
        <w:tc>
          <w:tcPr>
            <w:tcW w:w="1559" w:type="dxa"/>
            <w:shd w:val="clear" w:color="auto" w:fill="C6EFCE"/>
            <w:noWrap/>
          </w:tcPr>
          <w:p w14:paraId="50B4BC36" w14:textId="77777777" w:rsidR="003B5F50" w:rsidRDefault="000D2D85">
            <w:pPr>
              <w:pStyle w:val="P68B1DB1-Normal42"/>
              <w:spacing w:after="0" w:line="259" w:lineRule="auto"/>
              <w:rPr>
                <w:noProof/>
              </w:rPr>
            </w:pPr>
            <w:r>
              <w:rPr>
                <w:noProof/>
              </w:rPr>
              <w:t> </w:t>
            </w:r>
          </w:p>
        </w:tc>
        <w:tc>
          <w:tcPr>
            <w:tcW w:w="1418" w:type="dxa"/>
            <w:shd w:val="clear" w:color="auto" w:fill="C6EFCE"/>
            <w:noWrap/>
          </w:tcPr>
          <w:p w14:paraId="50B4BC37" w14:textId="77777777" w:rsidR="003B5F50" w:rsidRDefault="000D2D85">
            <w:pPr>
              <w:pStyle w:val="P68B1DB1-Normal42"/>
              <w:spacing w:after="0" w:line="259" w:lineRule="auto"/>
              <w:rPr>
                <w:noProof/>
              </w:rPr>
            </w:pPr>
            <w:r>
              <w:rPr>
                <w:noProof/>
              </w:rPr>
              <w:t> </w:t>
            </w:r>
          </w:p>
        </w:tc>
        <w:tc>
          <w:tcPr>
            <w:tcW w:w="992" w:type="dxa"/>
            <w:shd w:val="clear" w:color="auto" w:fill="C6EFCE"/>
            <w:noWrap/>
          </w:tcPr>
          <w:p w14:paraId="50B4BC38" w14:textId="77777777" w:rsidR="003B5F50" w:rsidRDefault="000D2D85">
            <w:pPr>
              <w:pStyle w:val="P68B1DB1-Normal42"/>
              <w:spacing w:after="0" w:line="259" w:lineRule="auto"/>
              <w:rPr>
                <w:noProof/>
                <w:szCs w:val="20"/>
              </w:rPr>
            </w:pPr>
            <w:r>
              <w:rPr>
                <w:noProof/>
              </w:rPr>
              <w:t> </w:t>
            </w:r>
          </w:p>
        </w:tc>
        <w:tc>
          <w:tcPr>
            <w:tcW w:w="1134" w:type="dxa"/>
            <w:shd w:val="clear" w:color="auto" w:fill="C6EFCE"/>
            <w:noWrap/>
          </w:tcPr>
          <w:p w14:paraId="50B4BC39" w14:textId="77777777" w:rsidR="003B5F50" w:rsidRDefault="000D2D85">
            <w:pPr>
              <w:pStyle w:val="P68B1DB1-Normal42"/>
              <w:spacing w:after="0" w:line="259" w:lineRule="auto"/>
              <w:rPr>
                <w:rFonts w:eastAsia="Times New Roman"/>
                <w:noProof/>
                <w:szCs w:val="20"/>
              </w:rPr>
            </w:pPr>
            <w:r>
              <w:rPr>
                <w:noProof/>
              </w:rPr>
              <w:t>T4</w:t>
            </w:r>
          </w:p>
          <w:p w14:paraId="50B4BC3A" w14:textId="77777777" w:rsidR="003B5F50" w:rsidRDefault="000D2D85">
            <w:pPr>
              <w:pStyle w:val="P68B1DB1-Normal42"/>
              <w:spacing w:after="0" w:line="240" w:lineRule="auto"/>
              <w:jc w:val="both"/>
              <w:textAlignment w:val="baseline"/>
              <w:rPr>
                <w:noProof/>
              </w:rPr>
            </w:pPr>
            <w:r>
              <w:rPr>
                <w:noProof/>
              </w:rPr>
              <w:t> </w:t>
            </w:r>
          </w:p>
        </w:tc>
        <w:tc>
          <w:tcPr>
            <w:tcW w:w="1134" w:type="dxa"/>
            <w:shd w:val="clear" w:color="auto" w:fill="C6EFCE"/>
            <w:noWrap/>
          </w:tcPr>
          <w:p w14:paraId="50B4BC3B" w14:textId="77777777" w:rsidR="003B5F50" w:rsidRDefault="000D2D85">
            <w:pPr>
              <w:pStyle w:val="P68B1DB1-Normal42"/>
              <w:spacing w:after="0" w:line="240" w:lineRule="auto"/>
              <w:textAlignment w:val="baseline"/>
              <w:rPr>
                <w:rFonts w:eastAsia="Times New Roman"/>
                <w:noProof/>
                <w:szCs w:val="20"/>
              </w:rPr>
            </w:pPr>
            <w:r>
              <w:rPr>
                <w:noProof/>
              </w:rPr>
              <w:t>2024 </w:t>
            </w:r>
          </w:p>
          <w:p w14:paraId="50B4BC3C" w14:textId="77777777" w:rsidR="003B5F50" w:rsidRDefault="000D2D85">
            <w:pPr>
              <w:pStyle w:val="P68B1DB1-Normal42"/>
              <w:spacing w:after="0" w:line="240" w:lineRule="auto"/>
              <w:jc w:val="both"/>
              <w:textAlignment w:val="baseline"/>
              <w:rPr>
                <w:noProof/>
              </w:rPr>
            </w:pPr>
            <w:r>
              <w:rPr>
                <w:noProof/>
              </w:rPr>
              <w:t> </w:t>
            </w:r>
          </w:p>
        </w:tc>
        <w:tc>
          <w:tcPr>
            <w:tcW w:w="2126" w:type="dxa"/>
            <w:shd w:val="clear" w:color="auto" w:fill="C6EFCE"/>
          </w:tcPr>
          <w:p w14:paraId="50B4BC3D" w14:textId="77777777" w:rsidR="003B5F50" w:rsidRDefault="000D2D85">
            <w:pPr>
              <w:pStyle w:val="P68B1DB1-Normal42"/>
              <w:spacing w:after="0" w:line="240" w:lineRule="auto"/>
              <w:jc w:val="both"/>
              <w:textAlignment w:val="baseline"/>
              <w:rPr>
                <w:noProof/>
                <w:szCs w:val="20"/>
              </w:rPr>
            </w:pPr>
            <w:r>
              <w:rPr>
                <w:noProof/>
              </w:rPr>
              <w:t>Le programme actualisé ainsi que le programme des enseignants sont élaborés conformément à la classification ESCO (Classification européenne des professions, des compétences et des compétences) des compétences vertes. Le programme actualisé est approuvé par les écoles professionnelles secondaires, le programme des enseignants est approuvé par le ministère de l’éducation, des sciences, de la recherche et des sports de la République slovaque.</w:t>
            </w:r>
          </w:p>
        </w:tc>
      </w:tr>
      <w:tr w:rsidR="003B5F50" w14:paraId="50B4BC50" w14:textId="77777777" w:rsidTr="00F8541A">
        <w:trPr>
          <w:trHeight w:val="961"/>
        </w:trPr>
        <w:tc>
          <w:tcPr>
            <w:tcW w:w="738" w:type="dxa"/>
            <w:shd w:val="clear" w:color="auto" w:fill="C6EFCE"/>
            <w:noWrap/>
          </w:tcPr>
          <w:p w14:paraId="50B4BC3F" w14:textId="77777777" w:rsidR="003B5F50" w:rsidRDefault="000D2D85">
            <w:pPr>
              <w:pStyle w:val="P68B1DB1-Normal42"/>
              <w:spacing w:after="0" w:line="240" w:lineRule="auto"/>
              <w:textAlignment w:val="baseline"/>
              <w:rPr>
                <w:rFonts w:eastAsia="Times New Roman"/>
                <w:noProof/>
                <w:szCs w:val="20"/>
              </w:rPr>
            </w:pPr>
            <w:r>
              <w:rPr>
                <w:noProof/>
              </w:rPr>
              <w:t>29 </w:t>
            </w:r>
          </w:p>
          <w:p w14:paraId="50B4BC40" w14:textId="77777777" w:rsidR="003B5F50" w:rsidRDefault="000D2D85">
            <w:pPr>
              <w:pStyle w:val="P68B1DB1-Normal42"/>
              <w:spacing w:after="0" w:line="240" w:lineRule="auto"/>
              <w:textAlignment w:val="baseline"/>
              <w:rPr>
                <w:noProof/>
                <w:szCs w:val="20"/>
              </w:rPr>
            </w:pPr>
            <w:r>
              <w:rPr>
                <w:noProof/>
              </w:rPr>
              <w:t> </w:t>
            </w:r>
          </w:p>
        </w:tc>
        <w:tc>
          <w:tcPr>
            <w:tcW w:w="1701" w:type="dxa"/>
            <w:shd w:val="clear" w:color="auto" w:fill="C6EFCE"/>
          </w:tcPr>
          <w:p w14:paraId="50B4BC41" w14:textId="77777777" w:rsidR="003B5F50" w:rsidRDefault="000D2D85">
            <w:pPr>
              <w:pStyle w:val="P68B1DB1-Normal42"/>
              <w:spacing w:after="0" w:line="259" w:lineRule="auto"/>
              <w:rPr>
                <w:rFonts w:eastAsia="Times New Roman"/>
                <w:noProof/>
                <w:szCs w:val="20"/>
              </w:rPr>
            </w:pPr>
            <w:r>
              <w:rPr>
                <w:noProof/>
              </w:rPr>
              <w:t xml:space="preserve">29 – REPowerEU – Investissement 7: </w:t>
            </w:r>
          </w:p>
          <w:p w14:paraId="50B4BC42" w14:textId="77777777" w:rsidR="003B5F50" w:rsidRDefault="000D2D85">
            <w:pPr>
              <w:pStyle w:val="P68B1DB1-Normal42"/>
              <w:spacing w:after="0" w:line="259" w:lineRule="auto"/>
              <w:rPr>
                <w:noProof/>
                <w:szCs w:val="20"/>
              </w:rPr>
            </w:pPr>
            <w:r>
              <w:rPr>
                <w:noProof/>
              </w:rPr>
              <w:t>matériel scolaire et formation des enseignants</w:t>
            </w:r>
          </w:p>
        </w:tc>
        <w:tc>
          <w:tcPr>
            <w:tcW w:w="1276" w:type="dxa"/>
            <w:shd w:val="clear" w:color="auto" w:fill="C6EFCE"/>
            <w:noWrap/>
          </w:tcPr>
          <w:p w14:paraId="50B4BC43" w14:textId="77777777" w:rsidR="003B5F50" w:rsidRDefault="000D2D85">
            <w:pPr>
              <w:pStyle w:val="P68B1DB1-Normal43"/>
              <w:spacing w:after="0" w:line="259" w:lineRule="auto"/>
              <w:rPr>
                <w:rFonts w:eastAsia="Times New Roman"/>
                <w:noProof/>
              </w:rPr>
            </w:pPr>
            <w:r>
              <w:rPr>
                <w:noProof/>
              </w:rPr>
              <w:t>Étape</w:t>
            </w:r>
          </w:p>
          <w:p w14:paraId="50B4BC44" w14:textId="77777777" w:rsidR="003B5F50" w:rsidRDefault="000D2D85">
            <w:pPr>
              <w:pStyle w:val="P68B1DB1-Normal42"/>
              <w:spacing w:after="0" w:line="259" w:lineRule="auto"/>
              <w:rPr>
                <w:noProof/>
                <w:szCs w:val="20"/>
              </w:rPr>
            </w:pPr>
            <w:r>
              <w:rPr>
                <w:noProof/>
              </w:rPr>
              <w:t> </w:t>
            </w:r>
          </w:p>
        </w:tc>
        <w:tc>
          <w:tcPr>
            <w:tcW w:w="992" w:type="dxa"/>
            <w:shd w:val="clear" w:color="auto" w:fill="C6EFCE"/>
          </w:tcPr>
          <w:p w14:paraId="50B4BC45" w14:textId="128FF3AB" w:rsidR="003B5F50" w:rsidRDefault="000D2D85">
            <w:pPr>
              <w:pStyle w:val="P68B1DB1-Normal43"/>
              <w:spacing w:after="0" w:line="259" w:lineRule="auto"/>
              <w:rPr>
                <w:noProof/>
              </w:rPr>
            </w:pPr>
            <w:r>
              <w:rPr>
                <w:noProof/>
              </w:rPr>
              <w:t xml:space="preserve">Nouveaux modules de formation dans les programmes éducatifs des écoles secondaires professionnelles dispensés au cours de l’année scolaire 2025/26  </w:t>
            </w:r>
          </w:p>
        </w:tc>
        <w:tc>
          <w:tcPr>
            <w:tcW w:w="1559" w:type="dxa"/>
            <w:shd w:val="clear" w:color="auto" w:fill="C6EFCE"/>
          </w:tcPr>
          <w:p w14:paraId="50B4BC46" w14:textId="77777777" w:rsidR="003B5F50" w:rsidRDefault="000D2D85">
            <w:pPr>
              <w:pStyle w:val="P68B1DB1-Normal43"/>
              <w:spacing w:after="0" w:line="259" w:lineRule="auto"/>
              <w:rPr>
                <w:noProof/>
              </w:rPr>
            </w:pPr>
            <w:r>
              <w:rPr>
                <w:noProof/>
              </w:rPr>
              <w:t>Fourniture de sources d'énergie renouvelables et de cours d'électromobilité dans les écoles professionnelles secondaires</w:t>
            </w:r>
          </w:p>
        </w:tc>
        <w:tc>
          <w:tcPr>
            <w:tcW w:w="1559" w:type="dxa"/>
            <w:shd w:val="clear" w:color="auto" w:fill="C6EFCE"/>
            <w:noWrap/>
          </w:tcPr>
          <w:p w14:paraId="50B4BC47" w14:textId="77777777" w:rsidR="003B5F50" w:rsidRDefault="003B5F50">
            <w:pPr>
              <w:spacing w:after="0" w:line="259" w:lineRule="auto"/>
              <w:rPr>
                <w:rFonts w:ascii="Times New Roman" w:eastAsia="MS Mincho" w:hAnsi="Times New Roman" w:cs="Arial"/>
                <w:noProof/>
                <w:color w:val="006100"/>
                <w:sz w:val="20"/>
                <w:szCs w:val="20"/>
              </w:rPr>
            </w:pPr>
          </w:p>
        </w:tc>
        <w:tc>
          <w:tcPr>
            <w:tcW w:w="1418" w:type="dxa"/>
            <w:shd w:val="clear" w:color="auto" w:fill="C6EFCE"/>
            <w:noWrap/>
          </w:tcPr>
          <w:p w14:paraId="50B4BC48" w14:textId="77777777" w:rsidR="003B5F50" w:rsidRDefault="000D2D85">
            <w:pPr>
              <w:pStyle w:val="P68B1DB1-Normal43"/>
              <w:spacing w:after="0" w:line="259" w:lineRule="auto"/>
              <w:rPr>
                <w:noProof/>
              </w:rPr>
            </w:pPr>
            <w:r>
              <w:rPr>
                <w:noProof/>
              </w:rPr>
              <w:t> </w:t>
            </w:r>
          </w:p>
        </w:tc>
        <w:tc>
          <w:tcPr>
            <w:tcW w:w="992" w:type="dxa"/>
            <w:shd w:val="clear" w:color="auto" w:fill="C6EFCE"/>
            <w:noWrap/>
          </w:tcPr>
          <w:p w14:paraId="50B4BC49" w14:textId="77777777" w:rsidR="003B5F50" w:rsidRDefault="003B5F50">
            <w:pPr>
              <w:spacing w:after="0" w:line="259" w:lineRule="auto"/>
              <w:rPr>
                <w:rFonts w:ascii="Times New Roman" w:eastAsia="MS Mincho" w:hAnsi="Times New Roman" w:cs="Arial"/>
                <w:noProof/>
                <w:color w:val="006100"/>
                <w:sz w:val="20"/>
                <w:szCs w:val="20"/>
              </w:rPr>
            </w:pPr>
          </w:p>
        </w:tc>
        <w:tc>
          <w:tcPr>
            <w:tcW w:w="1134" w:type="dxa"/>
            <w:shd w:val="clear" w:color="auto" w:fill="C6EFCE"/>
            <w:noWrap/>
          </w:tcPr>
          <w:p w14:paraId="50B4BC4A" w14:textId="52B42461" w:rsidR="003B5F50" w:rsidRDefault="000D2D85">
            <w:pPr>
              <w:pStyle w:val="P68B1DB1-Normal43"/>
              <w:spacing w:after="0" w:line="259" w:lineRule="auto"/>
              <w:rPr>
                <w:rFonts w:eastAsia="Times New Roman"/>
                <w:noProof/>
              </w:rPr>
            </w:pPr>
            <w:r>
              <w:rPr>
                <w:noProof/>
              </w:rPr>
              <w:t xml:space="preserve">T4 </w:t>
            </w:r>
          </w:p>
          <w:p w14:paraId="50B4BC4B" w14:textId="77777777" w:rsidR="003B5F50" w:rsidRDefault="000D2D85">
            <w:pPr>
              <w:pStyle w:val="P68B1DB1-Normal42"/>
              <w:spacing w:after="0" w:line="259" w:lineRule="auto"/>
              <w:rPr>
                <w:noProof/>
                <w:szCs w:val="20"/>
              </w:rPr>
            </w:pPr>
            <w:r>
              <w:rPr>
                <w:noProof/>
              </w:rPr>
              <w:t> </w:t>
            </w:r>
          </w:p>
        </w:tc>
        <w:tc>
          <w:tcPr>
            <w:tcW w:w="1134" w:type="dxa"/>
            <w:shd w:val="clear" w:color="auto" w:fill="C6EFCE"/>
            <w:noWrap/>
          </w:tcPr>
          <w:p w14:paraId="50B4BC4C" w14:textId="77777777" w:rsidR="003B5F50" w:rsidRDefault="000D2D85">
            <w:pPr>
              <w:pStyle w:val="P68B1DB1-Normal43"/>
              <w:spacing w:after="0" w:line="259" w:lineRule="auto"/>
              <w:rPr>
                <w:rFonts w:eastAsia="Times New Roman"/>
                <w:noProof/>
              </w:rPr>
            </w:pPr>
            <w:r>
              <w:rPr>
                <w:noProof/>
              </w:rPr>
              <w:t>2025 </w:t>
            </w:r>
          </w:p>
          <w:p w14:paraId="50B4BC4D" w14:textId="77777777" w:rsidR="003B5F50" w:rsidRDefault="000D2D85">
            <w:pPr>
              <w:pStyle w:val="P68B1DB1-Normal42"/>
              <w:spacing w:after="0" w:line="259" w:lineRule="auto"/>
              <w:rPr>
                <w:noProof/>
                <w:szCs w:val="20"/>
              </w:rPr>
            </w:pPr>
            <w:r>
              <w:rPr>
                <w:noProof/>
              </w:rPr>
              <w:t> </w:t>
            </w:r>
          </w:p>
        </w:tc>
        <w:tc>
          <w:tcPr>
            <w:tcW w:w="2126" w:type="dxa"/>
            <w:shd w:val="clear" w:color="auto" w:fill="C6EFCE"/>
          </w:tcPr>
          <w:p w14:paraId="50B4BC4E" w14:textId="77777777" w:rsidR="003B5F50" w:rsidRDefault="000D2D85">
            <w:pPr>
              <w:pStyle w:val="P68B1DB1-Normal43"/>
              <w:spacing w:after="0" w:line="259" w:lineRule="auto"/>
              <w:jc w:val="both"/>
              <w:rPr>
                <w:noProof/>
              </w:rPr>
            </w:pPr>
            <w:r>
              <w:rPr>
                <w:noProof/>
              </w:rPr>
              <w:t>Des modules dans le domaine des sources d’énergie renouvelables et de l’électromobilité sont fournis dans 13 écoles professionnelles secondaires à partir de l’année scolaire 2025/26, dans un espace équipé et adapté, par des enseignants formés.</w:t>
            </w:r>
          </w:p>
          <w:p w14:paraId="50B4BC4F" w14:textId="77777777" w:rsidR="003B5F50" w:rsidRDefault="003B5F50">
            <w:pPr>
              <w:spacing w:after="0" w:line="259" w:lineRule="auto"/>
              <w:jc w:val="both"/>
              <w:rPr>
                <w:rFonts w:ascii="Times New Roman" w:eastAsia="MS Mincho" w:hAnsi="Times New Roman" w:cs="Arial"/>
                <w:noProof/>
                <w:color w:val="006100"/>
                <w:sz w:val="20"/>
                <w:szCs w:val="20"/>
              </w:rPr>
            </w:pPr>
          </w:p>
        </w:tc>
      </w:tr>
    </w:tbl>
    <w:p w14:paraId="50B4BC63" w14:textId="77777777" w:rsidR="003B5F50" w:rsidRDefault="003B5F50">
      <w:pPr>
        <w:spacing w:after="0" w:line="240" w:lineRule="auto"/>
        <w:jc w:val="both"/>
        <w:rPr>
          <w:rFonts w:ascii="Times New Roman" w:eastAsia="MS Mincho" w:hAnsi="Times New Roman" w:cs="Arial"/>
          <w:noProof/>
        </w:rPr>
      </w:pPr>
    </w:p>
    <w:p w14:paraId="50B4BC64" w14:textId="77777777" w:rsidR="003B5F50" w:rsidRDefault="003B5F50">
      <w:pPr>
        <w:rPr>
          <w:noProof/>
        </w:rPr>
      </w:pPr>
    </w:p>
    <w:p w14:paraId="50B4BC65" w14:textId="77777777" w:rsidR="003B5F50" w:rsidRDefault="003B5F50">
      <w:pPr>
        <w:spacing w:before="120" w:after="120" w:line="240" w:lineRule="auto"/>
        <w:rPr>
          <w:rFonts w:ascii="Times New Roman" w:eastAsia="MS Mincho" w:hAnsi="Times New Roman" w:cs="Arial"/>
          <w:noProof/>
        </w:rPr>
      </w:pPr>
    </w:p>
    <w:p w14:paraId="50B4BC66" w14:textId="77777777" w:rsidR="003B5F50" w:rsidRDefault="003B5F50">
      <w:pPr>
        <w:spacing w:before="120" w:after="120" w:line="240" w:lineRule="auto"/>
        <w:jc w:val="both"/>
        <w:rPr>
          <w:rFonts w:ascii="Times New Roman" w:hAnsi="Times New Roman"/>
          <w:noProof/>
        </w:rPr>
        <w:sectPr w:rsidR="003B5F50" w:rsidSect="003E3DD3">
          <w:headerReference w:type="default" r:id="rId239"/>
          <w:footerReference w:type="default" r:id="rId240"/>
          <w:pgSz w:w="15840" w:h="12240" w:orient="landscape"/>
          <w:pgMar w:top="1134" w:right="1134" w:bottom="1134" w:left="1134" w:header="567" w:footer="567" w:gutter="0"/>
          <w:cols w:space="720"/>
          <w:docGrid w:linePitch="360"/>
        </w:sectPr>
      </w:pPr>
      <w:bookmarkStart w:id="10" w:name="_Hlk134596125"/>
      <w:bookmarkEnd w:id="10"/>
    </w:p>
    <w:p w14:paraId="50B4BC67" w14:textId="77777777" w:rsidR="003B5F50" w:rsidRDefault="000D2D85">
      <w:pPr>
        <w:pStyle w:val="P68B1DB1-ListParagraph82"/>
        <w:numPr>
          <w:ilvl w:val="0"/>
          <w:numId w:val="24"/>
        </w:numPr>
        <w:rPr>
          <w:noProof/>
        </w:rPr>
      </w:pPr>
      <w:r>
        <w:rPr>
          <w:noProof/>
        </w:rPr>
        <w:t>Coût total estimé du plan pour la reprise et la résilience</w:t>
      </w:r>
    </w:p>
    <w:p w14:paraId="50B4BC68" w14:textId="77777777" w:rsidR="003B5F50" w:rsidRDefault="000D2D85">
      <w:pPr>
        <w:pStyle w:val="Text1"/>
        <w:ind w:left="0"/>
        <w:rPr>
          <w:noProof/>
        </w:rPr>
      </w:pPr>
      <w:r>
        <w:rPr>
          <w:noProof/>
        </w:rPr>
        <w:t>Le coût total du plan pour la reprise et la résilience de la Slovaquie est estimé à 6 408 465 020 EUR.</w:t>
      </w:r>
    </w:p>
    <w:p w14:paraId="50B4BC69" w14:textId="16DA0579" w:rsidR="003B5F50" w:rsidRDefault="000D2D85">
      <w:pPr>
        <w:pStyle w:val="NormalWeb"/>
        <w:rPr>
          <w:noProof/>
        </w:rPr>
      </w:pPr>
      <w:r>
        <w:rPr>
          <w:noProof/>
        </w:rPr>
        <w:t>Le coût total du chapitre REPowerEU est estimé à 403 000 000 EUR. En particulier, le coût total estimé des mesures visées à l’article 21 quater, paragraphe 3, point a), du règlement (UE) 2023/435 est de 0 EUR, tandis que le coût des autres mesures du chapitre REPowerEU est de 403 000 000 EUR.</w:t>
      </w:r>
    </w:p>
    <w:p w14:paraId="50B4BC6A" w14:textId="77777777" w:rsidR="003B5F50" w:rsidRDefault="003B5F50">
      <w:pPr>
        <w:spacing w:after="0" w:line="240" w:lineRule="auto"/>
        <w:textAlignment w:val="baseline"/>
        <w:rPr>
          <w:rFonts w:ascii="Times New Roman" w:eastAsia="MS Mincho" w:hAnsi="Times New Roman" w:cs="Arial"/>
          <w:b/>
          <w:noProof/>
          <w:szCs w:val="22"/>
        </w:rPr>
      </w:pPr>
    </w:p>
    <w:p w14:paraId="50B4BC6B" w14:textId="77777777" w:rsidR="003B5F50" w:rsidRDefault="000D2D85">
      <w:pPr>
        <w:pStyle w:val="P68B1DB1-Normal39"/>
        <w:spacing w:after="0" w:line="240" w:lineRule="auto"/>
        <w:textAlignment w:val="baseline"/>
        <w:rPr>
          <w:rFonts w:eastAsia="Times New Roman" w:cs="Times New Roman"/>
          <w:noProof/>
        </w:rPr>
      </w:pPr>
      <w:r>
        <w:rPr>
          <w:noProof/>
        </w:rPr>
        <w:t xml:space="preserve">SECTION 2: SOUTIEN FINANCIER </w:t>
      </w:r>
    </w:p>
    <w:p w14:paraId="50B4BC6C" w14:textId="77777777" w:rsidR="003B5F50" w:rsidRDefault="003B5F50">
      <w:pPr>
        <w:spacing w:after="0" w:line="240" w:lineRule="auto"/>
        <w:textAlignment w:val="baseline"/>
        <w:rPr>
          <w:rFonts w:ascii="Segoe UI" w:eastAsia="Times New Roman" w:hAnsi="Segoe UI" w:cs="Segoe UI"/>
          <w:noProof/>
          <w:sz w:val="18"/>
          <w:szCs w:val="18"/>
        </w:rPr>
      </w:pPr>
    </w:p>
    <w:p w14:paraId="50B4BC6D" w14:textId="4D127EF3" w:rsidR="003B5F50" w:rsidRDefault="000D2D85">
      <w:pPr>
        <w:pStyle w:val="P68B1DB1-Normal39"/>
        <w:numPr>
          <w:ilvl w:val="0"/>
          <w:numId w:val="46"/>
        </w:numPr>
        <w:spacing w:after="0" w:line="240" w:lineRule="auto"/>
        <w:ind w:left="225" w:firstLine="0"/>
        <w:jc w:val="both"/>
        <w:textAlignment w:val="baseline"/>
        <w:rPr>
          <w:rFonts w:eastAsia="Times New Roman" w:cs="Times New Roman"/>
          <w:noProof/>
        </w:rPr>
      </w:pPr>
      <w:r>
        <w:rPr>
          <w:noProof/>
        </w:rPr>
        <w:t xml:space="preserve">Contribution financière </w:t>
      </w:r>
    </w:p>
    <w:p w14:paraId="50B4BC6E" w14:textId="77777777" w:rsidR="003B5F50" w:rsidRDefault="000D2D85">
      <w:pPr>
        <w:pStyle w:val="P68B1DB1-Normal36"/>
        <w:spacing w:after="0" w:line="240" w:lineRule="auto"/>
        <w:jc w:val="both"/>
        <w:textAlignment w:val="baseline"/>
        <w:rPr>
          <w:rFonts w:ascii="Segoe UI" w:eastAsia="Times New Roman" w:hAnsi="Segoe UI" w:cs="Segoe UI"/>
          <w:noProof/>
          <w:sz w:val="18"/>
          <w:szCs w:val="18"/>
        </w:rPr>
      </w:pPr>
      <w:r>
        <w:rPr>
          <w:noProof/>
        </w:rPr>
        <w:t>Les tranches visées à l'article 2, paragraphe 2, sont organisées de la manière suivante: </w:t>
      </w:r>
    </w:p>
    <w:p w14:paraId="50B4BC6F" w14:textId="77777777" w:rsidR="003B5F50" w:rsidRDefault="000D2D85">
      <w:pPr>
        <w:pStyle w:val="P68B1DB1-Normal36"/>
        <w:spacing w:after="0" w:line="240" w:lineRule="auto"/>
        <w:jc w:val="both"/>
        <w:textAlignment w:val="baseline"/>
        <w:rPr>
          <w:rFonts w:ascii="Segoe UI" w:eastAsia="Times New Roman" w:hAnsi="Segoe UI" w:cs="Segoe UI"/>
          <w:noProof/>
          <w:sz w:val="18"/>
          <w:szCs w:val="18"/>
        </w:rPr>
      </w:pPr>
      <w:r>
        <w:rPr>
          <w:noProof/>
        </w:rPr>
        <w:t> </w:t>
      </w:r>
    </w:p>
    <w:p w14:paraId="50B4BC70" w14:textId="7755212E" w:rsidR="003B5F50" w:rsidRDefault="000D2D85">
      <w:pPr>
        <w:pStyle w:val="P68B1DB1-Normal39"/>
        <w:numPr>
          <w:ilvl w:val="0"/>
          <w:numId w:val="47"/>
        </w:numPr>
        <w:spacing w:after="0" w:line="240" w:lineRule="auto"/>
        <w:ind w:firstLine="0"/>
        <w:jc w:val="both"/>
        <w:textAlignment w:val="baseline"/>
        <w:rPr>
          <w:rFonts w:eastAsia="Times New Roman" w:cs="Times New Roman"/>
          <w:noProof/>
        </w:rPr>
      </w:pPr>
      <w:r>
        <w:rPr>
          <w:noProof/>
        </w:rPr>
        <w:t xml:space="preserve">Première tranche (soutien non remboursable): </w:t>
      </w:r>
    </w:p>
    <w:p w14:paraId="50B4BC71" w14:textId="77777777" w:rsidR="003B5F50" w:rsidRDefault="000D2D85">
      <w:pPr>
        <w:pStyle w:val="P68B1DB1-Normal83"/>
        <w:spacing w:after="0" w:line="240" w:lineRule="auto"/>
        <w:textAlignment w:val="baseline"/>
        <w:rPr>
          <w:rFonts w:ascii="Segoe UI" w:eastAsia="Times New Roman" w:hAnsi="Segoe UI" w:cs="Segoe UI"/>
          <w:noProof/>
          <w:sz w:val="18"/>
          <w:szCs w:val="18"/>
        </w:rPr>
      </w:pPr>
      <w:r>
        <w:rPr>
          <w:noProof/>
        </w:rPr>
        <w:t> </w:t>
      </w:r>
    </w:p>
    <w:tbl>
      <w:tblPr>
        <w:tblW w:w="0"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4"/>
        <w:gridCol w:w="3825"/>
        <w:gridCol w:w="1168"/>
        <w:gridCol w:w="3997"/>
      </w:tblGrid>
      <w:tr w:rsidR="003B5F50" w14:paraId="50B4BC76" w14:textId="77777777">
        <w:trPr>
          <w:trHeight w:val="1305"/>
          <w:tblHeader/>
        </w:trPr>
        <w:tc>
          <w:tcPr>
            <w:tcW w:w="1275" w:type="dxa"/>
            <w:shd w:val="clear" w:color="auto" w:fill="BDD7EE"/>
            <w:vAlign w:val="center"/>
            <w:hideMark/>
          </w:tcPr>
          <w:p w14:paraId="50B4BC72" w14:textId="77777777" w:rsidR="003B5F50" w:rsidRDefault="000D2D85">
            <w:pPr>
              <w:pStyle w:val="P68B1DB1-Normal84"/>
              <w:spacing w:after="0" w:line="240" w:lineRule="auto"/>
              <w:jc w:val="center"/>
              <w:textAlignment w:val="baseline"/>
              <w:rPr>
                <w:rFonts w:eastAsia="Times New Roman"/>
                <w:noProof/>
              </w:rPr>
            </w:pPr>
            <w:r>
              <w:rPr>
                <w:b/>
                <w:noProof/>
              </w:rPr>
              <w:t>Numéro séquentiel</w:t>
            </w:r>
            <w:r>
              <w:rPr>
                <w:noProof/>
              </w:rPr>
              <w:t> </w:t>
            </w:r>
          </w:p>
        </w:tc>
        <w:tc>
          <w:tcPr>
            <w:tcW w:w="3960" w:type="dxa"/>
            <w:shd w:val="clear" w:color="auto" w:fill="BDD7EE"/>
            <w:vAlign w:val="center"/>
            <w:hideMark/>
          </w:tcPr>
          <w:p w14:paraId="50B4BC73" w14:textId="77777777" w:rsidR="003B5F50" w:rsidRDefault="000D2D85">
            <w:pPr>
              <w:pStyle w:val="P68B1DB1-Normal84"/>
              <w:spacing w:after="0" w:line="240" w:lineRule="auto"/>
              <w:jc w:val="center"/>
              <w:textAlignment w:val="baseline"/>
              <w:rPr>
                <w:rFonts w:eastAsia="Times New Roman"/>
                <w:noProof/>
              </w:rPr>
            </w:pPr>
            <w:r>
              <w:rPr>
                <w:b/>
                <w:noProof/>
              </w:rPr>
              <w:t>Mesure connexe (réforme ou investissement)</w:t>
            </w:r>
            <w:r>
              <w:rPr>
                <w:noProof/>
              </w:rPr>
              <w:t> </w:t>
            </w:r>
          </w:p>
        </w:tc>
        <w:tc>
          <w:tcPr>
            <w:tcW w:w="1170" w:type="dxa"/>
            <w:shd w:val="clear" w:color="auto" w:fill="BDD7EE"/>
            <w:vAlign w:val="center"/>
            <w:hideMark/>
          </w:tcPr>
          <w:p w14:paraId="50B4BC74" w14:textId="77777777" w:rsidR="003B5F50" w:rsidRDefault="000D2D85">
            <w:pPr>
              <w:pStyle w:val="P68B1DB1-Normal84"/>
              <w:spacing w:after="0" w:line="240" w:lineRule="auto"/>
              <w:jc w:val="center"/>
              <w:textAlignment w:val="baseline"/>
              <w:rPr>
                <w:rFonts w:eastAsia="Times New Roman"/>
                <w:noProof/>
              </w:rPr>
            </w:pPr>
            <w:r>
              <w:rPr>
                <w:b/>
                <w:noProof/>
              </w:rPr>
              <w:t>Étape/cible</w:t>
            </w:r>
            <w:r>
              <w:rPr>
                <w:noProof/>
              </w:rPr>
              <w:t> </w:t>
            </w:r>
          </w:p>
        </w:tc>
        <w:tc>
          <w:tcPr>
            <w:tcW w:w="4140" w:type="dxa"/>
            <w:shd w:val="clear" w:color="auto" w:fill="BDD7EE"/>
            <w:vAlign w:val="center"/>
            <w:hideMark/>
          </w:tcPr>
          <w:p w14:paraId="50B4BC75" w14:textId="77777777" w:rsidR="003B5F50" w:rsidRDefault="000D2D85">
            <w:pPr>
              <w:pStyle w:val="P68B1DB1-Normal84"/>
              <w:spacing w:after="0" w:line="240" w:lineRule="auto"/>
              <w:jc w:val="center"/>
              <w:textAlignment w:val="baseline"/>
              <w:rPr>
                <w:rFonts w:eastAsia="Times New Roman"/>
                <w:noProof/>
              </w:rPr>
            </w:pPr>
            <w:r>
              <w:rPr>
                <w:b/>
                <w:noProof/>
              </w:rPr>
              <w:t>Nom</w:t>
            </w:r>
            <w:r>
              <w:rPr>
                <w:noProof/>
              </w:rPr>
              <w:t> </w:t>
            </w:r>
          </w:p>
        </w:tc>
      </w:tr>
      <w:tr w:rsidR="003B5F50" w14:paraId="50B4BC7B" w14:textId="77777777">
        <w:trPr>
          <w:trHeight w:val="1305"/>
        </w:trPr>
        <w:tc>
          <w:tcPr>
            <w:tcW w:w="1275" w:type="dxa"/>
            <w:shd w:val="clear" w:color="auto" w:fill="C6EFCE"/>
            <w:vAlign w:val="center"/>
            <w:hideMark/>
          </w:tcPr>
          <w:p w14:paraId="50B4BC77" w14:textId="77777777" w:rsidR="003B5F50" w:rsidRDefault="000D2D85">
            <w:pPr>
              <w:pStyle w:val="P68B1DB1-Normal48"/>
              <w:spacing w:after="0" w:line="240" w:lineRule="auto"/>
              <w:jc w:val="center"/>
              <w:textAlignment w:val="baseline"/>
              <w:rPr>
                <w:rFonts w:eastAsia="Times New Roman"/>
                <w:noProof/>
              </w:rPr>
            </w:pPr>
            <w:r>
              <w:rPr>
                <w:noProof/>
              </w:rPr>
              <w:t>1 </w:t>
            </w:r>
          </w:p>
        </w:tc>
        <w:tc>
          <w:tcPr>
            <w:tcW w:w="3960" w:type="dxa"/>
            <w:shd w:val="clear" w:color="auto" w:fill="C6EFCE"/>
            <w:vAlign w:val="center"/>
            <w:hideMark/>
          </w:tcPr>
          <w:p w14:paraId="50B4BC78" w14:textId="10307747" w:rsidR="003B5F50" w:rsidRDefault="000D2D85">
            <w:pPr>
              <w:spacing w:after="0" w:line="240" w:lineRule="auto"/>
              <w:jc w:val="center"/>
              <w:textAlignment w:val="baseline"/>
              <w:rPr>
                <w:rFonts w:ascii="Times New Roman" w:eastAsia="Times New Roman" w:hAnsi="Times New Roman" w:cs="Times New Roman"/>
                <w:noProof/>
              </w:rPr>
            </w:pPr>
            <w:r>
              <w:rPr>
                <w:rFonts w:ascii="Times New Roman" w:eastAsia="MS Mincho" w:hAnsi="Times New Roman" w:cs="Arial"/>
                <w:noProof/>
                <w:color w:val="006100"/>
                <w:sz w:val="20"/>
                <w:szCs w:val="22"/>
              </w:rPr>
              <w:t>1 - Sources d'énergie renouvelables et infrastructures énergétiques - Réforme 1: Adaptation du cadre juridique de l'électricité</w:t>
            </w:r>
            <w:r>
              <w:rPr>
                <w:rFonts w:ascii="Times New Roman" w:hAnsi="Times New Roman" w:cs="Times New Roman"/>
                <w:noProof/>
                <w:color w:val="000000"/>
              </w:rPr>
              <w:t xml:space="preserve"> </w:t>
            </w:r>
          </w:p>
        </w:tc>
        <w:tc>
          <w:tcPr>
            <w:tcW w:w="1170" w:type="dxa"/>
            <w:shd w:val="clear" w:color="auto" w:fill="C6EFCE"/>
            <w:vAlign w:val="center"/>
            <w:hideMark/>
          </w:tcPr>
          <w:p w14:paraId="50B4BC79"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7A" w14:textId="306CD25A" w:rsidR="003B5F50" w:rsidRDefault="000D2D85">
            <w:pPr>
              <w:pStyle w:val="P68B1DB1-Normal42"/>
              <w:spacing w:after="0" w:line="240" w:lineRule="auto"/>
              <w:jc w:val="center"/>
              <w:textAlignment w:val="baseline"/>
              <w:rPr>
                <w:noProof/>
              </w:rPr>
            </w:pPr>
            <w:r>
              <w:rPr>
                <w:noProof/>
              </w:rPr>
              <w:t xml:space="preserve">Libération des restrictions sur les capacités techniques de transport d'électricité à l'intérieur du réseau électrique slovaque </w:t>
            </w:r>
          </w:p>
        </w:tc>
      </w:tr>
      <w:tr w:rsidR="003B5F50" w14:paraId="50B4BC80" w14:textId="77777777">
        <w:trPr>
          <w:trHeight w:val="1305"/>
        </w:trPr>
        <w:tc>
          <w:tcPr>
            <w:tcW w:w="1275" w:type="dxa"/>
            <w:shd w:val="clear" w:color="auto" w:fill="C6EFCE"/>
            <w:vAlign w:val="center"/>
            <w:hideMark/>
          </w:tcPr>
          <w:p w14:paraId="50B4BC7C" w14:textId="77777777" w:rsidR="003B5F50" w:rsidRDefault="000D2D85">
            <w:pPr>
              <w:pStyle w:val="P68B1DB1-Normal48"/>
              <w:spacing w:after="0" w:line="240" w:lineRule="auto"/>
              <w:jc w:val="center"/>
              <w:textAlignment w:val="baseline"/>
              <w:rPr>
                <w:rFonts w:eastAsia="Times New Roman"/>
                <w:noProof/>
              </w:rPr>
            </w:pPr>
            <w:r>
              <w:rPr>
                <w:noProof/>
              </w:rPr>
              <w:t>2 </w:t>
            </w:r>
          </w:p>
        </w:tc>
        <w:tc>
          <w:tcPr>
            <w:tcW w:w="3960" w:type="dxa"/>
            <w:shd w:val="clear" w:color="auto" w:fill="C6EFCE"/>
            <w:vAlign w:val="center"/>
            <w:hideMark/>
          </w:tcPr>
          <w:p w14:paraId="50B4BC7D" w14:textId="77777777" w:rsidR="003B5F50" w:rsidRDefault="000D2D85">
            <w:pPr>
              <w:pStyle w:val="P68B1DB1-Normal42"/>
              <w:spacing w:after="0" w:line="240" w:lineRule="auto"/>
              <w:jc w:val="center"/>
              <w:textAlignment w:val="baseline"/>
              <w:rPr>
                <w:noProof/>
              </w:rPr>
            </w:pPr>
            <w:r>
              <w:rPr>
                <w:noProof/>
              </w:rPr>
              <w:t>3 - Transports durables - Réforme 1: Réforme de la préparation des projets d'investissement dans les transports </w:t>
            </w:r>
          </w:p>
        </w:tc>
        <w:tc>
          <w:tcPr>
            <w:tcW w:w="1170" w:type="dxa"/>
            <w:shd w:val="clear" w:color="auto" w:fill="C6EFCE"/>
            <w:vAlign w:val="center"/>
            <w:hideMark/>
          </w:tcPr>
          <w:p w14:paraId="50B4BC7E"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7F" w14:textId="77777777" w:rsidR="003B5F50" w:rsidRDefault="000D2D85">
            <w:pPr>
              <w:pStyle w:val="P68B1DB1-Normal42"/>
              <w:spacing w:after="0" w:line="240" w:lineRule="auto"/>
              <w:jc w:val="center"/>
              <w:textAlignment w:val="baseline"/>
              <w:rPr>
                <w:noProof/>
              </w:rPr>
            </w:pPr>
            <w:r>
              <w:rPr>
                <w:noProof/>
              </w:rPr>
              <w:t>Plan d'investissement pour les projets d'infrastructure ferroviaire </w:t>
            </w:r>
          </w:p>
        </w:tc>
      </w:tr>
      <w:tr w:rsidR="003B5F50" w14:paraId="50B4BC85" w14:textId="77777777">
        <w:trPr>
          <w:trHeight w:val="1305"/>
        </w:trPr>
        <w:tc>
          <w:tcPr>
            <w:tcW w:w="1275" w:type="dxa"/>
            <w:shd w:val="clear" w:color="auto" w:fill="C6EFCE"/>
            <w:vAlign w:val="center"/>
            <w:hideMark/>
          </w:tcPr>
          <w:p w14:paraId="50B4BC81" w14:textId="77777777" w:rsidR="003B5F50" w:rsidRDefault="000D2D85">
            <w:pPr>
              <w:pStyle w:val="P68B1DB1-Normal48"/>
              <w:spacing w:after="0" w:line="240" w:lineRule="auto"/>
              <w:jc w:val="center"/>
              <w:textAlignment w:val="baseline"/>
              <w:rPr>
                <w:rFonts w:eastAsia="Times New Roman"/>
                <w:noProof/>
              </w:rPr>
            </w:pPr>
            <w:r>
              <w:rPr>
                <w:noProof/>
              </w:rPr>
              <w:t>3 </w:t>
            </w:r>
          </w:p>
        </w:tc>
        <w:tc>
          <w:tcPr>
            <w:tcW w:w="3960" w:type="dxa"/>
            <w:shd w:val="clear" w:color="auto" w:fill="C6EFCE"/>
            <w:vAlign w:val="center"/>
            <w:hideMark/>
          </w:tcPr>
          <w:p w14:paraId="50B4BC82" w14:textId="77777777" w:rsidR="003B5F50" w:rsidRDefault="000D2D85">
            <w:pPr>
              <w:pStyle w:val="P68B1DB1-Normal42"/>
              <w:spacing w:after="0" w:line="240" w:lineRule="auto"/>
              <w:jc w:val="center"/>
              <w:textAlignment w:val="baseline"/>
              <w:rPr>
                <w:noProof/>
              </w:rPr>
            </w:pPr>
            <w:r>
              <w:rPr>
                <w:noProof/>
              </w:rPr>
              <w:t>3 - Transports durables - Réforme 1: Réforme de la préparation des projets d'investissement dans les transports </w:t>
            </w:r>
          </w:p>
        </w:tc>
        <w:tc>
          <w:tcPr>
            <w:tcW w:w="1170" w:type="dxa"/>
            <w:shd w:val="clear" w:color="auto" w:fill="C6EFCE"/>
            <w:vAlign w:val="center"/>
            <w:hideMark/>
          </w:tcPr>
          <w:p w14:paraId="50B4BC83"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84" w14:textId="77777777" w:rsidR="003B5F50" w:rsidRDefault="000D2D85">
            <w:pPr>
              <w:pStyle w:val="P68B1DB1-Normal42"/>
              <w:spacing w:after="0" w:line="240" w:lineRule="auto"/>
              <w:jc w:val="center"/>
              <w:textAlignment w:val="baseline"/>
              <w:rPr>
                <w:noProof/>
              </w:rPr>
            </w:pPr>
            <w:r>
              <w:rPr>
                <w:noProof/>
              </w:rPr>
              <w:t>Méthodologie de sélection, de préparation et de mise en œuvre des projets pour le cyclisme </w:t>
            </w:r>
          </w:p>
        </w:tc>
      </w:tr>
      <w:tr w:rsidR="003B5F50" w14:paraId="50B4BC8A" w14:textId="77777777">
        <w:trPr>
          <w:trHeight w:val="1305"/>
        </w:trPr>
        <w:tc>
          <w:tcPr>
            <w:tcW w:w="1275" w:type="dxa"/>
            <w:shd w:val="clear" w:color="auto" w:fill="C6EFCE"/>
            <w:vAlign w:val="center"/>
            <w:hideMark/>
          </w:tcPr>
          <w:p w14:paraId="50B4BC86" w14:textId="77777777" w:rsidR="003B5F50" w:rsidRDefault="000D2D85">
            <w:pPr>
              <w:pStyle w:val="P68B1DB1-Normal48"/>
              <w:spacing w:after="0" w:line="240" w:lineRule="auto"/>
              <w:jc w:val="center"/>
              <w:textAlignment w:val="baseline"/>
              <w:rPr>
                <w:rFonts w:eastAsia="Times New Roman"/>
                <w:noProof/>
              </w:rPr>
            </w:pPr>
            <w:r>
              <w:rPr>
                <w:noProof/>
              </w:rPr>
              <w:t>4 </w:t>
            </w:r>
          </w:p>
        </w:tc>
        <w:tc>
          <w:tcPr>
            <w:tcW w:w="3960" w:type="dxa"/>
            <w:shd w:val="clear" w:color="auto" w:fill="C6EFCE"/>
            <w:vAlign w:val="center"/>
            <w:hideMark/>
          </w:tcPr>
          <w:p w14:paraId="50B4BC87" w14:textId="77777777" w:rsidR="003B5F50" w:rsidRDefault="000D2D85">
            <w:pPr>
              <w:pStyle w:val="P68B1DB1-Normal42"/>
              <w:spacing w:after="0" w:line="240" w:lineRule="auto"/>
              <w:jc w:val="center"/>
              <w:textAlignment w:val="baseline"/>
              <w:rPr>
                <w:noProof/>
              </w:rPr>
            </w:pPr>
            <w:r>
              <w:rPr>
                <w:noProof/>
              </w:rPr>
              <w:t>8 - Augmentation des performances des établissements d'enseignement supérieur slovaques - Réforme 4: Réforme de la gestion des universités </w:t>
            </w:r>
          </w:p>
        </w:tc>
        <w:tc>
          <w:tcPr>
            <w:tcW w:w="1170" w:type="dxa"/>
            <w:shd w:val="clear" w:color="auto" w:fill="C6EFCE"/>
            <w:vAlign w:val="center"/>
            <w:hideMark/>
          </w:tcPr>
          <w:p w14:paraId="50B4BC88"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89" w14:textId="77777777" w:rsidR="003B5F50" w:rsidRDefault="000D2D85">
            <w:pPr>
              <w:pStyle w:val="P68B1DB1-Normal42"/>
              <w:spacing w:after="0" w:line="240" w:lineRule="auto"/>
              <w:jc w:val="center"/>
              <w:textAlignment w:val="baseline"/>
              <w:rPr>
                <w:noProof/>
              </w:rPr>
            </w:pPr>
            <w:r>
              <w:rPr>
                <w:noProof/>
              </w:rPr>
              <w:t>La réforme du système de gestion des établissements d'enseignement supérieur </w:t>
            </w:r>
          </w:p>
        </w:tc>
      </w:tr>
      <w:tr w:rsidR="003B5F50" w14:paraId="50B4BC8F" w14:textId="77777777">
        <w:trPr>
          <w:trHeight w:val="1305"/>
        </w:trPr>
        <w:tc>
          <w:tcPr>
            <w:tcW w:w="1275" w:type="dxa"/>
            <w:shd w:val="clear" w:color="auto" w:fill="C6EFCE"/>
            <w:vAlign w:val="center"/>
            <w:hideMark/>
          </w:tcPr>
          <w:p w14:paraId="50B4BC8B" w14:textId="77777777" w:rsidR="003B5F50" w:rsidRDefault="000D2D85">
            <w:pPr>
              <w:pStyle w:val="P68B1DB1-Normal48"/>
              <w:spacing w:after="0" w:line="240" w:lineRule="auto"/>
              <w:jc w:val="center"/>
              <w:textAlignment w:val="baseline"/>
              <w:rPr>
                <w:rFonts w:eastAsia="Times New Roman"/>
                <w:noProof/>
              </w:rPr>
            </w:pPr>
            <w:r>
              <w:rPr>
                <w:noProof/>
              </w:rPr>
              <w:t>5 </w:t>
            </w:r>
          </w:p>
        </w:tc>
        <w:tc>
          <w:tcPr>
            <w:tcW w:w="3960" w:type="dxa"/>
            <w:shd w:val="clear" w:color="auto" w:fill="C6EFCE"/>
            <w:vAlign w:val="center"/>
            <w:hideMark/>
          </w:tcPr>
          <w:p w14:paraId="50B4BC8C" w14:textId="77777777" w:rsidR="003B5F50" w:rsidRDefault="000D2D85">
            <w:pPr>
              <w:pStyle w:val="P68B1DB1-Normal42"/>
              <w:spacing w:after="0" w:line="240" w:lineRule="auto"/>
              <w:jc w:val="center"/>
              <w:textAlignment w:val="baseline"/>
              <w:rPr>
                <w:noProof/>
              </w:rPr>
            </w:pPr>
            <w:r>
              <w:rPr>
                <w:noProof/>
              </w:rPr>
              <w:t>8 - Augmentation des performances des établissements d'enseignement supérieur slovaques-Réforme 5: Concentration d'excellentes capacités d'enseignement et de recherche </w:t>
            </w:r>
          </w:p>
        </w:tc>
        <w:tc>
          <w:tcPr>
            <w:tcW w:w="1170" w:type="dxa"/>
            <w:shd w:val="clear" w:color="auto" w:fill="C6EFCE"/>
            <w:vAlign w:val="center"/>
            <w:hideMark/>
          </w:tcPr>
          <w:p w14:paraId="50B4BC8D"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8E" w14:textId="77777777" w:rsidR="003B5F50" w:rsidRDefault="000D2D85">
            <w:pPr>
              <w:pStyle w:val="P68B1DB1-Normal42"/>
              <w:spacing w:after="0" w:line="240" w:lineRule="auto"/>
              <w:jc w:val="center"/>
              <w:textAlignment w:val="baseline"/>
              <w:rPr>
                <w:noProof/>
              </w:rPr>
            </w:pPr>
            <w:r>
              <w:rPr>
                <w:noProof/>
              </w:rPr>
              <w:t>Commencer à rassembler les universités en unités plus grandes </w:t>
            </w:r>
          </w:p>
        </w:tc>
      </w:tr>
      <w:tr w:rsidR="003B5F50" w14:paraId="50B4BC94" w14:textId="77777777">
        <w:trPr>
          <w:trHeight w:val="1305"/>
        </w:trPr>
        <w:tc>
          <w:tcPr>
            <w:tcW w:w="1275" w:type="dxa"/>
            <w:shd w:val="clear" w:color="auto" w:fill="C6EFCE"/>
            <w:vAlign w:val="center"/>
            <w:hideMark/>
          </w:tcPr>
          <w:p w14:paraId="50B4BC90" w14:textId="77777777" w:rsidR="003B5F50" w:rsidRDefault="000D2D85">
            <w:pPr>
              <w:pStyle w:val="P68B1DB1-Normal48"/>
              <w:spacing w:after="0" w:line="240" w:lineRule="auto"/>
              <w:jc w:val="center"/>
              <w:textAlignment w:val="baseline"/>
              <w:rPr>
                <w:rFonts w:eastAsia="Times New Roman"/>
                <w:noProof/>
              </w:rPr>
            </w:pPr>
            <w:r>
              <w:rPr>
                <w:noProof/>
              </w:rPr>
              <w:t>6 </w:t>
            </w:r>
          </w:p>
        </w:tc>
        <w:tc>
          <w:tcPr>
            <w:tcW w:w="3960" w:type="dxa"/>
            <w:shd w:val="clear" w:color="auto" w:fill="C6EFCE"/>
            <w:vAlign w:val="center"/>
            <w:hideMark/>
          </w:tcPr>
          <w:p w14:paraId="50B4BC91" w14:textId="77777777" w:rsidR="003B5F50" w:rsidRDefault="000D2D85">
            <w:pPr>
              <w:pStyle w:val="P68B1DB1-Normal42"/>
              <w:spacing w:after="0" w:line="240" w:lineRule="auto"/>
              <w:jc w:val="center"/>
              <w:textAlignment w:val="baseline"/>
              <w:rPr>
                <w:noProof/>
              </w:rPr>
            </w:pPr>
            <w:r>
              <w:rPr>
                <w:noProof/>
              </w:rPr>
              <w:t>9 - Gouvernance plus efficace et renforcement du financement de la RDI - Réforme 2: Réforme de l'organisation et du financement des institutions de recherche non commerciales, en particulier l'Académie slovaque des sciences </w:t>
            </w:r>
          </w:p>
        </w:tc>
        <w:tc>
          <w:tcPr>
            <w:tcW w:w="1170" w:type="dxa"/>
            <w:shd w:val="clear" w:color="auto" w:fill="C6EFCE"/>
            <w:vAlign w:val="center"/>
            <w:hideMark/>
          </w:tcPr>
          <w:p w14:paraId="50B4BC92"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93" w14:textId="77777777" w:rsidR="003B5F50" w:rsidRDefault="000D2D85">
            <w:pPr>
              <w:pStyle w:val="P68B1DB1-Normal42"/>
              <w:spacing w:after="0" w:line="240" w:lineRule="auto"/>
              <w:jc w:val="center"/>
              <w:textAlignment w:val="baseline"/>
              <w:rPr>
                <w:noProof/>
              </w:rPr>
            </w:pPr>
            <w:r>
              <w:rPr>
                <w:noProof/>
              </w:rPr>
              <w:t>Réforme de l'Académie slovaque des sciences (SaS) </w:t>
            </w:r>
          </w:p>
        </w:tc>
      </w:tr>
      <w:tr w:rsidR="003B5F50" w14:paraId="50B4BC99" w14:textId="77777777">
        <w:trPr>
          <w:trHeight w:val="1305"/>
        </w:trPr>
        <w:tc>
          <w:tcPr>
            <w:tcW w:w="1275" w:type="dxa"/>
            <w:shd w:val="clear" w:color="auto" w:fill="C6EFCE"/>
            <w:vAlign w:val="center"/>
            <w:hideMark/>
          </w:tcPr>
          <w:p w14:paraId="50B4BC95" w14:textId="77777777" w:rsidR="003B5F50" w:rsidRDefault="000D2D85">
            <w:pPr>
              <w:pStyle w:val="P68B1DB1-Normal48"/>
              <w:spacing w:after="0" w:line="240" w:lineRule="auto"/>
              <w:jc w:val="center"/>
              <w:textAlignment w:val="baseline"/>
              <w:rPr>
                <w:rFonts w:eastAsia="Times New Roman"/>
                <w:noProof/>
              </w:rPr>
            </w:pPr>
            <w:r>
              <w:rPr>
                <w:noProof/>
              </w:rPr>
              <w:t>7 </w:t>
            </w:r>
          </w:p>
        </w:tc>
        <w:tc>
          <w:tcPr>
            <w:tcW w:w="3960" w:type="dxa"/>
            <w:shd w:val="clear" w:color="auto" w:fill="C6EFCE"/>
            <w:vAlign w:val="center"/>
            <w:hideMark/>
          </w:tcPr>
          <w:p w14:paraId="50B4BC96" w14:textId="77777777" w:rsidR="003B5F50" w:rsidRDefault="000D2D85">
            <w:pPr>
              <w:pStyle w:val="P68B1DB1-Normal42"/>
              <w:spacing w:after="0" w:line="240" w:lineRule="auto"/>
              <w:jc w:val="center"/>
              <w:textAlignment w:val="baseline"/>
              <w:rPr>
                <w:noProof/>
              </w:rPr>
            </w:pPr>
            <w:r>
              <w:rPr>
                <w:noProof/>
              </w:rPr>
              <w:t>10 - Attirer et retenir les talents - Investissement 4: Promouvoir l'internationalisation dans le milieu universitaire </w:t>
            </w:r>
          </w:p>
        </w:tc>
        <w:tc>
          <w:tcPr>
            <w:tcW w:w="1170" w:type="dxa"/>
            <w:shd w:val="clear" w:color="auto" w:fill="C6EFCE"/>
            <w:vAlign w:val="center"/>
            <w:hideMark/>
          </w:tcPr>
          <w:p w14:paraId="50B4BC97"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98" w14:textId="77777777" w:rsidR="003B5F50" w:rsidRDefault="000D2D85">
            <w:pPr>
              <w:pStyle w:val="P68B1DB1-Normal42"/>
              <w:spacing w:after="0" w:line="240" w:lineRule="auto"/>
              <w:jc w:val="center"/>
              <w:textAlignment w:val="baseline"/>
              <w:rPr>
                <w:noProof/>
              </w:rPr>
            </w:pPr>
            <w:r>
              <w:rPr>
                <w:noProof/>
              </w:rPr>
              <w:t>Stratégie d'internationalisation des universités </w:t>
            </w:r>
          </w:p>
        </w:tc>
      </w:tr>
      <w:tr w:rsidR="003B5F50" w14:paraId="50B4BC9E" w14:textId="77777777">
        <w:trPr>
          <w:trHeight w:val="1305"/>
        </w:trPr>
        <w:tc>
          <w:tcPr>
            <w:tcW w:w="1275" w:type="dxa"/>
            <w:shd w:val="clear" w:color="auto" w:fill="C6EFCE"/>
            <w:vAlign w:val="center"/>
            <w:hideMark/>
          </w:tcPr>
          <w:p w14:paraId="50B4BC9A" w14:textId="77777777" w:rsidR="003B5F50" w:rsidRDefault="000D2D85">
            <w:pPr>
              <w:pStyle w:val="P68B1DB1-Normal48"/>
              <w:spacing w:after="0" w:line="240" w:lineRule="auto"/>
              <w:jc w:val="center"/>
              <w:textAlignment w:val="baseline"/>
              <w:rPr>
                <w:rFonts w:eastAsia="Times New Roman"/>
                <w:noProof/>
              </w:rPr>
            </w:pPr>
            <w:r>
              <w:rPr>
                <w:noProof/>
              </w:rPr>
              <w:t>8 </w:t>
            </w:r>
          </w:p>
        </w:tc>
        <w:tc>
          <w:tcPr>
            <w:tcW w:w="3960" w:type="dxa"/>
            <w:shd w:val="clear" w:color="auto" w:fill="C6EFCE"/>
            <w:vAlign w:val="center"/>
            <w:hideMark/>
          </w:tcPr>
          <w:p w14:paraId="50B4BC9B" w14:textId="77777777" w:rsidR="003B5F50" w:rsidRDefault="000D2D85">
            <w:pPr>
              <w:pStyle w:val="P68B1DB1-Normal42"/>
              <w:spacing w:after="0" w:line="240" w:lineRule="auto"/>
              <w:jc w:val="center"/>
              <w:textAlignment w:val="baseline"/>
              <w:rPr>
                <w:noProof/>
              </w:rPr>
            </w:pPr>
            <w:r>
              <w:rPr>
                <w:noProof/>
              </w:rPr>
              <w:t>15 - Réforme judiciaire-Réforme 2: Lutte contre la corruption et renforcement de l'intégrité et de l'indépendance du pouvoir judiciaire </w:t>
            </w:r>
          </w:p>
        </w:tc>
        <w:tc>
          <w:tcPr>
            <w:tcW w:w="1170" w:type="dxa"/>
            <w:shd w:val="clear" w:color="auto" w:fill="C6EFCE"/>
            <w:vAlign w:val="center"/>
            <w:hideMark/>
          </w:tcPr>
          <w:p w14:paraId="50B4BC9C"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9D" w14:textId="77777777" w:rsidR="003B5F50" w:rsidRDefault="000D2D85">
            <w:pPr>
              <w:pStyle w:val="P68B1DB1-Normal42"/>
              <w:spacing w:after="0" w:line="240" w:lineRule="auto"/>
              <w:jc w:val="center"/>
              <w:textAlignment w:val="baseline"/>
              <w:rPr>
                <w:noProof/>
              </w:rPr>
            </w:pPr>
            <w:r>
              <w:rPr>
                <w:noProof/>
              </w:rPr>
              <w:t>Ensemble de lois visant à lutter contre la corruption et à renforcer l'intégrité et l'indépendance du système judiciaire </w:t>
            </w:r>
          </w:p>
        </w:tc>
      </w:tr>
      <w:tr w:rsidR="003B5F50" w14:paraId="50B4BCA3" w14:textId="77777777">
        <w:trPr>
          <w:trHeight w:val="1305"/>
        </w:trPr>
        <w:tc>
          <w:tcPr>
            <w:tcW w:w="1275" w:type="dxa"/>
            <w:shd w:val="clear" w:color="auto" w:fill="C6EFCE"/>
            <w:vAlign w:val="center"/>
            <w:hideMark/>
          </w:tcPr>
          <w:p w14:paraId="50B4BC9F" w14:textId="77777777" w:rsidR="003B5F50" w:rsidRDefault="000D2D85">
            <w:pPr>
              <w:pStyle w:val="P68B1DB1-Normal48"/>
              <w:spacing w:after="0" w:line="240" w:lineRule="auto"/>
              <w:jc w:val="center"/>
              <w:textAlignment w:val="baseline"/>
              <w:rPr>
                <w:rFonts w:eastAsia="Times New Roman"/>
                <w:noProof/>
              </w:rPr>
            </w:pPr>
            <w:r>
              <w:rPr>
                <w:noProof/>
              </w:rPr>
              <w:t>9 </w:t>
            </w:r>
          </w:p>
        </w:tc>
        <w:tc>
          <w:tcPr>
            <w:tcW w:w="3960" w:type="dxa"/>
            <w:shd w:val="clear" w:color="auto" w:fill="C6EFCE"/>
            <w:vAlign w:val="center"/>
            <w:hideMark/>
          </w:tcPr>
          <w:p w14:paraId="50B4BCA0" w14:textId="77777777" w:rsidR="003B5F50" w:rsidRDefault="000D2D85">
            <w:pPr>
              <w:pStyle w:val="P68B1DB1-Normal42"/>
              <w:spacing w:after="0" w:line="240" w:lineRule="auto"/>
              <w:jc w:val="center"/>
              <w:textAlignment w:val="baseline"/>
              <w:rPr>
                <w:noProof/>
              </w:rPr>
            </w:pPr>
            <w:r>
              <w:rPr>
                <w:noProof/>
              </w:rPr>
              <w:t>15 - Réforme judiciaire-Réforme 1: Réforme de la carte judiciaire – Législation </w:t>
            </w:r>
          </w:p>
        </w:tc>
        <w:tc>
          <w:tcPr>
            <w:tcW w:w="1170" w:type="dxa"/>
            <w:shd w:val="clear" w:color="auto" w:fill="C6EFCE"/>
            <w:vAlign w:val="center"/>
            <w:hideMark/>
          </w:tcPr>
          <w:p w14:paraId="50B4BCA1"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A2" w14:textId="6505EF8E" w:rsidR="003B5F50" w:rsidRDefault="000D2D85">
            <w:pPr>
              <w:pStyle w:val="P68B1DB1-Normal42"/>
              <w:spacing w:after="0" w:line="240" w:lineRule="auto"/>
              <w:jc w:val="center"/>
              <w:textAlignment w:val="baseline"/>
              <w:rPr>
                <w:noProof/>
              </w:rPr>
            </w:pPr>
            <w:r>
              <w:rPr>
                <w:noProof/>
              </w:rPr>
              <w:t xml:space="preserve">Définition d'une nouvelle carte judiciaire </w:t>
            </w:r>
          </w:p>
        </w:tc>
      </w:tr>
      <w:tr w:rsidR="003B5F50" w14:paraId="50B4BCA8" w14:textId="77777777">
        <w:trPr>
          <w:trHeight w:val="1305"/>
        </w:trPr>
        <w:tc>
          <w:tcPr>
            <w:tcW w:w="1275" w:type="dxa"/>
            <w:shd w:val="clear" w:color="auto" w:fill="C6EFCE"/>
            <w:vAlign w:val="center"/>
            <w:hideMark/>
          </w:tcPr>
          <w:p w14:paraId="50B4BCA4" w14:textId="77777777" w:rsidR="003B5F50" w:rsidRDefault="000D2D85">
            <w:pPr>
              <w:pStyle w:val="P68B1DB1-Normal48"/>
              <w:spacing w:after="0" w:line="240" w:lineRule="auto"/>
              <w:jc w:val="center"/>
              <w:textAlignment w:val="baseline"/>
              <w:rPr>
                <w:rFonts w:eastAsia="Times New Roman"/>
                <w:noProof/>
              </w:rPr>
            </w:pPr>
            <w:r>
              <w:rPr>
                <w:noProof/>
              </w:rPr>
              <w:t>10 </w:t>
            </w:r>
          </w:p>
        </w:tc>
        <w:tc>
          <w:tcPr>
            <w:tcW w:w="3960" w:type="dxa"/>
            <w:shd w:val="clear" w:color="auto" w:fill="C6EFCE"/>
            <w:vAlign w:val="center"/>
            <w:hideMark/>
          </w:tcPr>
          <w:p w14:paraId="50B4BCA5" w14:textId="77777777" w:rsidR="003B5F50" w:rsidRDefault="000D2D85">
            <w:pPr>
              <w:pStyle w:val="P68B1DB1-Normal42"/>
              <w:spacing w:after="0" w:line="240" w:lineRule="auto"/>
              <w:jc w:val="center"/>
              <w:textAlignment w:val="baseline"/>
              <w:rPr>
                <w:noProof/>
              </w:rPr>
            </w:pPr>
            <w:r>
              <w:rPr>
                <w:noProof/>
              </w:rPr>
              <w:t>16 - Lutte contre la corruption et le blanchiment de capitaux - Réforme 2: Modernisation et renforcement des capacités des forces de police </w:t>
            </w:r>
          </w:p>
        </w:tc>
        <w:tc>
          <w:tcPr>
            <w:tcW w:w="1170" w:type="dxa"/>
            <w:shd w:val="clear" w:color="auto" w:fill="C6EFCE"/>
            <w:vAlign w:val="center"/>
            <w:hideMark/>
          </w:tcPr>
          <w:p w14:paraId="50B4BCA6"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A7" w14:textId="77777777" w:rsidR="003B5F50" w:rsidRDefault="000D2D85">
            <w:pPr>
              <w:pStyle w:val="P68B1DB1-Normal42"/>
              <w:spacing w:after="0" w:line="240" w:lineRule="auto"/>
              <w:jc w:val="center"/>
              <w:textAlignment w:val="baseline"/>
              <w:rPr>
                <w:noProof/>
              </w:rPr>
            </w:pPr>
            <w:r>
              <w:rPr>
                <w:noProof/>
              </w:rPr>
              <w:t>Mise en œuvre de changements organisationnels dans la police afin d’accroître l’efficacité de la détection de la criminalité, des enquêtes et de la détection de la corruption </w:t>
            </w:r>
          </w:p>
        </w:tc>
      </w:tr>
      <w:tr w:rsidR="003B5F50" w14:paraId="50B4BCAD" w14:textId="77777777">
        <w:trPr>
          <w:trHeight w:val="1305"/>
        </w:trPr>
        <w:tc>
          <w:tcPr>
            <w:tcW w:w="1275" w:type="dxa"/>
            <w:shd w:val="clear" w:color="auto" w:fill="C6EFCE"/>
            <w:vAlign w:val="center"/>
            <w:hideMark/>
          </w:tcPr>
          <w:p w14:paraId="50B4BCA9" w14:textId="77777777" w:rsidR="003B5F50" w:rsidRDefault="000D2D85">
            <w:pPr>
              <w:pStyle w:val="P68B1DB1-Normal48"/>
              <w:spacing w:after="0" w:line="240" w:lineRule="auto"/>
              <w:jc w:val="center"/>
              <w:textAlignment w:val="baseline"/>
              <w:rPr>
                <w:rFonts w:eastAsia="Times New Roman"/>
                <w:noProof/>
              </w:rPr>
            </w:pPr>
            <w:r>
              <w:rPr>
                <w:noProof/>
              </w:rPr>
              <w:t>11 </w:t>
            </w:r>
          </w:p>
        </w:tc>
        <w:tc>
          <w:tcPr>
            <w:tcW w:w="3960" w:type="dxa"/>
            <w:shd w:val="clear" w:color="auto" w:fill="C6EFCE"/>
            <w:vAlign w:val="center"/>
            <w:hideMark/>
          </w:tcPr>
          <w:p w14:paraId="50B4BCAA" w14:textId="0D92D39B" w:rsidR="003B5F50" w:rsidRDefault="000D2D85">
            <w:pPr>
              <w:pStyle w:val="P68B1DB1-Normal42"/>
              <w:spacing w:after="0" w:line="240" w:lineRule="auto"/>
              <w:jc w:val="center"/>
              <w:textAlignment w:val="baseline"/>
              <w:rPr>
                <w:noProof/>
              </w:rPr>
            </w:pPr>
            <w:r>
              <w:rPr>
                <w:noProof/>
              </w:rPr>
              <w:t xml:space="preserve">16 - Lutte contre la corruption et le blanchiment de capitaux - Investissement 4: Renforcement des capacités administratives aux différents niveaux de gouvernement – création d’une autorité nationale de mise en œuvre et de coordination </w:t>
            </w:r>
          </w:p>
        </w:tc>
        <w:tc>
          <w:tcPr>
            <w:tcW w:w="1170" w:type="dxa"/>
            <w:shd w:val="clear" w:color="auto" w:fill="C6EFCE"/>
            <w:vAlign w:val="center"/>
            <w:hideMark/>
          </w:tcPr>
          <w:p w14:paraId="50B4BCAB"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AC" w14:textId="77777777" w:rsidR="003B5F50" w:rsidRDefault="000D2D85">
            <w:pPr>
              <w:pStyle w:val="P68B1DB1-Normal42"/>
              <w:spacing w:after="0" w:line="240" w:lineRule="auto"/>
              <w:jc w:val="center"/>
              <w:textAlignment w:val="baseline"/>
              <w:rPr>
                <w:noProof/>
              </w:rPr>
            </w:pPr>
            <w:r>
              <w:rPr>
                <w:noProof/>
              </w:rPr>
              <w:t>Audit des contrôles &amp;: base juridique </w:t>
            </w:r>
          </w:p>
        </w:tc>
      </w:tr>
      <w:tr w:rsidR="003B5F50" w14:paraId="50B4BCB2" w14:textId="77777777">
        <w:trPr>
          <w:trHeight w:val="1305"/>
        </w:trPr>
        <w:tc>
          <w:tcPr>
            <w:tcW w:w="1275" w:type="dxa"/>
            <w:shd w:val="clear" w:color="auto" w:fill="C6EFCE"/>
            <w:vAlign w:val="center"/>
            <w:hideMark/>
          </w:tcPr>
          <w:p w14:paraId="50B4BCAE" w14:textId="77777777" w:rsidR="003B5F50" w:rsidRDefault="000D2D85">
            <w:pPr>
              <w:pStyle w:val="P68B1DB1-Normal48"/>
              <w:spacing w:after="0" w:line="240" w:lineRule="auto"/>
              <w:jc w:val="center"/>
              <w:textAlignment w:val="baseline"/>
              <w:rPr>
                <w:rFonts w:eastAsia="Times New Roman"/>
                <w:noProof/>
              </w:rPr>
            </w:pPr>
            <w:r>
              <w:rPr>
                <w:noProof/>
              </w:rPr>
              <w:t>12 </w:t>
            </w:r>
          </w:p>
        </w:tc>
        <w:tc>
          <w:tcPr>
            <w:tcW w:w="3960" w:type="dxa"/>
            <w:shd w:val="clear" w:color="auto" w:fill="C6EFCE"/>
            <w:vAlign w:val="center"/>
            <w:hideMark/>
          </w:tcPr>
          <w:p w14:paraId="50B4BCAF" w14:textId="495A7ED6" w:rsidR="003B5F50" w:rsidRDefault="000D2D85">
            <w:pPr>
              <w:pStyle w:val="P68B1DB1-Normal42"/>
              <w:spacing w:after="0" w:line="240" w:lineRule="auto"/>
              <w:jc w:val="center"/>
              <w:textAlignment w:val="baseline"/>
              <w:rPr>
                <w:noProof/>
              </w:rPr>
            </w:pPr>
            <w:r>
              <w:rPr>
                <w:noProof/>
              </w:rPr>
              <w:t xml:space="preserve">16 - Lutte contre la corruption et le blanchiment de capitaux - Investissement 4: Renforcement des capacités administratives aux différents niveaux de gouvernement – création d’une autorité nationale de mise en œuvre et de coordination </w:t>
            </w:r>
          </w:p>
        </w:tc>
        <w:tc>
          <w:tcPr>
            <w:tcW w:w="1170" w:type="dxa"/>
            <w:shd w:val="clear" w:color="auto" w:fill="C6EFCE"/>
            <w:vAlign w:val="center"/>
            <w:hideMark/>
          </w:tcPr>
          <w:p w14:paraId="50B4BCB0"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B1" w14:textId="77777777" w:rsidR="003B5F50" w:rsidRDefault="000D2D85">
            <w:pPr>
              <w:pStyle w:val="P68B1DB1-Normal42"/>
              <w:spacing w:after="0" w:line="240" w:lineRule="auto"/>
              <w:jc w:val="center"/>
              <w:textAlignment w:val="baseline"/>
              <w:rPr>
                <w:noProof/>
              </w:rPr>
            </w:pPr>
            <w:r>
              <w:rPr>
                <w:noProof/>
              </w:rPr>
              <w:t>Système de répertoire des PRR: informations pour le suivi de la mise en œuvre du PRR </w:t>
            </w:r>
          </w:p>
        </w:tc>
      </w:tr>
      <w:tr w:rsidR="003B5F50" w14:paraId="50B4BCB7" w14:textId="77777777">
        <w:trPr>
          <w:trHeight w:val="1305"/>
        </w:trPr>
        <w:tc>
          <w:tcPr>
            <w:tcW w:w="1275" w:type="dxa"/>
            <w:shd w:val="clear" w:color="auto" w:fill="C6EFCE"/>
            <w:vAlign w:val="center"/>
            <w:hideMark/>
          </w:tcPr>
          <w:p w14:paraId="50B4BCB3" w14:textId="77777777" w:rsidR="003B5F50" w:rsidRDefault="000D2D85">
            <w:pPr>
              <w:pStyle w:val="P68B1DB1-Normal48"/>
              <w:spacing w:after="0" w:line="240" w:lineRule="auto"/>
              <w:jc w:val="center"/>
              <w:textAlignment w:val="baseline"/>
              <w:rPr>
                <w:rFonts w:eastAsia="Times New Roman"/>
                <w:noProof/>
              </w:rPr>
            </w:pPr>
            <w:r>
              <w:rPr>
                <w:noProof/>
              </w:rPr>
              <w:t>13 </w:t>
            </w:r>
          </w:p>
        </w:tc>
        <w:tc>
          <w:tcPr>
            <w:tcW w:w="3960" w:type="dxa"/>
            <w:shd w:val="clear" w:color="auto" w:fill="C6EFCE"/>
            <w:vAlign w:val="center"/>
            <w:hideMark/>
          </w:tcPr>
          <w:p w14:paraId="50B4BCB4" w14:textId="77777777" w:rsidR="003B5F50" w:rsidRDefault="000D2D85">
            <w:pPr>
              <w:pStyle w:val="P68B1DB1-Normal42"/>
              <w:spacing w:after="0" w:line="240" w:lineRule="auto"/>
              <w:jc w:val="center"/>
              <w:textAlignment w:val="baseline"/>
              <w:rPr>
                <w:noProof/>
              </w:rPr>
            </w:pPr>
            <w:r>
              <w:rPr>
                <w:noProof/>
              </w:rPr>
              <w:t>17 - Slovaquie numérique - Réforme 4: Normalisation des solutions techniques et procédurales en matière de cybersécurité </w:t>
            </w:r>
          </w:p>
        </w:tc>
        <w:tc>
          <w:tcPr>
            <w:tcW w:w="1170" w:type="dxa"/>
            <w:shd w:val="clear" w:color="auto" w:fill="C6EFCE"/>
            <w:vAlign w:val="center"/>
            <w:hideMark/>
          </w:tcPr>
          <w:p w14:paraId="50B4BCB5"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B6" w14:textId="77777777" w:rsidR="003B5F50" w:rsidRDefault="000D2D85">
            <w:pPr>
              <w:pStyle w:val="P68B1DB1-Normal42"/>
              <w:spacing w:after="0" w:line="240" w:lineRule="auto"/>
              <w:jc w:val="center"/>
              <w:textAlignment w:val="baseline"/>
              <w:rPr>
                <w:noProof/>
              </w:rPr>
            </w:pPr>
            <w:r>
              <w:rPr>
                <w:noProof/>
              </w:rPr>
              <w:t>Concept national d’informatisation de l’administration publique (NKIVS) 2021-2030 </w:t>
            </w:r>
          </w:p>
        </w:tc>
      </w:tr>
      <w:tr w:rsidR="003B5F50" w14:paraId="50B4BCBC" w14:textId="77777777">
        <w:trPr>
          <w:trHeight w:val="1305"/>
        </w:trPr>
        <w:tc>
          <w:tcPr>
            <w:tcW w:w="1275" w:type="dxa"/>
            <w:shd w:val="clear" w:color="auto" w:fill="C6EFCE"/>
            <w:vAlign w:val="center"/>
            <w:hideMark/>
          </w:tcPr>
          <w:p w14:paraId="50B4BCB8" w14:textId="77777777" w:rsidR="003B5F50" w:rsidRDefault="000D2D85">
            <w:pPr>
              <w:pStyle w:val="P68B1DB1-Normal48"/>
              <w:spacing w:after="0" w:line="240" w:lineRule="auto"/>
              <w:jc w:val="center"/>
              <w:textAlignment w:val="baseline"/>
              <w:rPr>
                <w:rFonts w:eastAsia="Times New Roman"/>
                <w:noProof/>
              </w:rPr>
            </w:pPr>
            <w:r>
              <w:rPr>
                <w:noProof/>
              </w:rPr>
              <w:t>14 </w:t>
            </w:r>
          </w:p>
        </w:tc>
        <w:tc>
          <w:tcPr>
            <w:tcW w:w="3960" w:type="dxa"/>
            <w:shd w:val="clear" w:color="auto" w:fill="C6EFCE"/>
            <w:vAlign w:val="center"/>
            <w:hideMark/>
          </w:tcPr>
          <w:p w14:paraId="50B4BCB9" w14:textId="77777777" w:rsidR="003B5F50" w:rsidRDefault="000D2D85">
            <w:pPr>
              <w:pStyle w:val="P68B1DB1-Normal42"/>
              <w:spacing w:after="0" w:line="240" w:lineRule="auto"/>
              <w:jc w:val="center"/>
              <w:textAlignment w:val="baseline"/>
              <w:rPr>
                <w:noProof/>
              </w:rPr>
            </w:pPr>
            <w:r>
              <w:rPr>
                <w:noProof/>
              </w:rPr>
              <w:t>18 – Finances publiques saines, durables et compétitives – Réforme 2: Instauration de plafonds de dépenses </w:t>
            </w:r>
          </w:p>
        </w:tc>
        <w:tc>
          <w:tcPr>
            <w:tcW w:w="1170" w:type="dxa"/>
            <w:shd w:val="clear" w:color="auto" w:fill="C6EFCE"/>
            <w:vAlign w:val="center"/>
            <w:hideMark/>
          </w:tcPr>
          <w:p w14:paraId="50B4BCBA" w14:textId="77777777" w:rsidR="003B5F50" w:rsidRDefault="000D2D85">
            <w:pPr>
              <w:pStyle w:val="P68B1DB1-Normal42"/>
              <w:spacing w:after="0" w:line="240" w:lineRule="auto"/>
              <w:jc w:val="center"/>
              <w:textAlignment w:val="baseline"/>
              <w:rPr>
                <w:noProof/>
              </w:rPr>
            </w:pPr>
            <w:r>
              <w:rPr>
                <w:noProof/>
              </w:rPr>
              <w:t>Étape </w:t>
            </w:r>
          </w:p>
        </w:tc>
        <w:tc>
          <w:tcPr>
            <w:tcW w:w="4140" w:type="dxa"/>
            <w:shd w:val="clear" w:color="auto" w:fill="C6EFCE"/>
            <w:vAlign w:val="center"/>
            <w:hideMark/>
          </w:tcPr>
          <w:p w14:paraId="50B4BCBB" w14:textId="77777777" w:rsidR="003B5F50" w:rsidRDefault="000D2D85">
            <w:pPr>
              <w:pStyle w:val="P68B1DB1-Normal42"/>
              <w:spacing w:after="0" w:line="240" w:lineRule="auto"/>
              <w:jc w:val="center"/>
              <w:textAlignment w:val="baseline"/>
              <w:rPr>
                <w:noProof/>
              </w:rPr>
            </w:pPr>
            <w:r>
              <w:rPr>
                <w:noProof/>
              </w:rPr>
              <w:t>Fixation des plafonds de dépenses dans la loi 523/2004 sur les règles budgétaires </w:t>
            </w:r>
          </w:p>
        </w:tc>
      </w:tr>
      <w:tr w:rsidR="003B5F50" w14:paraId="50B4BCC1" w14:textId="77777777">
        <w:trPr>
          <w:trHeight w:val="645"/>
        </w:trPr>
        <w:tc>
          <w:tcPr>
            <w:tcW w:w="1275" w:type="dxa"/>
            <w:shd w:val="clear" w:color="auto" w:fill="C6EFCE"/>
            <w:vAlign w:val="center"/>
            <w:hideMark/>
          </w:tcPr>
          <w:p w14:paraId="50B4BCBD" w14:textId="77777777" w:rsidR="003B5F50" w:rsidRDefault="000D2D85">
            <w:pPr>
              <w:pStyle w:val="P68B1DB1-Normal85"/>
              <w:spacing w:after="0" w:line="240" w:lineRule="auto"/>
              <w:jc w:val="center"/>
              <w:textAlignment w:val="baseline"/>
              <w:rPr>
                <w:rFonts w:eastAsia="Times New Roman"/>
                <w:noProof/>
              </w:rPr>
            </w:pPr>
            <w:r>
              <w:rPr>
                <w:noProof/>
              </w:rPr>
              <w:t>  </w:t>
            </w:r>
          </w:p>
        </w:tc>
        <w:tc>
          <w:tcPr>
            <w:tcW w:w="3960" w:type="dxa"/>
            <w:shd w:val="clear" w:color="auto" w:fill="C6EFCE"/>
            <w:vAlign w:val="center"/>
            <w:hideMark/>
          </w:tcPr>
          <w:p w14:paraId="50B4BCBE" w14:textId="77777777" w:rsidR="003B5F50" w:rsidRDefault="000D2D85">
            <w:pPr>
              <w:pStyle w:val="P68B1DB1-Normal42"/>
              <w:spacing w:after="0" w:line="240" w:lineRule="auto"/>
              <w:jc w:val="center"/>
              <w:textAlignment w:val="baseline"/>
              <w:rPr>
                <w:noProof/>
              </w:rPr>
            </w:pPr>
            <w:r>
              <w:rPr>
                <w:noProof/>
              </w:rPr>
              <w:t>  </w:t>
            </w:r>
          </w:p>
        </w:tc>
        <w:tc>
          <w:tcPr>
            <w:tcW w:w="1170" w:type="dxa"/>
            <w:shd w:val="clear" w:color="auto" w:fill="C6EFCE"/>
            <w:vAlign w:val="center"/>
            <w:hideMark/>
          </w:tcPr>
          <w:p w14:paraId="50B4BCBF" w14:textId="77777777" w:rsidR="003B5F50" w:rsidRDefault="000D2D85">
            <w:pPr>
              <w:pStyle w:val="P68B1DB1-Normal42"/>
              <w:spacing w:after="0" w:line="240" w:lineRule="auto"/>
              <w:jc w:val="center"/>
              <w:textAlignment w:val="baseline"/>
              <w:rPr>
                <w:noProof/>
              </w:rPr>
            </w:pPr>
            <w:r>
              <w:rPr>
                <w:noProof/>
              </w:rPr>
              <w:t>Montant des acomptes provisionnels </w:t>
            </w:r>
          </w:p>
        </w:tc>
        <w:tc>
          <w:tcPr>
            <w:tcW w:w="4140" w:type="dxa"/>
            <w:shd w:val="clear" w:color="auto" w:fill="C6EFCE"/>
            <w:vAlign w:val="center"/>
            <w:hideMark/>
          </w:tcPr>
          <w:p w14:paraId="50B4BCC0" w14:textId="77777777" w:rsidR="003B5F50" w:rsidRDefault="000D2D85">
            <w:pPr>
              <w:pStyle w:val="P68B1DB1-Normal42"/>
              <w:spacing w:after="0" w:line="240" w:lineRule="auto"/>
              <w:jc w:val="center"/>
              <w:textAlignment w:val="baseline"/>
              <w:rPr>
                <w:noProof/>
              </w:rPr>
            </w:pPr>
            <w:r>
              <w:rPr>
                <w:noProof/>
              </w:rPr>
              <w:t>458 277 000 EUR</w:t>
            </w:r>
          </w:p>
        </w:tc>
      </w:tr>
    </w:tbl>
    <w:p w14:paraId="50B4BCC2" w14:textId="77777777" w:rsidR="003B5F50" w:rsidRDefault="003B5F50">
      <w:pPr>
        <w:spacing w:after="0" w:line="240" w:lineRule="auto"/>
        <w:textAlignment w:val="baseline"/>
        <w:rPr>
          <w:rFonts w:ascii="Segoe UI" w:eastAsia="Times New Roman" w:hAnsi="Segoe UI" w:cs="Segoe UI"/>
          <w:noProof/>
          <w:sz w:val="18"/>
          <w:szCs w:val="18"/>
        </w:rPr>
      </w:pPr>
    </w:p>
    <w:p w14:paraId="50B4BCC3" w14:textId="77777777" w:rsidR="003B5F50" w:rsidRDefault="000D2D85">
      <w:pPr>
        <w:pStyle w:val="P68B1DB1-Normal83"/>
        <w:spacing w:after="0" w:line="240" w:lineRule="auto"/>
        <w:textAlignment w:val="baseline"/>
        <w:rPr>
          <w:noProof/>
        </w:rPr>
      </w:pPr>
      <w:r>
        <w:rPr>
          <w:noProof/>
        </w:rPr>
        <w:t> </w:t>
      </w:r>
    </w:p>
    <w:p w14:paraId="50B4BCC4" w14:textId="77777777" w:rsidR="003B5F50" w:rsidRDefault="000D2D85">
      <w:pPr>
        <w:pStyle w:val="P68B1DB1-Normal83"/>
        <w:rPr>
          <w:noProof/>
        </w:rPr>
      </w:pPr>
      <w:r>
        <w:rPr>
          <w:noProof/>
        </w:rPr>
        <w:br w:type="page"/>
      </w:r>
    </w:p>
    <w:p w14:paraId="50B4BCC5" w14:textId="77777777" w:rsidR="003B5F50" w:rsidRDefault="003B5F50">
      <w:pPr>
        <w:spacing w:after="0" w:line="240" w:lineRule="auto"/>
        <w:textAlignment w:val="baseline"/>
        <w:rPr>
          <w:rFonts w:ascii="Segoe UI" w:eastAsia="Times New Roman" w:hAnsi="Segoe UI" w:cs="Segoe UI"/>
          <w:noProof/>
          <w:sz w:val="18"/>
          <w:szCs w:val="18"/>
        </w:rPr>
      </w:pPr>
    </w:p>
    <w:p w14:paraId="50B4BCC6" w14:textId="77777777" w:rsidR="003B5F50" w:rsidRDefault="000D2D85">
      <w:pPr>
        <w:pStyle w:val="P68B1DB1-Normal36"/>
        <w:numPr>
          <w:ilvl w:val="0"/>
          <w:numId w:val="48"/>
        </w:numPr>
        <w:spacing w:after="0" w:line="240" w:lineRule="auto"/>
        <w:ind w:firstLine="0"/>
        <w:jc w:val="both"/>
        <w:textAlignment w:val="baseline"/>
        <w:rPr>
          <w:rFonts w:eastAsia="Times New Roman" w:cs="Times New Roman"/>
          <w:noProof/>
        </w:rPr>
      </w:pPr>
      <w:r>
        <w:rPr>
          <w:b/>
          <w:noProof/>
        </w:rPr>
        <w:t>Deuxième tranche (soutien non remboursable):</w:t>
      </w:r>
      <w:r>
        <w:rPr>
          <w:noProof/>
        </w:rPr>
        <w:t> </w:t>
      </w:r>
    </w:p>
    <w:p w14:paraId="50B4BCC7" w14:textId="0D751DCC" w:rsidR="003B5F50" w:rsidRDefault="000D2D85">
      <w:pPr>
        <w:pStyle w:val="P68B1DB1-Normal36"/>
        <w:spacing w:after="0" w:line="240" w:lineRule="auto"/>
        <w:ind w:left="840"/>
        <w:jc w:val="both"/>
        <w:textAlignment w:val="baseline"/>
        <w:rPr>
          <w:rFonts w:ascii="Segoe UI" w:eastAsia="Times New Roman" w:hAnsi="Segoe UI" w:cs="Segoe UI"/>
          <w:noProof/>
          <w:sz w:val="18"/>
          <w:szCs w:val="18"/>
        </w:rPr>
      </w:pPr>
      <w:r>
        <w:rPr>
          <w:noProof/>
        </w:rPr>
        <w:t xml:space="preserve"> </w:t>
      </w:r>
    </w:p>
    <w:tbl>
      <w:tblPr>
        <w:tblW w:w="0"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3"/>
        <w:gridCol w:w="3800"/>
        <w:gridCol w:w="1168"/>
        <w:gridCol w:w="4023"/>
      </w:tblGrid>
      <w:tr w:rsidR="003B5F50" w14:paraId="50B4BCCC" w14:textId="77777777">
        <w:trPr>
          <w:trHeight w:val="660"/>
          <w:tblHeader/>
        </w:trPr>
        <w:tc>
          <w:tcPr>
            <w:tcW w:w="1275" w:type="dxa"/>
            <w:shd w:val="clear" w:color="auto" w:fill="BDD7EE"/>
            <w:vAlign w:val="center"/>
            <w:hideMark/>
          </w:tcPr>
          <w:p w14:paraId="50B4BCC8" w14:textId="77777777" w:rsidR="003B5F50" w:rsidRDefault="000D2D85">
            <w:pPr>
              <w:pStyle w:val="P68B1DB1-Normal84"/>
              <w:spacing w:after="0" w:line="240" w:lineRule="auto"/>
              <w:jc w:val="center"/>
              <w:textAlignment w:val="baseline"/>
              <w:rPr>
                <w:rFonts w:eastAsia="Times New Roman"/>
                <w:noProof/>
              </w:rPr>
            </w:pPr>
            <w:r>
              <w:rPr>
                <w:b/>
                <w:noProof/>
              </w:rPr>
              <w:t>Numéro séquentiel</w:t>
            </w:r>
            <w:r>
              <w:rPr>
                <w:noProof/>
              </w:rPr>
              <w:t> </w:t>
            </w:r>
          </w:p>
        </w:tc>
        <w:tc>
          <w:tcPr>
            <w:tcW w:w="3960" w:type="dxa"/>
            <w:shd w:val="clear" w:color="auto" w:fill="BDD7EE"/>
            <w:vAlign w:val="center"/>
            <w:hideMark/>
          </w:tcPr>
          <w:p w14:paraId="50B4BCC9" w14:textId="77777777" w:rsidR="003B5F50" w:rsidRDefault="000D2D85">
            <w:pPr>
              <w:pStyle w:val="P68B1DB1-Normal84"/>
              <w:spacing w:after="0" w:line="240" w:lineRule="auto"/>
              <w:jc w:val="center"/>
              <w:textAlignment w:val="baseline"/>
              <w:rPr>
                <w:rFonts w:eastAsia="Times New Roman"/>
                <w:noProof/>
              </w:rPr>
            </w:pPr>
            <w:r>
              <w:rPr>
                <w:b/>
                <w:noProof/>
              </w:rPr>
              <w:t>Mesure connexe (réforme ou investissement)</w:t>
            </w:r>
            <w:r>
              <w:rPr>
                <w:noProof/>
              </w:rPr>
              <w:t> </w:t>
            </w:r>
          </w:p>
        </w:tc>
        <w:tc>
          <w:tcPr>
            <w:tcW w:w="1170" w:type="dxa"/>
            <w:shd w:val="clear" w:color="auto" w:fill="BDD7EE"/>
            <w:vAlign w:val="center"/>
            <w:hideMark/>
          </w:tcPr>
          <w:p w14:paraId="50B4BCCA" w14:textId="77777777" w:rsidR="003B5F50" w:rsidRDefault="000D2D85">
            <w:pPr>
              <w:pStyle w:val="P68B1DB1-Normal84"/>
              <w:spacing w:after="0" w:line="240" w:lineRule="auto"/>
              <w:jc w:val="center"/>
              <w:textAlignment w:val="baseline"/>
              <w:rPr>
                <w:rFonts w:eastAsia="Times New Roman"/>
                <w:noProof/>
              </w:rPr>
            </w:pPr>
            <w:r>
              <w:rPr>
                <w:b/>
                <w:noProof/>
              </w:rPr>
              <w:t>Étape/cible</w:t>
            </w:r>
            <w:r>
              <w:rPr>
                <w:noProof/>
              </w:rPr>
              <w:t> </w:t>
            </w:r>
          </w:p>
        </w:tc>
        <w:tc>
          <w:tcPr>
            <w:tcW w:w="4200" w:type="dxa"/>
            <w:shd w:val="clear" w:color="auto" w:fill="BDD7EE"/>
            <w:vAlign w:val="center"/>
            <w:hideMark/>
          </w:tcPr>
          <w:p w14:paraId="50B4BCCB" w14:textId="77777777" w:rsidR="003B5F50" w:rsidRDefault="000D2D85">
            <w:pPr>
              <w:pStyle w:val="P68B1DB1-Normal84"/>
              <w:spacing w:after="0" w:line="240" w:lineRule="auto"/>
              <w:jc w:val="center"/>
              <w:textAlignment w:val="baseline"/>
              <w:rPr>
                <w:rFonts w:eastAsia="Times New Roman"/>
                <w:noProof/>
              </w:rPr>
            </w:pPr>
            <w:r>
              <w:rPr>
                <w:b/>
                <w:noProof/>
              </w:rPr>
              <w:t>Nom</w:t>
            </w:r>
            <w:r>
              <w:rPr>
                <w:noProof/>
              </w:rPr>
              <w:t> </w:t>
            </w:r>
          </w:p>
        </w:tc>
      </w:tr>
      <w:tr w:rsidR="003B5F50" w14:paraId="50B4BCD1" w14:textId="77777777">
        <w:trPr>
          <w:trHeight w:val="660"/>
        </w:trPr>
        <w:tc>
          <w:tcPr>
            <w:tcW w:w="1275" w:type="dxa"/>
            <w:shd w:val="clear" w:color="auto" w:fill="C6EFCE"/>
            <w:vAlign w:val="center"/>
            <w:hideMark/>
          </w:tcPr>
          <w:p w14:paraId="50B4BCCD" w14:textId="77777777" w:rsidR="003B5F50" w:rsidRDefault="000D2D85">
            <w:pPr>
              <w:pStyle w:val="P68B1DB1-Normal48"/>
              <w:spacing w:after="0" w:line="240" w:lineRule="auto"/>
              <w:jc w:val="center"/>
              <w:textAlignment w:val="baseline"/>
              <w:rPr>
                <w:rFonts w:eastAsia="Times New Roman"/>
                <w:noProof/>
              </w:rPr>
            </w:pPr>
            <w:r>
              <w:rPr>
                <w:noProof/>
              </w:rPr>
              <w:t>1 </w:t>
            </w:r>
          </w:p>
        </w:tc>
        <w:tc>
          <w:tcPr>
            <w:tcW w:w="3960" w:type="dxa"/>
            <w:shd w:val="clear" w:color="auto" w:fill="C6EFCE"/>
            <w:vAlign w:val="center"/>
            <w:hideMark/>
          </w:tcPr>
          <w:p w14:paraId="50B4BCCE" w14:textId="77777777" w:rsidR="003B5F50" w:rsidRDefault="000D2D85">
            <w:pPr>
              <w:pStyle w:val="P68B1DB1-Normal42"/>
              <w:spacing w:after="0" w:line="240" w:lineRule="auto"/>
              <w:jc w:val="center"/>
              <w:textAlignment w:val="baseline"/>
              <w:rPr>
                <w:noProof/>
              </w:rPr>
            </w:pPr>
            <w:r>
              <w:rPr>
                <w:noProof/>
              </w:rPr>
              <w:t>2 - Rénovation des bâtiments - Réforme 3: La gestion des déchets de construction </w:t>
            </w:r>
          </w:p>
        </w:tc>
        <w:tc>
          <w:tcPr>
            <w:tcW w:w="1170" w:type="dxa"/>
            <w:shd w:val="clear" w:color="auto" w:fill="C6EFCE"/>
            <w:vAlign w:val="center"/>
            <w:hideMark/>
          </w:tcPr>
          <w:p w14:paraId="50B4BCCF"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CD0" w14:textId="11257A47" w:rsidR="003B5F50" w:rsidRDefault="000D2D85">
            <w:pPr>
              <w:pStyle w:val="P68B1DB1-Normal42"/>
              <w:spacing w:after="0" w:line="240" w:lineRule="auto"/>
              <w:jc w:val="center"/>
              <w:textAlignment w:val="baseline"/>
              <w:rPr>
                <w:noProof/>
              </w:rPr>
            </w:pPr>
            <w:r>
              <w:rPr>
                <w:noProof/>
              </w:rPr>
              <w:t xml:space="preserve">La modification de la loi sur les déchets </w:t>
            </w:r>
          </w:p>
        </w:tc>
      </w:tr>
      <w:tr w:rsidR="003B5F50" w14:paraId="50B4BCD6" w14:textId="77777777">
        <w:trPr>
          <w:trHeight w:val="660"/>
        </w:trPr>
        <w:tc>
          <w:tcPr>
            <w:tcW w:w="1275" w:type="dxa"/>
            <w:shd w:val="clear" w:color="auto" w:fill="C6EFCE"/>
            <w:vAlign w:val="center"/>
            <w:hideMark/>
          </w:tcPr>
          <w:p w14:paraId="50B4BCD2" w14:textId="77777777" w:rsidR="003B5F50" w:rsidRDefault="000D2D85">
            <w:pPr>
              <w:pStyle w:val="P68B1DB1-Normal48"/>
              <w:spacing w:after="0" w:line="240" w:lineRule="auto"/>
              <w:jc w:val="center"/>
              <w:textAlignment w:val="baseline"/>
              <w:rPr>
                <w:rFonts w:eastAsia="Times New Roman"/>
                <w:noProof/>
              </w:rPr>
            </w:pPr>
            <w:r>
              <w:rPr>
                <w:noProof/>
              </w:rPr>
              <w:t>2 </w:t>
            </w:r>
          </w:p>
        </w:tc>
        <w:tc>
          <w:tcPr>
            <w:tcW w:w="3960" w:type="dxa"/>
            <w:shd w:val="clear" w:color="auto" w:fill="C6EFCE"/>
            <w:vAlign w:val="center"/>
            <w:hideMark/>
          </w:tcPr>
          <w:p w14:paraId="50B4BCD3" w14:textId="77777777" w:rsidR="003B5F50" w:rsidRDefault="000D2D85">
            <w:pPr>
              <w:pStyle w:val="P68B1DB1-Normal42"/>
              <w:spacing w:after="0" w:line="240" w:lineRule="auto"/>
              <w:jc w:val="center"/>
              <w:textAlignment w:val="baseline"/>
              <w:rPr>
                <w:noProof/>
              </w:rPr>
            </w:pPr>
            <w:r>
              <w:rPr>
                <w:noProof/>
              </w:rPr>
              <w:t>5 – S’adapter au changement climatique – Investissement 1: Adapter les régions au changement climatique, en mettant l'accent sur la conservation de la nature et le développement de la biodiversité </w:t>
            </w:r>
          </w:p>
        </w:tc>
        <w:tc>
          <w:tcPr>
            <w:tcW w:w="1170" w:type="dxa"/>
            <w:shd w:val="clear" w:color="auto" w:fill="C6EFCE"/>
            <w:vAlign w:val="center"/>
            <w:hideMark/>
          </w:tcPr>
          <w:p w14:paraId="50B4BCD4" w14:textId="77777777" w:rsidR="003B5F50" w:rsidRDefault="000D2D85">
            <w:pPr>
              <w:pStyle w:val="P68B1DB1-Normal42"/>
              <w:spacing w:after="0" w:line="240" w:lineRule="auto"/>
              <w:jc w:val="center"/>
              <w:textAlignment w:val="baseline"/>
              <w:rPr>
                <w:noProof/>
              </w:rPr>
            </w:pPr>
            <w:r>
              <w:rPr>
                <w:noProof/>
              </w:rPr>
              <w:t>Objectif </w:t>
            </w:r>
          </w:p>
        </w:tc>
        <w:tc>
          <w:tcPr>
            <w:tcW w:w="4200" w:type="dxa"/>
            <w:shd w:val="clear" w:color="auto" w:fill="C6EFCE"/>
            <w:vAlign w:val="center"/>
            <w:hideMark/>
          </w:tcPr>
          <w:p w14:paraId="50B4BCD5" w14:textId="77777777" w:rsidR="003B5F50" w:rsidRDefault="000D2D85">
            <w:pPr>
              <w:pStyle w:val="P68B1DB1-Normal42"/>
              <w:spacing w:after="0" w:line="240" w:lineRule="auto"/>
              <w:jc w:val="center"/>
              <w:textAlignment w:val="baseline"/>
              <w:rPr>
                <w:noProof/>
              </w:rPr>
            </w:pPr>
            <w:r>
              <w:rPr>
                <w:noProof/>
              </w:rPr>
              <w:t>Liste des projets sélectionnés pour les régions de Muránska Planina et Polonina </w:t>
            </w:r>
          </w:p>
        </w:tc>
      </w:tr>
      <w:tr w:rsidR="003B5F50" w14:paraId="50B4BCDB" w14:textId="77777777">
        <w:trPr>
          <w:trHeight w:val="660"/>
        </w:trPr>
        <w:tc>
          <w:tcPr>
            <w:tcW w:w="1275" w:type="dxa"/>
            <w:shd w:val="clear" w:color="auto" w:fill="C6EFCE"/>
            <w:vAlign w:val="center"/>
            <w:hideMark/>
          </w:tcPr>
          <w:p w14:paraId="50B4BCD7" w14:textId="77777777" w:rsidR="003B5F50" w:rsidRDefault="000D2D85">
            <w:pPr>
              <w:pStyle w:val="P68B1DB1-Normal48"/>
              <w:spacing w:after="0" w:line="240" w:lineRule="auto"/>
              <w:jc w:val="center"/>
              <w:textAlignment w:val="baseline"/>
              <w:rPr>
                <w:rFonts w:eastAsia="Times New Roman"/>
                <w:noProof/>
              </w:rPr>
            </w:pPr>
            <w:r>
              <w:rPr>
                <w:noProof/>
              </w:rPr>
              <w:t>3 </w:t>
            </w:r>
          </w:p>
        </w:tc>
        <w:tc>
          <w:tcPr>
            <w:tcW w:w="3960" w:type="dxa"/>
            <w:shd w:val="clear" w:color="auto" w:fill="C6EFCE"/>
            <w:vAlign w:val="center"/>
            <w:hideMark/>
          </w:tcPr>
          <w:p w14:paraId="50B4BCD8" w14:textId="137B90E7" w:rsidR="003B5F50" w:rsidRDefault="000D2D85">
            <w:pPr>
              <w:pStyle w:val="P68B1DB1-Normal42"/>
              <w:spacing w:after="0" w:line="240" w:lineRule="auto"/>
              <w:jc w:val="center"/>
              <w:textAlignment w:val="baseline"/>
              <w:rPr>
                <w:noProof/>
              </w:rPr>
            </w:pPr>
            <w:r>
              <w:rPr>
                <w:noProof/>
              </w:rPr>
              <w:t xml:space="preserve">6 - Accessibilité, développement et qualité de l'éducation inclusive - Investissement 1: Suppression des barrières des bâtiments scolaires </w:t>
            </w:r>
          </w:p>
        </w:tc>
        <w:tc>
          <w:tcPr>
            <w:tcW w:w="1170" w:type="dxa"/>
            <w:shd w:val="clear" w:color="auto" w:fill="C6EFCE"/>
            <w:vAlign w:val="center"/>
            <w:hideMark/>
          </w:tcPr>
          <w:p w14:paraId="50B4BCD9"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CDA" w14:textId="77777777" w:rsidR="003B5F50" w:rsidRDefault="000D2D85">
            <w:pPr>
              <w:pStyle w:val="P68B1DB1-Normal42"/>
              <w:spacing w:after="0" w:line="240" w:lineRule="auto"/>
              <w:jc w:val="center"/>
              <w:textAlignment w:val="baseline"/>
              <w:rPr>
                <w:noProof/>
              </w:rPr>
            </w:pPr>
            <w:r>
              <w:rPr>
                <w:noProof/>
              </w:rPr>
              <w:t>Introduction de la définition d'une norme d'élimination des obstacles, création d'un manuel d'élimination des obstacles et cartographie des besoins scolaires à tous les niveaux d'enseignement </w:t>
            </w:r>
          </w:p>
        </w:tc>
      </w:tr>
      <w:tr w:rsidR="003B5F50" w14:paraId="50B4BCE0" w14:textId="77777777">
        <w:trPr>
          <w:trHeight w:val="660"/>
        </w:trPr>
        <w:tc>
          <w:tcPr>
            <w:tcW w:w="1275" w:type="dxa"/>
            <w:shd w:val="clear" w:color="auto" w:fill="C6EFCE"/>
            <w:vAlign w:val="center"/>
            <w:hideMark/>
          </w:tcPr>
          <w:p w14:paraId="50B4BCDC" w14:textId="77777777" w:rsidR="003B5F50" w:rsidRDefault="000D2D85">
            <w:pPr>
              <w:pStyle w:val="P68B1DB1-Normal48"/>
              <w:spacing w:after="0" w:line="240" w:lineRule="auto"/>
              <w:jc w:val="center"/>
              <w:textAlignment w:val="baseline"/>
              <w:rPr>
                <w:rFonts w:eastAsia="Times New Roman"/>
                <w:noProof/>
              </w:rPr>
            </w:pPr>
            <w:r>
              <w:rPr>
                <w:noProof/>
              </w:rPr>
              <w:t>4 </w:t>
            </w:r>
          </w:p>
        </w:tc>
        <w:tc>
          <w:tcPr>
            <w:tcW w:w="3960" w:type="dxa"/>
            <w:shd w:val="clear" w:color="auto" w:fill="C6EFCE"/>
            <w:vAlign w:val="center"/>
            <w:hideMark/>
          </w:tcPr>
          <w:p w14:paraId="50B4BCDD" w14:textId="77777777" w:rsidR="003B5F50" w:rsidRDefault="000D2D85">
            <w:pPr>
              <w:pStyle w:val="P68B1DB1-Normal42"/>
              <w:spacing w:after="0" w:line="240" w:lineRule="auto"/>
              <w:jc w:val="center"/>
              <w:textAlignment w:val="baseline"/>
              <w:rPr>
                <w:noProof/>
              </w:rPr>
            </w:pPr>
            <w:r>
              <w:rPr>
                <w:noProof/>
              </w:rPr>
              <w:t>8 - Augmentation des performances des établissements d'enseignement supérieur slovaques - Réforme 2: Introduction d'un système d'évaluation périodique des performances scientifiques </w:t>
            </w:r>
          </w:p>
        </w:tc>
        <w:tc>
          <w:tcPr>
            <w:tcW w:w="1170" w:type="dxa"/>
            <w:shd w:val="clear" w:color="auto" w:fill="C6EFCE"/>
            <w:vAlign w:val="center"/>
            <w:hideMark/>
          </w:tcPr>
          <w:p w14:paraId="50B4BCDE"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CDF" w14:textId="77777777" w:rsidR="003B5F50" w:rsidRDefault="000D2D85">
            <w:pPr>
              <w:pStyle w:val="P68B1DB1-Normal42"/>
              <w:spacing w:after="0" w:line="240" w:lineRule="auto"/>
              <w:jc w:val="center"/>
              <w:textAlignment w:val="baseline"/>
              <w:rPr>
                <w:noProof/>
              </w:rPr>
            </w:pPr>
            <w:r>
              <w:rPr>
                <w:noProof/>
              </w:rPr>
              <w:t>Définition du système d’évaluation périodique des performances scientifiques introduit par la loi no 172/2005 </w:t>
            </w:r>
          </w:p>
        </w:tc>
      </w:tr>
      <w:tr w:rsidR="003B5F50" w14:paraId="50B4BCE5" w14:textId="77777777">
        <w:trPr>
          <w:trHeight w:val="660"/>
        </w:trPr>
        <w:tc>
          <w:tcPr>
            <w:tcW w:w="1275" w:type="dxa"/>
            <w:shd w:val="clear" w:color="auto" w:fill="C6EFCE"/>
            <w:vAlign w:val="center"/>
            <w:hideMark/>
          </w:tcPr>
          <w:p w14:paraId="50B4BCE1" w14:textId="77777777" w:rsidR="003B5F50" w:rsidRDefault="000D2D85">
            <w:pPr>
              <w:pStyle w:val="P68B1DB1-Normal48"/>
              <w:spacing w:after="0" w:line="240" w:lineRule="auto"/>
              <w:jc w:val="center"/>
              <w:textAlignment w:val="baseline"/>
              <w:rPr>
                <w:rFonts w:eastAsia="Times New Roman"/>
                <w:noProof/>
              </w:rPr>
            </w:pPr>
            <w:r>
              <w:rPr>
                <w:noProof/>
              </w:rPr>
              <w:t>5 </w:t>
            </w:r>
          </w:p>
        </w:tc>
        <w:tc>
          <w:tcPr>
            <w:tcW w:w="3960" w:type="dxa"/>
            <w:shd w:val="clear" w:color="auto" w:fill="C6EFCE"/>
            <w:vAlign w:val="center"/>
            <w:hideMark/>
          </w:tcPr>
          <w:p w14:paraId="50B4BCE2" w14:textId="77777777" w:rsidR="003B5F50" w:rsidRDefault="000D2D85">
            <w:pPr>
              <w:pStyle w:val="P68B1DB1-Normal42"/>
              <w:spacing w:after="0" w:line="240" w:lineRule="auto"/>
              <w:jc w:val="center"/>
              <w:textAlignment w:val="baseline"/>
              <w:rPr>
                <w:noProof/>
              </w:rPr>
            </w:pPr>
            <w:r>
              <w:rPr>
                <w:noProof/>
              </w:rPr>
              <w:t>9 - Gouvernance plus efficace et renforcement du financement de la RDI - Réforme 1: Réforme de la gouvernance, de l'évaluation et du soutien dans les domaines de la science, de la recherche et de l'innovation </w:t>
            </w:r>
          </w:p>
        </w:tc>
        <w:tc>
          <w:tcPr>
            <w:tcW w:w="1170" w:type="dxa"/>
            <w:shd w:val="clear" w:color="auto" w:fill="C6EFCE"/>
            <w:vAlign w:val="center"/>
            <w:hideMark/>
          </w:tcPr>
          <w:p w14:paraId="50B4BCE3"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CE4" w14:textId="77777777" w:rsidR="003B5F50" w:rsidRDefault="000D2D85">
            <w:pPr>
              <w:pStyle w:val="P68B1DB1-Normal42"/>
              <w:spacing w:after="0" w:line="240" w:lineRule="auto"/>
              <w:jc w:val="center"/>
              <w:textAlignment w:val="baseline"/>
              <w:rPr>
                <w:noProof/>
              </w:rPr>
            </w:pPr>
            <w:r>
              <w:rPr>
                <w:noProof/>
              </w:rPr>
              <w:t>Réforme de la gouvernance et soutien à la recherche, au développement et à l'innovation. </w:t>
            </w:r>
          </w:p>
        </w:tc>
      </w:tr>
      <w:tr w:rsidR="003B5F50" w14:paraId="50B4BCEA" w14:textId="77777777">
        <w:trPr>
          <w:trHeight w:val="660"/>
        </w:trPr>
        <w:tc>
          <w:tcPr>
            <w:tcW w:w="1275" w:type="dxa"/>
            <w:shd w:val="clear" w:color="auto" w:fill="C6EFCE"/>
            <w:vAlign w:val="center"/>
            <w:hideMark/>
          </w:tcPr>
          <w:p w14:paraId="50B4BCE6" w14:textId="77777777" w:rsidR="003B5F50" w:rsidRDefault="000D2D85">
            <w:pPr>
              <w:pStyle w:val="P68B1DB1-Normal48"/>
              <w:spacing w:after="0" w:line="240" w:lineRule="auto"/>
              <w:jc w:val="center"/>
              <w:textAlignment w:val="baseline"/>
              <w:rPr>
                <w:rFonts w:eastAsia="Times New Roman"/>
                <w:noProof/>
              </w:rPr>
            </w:pPr>
            <w:r>
              <w:rPr>
                <w:noProof/>
              </w:rPr>
              <w:t>6 </w:t>
            </w:r>
          </w:p>
        </w:tc>
        <w:tc>
          <w:tcPr>
            <w:tcW w:w="3960" w:type="dxa"/>
            <w:shd w:val="clear" w:color="auto" w:fill="C6EFCE"/>
            <w:vAlign w:val="center"/>
            <w:hideMark/>
          </w:tcPr>
          <w:p w14:paraId="50B4BCE7" w14:textId="77777777" w:rsidR="003B5F50" w:rsidRDefault="000D2D85">
            <w:pPr>
              <w:pStyle w:val="P68B1DB1-Normal42"/>
              <w:spacing w:after="0" w:line="240" w:lineRule="auto"/>
              <w:jc w:val="center"/>
              <w:textAlignment w:val="baseline"/>
              <w:rPr>
                <w:noProof/>
              </w:rPr>
            </w:pPr>
            <w:r>
              <w:rPr>
                <w:noProof/>
              </w:rPr>
              <w:t>10 - Attirer et retenir les talents - Réforme 1: Réforme de la législation en matière de résidence et de travail </w:t>
            </w:r>
          </w:p>
        </w:tc>
        <w:tc>
          <w:tcPr>
            <w:tcW w:w="1170" w:type="dxa"/>
            <w:shd w:val="clear" w:color="auto" w:fill="C6EFCE"/>
            <w:vAlign w:val="center"/>
            <w:hideMark/>
          </w:tcPr>
          <w:p w14:paraId="50B4BCE8"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CE9" w14:textId="77777777" w:rsidR="003B5F50" w:rsidRDefault="000D2D85">
            <w:pPr>
              <w:pStyle w:val="P68B1DB1-Normal42"/>
              <w:spacing w:after="0" w:line="240" w:lineRule="auto"/>
              <w:jc w:val="center"/>
              <w:textAlignment w:val="baseline"/>
              <w:rPr>
                <w:noProof/>
              </w:rPr>
            </w:pPr>
            <w:r>
              <w:rPr>
                <w:noProof/>
              </w:rPr>
              <w:t>Facilitation du retour dans le pays et augmentation de l'attractivité du pays pour les étrangers ayant des liens familiaux </w:t>
            </w:r>
          </w:p>
        </w:tc>
      </w:tr>
      <w:tr w:rsidR="003B5F50" w14:paraId="50B4BCEF" w14:textId="77777777">
        <w:trPr>
          <w:trHeight w:val="660"/>
        </w:trPr>
        <w:tc>
          <w:tcPr>
            <w:tcW w:w="1275" w:type="dxa"/>
            <w:shd w:val="clear" w:color="auto" w:fill="C6EFCE"/>
            <w:vAlign w:val="center"/>
            <w:hideMark/>
          </w:tcPr>
          <w:p w14:paraId="50B4BCEB" w14:textId="77777777" w:rsidR="003B5F50" w:rsidRDefault="000D2D85">
            <w:pPr>
              <w:pStyle w:val="P68B1DB1-Normal48"/>
              <w:spacing w:after="0" w:line="240" w:lineRule="auto"/>
              <w:jc w:val="center"/>
              <w:textAlignment w:val="baseline"/>
              <w:rPr>
                <w:rFonts w:eastAsia="Times New Roman"/>
                <w:noProof/>
              </w:rPr>
            </w:pPr>
            <w:r>
              <w:rPr>
                <w:noProof/>
              </w:rPr>
              <w:t>7 </w:t>
            </w:r>
          </w:p>
        </w:tc>
        <w:tc>
          <w:tcPr>
            <w:tcW w:w="3960" w:type="dxa"/>
            <w:shd w:val="clear" w:color="auto" w:fill="C6EFCE"/>
            <w:vAlign w:val="center"/>
            <w:hideMark/>
          </w:tcPr>
          <w:p w14:paraId="50B4BCEC" w14:textId="77777777" w:rsidR="003B5F50" w:rsidRDefault="000D2D85">
            <w:pPr>
              <w:pStyle w:val="P68B1DB1-Normal42"/>
              <w:spacing w:after="0" w:line="240" w:lineRule="auto"/>
              <w:jc w:val="center"/>
              <w:textAlignment w:val="baseline"/>
              <w:rPr>
                <w:noProof/>
              </w:rPr>
            </w:pPr>
            <w:r>
              <w:rPr>
                <w:noProof/>
              </w:rPr>
              <w:t>10 - Attirer et retenir les talents - Réforme 1: Réforme de la législation en matière de résidence et de travail </w:t>
            </w:r>
          </w:p>
        </w:tc>
        <w:tc>
          <w:tcPr>
            <w:tcW w:w="1170" w:type="dxa"/>
            <w:shd w:val="clear" w:color="auto" w:fill="C6EFCE"/>
            <w:vAlign w:val="center"/>
            <w:hideMark/>
          </w:tcPr>
          <w:p w14:paraId="50B4BCED"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CEE" w14:textId="77777777" w:rsidR="003B5F50" w:rsidRDefault="000D2D85">
            <w:pPr>
              <w:pStyle w:val="P68B1DB1-Normal42"/>
              <w:spacing w:after="0" w:line="240" w:lineRule="auto"/>
              <w:jc w:val="center"/>
              <w:textAlignment w:val="baseline"/>
              <w:rPr>
                <w:noProof/>
              </w:rPr>
            </w:pPr>
            <w:r>
              <w:rPr>
                <w:noProof/>
              </w:rPr>
              <w:t>Régime définissant une nouvelle catégorie de demandeurs de visa national (D). </w:t>
            </w:r>
          </w:p>
        </w:tc>
      </w:tr>
      <w:tr w:rsidR="003B5F50" w14:paraId="50B4BCF4" w14:textId="77777777">
        <w:trPr>
          <w:trHeight w:val="660"/>
        </w:trPr>
        <w:tc>
          <w:tcPr>
            <w:tcW w:w="1275" w:type="dxa"/>
            <w:shd w:val="clear" w:color="auto" w:fill="C6EFCE"/>
            <w:vAlign w:val="center"/>
            <w:hideMark/>
          </w:tcPr>
          <w:p w14:paraId="50B4BCF0" w14:textId="77777777" w:rsidR="003B5F50" w:rsidRDefault="000D2D85">
            <w:pPr>
              <w:pStyle w:val="P68B1DB1-Normal48"/>
              <w:spacing w:after="0" w:line="240" w:lineRule="auto"/>
              <w:jc w:val="center"/>
              <w:textAlignment w:val="baseline"/>
              <w:rPr>
                <w:rFonts w:eastAsia="Times New Roman"/>
                <w:noProof/>
              </w:rPr>
            </w:pPr>
            <w:r>
              <w:rPr>
                <w:noProof/>
              </w:rPr>
              <w:t>8 </w:t>
            </w:r>
          </w:p>
        </w:tc>
        <w:tc>
          <w:tcPr>
            <w:tcW w:w="3960" w:type="dxa"/>
            <w:shd w:val="clear" w:color="auto" w:fill="C6EFCE"/>
            <w:vAlign w:val="center"/>
            <w:hideMark/>
          </w:tcPr>
          <w:p w14:paraId="50B4BCF1" w14:textId="77777777" w:rsidR="003B5F50" w:rsidRDefault="000D2D85">
            <w:pPr>
              <w:pStyle w:val="P68B1DB1-Normal42"/>
              <w:spacing w:after="0" w:line="240" w:lineRule="auto"/>
              <w:jc w:val="center"/>
              <w:textAlignment w:val="baseline"/>
              <w:rPr>
                <w:noProof/>
              </w:rPr>
            </w:pPr>
            <w:r>
              <w:rPr>
                <w:noProof/>
              </w:rPr>
              <w:t>10 - Attirer et retenir les talents - Réforme 2: Simplification du régime de reconnaissance des qualifications et des qualifications professionnelles pour l'exercice de professions réglementées </w:t>
            </w:r>
          </w:p>
        </w:tc>
        <w:tc>
          <w:tcPr>
            <w:tcW w:w="1170" w:type="dxa"/>
            <w:shd w:val="clear" w:color="auto" w:fill="C6EFCE"/>
            <w:vAlign w:val="center"/>
            <w:hideMark/>
          </w:tcPr>
          <w:p w14:paraId="50B4BCF2"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CF3" w14:textId="76D74F29" w:rsidR="003B5F50" w:rsidRDefault="000D2D85">
            <w:pPr>
              <w:pStyle w:val="P68B1DB1-Normal42"/>
              <w:spacing w:after="0" w:line="240" w:lineRule="auto"/>
              <w:jc w:val="center"/>
              <w:textAlignment w:val="baseline"/>
              <w:rPr>
                <w:noProof/>
              </w:rPr>
            </w:pPr>
            <w:r>
              <w:rPr>
                <w:noProof/>
              </w:rPr>
              <w:t xml:space="preserve">Simplification de la reconnaissance des diplômes et des qualifications professionnelles </w:t>
            </w:r>
          </w:p>
        </w:tc>
      </w:tr>
      <w:tr w:rsidR="003B5F50" w14:paraId="50B4BCF9" w14:textId="77777777">
        <w:trPr>
          <w:trHeight w:val="660"/>
        </w:trPr>
        <w:tc>
          <w:tcPr>
            <w:tcW w:w="1275" w:type="dxa"/>
            <w:shd w:val="clear" w:color="auto" w:fill="C6EFCE"/>
            <w:vAlign w:val="center"/>
            <w:hideMark/>
          </w:tcPr>
          <w:p w14:paraId="50B4BCF5" w14:textId="77777777" w:rsidR="003B5F50" w:rsidRDefault="000D2D85">
            <w:pPr>
              <w:pStyle w:val="P68B1DB1-Normal48"/>
              <w:spacing w:after="0" w:line="240" w:lineRule="auto"/>
              <w:jc w:val="center"/>
              <w:textAlignment w:val="baseline"/>
              <w:rPr>
                <w:rFonts w:eastAsia="Times New Roman"/>
                <w:noProof/>
              </w:rPr>
            </w:pPr>
            <w:r>
              <w:rPr>
                <w:noProof/>
              </w:rPr>
              <w:t>9 </w:t>
            </w:r>
          </w:p>
        </w:tc>
        <w:tc>
          <w:tcPr>
            <w:tcW w:w="3960" w:type="dxa"/>
            <w:shd w:val="clear" w:color="auto" w:fill="C6EFCE"/>
            <w:vAlign w:val="center"/>
            <w:hideMark/>
          </w:tcPr>
          <w:p w14:paraId="50B4BCF6" w14:textId="77777777" w:rsidR="003B5F50" w:rsidRDefault="000D2D85">
            <w:pPr>
              <w:pStyle w:val="P68B1DB1-Normal42"/>
              <w:spacing w:after="0" w:line="240" w:lineRule="auto"/>
              <w:jc w:val="center"/>
              <w:textAlignment w:val="baseline"/>
              <w:rPr>
                <w:noProof/>
              </w:rPr>
            </w:pPr>
            <w:r>
              <w:rPr>
                <w:noProof/>
              </w:rPr>
              <w:t>11 - Des soins de santé modernes et accessibles - Réforme 1 Optimisation du réseau hospitalier (ONU) </w:t>
            </w:r>
          </w:p>
        </w:tc>
        <w:tc>
          <w:tcPr>
            <w:tcW w:w="1170" w:type="dxa"/>
            <w:shd w:val="clear" w:color="auto" w:fill="C6EFCE"/>
            <w:vAlign w:val="center"/>
            <w:hideMark/>
          </w:tcPr>
          <w:p w14:paraId="50B4BCF7"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CF8" w14:textId="77777777" w:rsidR="003B5F50" w:rsidRDefault="000D2D85">
            <w:pPr>
              <w:pStyle w:val="P68B1DB1-Normal42"/>
              <w:spacing w:after="0" w:line="240" w:lineRule="auto"/>
              <w:jc w:val="center"/>
              <w:textAlignment w:val="baseline"/>
              <w:rPr>
                <w:noProof/>
              </w:rPr>
            </w:pPr>
            <w:r>
              <w:rPr>
                <w:noProof/>
              </w:rPr>
              <w:t>Introduction du réseau hospitalier </w:t>
            </w:r>
          </w:p>
        </w:tc>
      </w:tr>
      <w:tr w:rsidR="003B5F50" w14:paraId="50B4BCFE" w14:textId="77777777">
        <w:trPr>
          <w:trHeight w:val="660"/>
        </w:trPr>
        <w:tc>
          <w:tcPr>
            <w:tcW w:w="1275" w:type="dxa"/>
            <w:shd w:val="clear" w:color="auto" w:fill="C6EFCE"/>
            <w:vAlign w:val="center"/>
            <w:hideMark/>
          </w:tcPr>
          <w:p w14:paraId="50B4BCFA" w14:textId="77777777" w:rsidR="003B5F50" w:rsidRDefault="000D2D85">
            <w:pPr>
              <w:pStyle w:val="P68B1DB1-Normal48"/>
              <w:spacing w:after="0" w:line="240" w:lineRule="auto"/>
              <w:jc w:val="center"/>
              <w:textAlignment w:val="baseline"/>
              <w:rPr>
                <w:rFonts w:eastAsia="Times New Roman"/>
                <w:noProof/>
              </w:rPr>
            </w:pPr>
            <w:r>
              <w:rPr>
                <w:noProof/>
              </w:rPr>
              <w:t>10 </w:t>
            </w:r>
          </w:p>
        </w:tc>
        <w:tc>
          <w:tcPr>
            <w:tcW w:w="3960" w:type="dxa"/>
            <w:shd w:val="clear" w:color="auto" w:fill="C6EFCE"/>
            <w:vAlign w:val="center"/>
            <w:hideMark/>
          </w:tcPr>
          <w:p w14:paraId="50B4BCFB" w14:textId="77777777" w:rsidR="003B5F50" w:rsidRDefault="000D2D85">
            <w:pPr>
              <w:pStyle w:val="P68B1DB1-Normal42"/>
              <w:spacing w:after="0" w:line="240" w:lineRule="auto"/>
              <w:jc w:val="center"/>
              <w:textAlignment w:val="baseline"/>
              <w:rPr>
                <w:noProof/>
              </w:rPr>
            </w:pPr>
            <w:r>
              <w:rPr>
                <w:noProof/>
              </w:rPr>
              <w:t>11 – Des soins de santé modernes et accessibles – Réforme 2 Réforme de l’élaboration des plans d’investissement dans le domaine de la santé </w:t>
            </w:r>
          </w:p>
        </w:tc>
        <w:tc>
          <w:tcPr>
            <w:tcW w:w="1170" w:type="dxa"/>
            <w:shd w:val="clear" w:color="auto" w:fill="C6EFCE"/>
            <w:vAlign w:val="center"/>
            <w:hideMark/>
          </w:tcPr>
          <w:p w14:paraId="50B4BCFC"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CFD" w14:textId="7ED19E2B" w:rsidR="003B5F50" w:rsidRDefault="000D2D85">
            <w:pPr>
              <w:pStyle w:val="P68B1DB1-Normal42"/>
              <w:spacing w:after="0" w:line="240" w:lineRule="auto"/>
              <w:jc w:val="center"/>
              <w:textAlignment w:val="baseline"/>
              <w:rPr>
                <w:noProof/>
              </w:rPr>
            </w:pPr>
            <w:r>
              <w:rPr>
                <w:noProof/>
              </w:rPr>
              <w:t xml:space="preserve">Un plan d'investissement prioritaire selon la méthodologie d'évaluation des investissements adoptée par le ministère de la Santé </w:t>
            </w:r>
          </w:p>
        </w:tc>
      </w:tr>
      <w:tr w:rsidR="003B5F50" w14:paraId="50B4BD03" w14:textId="77777777">
        <w:trPr>
          <w:trHeight w:val="660"/>
        </w:trPr>
        <w:tc>
          <w:tcPr>
            <w:tcW w:w="1275" w:type="dxa"/>
            <w:shd w:val="clear" w:color="auto" w:fill="C6EFCE"/>
            <w:vAlign w:val="center"/>
            <w:hideMark/>
          </w:tcPr>
          <w:p w14:paraId="50B4BCFF" w14:textId="77777777" w:rsidR="003B5F50" w:rsidRDefault="000D2D85">
            <w:pPr>
              <w:pStyle w:val="P68B1DB1-Normal48"/>
              <w:spacing w:after="0" w:line="240" w:lineRule="auto"/>
              <w:jc w:val="center"/>
              <w:textAlignment w:val="baseline"/>
              <w:rPr>
                <w:rFonts w:eastAsia="Times New Roman"/>
                <w:noProof/>
              </w:rPr>
            </w:pPr>
            <w:r>
              <w:rPr>
                <w:noProof/>
              </w:rPr>
              <w:t>11 </w:t>
            </w:r>
          </w:p>
        </w:tc>
        <w:tc>
          <w:tcPr>
            <w:tcW w:w="3960" w:type="dxa"/>
            <w:shd w:val="clear" w:color="auto" w:fill="C6EFCE"/>
            <w:vAlign w:val="center"/>
            <w:hideMark/>
          </w:tcPr>
          <w:p w14:paraId="50B4BD00" w14:textId="77777777" w:rsidR="003B5F50" w:rsidRDefault="000D2D85">
            <w:pPr>
              <w:pStyle w:val="P68B1DB1-Normal42"/>
              <w:spacing w:after="0" w:line="240" w:lineRule="auto"/>
              <w:jc w:val="center"/>
              <w:textAlignment w:val="baseline"/>
              <w:rPr>
                <w:noProof/>
              </w:rPr>
            </w:pPr>
            <w:r>
              <w:rPr>
                <w:noProof/>
              </w:rPr>
              <w:t>11 - Des soins de santé modernes et accessibles - Réforme 5 Réforme de la prestation de soins primaires aux adultes, aux enfants et aux jeunes </w:t>
            </w:r>
          </w:p>
        </w:tc>
        <w:tc>
          <w:tcPr>
            <w:tcW w:w="1170" w:type="dxa"/>
            <w:shd w:val="clear" w:color="auto" w:fill="C6EFCE"/>
            <w:vAlign w:val="center"/>
            <w:hideMark/>
          </w:tcPr>
          <w:p w14:paraId="50B4BD01"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D02" w14:textId="77777777" w:rsidR="003B5F50" w:rsidRDefault="000D2D85">
            <w:pPr>
              <w:pStyle w:val="P68B1DB1-Normal42"/>
              <w:spacing w:after="0" w:line="240" w:lineRule="auto"/>
              <w:jc w:val="center"/>
              <w:textAlignment w:val="baseline"/>
              <w:rPr>
                <w:noProof/>
              </w:rPr>
            </w:pPr>
            <w:r>
              <w:rPr>
                <w:noProof/>
              </w:rPr>
              <w:t> La nouvelle loi sur la mise en place du réseau des prestataires de soins généraux et l'introduction du zonage </w:t>
            </w:r>
          </w:p>
        </w:tc>
      </w:tr>
      <w:tr w:rsidR="003B5F50" w14:paraId="50B4BD08" w14:textId="77777777">
        <w:trPr>
          <w:trHeight w:val="660"/>
        </w:trPr>
        <w:tc>
          <w:tcPr>
            <w:tcW w:w="1275" w:type="dxa"/>
            <w:shd w:val="clear" w:color="auto" w:fill="C6EFCE"/>
            <w:vAlign w:val="center"/>
            <w:hideMark/>
          </w:tcPr>
          <w:p w14:paraId="50B4BD04" w14:textId="77777777" w:rsidR="003B5F50" w:rsidRDefault="000D2D85">
            <w:pPr>
              <w:pStyle w:val="P68B1DB1-Normal48"/>
              <w:spacing w:after="0" w:line="240" w:lineRule="auto"/>
              <w:jc w:val="center"/>
              <w:textAlignment w:val="baseline"/>
              <w:rPr>
                <w:rFonts w:eastAsia="Times New Roman"/>
                <w:noProof/>
              </w:rPr>
            </w:pPr>
            <w:r>
              <w:rPr>
                <w:noProof/>
              </w:rPr>
              <w:t>12 </w:t>
            </w:r>
          </w:p>
        </w:tc>
        <w:tc>
          <w:tcPr>
            <w:tcW w:w="3960" w:type="dxa"/>
            <w:shd w:val="clear" w:color="auto" w:fill="C6EFCE"/>
            <w:vAlign w:val="center"/>
            <w:hideMark/>
          </w:tcPr>
          <w:p w14:paraId="50B4BD05" w14:textId="77777777" w:rsidR="003B5F50" w:rsidRDefault="000D2D85">
            <w:pPr>
              <w:pStyle w:val="P68B1DB1-Normal42"/>
              <w:spacing w:after="0" w:line="240" w:lineRule="auto"/>
              <w:jc w:val="center"/>
              <w:textAlignment w:val="baseline"/>
              <w:rPr>
                <w:noProof/>
              </w:rPr>
            </w:pPr>
            <w:r>
              <w:rPr>
                <w:noProof/>
              </w:rPr>
              <w:t>13 - Soins socio-sanitaires de longue durée accessibles et de qualité - Réforme de la supervision des soins sociaux et mise en place d'infrastructures pour leur mise en œuvre </w:t>
            </w:r>
          </w:p>
        </w:tc>
        <w:tc>
          <w:tcPr>
            <w:tcW w:w="1170" w:type="dxa"/>
            <w:shd w:val="clear" w:color="auto" w:fill="C6EFCE"/>
            <w:vAlign w:val="center"/>
            <w:hideMark/>
          </w:tcPr>
          <w:p w14:paraId="50B4BD06"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D07" w14:textId="77777777" w:rsidR="003B5F50" w:rsidRDefault="000D2D85">
            <w:pPr>
              <w:pStyle w:val="P68B1DB1-Normal42"/>
              <w:spacing w:after="0" w:line="240" w:lineRule="auto"/>
              <w:jc w:val="center"/>
              <w:textAlignment w:val="baseline"/>
              <w:rPr>
                <w:noProof/>
              </w:rPr>
            </w:pPr>
            <w:r>
              <w:rPr>
                <w:noProof/>
              </w:rPr>
              <w:t>Réforme du contrôle de la protection sociale </w:t>
            </w:r>
          </w:p>
        </w:tc>
      </w:tr>
      <w:tr w:rsidR="003B5F50" w14:paraId="50B4BD0D" w14:textId="77777777">
        <w:trPr>
          <w:trHeight w:val="660"/>
        </w:trPr>
        <w:tc>
          <w:tcPr>
            <w:tcW w:w="1275" w:type="dxa"/>
            <w:shd w:val="clear" w:color="auto" w:fill="C6EFCE"/>
            <w:vAlign w:val="center"/>
            <w:hideMark/>
          </w:tcPr>
          <w:p w14:paraId="50B4BD09" w14:textId="77777777" w:rsidR="003B5F50" w:rsidRDefault="000D2D85">
            <w:pPr>
              <w:pStyle w:val="P68B1DB1-Normal48"/>
              <w:spacing w:after="0" w:line="240" w:lineRule="auto"/>
              <w:jc w:val="center"/>
              <w:textAlignment w:val="baseline"/>
              <w:rPr>
                <w:rFonts w:eastAsia="Times New Roman"/>
                <w:noProof/>
              </w:rPr>
            </w:pPr>
            <w:r>
              <w:rPr>
                <w:noProof/>
              </w:rPr>
              <w:t>13 </w:t>
            </w:r>
          </w:p>
        </w:tc>
        <w:tc>
          <w:tcPr>
            <w:tcW w:w="3960" w:type="dxa"/>
            <w:shd w:val="clear" w:color="auto" w:fill="C6EFCE"/>
            <w:vAlign w:val="center"/>
            <w:hideMark/>
          </w:tcPr>
          <w:p w14:paraId="50B4BD0A" w14:textId="77777777" w:rsidR="003B5F50" w:rsidRDefault="000D2D85">
            <w:pPr>
              <w:pStyle w:val="P68B1DB1-Normal42"/>
              <w:spacing w:after="0" w:line="240" w:lineRule="auto"/>
              <w:jc w:val="center"/>
              <w:textAlignment w:val="baseline"/>
              <w:rPr>
                <w:noProof/>
              </w:rPr>
            </w:pPr>
            <w:r>
              <w:rPr>
                <w:noProof/>
              </w:rPr>
              <w:t>14 - Améliorer l'environnement des entreprises - Réforme 3: Réforme des marchés publics – adaptation de la législation </w:t>
            </w:r>
          </w:p>
        </w:tc>
        <w:tc>
          <w:tcPr>
            <w:tcW w:w="1170" w:type="dxa"/>
            <w:shd w:val="clear" w:color="auto" w:fill="C6EFCE"/>
            <w:vAlign w:val="center"/>
            <w:hideMark/>
          </w:tcPr>
          <w:p w14:paraId="50B4BD0B"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D0C" w14:textId="06FED0DA" w:rsidR="003B5F50" w:rsidRDefault="000D2D85">
            <w:pPr>
              <w:pStyle w:val="P68B1DB1-Normal42"/>
              <w:spacing w:after="0" w:line="240" w:lineRule="auto"/>
              <w:jc w:val="center"/>
              <w:textAlignment w:val="baseline"/>
              <w:rPr>
                <w:noProof/>
              </w:rPr>
            </w:pPr>
            <w:r>
              <w:rPr>
                <w:noProof/>
              </w:rPr>
              <w:t xml:space="preserve">Réforme de la loi sur les procédures de passation des marchés publics </w:t>
            </w:r>
          </w:p>
        </w:tc>
      </w:tr>
      <w:tr w:rsidR="003B5F50" w14:paraId="50B4BD12" w14:textId="77777777">
        <w:trPr>
          <w:trHeight w:val="660"/>
        </w:trPr>
        <w:tc>
          <w:tcPr>
            <w:tcW w:w="1275" w:type="dxa"/>
            <w:shd w:val="clear" w:color="auto" w:fill="C6EFCE"/>
            <w:vAlign w:val="center"/>
            <w:hideMark/>
          </w:tcPr>
          <w:p w14:paraId="50B4BD0E" w14:textId="77777777" w:rsidR="003B5F50" w:rsidRDefault="000D2D85">
            <w:pPr>
              <w:pStyle w:val="P68B1DB1-Normal48"/>
              <w:spacing w:after="0" w:line="240" w:lineRule="auto"/>
              <w:jc w:val="center"/>
              <w:textAlignment w:val="baseline"/>
              <w:rPr>
                <w:rFonts w:eastAsia="Times New Roman"/>
                <w:noProof/>
              </w:rPr>
            </w:pPr>
            <w:r>
              <w:rPr>
                <w:noProof/>
              </w:rPr>
              <w:t>14 </w:t>
            </w:r>
          </w:p>
        </w:tc>
        <w:tc>
          <w:tcPr>
            <w:tcW w:w="3960" w:type="dxa"/>
            <w:shd w:val="clear" w:color="auto" w:fill="C6EFCE"/>
            <w:vAlign w:val="center"/>
            <w:hideMark/>
          </w:tcPr>
          <w:p w14:paraId="50B4BD0F" w14:textId="77777777" w:rsidR="003B5F50" w:rsidRDefault="000D2D85">
            <w:pPr>
              <w:pStyle w:val="P68B1DB1-Normal42"/>
              <w:spacing w:after="0" w:line="240" w:lineRule="auto"/>
              <w:jc w:val="center"/>
              <w:textAlignment w:val="baseline"/>
              <w:rPr>
                <w:noProof/>
              </w:rPr>
            </w:pPr>
            <w:r>
              <w:rPr>
                <w:noProof/>
              </w:rPr>
              <w:t>16 - Lutte contre la corruption et le blanchiment de capitaux - Réforme 1: Rendre la lutte contre la corruption et la LBC plus efficace </w:t>
            </w:r>
          </w:p>
        </w:tc>
        <w:tc>
          <w:tcPr>
            <w:tcW w:w="1170" w:type="dxa"/>
            <w:shd w:val="clear" w:color="auto" w:fill="C6EFCE"/>
            <w:vAlign w:val="center"/>
            <w:hideMark/>
          </w:tcPr>
          <w:p w14:paraId="50B4BD10"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D11" w14:textId="067E93E8" w:rsidR="003B5F50" w:rsidRDefault="000D2D85">
            <w:pPr>
              <w:pStyle w:val="P68B1DB1-Normal42"/>
              <w:spacing w:after="0" w:line="240" w:lineRule="auto"/>
              <w:jc w:val="center"/>
              <w:textAlignment w:val="baseline"/>
              <w:rPr>
                <w:noProof/>
              </w:rPr>
            </w:pPr>
            <w:r>
              <w:rPr>
                <w:noProof/>
              </w:rPr>
              <w:t xml:space="preserve">Réformes visant à rationaliser et à améliorer les enquêtes financières </w:t>
            </w:r>
          </w:p>
        </w:tc>
      </w:tr>
      <w:tr w:rsidR="003B5F50" w14:paraId="50B4BD17" w14:textId="77777777">
        <w:trPr>
          <w:trHeight w:val="660"/>
        </w:trPr>
        <w:tc>
          <w:tcPr>
            <w:tcW w:w="1275" w:type="dxa"/>
            <w:shd w:val="clear" w:color="auto" w:fill="C6EFCE"/>
            <w:vAlign w:val="center"/>
            <w:hideMark/>
          </w:tcPr>
          <w:p w14:paraId="50B4BD13" w14:textId="77777777" w:rsidR="003B5F50" w:rsidRDefault="000D2D85">
            <w:pPr>
              <w:pStyle w:val="P68B1DB1-Normal48"/>
              <w:spacing w:after="0" w:line="240" w:lineRule="auto"/>
              <w:jc w:val="center"/>
              <w:textAlignment w:val="baseline"/>
              <w:rPr>
                <w:rFonts w:eastAsia="Times New Roman"/>
                <w:noProof/>
              </w:rPr>
            </w:pPr>
            <w:r>
              <w:rPr>
                <w:noProof/>
              </w:rPr>
              <w:t>15 </w:t>
            </w:r>
          </w:p>
        </w:tc>
        <w:tc>
          <w:tcPr>
            <w:tcW w:w="3960" w:type="dxa"/>
            <w:shd w:val="clear" w:color="auto" w:fill="C6EFCE"/>
            <w:vAlign w:val="center"/>
            <w:hideMark/>
          </w:tcPr>
          <w:p w14:paraId="50B4BD14" w14:textId="77777777" w:rsidR="003B5F50" w:rsidRDefault="000D2D85">
            <w:pPr>
              <w:pStyle w:val="P68B1DB1-Normal42"/>
              <w:spacing w:after="0" w:line="240" w:lineRule="auto"/>
              <w:jc w:val="center"/>
              <w:textAlignment w:val="baseline"/>
              <w:rPr>
                <w:noProof/>
              </w:rPr>
            </w:pPr>
            <w:r>
              <w:rPr>
                <w:noProof/>
              </w:rPr>
              <w:t>17 - Slovaquie numérique - Investissement 4: Soutien à des projets visant le développement de technologies et d’infrastructures numériques</w:t>
            </w:r>
          </w:p>
        </w:tc>
        <w:tc>
          <w:tcPr>
            <w:tcW w:w="1170" w:type="dxa"/>
            <w:shd w:val="clear" w:color="auto" w:fill="C6EFCE"/>
            <w:vAlign w:val="center"/>
            <w:hideMark/>
          </w:tcPr>
          <w:p w14:paraId="50B4BD15" w14:textId="77777777" w:rsidR="003B5F50" w:rsidRDefault="000D2D85">
            <w:pPr>
              <w:pStyle w:val="P68B1DB1-Normal42"/>
              <w:spacing w:after="0" w:line="240" w:lineRule="auto"/>
              <w:jc w:val="center"/>
              <w:textAlignment w:val="baseline"/>
              <w:rPr>
                <w:noProof/>
              </w:rPr>
            </w:pPr>
            <w:r>
              <w:rPr>
                <w:noProof/>
              </w:rPr>
              <w:t>Étape </w:t>
            </w:r>
          </w:p>
        </w:tc>
        <w:tc>
          <w:tcPr>
            <w:tcW w:w="4200" w:type="dxa"/>
            <w:shd w:val="clear" w:color="auto" w:fill="C6EFCE"/>
            <w:vAlign w:val="center"/>
            <w:hideMark/>
          </w:tcPr>
          <w:p w14:paraId="50B4BD16" w14:textId="77777777" w:rsidR="003B5F50" w:rsidRDefault="000D2D85">
            <w:pPr>
              <w:pStyle w:val="P68B1DB1-Normal42"/>
              <w:spacing w:after="0" w:line="240" w:lineRule="auto"/>
              <w:jc w:val="center"/>
              <w:textAlignment w:val="baseline"/>
              <w:rPr>
                <w:noProof/>
              </w:rPr>
            </w:pPr>
            <w:r>
              <w:rPr>
                <w:noProof/>
              </w:rPr>
              <w:t>Conception d’un régime d’aide au développement et à l’application des technologies numériques </w:t>
            </w:r>
          </w:p>
        </w:tc>
      </w:tr>
      <w:tr w:rsidR="003B5F50" w14:paraId="50B4BD1C" w14:textId="77777777">
        <w:trPr>
          <w:trHeight w:val="660"/>
        </w:trPr>
        <w:tc>
          <w:tcPr>
            <w:tcW w:w="1275" w:type="dxa"/>
            <w:shd w:val="clear" w:color="auto" w:fill="C6EFCE"/>
            <w:vAlign w:val="center"/>
            <w:hideMark/>
          </w:tcPr>
          <w:p w14:paraId="50B4BD18" w14:textId="77777777" w:rsidR="003B5F50" w:rsidRDefault="000D2D85">
            <w:pPr>
              <w:pStyle w:val="P68B1DB1-Normal48"/>
              <w:spacing w:after="0" w:line="240" w:lineRule="auto"/>
              <w:jc w:val="center"/>
              <w:textAlignment w:val="baseline"/>
              <w:rPr>
                <w:rFonts w:eastAsia="Times New Roman"/>
                <w:noProof/>
              </w:rPr>
            </w:pPr>
            <w:r>
              <w:rPr>
                <w:noProof/>
              </w:rPr>
              <w:t>16 </w:t>
            </w:r>
          </w:p>
        </w:tc>
        <w:tc>
          <w:tcPr>
            <w:tcW w:w="3960" w:type="dxa"/>
            <w:shd w:val="clear" w:color="auto" w:fill="C6EFCE"/>
            <w:vAlign w:val="center"/>
            <w:hideMark/>
          </w:tcPr>
          <w:p w14:paraId="50B4BD19" w14:textId="77777777" w:rsidR="003B5F50" w:rsidRDefault="000D2D85">
            <w:pPr>
              <w:pStyle w:val="P68B1DB1-Normal42"/>
              <w:spacing w:after="0" w:line="240" w:lineRule="auto"/>
              <w:jc w:val="center"/>
              <w:textAlignment w:val="baseline"/>
              <w:rPr>
                <w:noProof/>
              </w:rPr>
            </w:pPr>
            <w:r>
              <w:rPr>
                <w:noProof/>
              </w:rPr>
              <w:t>17 - Slovaquie numérique - Investissement 7: Compétences numériques des personnes âgées ou défavorisées </w:t>
            </w:r>
          </w:p>
        </w:tc>
        <w:tc>
          <w:tcPr>
            <w:tcW w:w="1170" w:type="dxa"/>
            <w:shd w:val="clear" w:color="auto" w:fill="C6EFCE"/>
            <w:vAlign w:val="center"/>
            <w:hideMark/>
          </w:tcPr>
          <w:p w14:paraId="50B4BD1A" w14:textId="77777777" w:rsidR="003B5F50" w:rsidRDefault="000D2D85">
            <w:pPr>
              <w:pStyle w:val="P68B1DB1-Normal42"/>
              <w:spacing w:after="0" w:line="240" w:lineRule="auto"/>
              <w:jc w:val="center"/>
              <w:textAlignment w:val="baseline"/>
              <w:rPr>
                <w:noProof/>
              </w:rPr>
            </w:pPr>
            <w:r>
              <w:rPr>
                <w:noProof/>
              </w:rPr>
              <w:t>Objectif </w:t>
            </w:r>
          </w:p>
        </w:tc>
        <w:tc>
          <w:tcPr>
            <w:tcW w:w="4200" w:type="dxa"/>
            <w:shd w:val="clear" w:color="auto" w:fill="C6EFCE"/>
            <w:vAlign w:val="center"/>
            <w:hideMark/>
          </w:tcPr>
          <w:p w14:paraId="50B4BD1B" w14:textId="77777777" w:rsidR="003B5F50" w:rsidRDefault="000D2D85">
            <w:pPr>
              <w:pStyle w:val="P68B1DB1-Normal42"/>
              <w:spacing w:after="0" w:line="240" w:lineRule="auto"/>
              <w:jc w:val="center"/>
              <w:textAlignment w:val="baseline"/>
              <w:rPr>
                <w:noProof/>
              </w:rPr>
            </w:pPr>
            <w:r>
              <w:rPr>
                <w:noProof/>
              </w:rPr>
              <w:t>Nombre de personnes âgées et de personnes défavorisées formées aux compétences numériques de base </w:t>
            </w:r>
          </w:p>
        </w:tc>
      </w:tr>
      <w:tr w:rsidR="003B5F50" w14:paraId="50B4BD21" w14:textId="77777777">
        <w:trPr>
          <w:trHeight w:val="585"/>
        </w:trPr>
        <w:tc>
          <w:tcPr>
            <w:tcW w:w="1275" w:type="dxa"/>
            <w:shd w:val="clear" w:color="auto" w:fill="C6EFCE"/>
            <w:vAlign w:val="center"/>
            <w:hideMark/>
          </w:tcPr>
          <w:p w14:paraId="50B4BD1D" w14:textId="77777777" w:rsidR="003B5F50" w:rsidRDefault="000D2D85">
            <w:pPr>
              <w:pStyle w:val="P68B1DB1-Normal85"/>
              <w:spacing w:after="0" w:line="240" w:lineRule="auto"/>
              <w:jc w:val="center"/>
              <w:textAlignment w:val="baseline"/>
              <w:rPr>
                <w:rFonts w:eastAsia="Times New Roman"/>
                <w:noProof/>
              </w:rPr>
            </w:pPr>
            <w:r>
              <w:rPr>
                <w:noProof/>
              </w:rPr>
              <w:t>  </w:t>
            </w:r>
          </w:p>
        </w:tc>
        <w:tc>
          <w:tcPr>
            <w:tcW w:w="3960" w:type="dxa"/>
            <w:shd w:val="clear" w:color="auto" w:fill="C6EFCE"/>
            <w:vAlign w:val="center"/>
            <w:hideMark/>
          </w:tcPr>
          <w:p w14:paraId="50B4BD1E" w14:textId="77777777" w:rsidR="003B5F50" w:rsidRDefault="000D2D85">
            <w:pPr>
              <w:pStyle w:val="P68B1DB1-Normal42"/>
              <w:spacing w:after="0" w:line="240" w:lineRule="auto"/>
              <w:jc w:val="center"/>
              <w:textAlignment w:val="baseline"/>
              <w:rPr>
                <w:noProof/>
              </w:rPr>
            </w:pPr>
            <w:r>
              <w:rPr>
                <w:noProof/>
              </w:rPr>
              <w:t>  </w:t>
            </w:r>
          </w:p>
        </w:tc>
        <w:tc>
          <w:tcPr>
            <w:tcW w:w="1170" w:type="dxa"/>
            <w:shd w:val="clear" w:color="auto" w:fill="C6EFCE"/>
            <w:vAlign w:val="center"/>
            <w:hideMark/>
          </w:tcPr>
          <w:p w14:paraId="50B4BD1F" w14:textId="77777777" w:rsidR="003B5F50" w:rsidRDefault="000D2D85">
            <w:pPr>
              <w:pStyle w:val="P68B1DB1-Normal42"/>
              <w:spacing w:after="0" w:line="240" w:lineRule="auto"/>
              <w:jc w:val="center"/>
              <w:textAlignment w:val="baseline"/>
              <w:rPr>
                <w:noProof/>
              </w:rPr>
            </w:pPr>
            <w:r>
              <w:rPr>
                <w:noProof/>
              </w:rPr>
              <w:t>Montant des acomptes provisionnels </w:t>
            </w:r>
          </w:p>
        </w:tc>
        <w:tc>
          <w:tcPr>
            <w:tcW w:w="4200" w:type="dxa"/>
            <w:shd w:val="clear" w:color="auto" w:fill="C6EFCE"/>
            <w:vAlign w:val="center"/>
            <w:hideMark/>
          </w:tcPr>
          <w:p w14:paraId="50B4BD20" w14:textId="4108BDFE" w:rsidR="003B5F50" w:rsidRDefault="000D2D85">
            <w:pPr>
              <w:pStyle w:val="P68B1DB1-Normal42"/>
              <w:spacing w:after="0" w:line="240" w:lineRule="auto"/>
              <w:jc w:val="center"/>
              <w:textAlignment w:val="baseline"/>
              <w:rPr>
                <w:noProof/>
              </w:rPr>
            </w:pPr>
            <w:r>
              <w:rPr>
                <w:noProof/>
              </w:rPr>
              <w:t>814 715 000 EUR</w:t>
            </w:r>
          </w:p>
        </w:tc>
      </w:tr>
    </w:tbl>
    <w:p w14:paraId="50B4BD22" w14:textId="77777777" w:rsidR="003B5F50" w:rsidRDefault="003B5F50">
      <w:pPr>
        <w:spacing w:after="0" w:line="240" w:lineRule="auto"/>
        <w:ind w:left="720"/>
        <w:jc w:val="both"/>
        <w:textAlignment w:val="baseline"/>
        <w:rPr>
          <w:rFonts w:ascii="Times New Roman" w:eastAsia="Times New Roman" w:hAnsi="Times New Roman" w:cs="Times New Roman"/>
          <w:noProof/>
        </w:rPr>
      </w:pPr>
    </w:p>
    <w:p w14:paraId="50B4BD23" w14:textId="11109874" w:rsidR="003B5F50" w:rsidRDefault="000D2D85">
      <w:pPr>
        <w:pStyle w:val="P68B1DB1-Normal39"/>
        <w:numPr>
          <w:ilvl w:val="0"/>
          <w:numId w:val="49"/>
        </w:numPr>
        <w:spacing w:after="0" w:line="240" w:lineRule="auto"/>
        <w:ind w:firstLine="0"/>
        <w:jc w:val="both"/>
        <w:textAlignment w:val="baseline"/>
        <w:rPr>
          <w:rFonts w:eastAsia="Times New Roman" w:cs="Times New Roman"/>
          <w:noProof/>
        </w:rPr>
      </w:pPr>
      <w:r>
        <w:rPr>
          <w:noProof/>
        </w:rPr>
        <w:t xml:space="preserve">Troisième tranche (soutien non remboursable): </w:t>
      </w:r>
    </w:p>
    <w:p w14:paraId="50B4BD24" w14:textId="77777777" w:rsidR="003B5F50" w:rsidRDefault="000D2D85">
      <w:pPr>
        <w:pStyle w:val="P68B1DB1-Normal36"/>
        <w:spacing w:after="0" w:line="240" w:lineRule="auto"/>
        <w:ind w:left="840"/>
        <w:jc w:val="both"/>
        <w:textAlignment w:val="baseline"/>
        <w:rPr>
          <w:rFonts w:ascii="Segoe UI" w:eastAsia="Times New Roman" w:hAnsi="Segoe UI" w:cs="Segoe UI"/>
          <w:noProof/>
          <w:sz w:val="18"/>
          <w:szCs w:val="18"/>
        </w:rPr>
      </w:pPr>
      <w:r>
        <w:rPr>
          <w:noProof/>
        </w:rPr>
        <w:t> </w:t>
      </w:r>
    </w:p>
    <w:tbl>
      <w:tblPr>
        <w:tblW w:w="10249" w:type="dxa"/>
        <w:tblInd w:w="-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2"/>
        <w:gridCol w:w="3826"/>
        <w:gridCol w:w="1138"/>
        <w:gridCol w:w="4073"/>
      </w:tblGrid>
      <w:tr w:rsidR="003B5F50" w14:paraId="50B4BD29" w14:textId="77777777">
        <w:trPr>
          <w:trHeight w:val="1290"/>
          <w:tblHeader/>
        </w:trPr>
        <w:tc>
          <w:tcPr>
            <w:tcW w:w="12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5" w14:textId="77777777" w:rsidR="003B5F50" w:rsidRDefault="000D2D85">
            <w:pPr>
              <w:pStyle w:val="P68B1DB1-Normal84"/>
              <w:spacing w:after="0" w:line="240" w:lineRule="auto"/>
              <w:jc w:val="center"/>
              <w:textAlignment w:val="baseline"/>
              <w:rPr>
                <w:rFonts w:eastAsia="Times New Roman"/>
                <w:noProof/>
              </w:rPr>
            </w:pPr>
            <w:r>
              <w:rPr>
                <w:b/>
                <w:noProof/>
              </w:rPr>
              <w:t>Numéro séquentiel</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6" w14:textId="77777777" w:rsidR="003B5F50" w:rsidRDefault="000D2D85">
            <w:pPr>
              <w:pStyle w:val="P68B1DB1-Normal84"/>
              <w:spacing w:after="0" w:line="240" w:lineRule="auto"/>
              <w:jc w:val="center"/>
              <w:textAlignment w:val="baseline"/>
              <w:rPr>
                <w:rFonts w:eastAsia="Times New Roman"/>
                <w:noProof/>
              </w:rPr>
            </w:pPr>
            <w:r>
              <w:rPr>
                <w:b/>
                <w:noProof/>
              </w:rPr>
              <w:t>Mesure connexe (réforme ou investissement)</w:t>
            </w:r>
            <w:r>
              <w:rPr>
                <w:noProof/>
              </w:rPr>
              <w:t> </w:t>
            </w:r>
          </w:p>
        </w:tc>
        <w:tc>
          <w:tcPr>
            <w:tcW w:w="10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7" w14:textId="77777777" w:rsidR="003B5F50" w:rsidRDefault="000D2D85">
            <w:pPr>
              <w:pStyle w:val="P68B1DB1-Normal84"/>
              <w:spacing w:after="0" w:line="240" w:lineRule="auto"/>
              <w:jc w:val="center"/>
              <w:textAlignment w:val="baseline"/>
              <w:rPr>
                <w:rFonts w:eastAsia="Times New Roman"/>
                <w:noProof/>
              </w:rPr>
            </w:pPr>
            <w:r>
              <w:rPr>
                <w:b/>
                <w:noProof/>
              </w:rPr>
              <w:t>Étape/cible</w:t>
            </w:r>
            <w:r>
              <w:rPr>
                <w:noProof/>
              </w:rPr>
              <w:t> </w:t>
            </w:r>
          </w:p>
        </w:tc>
        <w:tc>
          <w:tcPr>
            <w:tcW w:w="411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8" w14:textId="77777777" w:rsidR="003B5F50" w:rsidRDefault="000D2D85">
            <w:pPr>
              <w:pStyle w:val="P68B1DB1-Normal84"/>
              <w:spacing w:after="0" w:line="240" w:lineRule="auto"/>
              <w:jc w:val="center"/>
              <w:textAlignment w:val="baseline"/>
              <w:rPr>
                <w:rFonts w:eastAsia="Times New Roman"/>
                <w:noProof/>
              </w:rPr>
            </w:pPr>
            <w:r>
              <w:rPr>
                <w:b/>
                <w:noProof/>
              </w:rPr>
              <w:t>Nom</w:t>
            </w:r>
            <w:r>
              <w:rPr>
                <w:noProof/>
              </w:rPr>
              <w:t> </w:t>
            </w:r>
          </w:p>
        </w:tc>
      </w:tr>
      <w:tr w:rsidR="003B5F50" w14:paraId="50B4BD2E"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A" w14:textId="77777777" w:rsidR="003B5F50" w:rsidRDefault="000D2D85">
            <w:pPr>
              <w:pStyle w:val="P68B1DB1-Normal48"/>
              <w:spacing w:after="0" w:line="240" w:lineRule="auto"/>
              <w:jc w:val="center"/>
              <w:textAlignment w:val="baseline"/>
              <w:rPr>
                <w:rFonts w:eastAsia="Times New Roman"/>
                <w:noProof/>
              </w:rPr>
            </w:pPr>
            <w:r>
              <w:rPr>
                <w:noProof/>
              </w:rPr>
              <w:t>1 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B" w14:textId="77777777" w:rsidR="003B5F50" w:rsidRDefault="000D2D85">
            <w:pPr>
              <w:pStyle w:val="P68B1DB1-Normal42"/>
              <w:spacing w:after="0" w:line="240" w:lineRule="auto"/>
              <w:jc w:val="center"/>
              <w:textAlignment w:val="baseline"/>
              <w:rPr>
                <w:noProof/>
              </w:rPr>
            </w:pPr>
            <w:r>
              <w:rPr>
                <w:noProof/>
              </w:rPr>
              <w:t>1 - Sources d'énergie renouvelables et infrastructures énergétiques - Réforme 1: Adaptation du cadre juridique de l'électricité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C"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D" w14:textId="77777777" w:rsidR="003B5F50" w:rsidRDefault="000D2D85">
            <w:pPr>
              <w:pStyle w:val="P68B1DB1-Normal42"/>
              <w:spacing w:after="0" w:line="240" w:lineRule="auto"/>
              <w:jc w:val="center"/>
              <w:textAlignment w:val="baseline"/>
              <w:rPr>
                <w:noProof/>
              </w:rPr>
            </w:pPr>
            <w:r>
              <w:rPr>
                <w:noProof/>
              </w:rPr>
              <w:t>Réforme du marché de l'électricité </w:t>
            </w:r>
          </w:p>
        </w:tc>
      </w:tr>
      <w:tr w:rsidR="003B5F50" w14:paraId="50B4BD33"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F" w14:textId="77777777" w:rsidR="003B5F50" w:rsidRDefault="000D2D85">
            <w:pPr>
              <w:pStyle w:val="P68B1DB1-Normal48"/>
              <w:spacing w:after="0" w:line="240" w:lineRule="auto"/>
              <w:jc w:val="center"/>
              <w:textAlignment w:val="baseline"/>
              <w:rPr>
                <w:rFonts w:eastAsia="Times New Roman"/>
                <w:noProof/>
              </w:rPr>
            </w:pPr>
            <w:r>
              <w:rPr>
                <w:noProof/>
              </w:rPr>
              <w:t>2 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0" w14:textId="77777777" w:rsidR="003B5F50" w:rsidRDefault="000D2D85">
            <w:pPr>
              <w:pStyle w:val="P68B1DB1-Normal42"/>
              <w:spacing w:after="0" w:line="240" w:lineRule="auto"/>
              <w:jc w:val="center"/>
              <w:textAlignment w:val="baseline"/>
              <w:rPr>
                <w:noProof/>
              </w:rPr>
            </w:pPr>
            <w:r>
              <w:rPr>
                <w:noProof/>
              </w:rPr>
              <w:t>1 - Sources d'énergie renouvelables et infrastructures énergétiques - Réforme 2: Le cadre juridique pour la promotion des sources d'énergie renouvelables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1"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2" w14:textId="7A7537CF" w:rsidR="003B5F50" w:rsidRDefault="000D2D85">
            <w:pPr>
              <w:pStyle w:val="P68B1DB1-Normal42"/>
              <w:spacing w:after="0" w:line="240" w:lineRule="auto"/>
              <w:jc w:val="center"/>
              <w:textAlignment w:val="baseline"/>
              <w:rPr>
                <w:noProof/>
              </w:rPr>
            </w:pPr>
            <w:r>
              <w:rPr>
                <w:noProof/>
              </w:rPr>
              <w:t xml:space="preserve">Cadre pour soutenir les investissements dans de nouvelles sources d’énergie renouvelables </w:t>
            </w:r>
          </w:p>
        </w:tc>
      </w:tr>
      <w:tr w:rsidR="003B5F50" w14:paraId="50B4BD38"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4" w14:textId="77777777" w:rsidR="003B5F50" w:rsidRDefault="000D2D85">
            <w:pPr>
              <w:pStyle w:val="P68B1DB1-Normal48"/>
              <w:spacing w:after="0" w:line="240" w:lineRule="auto"/>
              <w:jc w:val="center"/>
              <w:textAlignment w:val="baseline"/>
              <w:rPr>
                <w:rFonts w:eastAsia="Times New Roman"/>
                <w:noProof/>
              </w:rPr>
            </w:pPr>
            <w:r>
              <w:rPr>
                <w:noProof/>
              </w:rPr>
              <w:t>3 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5" w14:textId="3A2DD02B" w:rsidR="003B5F50" w:rsidRDefault="000D2D85">
            <w:pPr>
              <w:pStyle w:val="P68B1DB1-Normal42"/>
              <w:spacing w:after="0" w:line="240" w:lineRule="auto"/>
              <w:jc w:val="center"/>
              <w:textAlignment w:val="baseline"/>
              <w:rPr>
                <w:noProof/>
              </w:rPr>
            </w:pPr>
            <w:r>
              <w:rPr>
                <w:noProof/>
              </w:rPr>
              <w:t>2 - Rénovation des bâtiments - Réforme 1: Harmonisation des mécanismes de soutien à la rénovation des maisons familiales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6"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7" w14:textId="7CAEA7D9" w:rsidR="003B5F50" w:rsidRDefault="000D2D85">
            <w:pPr>
              <w:pStyle w:val="P68B1DB1-Normal42"/>
              <w:spacing w:after="0" w:line="240" w:lineRule="auto"/>
              <w:jc w:val="center"/>
              <w:textAlignment w:val="baseline"/>
              <w:rPr>
                <w:noProof/>
              </w:rPr>
            </w:pPr>
            <w:r>
              <w:rPr>
                <w:noProof/>
              </w:rPr>
              <w:t xml:space="preserve">Plan de mise en œuvre pour mobiliser la rénovation verte des maisons familiales </w:t>
            </w:r>
          </w:p>
        </w:tc>
      </w:tr>
      <w:tr w:rsidR="003B5F50" w14:paraId="50B4BD3D"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9" w14:textId="77777777" w:rsidR="003B5F50" w:rsidRDefault="000D2D85">
            <w:pPr>
              <w:pStyle w:val="P68B1DB1-Normal48"/>
              <w:spacing w:after="0" w:line="240" w:lineRule="auto"/>
              <w:jc w:val="center"/>
              <w:textAlignment w:val="baseline"/>
              <w:rPr>
                <w:rFonts w:eastAsia="Times New Roman"/>
                <w:noProof/>
              </w:rPr>
            </w:pPr>
            <w:r>
              <w:rPr>
                <w:noProof/>
              </w:rPr>
              <w:t>4 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A" w14:textId="147E10BB" w:rsidR="003B5F50" w:rsidRDefault="000D2D85">
            <w:pPr>
              <w:pStyle w:val="P68B1DB1-Normal42"/>
              <w:spacing w:after="0" w:line="240" w:lineRule="auto"/>
              <w:jc w:val="center"/>
              <w:textAlignment w:val="baseline"/>
              <w:rPr>
                <w:noProof/>
              </w:rPr>
            </w:pPr>
            <w:r>
              <w:rPr>
                <w:noProof/>
              </w:rPr>
              <w:t xml:space="preserve">2 - Rénovation des bâtiments - Réforme 1: Accroître l'efficacité énergétique des maisons familiales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B"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C" w14:textId="1D3C71EA" w:rsidR="003B5F50" w:rsidRDefault="000D2D85">
            <w:pPr>
              <w:pStyle w:val="P68B1DB1-Normal42"/>
              <w:spacing w:after="0" w:line="240" w:lineRule="auto"/>
              <w:jc w:val="center"/>
              <w:textAlignment w:val="baseline"/>
              <w:rPr>
                <w:noProof/>
              </w:rPr>
            </w:pPr>
            <w:r>
              <w:rPr>
                <w:noProof/>
              </w:rPr>
              <w:t xml:space="preserve">Lancement des régimes d’aide visant à mobiliser les économies d’énergie et la rénovation verte </w:t>
            </w:r>
          </w:p>
        </w:tc>
      </w:tr>
      <w:tr w:rsidR="003B5F50" w14:paraId="50B4BD42"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E" w14:textId="77777777" w:rsidR="003B5F50" w:rsidRDefault="000D2D85">
            <w:pPr>
              <w:pStyle w:val="P68B1DB1-Normal48"/>
              <w:spacing w:after="0" w:line="240" w:lineRule="auto"/>
              <w:jc w:val="center"/>
              <w:textAlignment w:val="baseline"/>
              <w:rPr>
                <w:rFonts w:eastAsia="Times New Roman"/>
                <w:noProof/>
              </w:rPr>
            </w:pPr>
            <w:r>
              <w:rPr>
                <w:noProof/>
              </w:rPr>
              <w:t>5 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F" w14:textId="76CF2411" w:rsidR="003B5F50" w:rsidRDefault="000D2D85">
            <w:pPr>
              <w:pStyle w:val="P68B1DB1-Normal42"/>
              <w:spacing w:after="0" w:line="240" w:lineRule="auto"/>
              <w:jc w:val="center"/>
              <w:textAlignment w:val="baseline"/>
              <w:rPr>
                <w:noProof/>
              </w:rPr>
            </w:pPr>
            <w:r>
              <w:rPr>
                <w:noProof/>
              </w:rPr>
              <w:t xml:space="preserve">3 - Transports durables - Réforme 3: Réforme du transport intermodal de marchandises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0"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1" w14:textId="77777777" w:rsidR="003B5F50" w:rsidRDefault="000D2D85">
            <w:pPr>
              <w:pStyle w:val="P68B1DB1-Normal42"/>
              <w:spacing w:after="0" w:line="240" w:lineRule="auto"/>
              <w:jc w:val="center"/>
              <w:textAlignment w:val="baseline"/>
              <w:rPr>
                <w:noProof/>
              </w:rPr>
            </w:pPr>
            <w:r>
              <w:rPr>
                <w:noProof/>
              </w:rPr>
              <w:t>Concept et appels à de nouveaux régimes de soutien </w:t>
            </w:r>
          </w:p>
        </w:tc>
      </w:tr>
      <w:tr w:rsidR="003B5F50" w14:paraId="50B4BD47"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3" w14:textId="77777777" w:rsidR="003B5F50" w:rsidRDefault="000D2D85">
            <w:pPr>
              <w:pStyle w:val="P68B1DB1-Normal48"/>
              <w:spacing w:after="0" w:line="240" w:lineRule="auto"/>
              <w:jc w:val="center"/>
              <w:textAlignment w:val="baseline"/>
              <w:rPr>
                <w:rFonts w:eastAsia="Times New Roman"/>
                <w:noProof/>
              </w:rPr>
            </w:pPr>
            <w:r>
              <w:rPr>
                <w:noProof/>
              </w:rPr>
              <w:t>6 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4" w14:textId="77777777" w:rsidR="003B5F50" w:rsidRDefault="000D2D85">
            <w:pPr>
              <w:pStyle w:val="P68B1DB1-Normal42"/>
              <w:spacing w:after="0" w:line="240" w:lineRule="auto"/>
              <w:jc w:val="center"/>
              <w:textAlignment w:val="baseline"/>
              <w:rPr>
                <w:noProof/>
              </w:rPr>
            </w:pPr>
            <w:r>
              <w:rPr>
                <w:noProof/>
              </w:rPr>
              <w:t>3 - Transports durables - Réforme 4: Introduction de nouvelles politiques pour la promotion à long terme des carburants de substitution dans le secteur des transports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5"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6" w14:textId="77777777" w:rsidR="003B5F50" w:rsidRDefault="000D2D85">
            <w:pPr>
              <w:pStyle w:val="P68B1DB1-Normal42"/>
              <w:spacing w:after="0" w:line="240" w:lineRule="auto"/>
              <w:jc w:val="center"/>
              <w:textAlignment w:val="baseline"/>
              <w:rPr>
                <w:noProof/>
              </w:rPr>
            </w:pPr>
            <w:r>
              <w:rPr>
                <w:noProof/>
              </w:rPr>
              <w:t>Un nouveau train de mesures visant à promouvoir les propulsions alternatives </w:t>
            </w:r>
          </w:p>
        </w:tc>
      </w:tr>
      <w:tr w:rsidR="003B5F50" w14:paraId="50B4BD4C"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8" w14:textId="77777777" w:rsidR="003B5F50" w:rsidRDefault="000D2D85">
            <w:pPr>
              <w:pStyle w:val="P68B1DB1-Normal48"/>
              <w:spacing w:after="0" w:line="240" w:lineRule="auto"/>
              <w:jc w:val="center"/>
              <w:textAlignment w:val="baseline"/>
              <w:rPr>
                <w:rFonts w:eastAsia="Times New Roman"/>
                <w:noProof/>
              </w:rPr>
            </w:pPr>
            <w:r>
              <w:rPr>
                <w:noProof/>
              </w:rPr>
              <w:t>7 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9" w14:textId="77777777" w:rsidR="003B5F50" w:rsidRDefault="000D2D85">
            <w:pPr>
              <w:pStyle w:val="P68B1DB1-Normal42"/>
              <w:spacing w:after="0" w:line="240" w:lineRule="auto"/>
              <w:textAlignment w:val="baseline"/>
              <w:rPr>
                <w:noProof/>
              </w:rPr>
            </w:pPr>
            <w:r>
              <w:rPr>
                <w:noProof/>
              </w:rPr>
              <w:t>4 - Décarbonation de l'industrie - Réforme 2: Le régime concurrentiel de réduction des émissions de gaz à effet de serre dans l'industrie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A"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B" w14:textId="77777777" w:rsidR="003B5F50" w:rsidRDefault="000D2D85">
            <w:pPr>
              <w:pStyle w:val="P68B1DB1-Normal42"/>
              <w:spacing w:after="0" w:line="240" w:lineRule="auto"/>
              <w:jc w:val="center"/>
              <w:textAlignment w:val="baseline"/>
              <w:rPr>
                <w:noProof/>
              </w:rPr>
            </w:pPr>
            <w:r>
              <w:rPr>
                <w:noProof/>
              </w:rPr>
              <w:t>Adoption du régime de décarbonation industrielle </w:t>
            </w:r>
          </w:p>
        </w:tc>
      </w:tr>
      <w:tr w:rsidR="003B5F50" w14:paraId="50B4BD51"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D" w14:textId="77777777" w:rsidR="003B5F50" w:rsidRDefault="000D2D85">
            <w:pPr>
              <w:pStyle w:val="P68B1DB1-Normal48"/>
              <w:spacing w:after="0" w:line="240" w:lineRule="auto"/>
              <w:jc w:val="center"/>
              <w:textAlignment w:val="baseline"/>
              <w:rPr>
                <w:rFonts w:eastAsia="Times New Roman"/>
                <w:noProof/>
              </w:rPr>
            </w:pPr>
            <w:r>
              <w:rPr>
                <w:noProof/>
              </w:rPr>
              <w:t>8</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E" w14:textId="77777777" w:rsidR="003B5F50" w:rsidRDefault="000D2D85">
            <w:pPr>
              <w:pStyle w:val="P68B1DB1-Normal42"/>
              <w:spacing w:after="0" w:line="240" w:lineRule="auto"/>
              <w:jc w:val="center"/>
              <w:textAlignment w:val="baseline"/>
              <w:rPr>
                <w:noProof/>
              </w:rPr>
            </w:pPr>
            <w:r>
              <w:rPr>
                <w:noProof/>
              </w:rPr>
              <w:t>5 - S'adapter au changement climatique - Réforme 2: Réforme de la conservation de la nature et de la gestion de l'eau à la campagne</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F" w14:textId="77777777" w:rsidR="003B5F50" w:rsidRDefault="000D2D85">
            <w:pPr>
              <w:pStyle w:val="P68B1DB1-Normal42"/>
              <w:spacing w:after="0" w:line="240" w:lineRule="auto"/>
              <w:jc w:val="center"/>
              <w:textAlignment w:val="baseline"/>
              <w:rPr>
                <w:noProof/>
              </w:rPr>
            </w:pPr>
            <w:r>
              <w:rPr>
                <w:noProof/>
              </w:rPr>
              <w:t>Étape</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0" w14:textId="77777777" w:rsidR="003B5F50" w:rsidRDefault="000D2D85">
            <w:pPr>
              <w:pStyle w:val="P68B1DB1-Normal42"/>
              <w:spacing w:after="0" w:line="240" w:lineRule="auto"/>
              <w:jc w:val="center"/>
              <w:textAlignment w:val="baseline"/>
              <w:rPr>
                <w:noProof/>
              </w:rPr>
            </w:pPr>
            <w:r>
              <w:rPr>
                <w:noProof/>
              </w:rPr>
              <w:t>Application plus efficace des mesures de protection de la nature dans les paysages des zones protégées et revitalisation des cours d'eau</w:t>
            </w:r>
          </w:p>
        </w:tc>
      </w:tr>
      <w:tr w:rsidR="003B5F50" w14:paraId="50B4BD56"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2" w14:textId="77777777" w:rsidR="003B5F50" w:rsidRDefault="000D2D85">
            <w:pPr>
              <w:pStyle w:val="P68B1DB1-Normal48"/>
              <w:spacing w:line="240" w:lineRule="auto"/>
              <w:jc w:val="center"/>
              <w:rPr>
                <w:rFonts w:eastAsia="Times New Roman"/>
                <w:noProof/>
              </w:rPr>
            </w:pPr>
            <w:r>
              <w:rPr>
                <w:noProof/>
              </w:rPr>
              <w:t>9 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3" w14:textId="77777777" w:rsidR="003B5F50" w:rsidRDefault="000D2D85">
            <w:pPr>
              <w:pStyle w:val="P68B1DB1-Normal42"/>
              <w:spacing w:line="240" w:lineRule="auto"/>
              <w:jc w:val="center"/>
              <w:rPr>
                <w:noProof/>
              </w:rPr>
            </w:pPr>
            <w:r>
              <w:rPr>
                <w:noProof/>
              </w:rPr>
              <w:t>6 - Accessibilité, développement et qualité de l'éducation inclusive - Réforme 1: Garantir les conditions de mise en œuvre de l’enseignement préprimaire obligatoire pour les enfants âgés de cinq ans et introduire un droit légal à une place à la maternelle ou dans d’autres établissements d’enseignement préprimaire à partir de l’âge de trois ans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4" w14:textId="77777777" w:rsidR="003B5F50" w:rsidRDefault="000D2D85">
            <w:pPr>
              <w:pStyle w:val="P68B1DB1-Normal42"/>
              <w:spacing w:line="240" w:lineRule="auto"/>
              <w:jc w:val="center"/>
              <w:rPr>
                <w:noProof/>
              </w:rPr>
            </w:pPr>
            <w:r>
              <w:rPr>
                <w:noProof/>
              </w:rPr>
              <w:t>Objectif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5" w14:textId="77777777" w:rsidR="003B5F50" w:rsidRDefault="000D2D85">
            <w:pPr>
              <w:pStyle w:val="P68B1DB1-Normal42"/>
              <w:spacing w:line="240" w:lineRule="auto"/>
              <w:jc w:val="center"/>
              <w:rPr>
                <w:noProof/>
              </w:rPr>
            </w:pPr>
            <w:r>
              <w:rPr>
                <w:noProof/>
              </w:rPr>
              <w:t>Taux de scolarisation des enfants de 5 ans dans les écoles préprimaires </w:t>
            </w:r>
          </w:p>
        </w:tc>
      </w:tr>
      <w:tr w:rsidR="003B5F50" w14:paraId="50B4BD5B"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7" w14:textId="77777777" w:rsidR="003B5F50" w:rsidRDefault="000D2D85">
            <w:pPr>
              <w:pStyle w:val="P68B1DB1-Normal48"/>
              <w:spacing w:after="0" w:line="240" w:lineRule="auto"/>
              <w:jc w:val="center"/>
              <w:textAlignment w:val="baseline"/>
              <w:rPr>
                <w:rFonts w:eastAsia="Times New Roman"/>
                <w:noProof/>
              </w:rPr>
            </w:pPr>
            <w:r>
              <w:rPr>
                <w:noProof/>
              </w:rPr>
              <w:t>10 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8" w14:textId="77777777" w:rsidR="003B5F50" w:rsidRDefault="000D2D85">
            <w:pPr>
              <w:pStyle w:val="P68B1DB1-Normal42"/>
              <w:spacing w:after="0" w:line="240" w:lineRule="auto"/>
              <w:jc w:val="center"/>
              <w:textAlignment w:val="baseline"/>
              <w:rPr>
                <w:noProof/>
              </w:rPr>
            </w:pPr>
            <w:r>
              <w:rPr>
                <w:noProof/>
              </w:rPr>
              <w:t>6 - Accessibilité, développement et qualité de l'éducation inclusive - Réforme 1:1. Garantir les conditions de mise en œuvre de l’enseignement préprimaire obligatoire pour les enfants âgés de cinq ans et introduire un droit légal à une place à la maternelle ou dans d’autres établissements d’enseignement préprimaire à partir de l’âge de trois ans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9"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A" w14:textId="77777777" w:rsidR="003B5F50" w:rsidRDefault="000D2D85">
            <w:pPr>
              <w:pStyle w:val="P68B1DB1-Normal42"/>
              <w:spacing w:after="0" w:line="240" w:lineRule="auto"/>
              <w:jc w:val="center"/>
              <w:textAlignment w:val="baseline"/>
              <w:rPr>
                <w:noProof/>
              </w:rPr>
            </w:pPr>
            <w:r>
              <w:rPr>
                <w:noProof/>
              </w:rPr>
              <w:t>L'introduction de modifications juridiques d'un enseignement préprimaire obligatoire pour les enfants âgés de cinq ans et l'introduction d'un droit légal à une place dans la maternelle ou d'autres prestataires d'enseignement préprimaire à partir de l'âge de trois ans. </w:t>
            </w:r>
          </w:p>
        </w:tc>
      </w:tr>
      <w:tr w:rsidR="003B5F50" w14:paraId="50B4BD60"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C" w14:textId="77777777" w:rsidR="003B5F50" w:rsidRDefault="000D2D85">
            <w:pPr>
              <w:pStyle w:val="P68B1DB1-Normal48"/>
              <w:spacing w:after="0" w:line="240" w:lineRule="auto"/>
              <w:jc w:val="center"/>
              <w:textAlignment w:val="baseline"/>
              <w:rPr>
                <w:rFonts w:eastAsia="Times New Roman"/>
                <w:noProof/>
              </w:rPr>
            </w:pPr>
            <w:r>
              <w:rPr>
                <w:noProof/>
              </w:rPr>
              <w:t>11 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D" w14:textId="77777777" w:rsidR="003B5F50" w:rsidRDefault="000D2D85">
            <w:pPr>
              <w:pStyle w:val="P68B1DB1-Normal42"/>
              <w:spacing w:after="0" w:line="240" w:lineRule="auto"/>
              <w:jc w:val="center"/>
              <w:textAlignment w:val="baseline"/>
              <w:rPr>
                <w:noProof/>
              </w:rPr>
            </w:pPr>
            <w:r>
              <w:rPr>
                <w:noProof/>
              </w:rPr>
              <w:t>6 - Accessibilité, développement et qualité de l'éducation inclusive - Réforme 2: Définition de la notion de besoins éducatifs spéciaux des enfants et des élèves et élaboration d'un modèle pour les mesures de soutien éligibles dans le domaine de l'éducation et de l'éducation, y compris leur système de financement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E"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F" w14:textId="77777777" w:rsidR="003B5F50" w:rsidRDefault="000D2D85">
            <w:pPr>
              <w:pStyle w:val="P68B1DB1-Normal42"/>
              <w:spacing w:after="0" w:line="240" w:lineRule="auto"/>
              <w:jc w:val="center"/>
              <w:textAlignment w:val="baseline"/>
              <w:rPr>
                <w:noProof/>
              </w:rPr>
            </w:pPr>
            <w:r>
              <w:rPr>
                <w:noProof/>
              </w:rPr>
              <w:t>Adoption de la loi sur la redéfinition de la notion de besoins éducatifs spéciaux et élaboration de documents méthodologiques d'accompagnement à l'intention du personnel enseignant, du personnel spécialisé et des chefs d'établissement. </w:t>
            </w:r>
          </w:p>
        </w:tc>
      </w:tr>
      <w:tr w:rsidR="003B5F50" w14:paraId="50B4BD65"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1" w14:textId="77777777" w:rsidR="003B5F50" w:rsidRDefault="000D2D85">
            <w:pPr>
              <w:pStyle w:val="P68B1DB1-Normal48"/>
              <w:spacing w:after="0" w:line="240" w:lineRule="auto"/>
              <w:jc w:val="center"/>
              <w:textAlignment w:val="baseline"/>
              <w:rPr>
                <w:rFonts w:eastAsia="Times New Roman"/>
                <w:noProof/>
              </w:rPr>
            </w:pPr>
            <w:r>
              <w:rPr>
                <w:noProof/>
              </w:rPr>
              <w:t>12 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2" w14:textId="77777777" w:rsidR="003B5F50" w:rsidRDefault="000D2D85">
            <w:pPr>
              <w:pStyle w:val="P68B1DB1-Normal42"/>
              <w:spacing w:after="0" w:line="240" w:lineRule="auto"/>
              <w:jc w:val="center"/>
              <w:textAlignment w:val="baseline"/>
              <w:rPr>
                <w:noProof/>
              </w:rPr>
            </w:pPr>
            <w:r>
              <w:rPr>
                <w:noProof/>
              </w:rPr>
              <w:t>6 - Accessibilité, développement et qualité de l'éducation inclusive - Réforme 6: Mesures compensatoires visant à atténuer l’impact de la pandémie dans l’enseignement primaire et secondaire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3" w14:textId="77777777" w:rsidR="003B5F50" w:rsidRDefault="000D2D85">
            <w:pPr>
              <w:pStyle w:val="P68B1DB1-Normal42"/>
              <w:spacing w:after="0" w:line="240" w:lineRule="auto"/>
              <w:jc w:val="center"/>
              <w:textAlignment w:val="baseline"/>
              <w:rPr>
                <w:noProof/>
              </w:rPr>
            </w:pPr>
            <w:r>
              <w:rPr>
                <w:noProof/>
              </w:rPr>
              <w:t>Objectif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4" w14:textId="77777777" w:rsidR="003B5F50" w:rsidRDefault="000D2D85">
            <w:pPr>
              <w:pStyle w:val="P68B1DB1-Normal42"/>
              <w:spacing w:after="0" w:line="240" w:lineRule="auto"/>
              <w:jc w:val="center"/>
              <w:textAlignment w:val="baseline"/>
              <w:rPr>
                <w:noProof/>
              </w:rPr>
            </w:pPr>
            <w:r>
              <w:rPr>
                <w:noProof/>
              </w:rPr>
              <w:t>Nombre d ' élèves participant à des programmes d ' enseignement </w:t>
            </w:r>
          </w:p>
        </w:tc>
      </w:tr>
      <w:tr w:rsidR="003B5F50" w14:paraId="50B4BD6F"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B" w14:textId="670E1F88" w:rsidR="003B5F50" w:rsidRDefault="000D2D85">
            <w:pPr>
              <w:pStyle w:val="P68B1DB1-Normal48"/>
              <w:spacing w:after="0" w:line="240" w:lineRule="auto"/>
              <w:jc w:val="center"/>
              <w:textAlignment w:val="baseline"/>
              <w:rPr>
                <w:rFonts w:eastAsia="Times New Roman"/>
                <w:noProof/>
              </w:rPr>
            </w:pPr>
            <w:r>
              <w:rPr>
                <w:noProof/>
              </w:rPr>
              <w:t>13</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C" w14:textId="77777777" w:rsidR="003B5F50" w:rsidRDefault="000D2D85">
            <w:pPr>
              <w:pStyle w:val="P68B1DB1-Normal42"/>
              <w:spacing w:after="0" w:line="240" w:lineRule="auto"/>
              <w:jc w:val="center"/>
              <w:textAlignment w:val="baseline"/>
              <w:rPr>
                <w:noProof/>
              </w:rPr>
            </w:pPr>
            <w:r>
              <w:rPr>
                <w:noProof/>
              </w:rPr>
              <w:t>8 - Augmentation des performances des établissements d'enseignement supérieur slovaques - Réforme 1: Changement dans le financement des universités, y compris l'introduction de contrats de performance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D"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E" w14:textId="77777777" w:rsidR="003B5F50" w:rsidRDefault="000D2D85">
            <w:pPr>
              <w:pStyle w:val="P68B1DB1-Normal42"/>
              <w:spacing w:after="0" w:line="240" w:lineRule="auto"/>
              <w:jc w:val="center"/>
              <w:textAlignment w:val="baseline"/>
              <w:rPr>
                <w:noProof/>
              </w:rPr>
            </w:pPr>
            <w:r>
              <w:rPr>
                <w:noProof/>
              </w:rPr>
              <w:t>Introduction de contrats de performance </w:t>
            </w:r>
          </w:p>
        </w:tc>
      </w:tr>
      <w:tr w:rsidR="003B5F50" w14:paraId="50B4BD74"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0" w14:textId="23DC8C42" w:rsidR="003B5F50" w:rsidRDefault="000D2D85">
            <w:pPr>
              <w:pStyle w:val="P68B1DB1-Normal48"/>
              <w:spacing w:after="0" w:line="240" w:lineRule="auto"/>
              <w:jc w:val="center"/>
              <w:textAlignment w:val="baseline"/>
              <w:rPr>
                <w:rFonts w:eastAsia="Times New Roman"/>
                <w:noProof/>
              </w:rPr>
            </w:pPr>
            <w:r>
              <w:rPr>
                <w:noProof/>
              </w:rPr>
              <w:t>14</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1" w14:textId="77777777" w:rsidR="003B5F50" w:rsidRDefault="000D2D85">
            <w:pPr>
              <w:pStyle w:val="P68B1DB1-Normal42"/>
              <w:spacing w:after="0" w:line="240" w:lineRule="auto"/>
              <w:jc w:val="center"/>
              <w:textAlignment w:val="baseline"/>
              <w:rPr>
                <w:noProof/>
              </w:rPr>
            </w:pPr>
            <w:r>
              <w:rPr>
                <w:noProof/>
              </w:rPr>
              <w:t>8 - Augmentation des performances des établissements d'enseignement supérieur slovaques - Réforme 2: Introduction d'un système d'évaluation périodique des performances scientifiques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2" w14:textId="77777777" w:rsidR="003B5F50" w:rsidRDefault="000D2D85">
            <w:pPr>
              <w:pStyle w:val="P68B1DB1-Normal42"/>
              <w:spacing w:after="0" w:line="240" w:lineRule="auto"/>
              <w:jc w:val="center"/>
              <w:textAlignment w:val="baseline"/>
              <w:rPr>
                <w:noProof/>
              </w:rPr>
            </w:pPr>
            <w:r>
              <w:rPr>
                <w:noProof/>
              </w:rPr>
              <w:t>Objectif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3" w14:textId="50B21BB5" w:rsidR="003B5F50" w:rsidRDefault="000D2D85">
            <w:pPr>
              <w:pStyle w:val="P68B1DB1-Normal42"/>
              <w:spacing w:after="0" w:line="240" w:lineRule="auto"/>
              <w:jc w:val="center"/>
              <w:textAlignment w:val="baseline"/>
              <w:rPr>
                <w:noProof/>
              </w:rPr>
            </w:pPr>
            <w:r>
              <w:rPr>
                <w:noProof/>
              </w:rPr>
              <w:t xml:space="preserve">Nombre d'évaluations réalisées </w:t>
            </w:r>
          </w:p>
        </w:tc>
      </w:tr>
      <w:tr w:rsidR="003B5F50" w14:paraId="50B4BD79"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5" w14:textId="5EFD9060" w:rsidR="003B5F50" w:rsidRDefault="000D2D85">
            <w:pPr>
              <w:pStyle w:val="P68B1DB1-Normal48"/>
              <w:spacing w:after="0" w:line="240" w:lineRule="auto"/>
              <w:jc w:val="center"/>
              <w:textAlignment w:val="baseline"/>
              <w:rPr>
                <w:rFonts w:eastAsia="Times New Roman"/>
                <w:noProof/>
              </w:rPr>
            </w:pPr>
            <w:r>
              <w:rPr>
                <w:noProof/>
              </w:rPr>
              <w:t>15 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6" w14:textId="77777777" w:rsidR="003B5F50" w:rsidRDefault="000D2D85">
            <w:pPr>
              <w:pStyle w:val="P68B1DB1-Normal42"/>
              <w:spacing w:after="0" w:line="240" w:lineRule="auto"/>
              <w:jc w:val="center"/>
              <w:textAlignment w:val="baseline"/>
              <w:rPr>
                <w:noProof/>
              </w:rPr>
            </w:pPr>
            <w:r>
              <w:rPr>
                <w:noProof/>
              </w:rPr>
              <w:t>8 - Augmentation des performances des établissements d'enseignement supérieur slovaques - Réforme 3: Une nouvelle approche de l'accréditation de l'enseignement supérieur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7" w14:textId="77777777" w:rsidR="003B5F50" w:rsidRDefault="000D2D85">
            <w:pPr>
              <w:pStyle w:val="P68B1DB1-Normal42"/>
              <w:spacing w:after="0" w:line="240" w:lineRule="auto"/>
              <w:jc w:val="center"/>
              <w:textAlignment w:val="baseline"/>
              <w:rPr>
                <w:noProof/>
              </w:rPr>
            </w:pPr>
            <w:r>
              <w:rPr>
                <w:noProof/>
              </w:rPr>
              <w:t>Objectif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8" w14:textId="77777777" w:rsidR="003B5F50" w:rsidRDefault="000D2D85">
            <w:pPr>
              <w:pStyle w:val="P68B1DB1-Normal42"/>
              <w:spacing w:after="0" w:line="240" w:lineRule="auto"/>
              <w:jc w:val="center"/>
              <w:textAlignment w:val="baseline"/>
              <w:rPr>
                <w:noProof/>
              </w:rPr>
            </w:pPr>
            <w:r>
              <w:rPr>
                <w:noProof/>
              </w:rPr>
              <w:t>Pourcentage d'universités demandant à vérifier la conformité des systèmes internes de qualité et des programmes d'études avec les normes </w:t>
            </w:r>
          </w:p>
        </w:tc>
      </w:tr>
      <w:tr w:rsidR="003B5F50" w14:paraId="50B4BD7E"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A" w14:textId="409888E5" w:rsidR="003B5F50" w:rsidRDefault="000D2D85">
            <w:pPr>
              <w:pStyle w:val="P68B1DB1-Normal48"/>
              <w:spacing w:after="0" w:line="240" w:lineRule="auto"/>
              <w:jc w:val="center"/>
              <w:textAlignment w:val="baseline"/>
              <w:rPr>
                <w:rFonts w:eastAsia="Times New Roman"/>
                <w:noProof/>
              </w:rPr>
            </w:pPr>
            <w:r>
              <w:rPr>
                <w:noProof/>
              </w:rPr>
              <w:t>16 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B" w14:textId="77777777" w:rsidR="003B5F50" w:rsidRDefault="000D2D85">
            <w:pPr>
              <w:pStyle w:val="P68B1DB1-Normal42"/>
              <w:spacing w:after="0" w:line="240" w:lineRule="auto"/>
              <w:jc w:val="center"/>
              <w:textAlignment w:val="baseline"/>
              <w:rPr>
                <w:noProof/>
              </w:rPr>
            </w:pPr>
            <w:r>
              <w:rPr>
                <w:noProof/>
              </w:rPr>
              <w:t>9 - Gouvernance plus efficace et renforcement du financement de la RDI - Réforme 1: Réforme de la gouvernance, de l'évaluation et du soutien dans les domaines de la science, de la recherche et de l'innovation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C"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D" w14:textId="77777777" w:rsidR="003B5F50" w:rsidRDefault="000D2D85">
            <w:pPr>
              <w:pStyle w:val="P68B1DB1-Normal42"/>
              <w:spacing w:after="0" w:line="240" w:lineRule="auto"/>
              <w:jc w:val="center"/>
              <w:textAlignment w:val="baseline"/>
              <w:rPr>
                <w:noProof/>
              </w:rPr>
            </w:pPr>
            <w:r>
              <w:rPr>
                <w:noProof/>
              </w:rPr>
              <w:t>Conception de la stratégie nationale globale de RDI </w:t>
            </w:r>
          </w:p>
        </w:tc>
      </w:tr>
      <w:tr w:rsidR="003B5F50" w14:paraId="50B4BD83"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F" w14:textId="36C880C0" w:rsidR="003B5F50" w:rsidRDefault="000D2D85">
            <w:pPr>
              <w:pStyle w:val="P68B1DB1-Normal48"/>
              <w:spacing w:after="0" w:line="240" w:lineRule="auto"/>
              <w:jc w:val="center"/>
              <w:textAlignment w:val="baseline"/>
              <w:rPr>
                <w:rFonts w:eastAsia="Times New Roman"/>
                <w:noProof/>
              </w:rPr>
            </w:pPr>
            <w:r>
              <w:rPr>
                <w:noProof/>
              </w:rPr>
              <w:t>17 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0" w14:textId="77777777" w:rsidR="003B5F50" w:rsidRDefault="000D2D85">
            <w:pPr>
              <w:pStyle w:val="P68B1DB1-Normal42"/>
              <w:spacing w:after="0" w:line="240" w:lineRule="auto"/>
              <w:jc w:val="center"/>
              <w:textAlignment w:val="baseline"/>
              <w:rPr>
                <w:noProof/>
              </w:rPr>
            </w:pPr>
            <w:r>
              <w:rPr>
                <w:noProof/>
              </w:rPr>
              <w:t>9 - Gouvernance plus efficace et renforcement du financement de la RDI - Investissement 1: Promouvoir la coopération et la participation internationales aux projets Horizon Europe et EIT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1"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2" w14:textId="65C16843" w:rsidR="003B5F50" w:rsidRDefault="000D2D85">
            <w:pPr>
              <w:pStyle w:val="P68B1DB1-Normal42"/>
              <w:spacing w:after="0" w:line="240" w:lineRule="auto"/>
              <w:jc w:val="center"/>
              <w:textAlignment w:val="baseline"/>
              <w:rPr>
                <w:noProof/>
              </w:rPr>
            </w:pPr>
            <w:r>
              <w:rPr>
                <w:noProof/>
              </w:rPr>
              <w:t xml:space="preserve">Lancement d’appels à projets pour soutenir la participation des acteurs slovaques à Horizon Europe </w:t>
            </w:r>
          </w:p>
        </w:tc>
      </w:tr>
      <w:tr w:rsidR="003B5F50" w14:paraId="50B4BD88"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4" w14:textId="45000B22" w:rsidR="003B5F50" w:rsidRDefault="000D2D85">
            <w:pPr>
              <w:pStyle w:val="P68B1DB1-Normal48"/>
              <w:spacing w:after="0" w:line="240" w:lineRule="auto"/>
              <w:jc w:val="center"/>
              <w:textAlignment w:val="baseline"/>
              <w:rPr>
                <w:rFonts w:eastAsia="Times New Roman"/>
                <w:noProof/>
              </w:rPr>
            </w:pPr>
            <w:r>
              <w:rPr>
                <w:noProof/>
              </w:rPr>
              <w:t>18 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5" w14:textId="77777777" w:rsidR="003B5F50" w:rsidRDefault="000D2D85">
            <w:pPr>
              <w:pStyle w:val="P68B1DB1-Normal42"/>
              <w:spacing w:after="0" w:line="240" w:lineRule="auto"/>
              <w:jc w:val="center"/>
              <w:textAlignment w:val="baseline"/>
              <w:rPr>
                <w:noProof/>
              </w:rPr>
            </w:pPr>
            <w:r>
              <w:rPr>
                <w:noProof/>
              </w:rPr>
              <w:t>9 - Gouvernance plus efficace et renforcement du financement de la RDI - Investissement 2: Soutien à la coopération entre les entreprises, le monde universitaire et les organisations de RD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6"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7" w14:textId="1F830B03" w:rsidR="003B5F50" w:rsidRDefault="000D2D85">
            <w:pPr>
              <w:pStyle w:val="P68B1DB1-Normal42"/>
              <w:spacing w:after="0" w:line="240" w:lineRule="auto"/>
              <w:jc w:val="center"/>
              <w:textAlignment w:val="baseline"/>
              <w:rPr>
                <w:noProof/>
              </w:rPr>
            </w:pPr>
            <w:r>
              <w:rPr>
                <w:noProof/>
              </w:rPr>
              <w:t xml:space="preserve">Lancement d'appels à projets pour soutenir la coopération entre les entreprises, le monde universitaire et les organisations de R &amp; D et de bons d'achat </w:t>
            </w:r>
          </w:p>
        </w:tc>
      </w:tr>
      <w:tr w:rsidR="003B5F50" w14:paraId="50B4BD8D"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9" w14:textId="2DB7F8D6" w:rsidR="003B5F50" w:rsidRDefault="000D2D85">
            <w:pPr>
              <w:pStyle w:val="P68B1DB1-Normal48"/>
              <w:spacing w:after="0" w:line="240" w:lineRule="auto"/>
              <w:jc w:val="center"/>
              <w:textAlignment w:val="baseline"/>
              <w:rPr>
                <w:rFonts w:eastAsia="Times New Roman"/>
                <w:noProof/>
              </w:rPr>
            </w:pPr>
            <w:r>
              <w:rPr>
                <w:noProof/>
              </w:rPr>
              <w:t>19 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A" w14:textId="77777777" w:rsidR="003B5F50" w:rsidRDefault="000D2D85">
            <w:pPr>
              <w:pStyle w:val="P68B1DB1-Normal42"/>
              <w:spacing w:after="0" w:line="240" w:lineRule="auto"/>
              <w:jc w:val="center"/>
              <w:textAlignment w:val="baseline"/>
              <w:rPr>
                <w:noProof/>
              </w:rPr>
            </w:pPr>
            <w:r>
              <w:rPr>
                <w:noProof/>
              </w:rPr>
              <w:t>9 - Gouvernance plus efficace et renforcement du financement de la RDI - Investissement 3: Excellente science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B"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C" w14:textId="77777777" w:rsidR="003B5F50" w:rsidRDefault="000D2D85">
            <w:pPr>
              <w:pStyle w:val="P68B1DB1-Normal42"/>
              <w:spacing w:after="0" w:line="240" w:lineRule="auto"/>
              <w:jc w:val="center"/>
              <w:textAlignment w:val="baseline"/>
              <w:rPr>
                <w:noProof/>
              </w:rPr>
            </w:pPr>
            <w:r>
              <w:rPr>
                <w:noProof/>
              </w:rPr>
              <w:t>Lancement d'appels pour soutenir d'excellents chercheurs </w:t>
            </w:r>
          </w:p>
        </w:tc>
      </w:tr>
      <w:tr w:rsidR="003B5F50" w14:paraId="50B4BD92"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E" w14:textId="05D1E949" w:rsidR="003B5F50" w:rsidRDefault="000D2D85">
            <w:pPr>
              <w:pStyle w:val="P68B1DB1-Normal48"/>
              <w:spacing w:after="0" w:line="240" w:lineRule="auto"/>
              <w:jc w:val="center"/>
              <w:textAlignment w:val="baseline"/>
              <w:rPr>
                <w:rFonts w:eastAsia="Times New Roman"/>
                <w:noProof/>
              </w:rPr>
            </w:pPr>
            <w:r>
              <w:rPr>
                <w:noProof/>
              </w:rPr>
              <w:t>20 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F" w14:textId="77777777" w:rsidR="003B5F50" w:rsidRDefault="000D2D85">
            <w:pPr>
              <w:pStyle w:val="P68B1DB1-Normal42"/>
              <w:spacing w:after="0" w:line="240" w:lineRule="auto"/>
              <w:jc w:val="center"/>
              <w:textAlignment w:val="baseline"/>
              <w:rPr>
                <w:noProof/>
              </w:rPr>
            </w:pPr>
            <w:r>
              <w:rPr>
                <w:noProof/>
              </w:rPr>
              <w:t>9 - Gouvernance plus efficace et renforcement du financement de la RDI - Investissement 4: Recherche et innovation pour décarboner l’économie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0"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1" w14:textId="77777777" w:rsidR="003B5F50" w:rsidRDefault="000D2D85">
            <w:pPr>
              <w:pStyle w:val="P68B1DB1-Normal42"/>
              <w:spacing w:after="0" w:line="240" w:lineRule="auto"/>
              <w:jc w:val="center"/>
              <w:textAlignment w:val="baseline"/>
              <w:rPr>
                <w:noProof/>
              </w:rPr>
            </w:pPr>
            <w:r>
              <w:rPr>
                <w:noProof/>
              </w:rPr>
              <w:t>Lancement d’appels à projets thématiques axés sur la demande pour relever les défis de la transition écologique </w:t>
            </w:r>
          </w:p>
        </w:tc>
      </w:tr>
      <w:tr w:rsidR="003B5F50" w14:paraId="50B4BD97"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3" w14:textId="60EF4A31" w:rsidR="003B5F50" w:rsidRDefault="000D2D85">
            <w:pPr>
              <w:pStyle w:val="P68B1DB1-Normal48"/>
              <w:spacing w:after="0" w:line="240" w:lineRule="auto"/>
              <w:jc w:val="center"/>
              <w:textAlignment w:val="baseline"/>
              <w:rPr>
                <w:rFonts w:eastAsia="Times New Roman"/>
                <w:noProof/>
              </w:rPr>
            </w:pPr>
            <w:r>
              <w:rPr>
                <w:noProof/>
              </w:rPr>
              <w:t>21 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4" w14:textId="77777777" w:rsidR="003B5F50" w:rsidRDefault="000D2D85">
            <w:pPr>
              <w:pStyle w:val="P68B1DB1-Normal42"/>
              <w:spacing w:after="0" w:line="240" w:lineRule="auto"/>
              <w:jc w:val="center"/>
              <w:textAlignment w:val="baseline"/>
              <w:rPr>
                <w:noProof/>
              </w:rPr>
            </w:pPr>
            <w:r>
              <w:rPr>
                <w:noProof/>
              </w:rPr>
              <w:t>9 - Gouvernance plus efficace et renforcement du financement de la RDI - Investissement 5: Recherche et innovation pour la numérisation de l’économie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5"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6" w14:textId="77777777" w:rsidR="003B5F50" w:rsidRDefault="000D2D85">
            <w:pPr>
              <w:pStyle w:val="P68B1DB1-Normal42"/>
              <w:spacing w:after="0" w:line="240" w:lineRule="auto"/>
              <w:jc w:val="center"/>
              <w:textAlignment w:val="baseline"/>
              <w:rPr>
                <w:noProof/>
              </w:rPr>
            </w:pPr>
            <w:r>
              <w:rPr>
                <w:noProof/>
              </w:rPr>
              <w:t>Lancement d’appels à projets thématiques axés sur la demande pour relever les défis de la transition numérique </w:t>
            </w:r>
          </w:p>
        </w:tc>
      </w:tr>
      <w:tr w:rsidR="003B5F50" w14:paraId="50B4BD9C"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8" w14:textId="56FE2E3D" w:rsidR="003B5F50" w:rsidRDefault="000D2D85">
            <w:pPr>
              <w:pStyle w:val="P68B1DB1-Normal48"/>
              <w:spacing w:after="0" w:line="240" w:lineRule="auto"/>
              <w:jc w:val="center"/>
              <w:textAlignment w:val="baseline"/>
              <w:rPr>
                <w:rFonts w:eastAsia="Times New Roman"/>
                <w:noProof/>
              </w:rPr>
            </w:pPr>
            <w:r>
              <w:rPr>
                <w:noProof/>
              </w:rPr>
              <w:t>22</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9" w14:textId="77777777" w:rsidR="003B5F50" w:rsidRDefault="000D2D85">
            <w:pPr>
              <w:pStyle w:val="P68B1DB1-Normal42"/>
              <w:spacing w:after="0" w:line="240" w:lineRule="auto"/>
              <w:jc w:val="center"/>
              <w:textAlignment w:val="baseline"/>
              <w:rPr>
                <w:noProof/>
              </w:rPr>
            </w:pPr>
            <w:r>
              <w:rPr>
                <w:noProof/>
              </w:rPr>
              <w:t>16 - Lutte contre la corruption et le blanchiment de capitaux - Investissement 4: Renforcement des capacités administratives aux différents niveaux de gouvernement – création d’une autorité nationale de mise en œuvre et de coordination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A"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B" w14:textId="77777777" w:rsidR="003B5F50" w:rsidRDefault="000D2D85">
            <w:pPr>
              <w:pStyle w:val="P68B1DB1-Normal42"/>
              <w:spacing w:after="0" w:line="240" w:lineRule="auto"/>
              <w:jc w:val="center"/>
              <w:textAlignment w:val="baseline"/>
              <w:rPr>
                <w:noProof/>
              </w:rPr>
            </w:pPr>
            <w:r>
              <w:rPr>
                <w:noProof/>
              </w:rPr>
              <w:t>Réduire au minimum le risque de mise en œuvre en mettant en place un organe de coordination, de financement et de mise en œuvre (NIKA) pour la facilité pour la reprise et la résilience </w:t>
            </w:r>
          </w:p>
        </w:tc>
      </w:tr>
      <w:tr w:rsidR="003B5F50" w14:paraId="50B4BDA1"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D" w14:textId="7040BE56" w:rsidR="003B5F50" w:rsidRDefault="000D2D85">
            <w:pPr>
              <w:pStyle w:val="P68B1DB1-Normal48"/>
              <w:spacing w:after="0" w:line="240" w:lineRule="auto"/>
              <w:jc w:val="center"/>
              <w:textAlignment w:val="baseline"/>
              <w:rPr>
                <w:rFonts w:eastAsia="Times New Roman"/>
                <w:noProof/>
              </w:rPr>
            </w:pPr>
            <w:r>
              <w:rPr>
                <w:noProof/>
              </w:rPr>
              <w:t>23</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E" w14:textId="77777777" w:rsidR="003B5F50" w:rsidRDefault="000D2D85">
            <w:pPr>
              <w:pStyle w:val="P68B1DB1-Normal42"/>
              <w:spacing w:after="0" w:line="240" w:lineRule="auto"/>
              <w:jc w:val="center"/>
              <w:textAlignment w:val="baseline"/>
              <w:rPr>
                <w:noProof/>
              </w:rPr>
            </w:pPr>
            <w:r>
              <w:rPr>
                <w:noProof/>
              </w:rPr>
              <w:t>16 - Lutte contre la corruption et le blanchiment de capitaux - Investissement 2: Équipement et numérisation des forces de police – renouvellement du parc de véhicules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F" w14:textId="77777777" w:rsidR="003B5F50" w:rsidRDefault="000D2D85">
            <w:pPr>
              <w:pStyle w:val="P68B1DB1-Normal42"/>
              <w:spacing w:after="0" w:line="240" w:lineRule="auto"/>
              <w:jc w:val="center"/>
              <w:textAlignment w:val="baseline"/>
              <w:rPr>
                <w:noProof/>
              </w:rPr>
            </w:pPr>
            <w:r>
              <w:rPr>
                <w:noProof/>
              </w:rPr>
              <w:t>Objectif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0" w14:textId="77777777" w:rsidR="003B5F50" w:rsidRDefault="000D2D85">
            <w:pPr>
              <w:pStyle w:val="P68B1DB1-Normal42"/>
              <w:spacing w:after="0" w:line="240" w:lineRule="auto"/>
              <w:jc w:val="center"/>
              <w:textAlignment w:val="baseline"/>
              <w:rPr>
                <w:noProof/>
              </w:rPr>
            </w:pPr>
            <w:r>
              <w:rPr>
                <w:noProof/>
              </w:rPr>
              <w:t>Achat de véhicules neufs (10 % du parc) de véhicules électriques et hybrides </w:t>
            </w:r>
          </w:p>
        </w:tc>
      </w:tr>
      <w:tr w:rsidR="003B5F50" w14:paraId="50B4BDA6"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2" w14:textId="7ED2E3D2" w:rsidR="003B5F50" w:rsidRDefault="000D2D85">
            <w:pPr>
              <w:pStyle w:val="P68B1DB1-Normal48"/>
              <w:spacing w:after="0" w:line="240" w:lineRule="auto"/>
              <w:jc w:val="center"/>
              <w:textAlignment w:val="baseline"/>
              <w:rPr>
                <w:rFonts w:eastAsia="Times New Roman"/>
                <w:noProof/>
              </w:rPr>
            </w:pPr>
            <w:r>
              <w:rPr>
                <w:noProof/>
              </w:rPr>
              <w:t>24</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3" w14:textId="77777777" w:rsidR="003B5F50" w:rsidRDefault="000D2D85">
            <w:pPr>
              <w:pStyle w:val="P68B1DB1-Normal42"/>
              <w:spacing w:after="0" w:line="240" w:lineRule="auto"/>
              <w:jc w:val="center"/>
              <w:textAlignment w:val="baseline"/>
              <w:rPr>
                <w:noProof/>
              </w:rPr>
            </w:pPr>
            <w:r>
              <w:rPr>
                <w:noProof/>
              </w:rPr>
              <w:t>17 - Slovaquie numérique - Investissement 3: S'engager dans des projets multinationaux européens liés à l'économie numérique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4" w14:textId="77777777" w:rsidR="003B5F50" w:rsidRDefault="000D2D85">
            <w:pPr>
              <w:pStyle w:val="P68B1DB1-Normal42"/>
              <w:spacing w:after="0" w:line="240" w:lineRule="auto"/>
              <w:jc w:val="center"/>
              <w:textAlignment w:val="baseline"/>
              <w:rPr>
                <w:noProof/>
              </w:rPr>
            </w:pPr>
            <w:r>
              <w:rPr>
                <w:noProof/>
              </w:rPr>
              <w:t>Objectif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5" w14:textId="1989640F" w:rsidR="003B5F50" w:rsidRDefault="000D2D85">
            <w:pPr>
              <w:pStyle w:val="P68B1DB1-Normal42"/>
              <w:spacing w:after="0" w:line="240" w:lineRule="auto"/>
              <w:jc w:val="center"/>
              <w:textAlignment w:val="baseline"/>
              <w:rPr>
                <w:noProof/>
              </w:rPr>
            </w:pPr>
            <w:r>
              <w:rPr>
                <w:noProof/>
              </w:rPr>
              <w:t xml:space="preserve">Nombre de pôles d’innovation numérique en Slovaquie/pôle européen d’innovation numérique créant un réseau </w:t>
            </w:r>
          </w:p>
        </w:tc>
      </w:tr>
      <w:tr w:rsidR="003B5F50" w14:paraId="50B4BDAB"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7" w14:textId="7B7AF5C8" w:rsidR="003B5F50" w:rsidRDefault="000D2D85">
            <w:pPr>
              <w:pStyle w:val="P68B1DB1-Normal48"/>
              <w:spacing w:after="0" w:line="240" w:lineRule="auto"/>
              <w:jc w:val="center"/>
              <w:textAlignment w:val="baseline"/>
              <w:rPr>
                <w:rFonts w:eastAsia="Times New Roman"/>
                <w:noProof/>
              </w:rPr>
            </w:pPr>
            <w:r>
              <w:rPr>
                <w:noProof/>
              </w:rPr>
              <w:t>25</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8" w14:textId="77777777" w:rsidR="003B5F50" w:rsidRDefault="000D2D85">
            <w:pPr>
              <w:pStyle w:val="P68B1DB1-Normal42"/>
              <w:spacing w:after="0" w:line="240" w:lineRule="auto"/>
              <w:jc w:val="center"/>
              <w:textAlignment w:val="baseline"/>
              <w:rPr>
                <w:noProof/>
              </w:rPr>
            </w:pPr>
            <w:r>
              <w:rPr>
                <w:noProof/>
              </w:rPr>
              <w:t>17 - Slovaquie numérique - Réforme 1: Créer des solutions d'administration en ligne pour les situations de vie prioritaires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9"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A" w14:textId="77777777" w:rsidR="003B5F50" w:rsidRDefault="000D2D85">
            <w:pPr>
              <w:pStyle w:val="P68B1DB1-Normal42"/>
              <w:spacing w:after="0" w:line="240" w:lineRule="auto"/>
              <w:jc w:val="center"/>
              <w:textAlignment w:val="baseline"/>
              <w:rPr>
                <w:noProof/>
              </w:rPr>
            </w:pPr>
            <w:r>
              <w:rPr>
                <w:noProof/>
              </w:rPr>
              <w:t>Plan d'investissement pour les situations de vie prioritaires </w:t>
            </w:r>
          </w:p>
        </w:tc>
      </w:tr>
      <w:tr w:rsidR="003B5F50" w14:paraId="50B4BDB0"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C" w14:textId="3733FBA8" w:rsidR="003B5F50" w:rsidRDefault="000D2D85">
            <w:pPr>
              <w:pStyle w:val="P68B1DB1-Normal48"/>
              <w:spacing w:after="0" w:line="240" w:lineRule="auto"/>
              <w:jc w:val="center"/>
              <w:textAlignment w:val="baseline"/>
              <w:rPr>
                <w:rFonts w:eastAsia="Times New Roman"/>
                <w:noProof/>
              </w:rPr>
            </w:pPr>
            <w:r>
              <w:rPr>
                <w:noProof/>
              </w:rPr>
              <w:t>26</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D" w14:textId="77777777" w:rsidR="003B5F50" w:rsidRDefault="000D2D85">
            <w:pPr>
              <w:pStyle w:val="P68B1DB1-Normal42"/>
              <w:spacing w:after="0" w:line="240" w:lineRule="auto"/>
              <w:jc w:val="center"/>
              <w:textAlignment w:val="baseline"/>
              <w:rPr>
                <w:noProof/>
              </w:rPr>
            </w:pPr>
            <w:r>
              <w:rPr>
                <w:noProof/>
              </w:rPr>
              <w:t>17 - Slovaquie numérique - Réforme 3: Gérer la transformation numérique de l'économie et de la société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E"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F" w14:textId="77777777" w:rsidR="003B5F50" w:rsidRDefault="000D2D85">
            <w:pPr>
              <w:pStyle w:val="P68B1DB1-Normal42"/>
              <w:spacing w:after="0" w:line="240" w:lineRule="auto"/>
              <w:jc w:val="center"/>
              <w:textAlignment w:val="baseline"/>
              <w:rPr>
                <w:noProof/>
              </w:rPr>
            </w:pPr>
            <w:r>
              <w:rPr>
                <w:noProof/>
              </w:rPr>
              <w:t>Plan d’action pour la transformation numérique de la Slovaquie pour les années 2023-2026 </w:t>
            </w:r>
          </w:p>
        </w:tc>
      </w:tr>
      <w:tr w:rsidR="003B5F50" w14:paraId="50B4BDB5"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1" w14:textId="604A3B90" w:rsidR="003B5F50" w:rsidRDefault="000D2D85">
            <w:pPr>
              <w:pStyle w:val="P68B1DB1-Normal48"/>
              <w:spacing w:after="0" w:line="240" w:lineRule="auto"/>
              <w:jc w:val="center"/>
              <w:textAlignment w:val="baseline"/>
              <w:rPr>
                <w:rFonts w:eastAsia="Times New Roman"/>
                <w:noProof/>
              </w:rPr>
            </w:pPr>
            <w:r>
              <w:rPr>
                <w:noProof/>
              </w:rPr>
              <w:t>27</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2" w14:textId="77777777" w:rsidR="003B5F50" w:rsidRDefault="000D2D85">
            <w:pPr>
              <w:pStyle w:val="P68B1DB1-Normal42"/>
              <w:spacing w:after="0" w:line="240" w:lineRule="auto"/>
              <w:jc w:val="center"/>
              <w:textAlignment w:val="baseline"/>
              <w:rPr>
                <w:noProof/>
              </w:rPr>
            </w:pPr>
            <w:r>
              <w:rPr>
                <w:noProof/>
              </w:rPr>
              <w:t>17 - Slovaquie numérique - Réforme 6: Une approche stratégique de l’éducation aux compétences numériques en coopération avec les représentants des principales parties prenantes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3" w14:textId="77777777" w:rsidR="003B5F50" w:rsidRDefault="000D2D85">
            <w:pPr>
              <w:pStyle w:val="P68B1DB1-Normal42"/>
              <w:spacing w:after="0" w:line="240" w:lineRule="auto"/>
              <w:jc w:val="center"/>
              <w:textAlignment w:val="baseline"/>
              <w:rPr>
                <w:noProof/>
              </w:rPr>
            </w:pPr>
            <w:r>
              <w:rPr>
                <w:noProof/>
              </w:rPr>
              <w:t>Étape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4" w14:textId="77777777" w:rsidR="003B5F50" w:rsidRDefault="000D2D85">
            <w:pPr>
              <w:pStyle w:val="P68B1DB1-Normal42"/>
              <w:spacing w:after="0" w:line="240" w:lineRule="auto"/>
              <w:jc w:val="center"/>
              <w:textAlignment w:val="baseline"/>
              <w:rPr>
                <w:noProof/>
              </w:rPr>
            </w:pPr>
            <w:r>
              <w:rPr>
                <w:noProof/>
              </w:rPr>
              <w:t>Stratégie nationale en matière de compétences numériques </w:t>
            </w:r>
          </w:p>
        </w:tc>
      </w:tr>
      <w:tr w:rsidR="003B5F50" w14:paraId="50B4BDBA"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6" w14:textId="77777777" w:rsidR="003B5F50" w:rsidRDefault="000D2D85">
            <w:pPr>
              <w:pStyle w:val="P68B1DB1-Normal85"/>
              <w:spacing w:after="0" w:line="240" w:lineRule="auto"/>
              <w:jc w:val="center"/>
              <w:textAlignment w:val="baseline"/>
              <w:rPr>
                <w:rFonts w:eastAsia="Times New Roman"/>
                <w:noProof/>
              </w:rPr>
            </w:pP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7" w14:textId="77777777" w:rsidR="003B5F50" w:rsidRDefault="000D2D85">
            <w:pPr>
              <w:pStyle w:val="P68B1DB1-Normal42"/>
              <w:spacing w:after="0" w:line="240" w:lineRule="auto"/>
              <w:jc w:val="center"/>
              <w:textAlignment w:val="baseline"/>
              <w:rPr>
                <w:noProof/>
              </w:rPr>
            </w:pPr>
            <w:r>
              <w:rPr>
                <w:noProof/>
              </w:rPr>
              <w:t>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8" w14:textId="77777777" w:rsidR="003B5F50" w:rsidRDefault="000D2D85">
            <w:pPr>
              <w:pStyle w:val="P68B1DB1-Normal42"/>
              <w:spacing w:after="0" w:line="240" w:lineRule="auto"/>
              <w:jc w:val="center"/>
              <w:textAlignment w:val="baseline"/>
              <w:rPr>
                <w:noProof/>
              </w:rPr>
            </w:pPr>
            <w:r>
              <w:rPr>
                <w:noProof/>
              </w:rPr>
              <w:t>Montant des acomptes provisionnels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9" w14:textId="77777777" w:rsidR="003B5F50" w:rsidRDefault="000D2D85">
            <w:pPr>
              <w:pStyle w:val="P68B1DB1-Normal42"/>
              <w:spacing w:after="0" w:line="240" w:lineRule="auto"/>
              <w:jc w:val="center"/>
              <w:textAlignment w:val="baseline"/>
              <w:rPr>
                <w:noProof/>
              </w:rPr>
            </w:pPr>
            <w:r>
              <w:rPr>
                <w:noProof/>
              </w:rPr>
              <w:t>814 715 000 EUR</w:t>
            </w:r>
          </w:p>
        </w:tc>
      </w:tr>
    </w:tbl>
    <w:p w14:paraId="50B4BDBB" w14:textId="77777777" w:rsidR="003B5F50" w:rsidRDefault="000D2D85">
      <w:pPr>
        <w:pStyle w:val="P68B1DB1-Normal36"/>
        <w:spacing w:after="0" w:line="240" w:lineRule="auto"/>
        <w:jc w:val="both"/>
        <w:textAlignment w:val="baseline"/>
        <w:rPr>
          <w:rFonts w:ascii="Segoe UI" w:eastAsia="Times New Roman" w:hAnsi="Segoe UI" w:cs="Segoe UI"/>
          <w:noProof/>
          <w:sz w:val="18"/>
          <w:szCs w:val="18"/>
        </w:rPr>
      </w:pPr>
      <w:r>
        <w:rPr>
          <w:noProof/>
        </w:rPr>
        <w:t> </w:t>
      </w:r>
    </w:p>
    <w:p w14:paraId="50B4BDBC" w14:textId="418B14C2" w:rsidR="003B5F50" w:rsidRDefault="000D2D85">
      <w:pPr>
        <w:pStyle w:val="P68B1DB1-Normal36"/>
        <w:spacing w:after="0" w:line="240" w:lineRule="auto"/>
        <w:jc w:val="both"/>
        <w:textAlignment w:val="baseline"/>
        <w:rPr>
          <w:rFonts w:ascii="Segoe UI" w:eastAsia="Times New Roman" w:hAnsi="Segoe UI" w:cs="Segoe UI"/>
          <w:noProof/>
          <w:sz w:val="18"/>
          <w:szCs w:val="18"/>
        </w:rPr>
      </w:pPr>
      <w:r>
        <w:rPr>
          <w:noProof/>
        </w:rPr>
        <w:t xml:space="preserve">  </w:t>
      </w:r>
    </w:p>
    <w:p w14:paraId="50B4BDBD" w14:textId="4454EDF3" w:rsidR="003B5F50" w:rsidRDefault="000D2D85">
      <w:pPr>
        <w:pStyle w:val="P68B1DB1-Normal39"/>
        <w:numPr>
          <w:ilvl w:val="0"/>
          <w:numId w:val="50"/>
        </w:numPr>
        <w:spacing w:after="0" w:line="240" w:lineRule="auto"/>
        <w:ind w:firstLine="0"/>
        <w:jc w:val="both"/>
        <w:textAlignment w:val="baseline"/>
        <w:rPr>
          <w:rFonts w:eastAsia="Times New Roman" w:cs="Times New Roman"/>
          <w:noProof/>
        </w:rPr>
      </w:pPr>
      <w:r>
        <w:rPr>
          <w:noProof/>
        </w:rPr>
        <w:t xml:space="preserve">Quatrième tranche (soutien non remboursable): </w:t>
      </w:r>
    </w:p>
    <w:p w14:paraId="50B4BDBE" w14:textId="77777777" w:rsidR="003B5F50" w:rsidRDefault="000D2D85">
      <w:pPr>
        <w:pStyle w:val="P68B1DB1-Normal36"/>
        <w:spacing w:after="0" w:line="240" w:lineRule="auto"/>
        <w:ind w:left="840"/>
        <w:jc w:val="both"/>
        <w:textAlignment w:val="baseline"/>
        <w:rPr>
          <w:rFonts w:ascii="Segoe UI" w:eastAsia="Times New Roman" w:hAnsi="Segoe UI" w:cs="Segoe UI"/>
          <w:noProof/>
          <w:sz w:val="18"/>
          <w:szCs w:val="18"/>
        </w:rPr>
      </w:pPr>
      <w:r>
        <w:rPr>
          <w:noProof/>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14"/>
        <w:gridCol w:w="3857"/>
        <w:gridCol w:w="1138"/>
        <w:gridCol w:w="4040"/>
      </w:tblGrid>
      <w:tr w:rsidR="003B5F50" w14:paraId="50B4BDC3" w14:textId="77777777">
        <w:trPr>
          <w:trHeight w:val="1080"/>
          <w:tblHeader/>
        </w:trPr>
        <w:tc>
          <w:tcPr>
            <w:tcW w:w="1222" w:type="dxa"/>
            <w:shd w:val="clear" w:color="auto" w:fill="BDD7EE"/>
            <w:vAlign w:val="center"/>
            <w:hideMark/>
          </w:tcPr>
          <w:p w14:paraId="50B4BDBF" w14:textId="77777777" w:rsidR="003B5F50" w:rsidRDefault="000D2D85">
            <w:pPr>
              <w:pStyle w:val="P68B1DB1-Normal84"/>
              <w:spacing w:after="0" w:line="240" w:lineRule="auto"/>
              <w:jc w:val="center"/>
              <w:textAlignment w:val="baseline"/>
              <w:rPr>
                <w:rFonts w:eastAsia="Times New Roman"/>
                <w:noProof/>
              </w:rPr>
            </w:pPr>
            <w:r>
              <w:rPr>
                <w:b/>
                <w:noProof/>
              </w:rPr>
              <w:t>Numéro séquentiel</w:t>
            </w:r>
            <w:r>
              <w:rPr>
                <w:noProof/>
              </w:rPr>
              <w:t> </w:t>
            </w:r>
          </w:p>
        </w:tc>
        <w:tc>
          <w:tcPr>
            <w:tcW w:w="3924" w:type="dxa"/>
            <w:shd w:val="clear" w:color="auto" w:fill="BDD7EE"/>
            <w:vAlign w:val="center"/>
            <w:hideMark/>
          </w:tcPr>
          <w:p w14:paraId="50B4BDC0" w14:textId="77777777" w:rsidR="003B5F50" w:rsidRDefault="000D2D85">
            <w:pPr>
              <w:pStyle w:val="P68B1DB1-Normal84"/>
              <w:spacing w:after="0" w:line="240" w:lineRule="auto"/>
              <w:jc w:val="center"/>
              <w:textAlignment w:val="baseline"/>
              <w:rPr>
                <w:rFonts w:eastAsia="Times New Roman"/>
                <w:noProof/>
              </w:rPr>
            </w:pPr>
            <w:r>
              <w:rPr>
                <w:b/>
                <w:noProof/>
              </w:rPr>
              <w:t>Mesure connexe (réforme ou investissement)</w:t>
            </w:r>
            <w:r>
              <w:rPr>
                <w:noProof/>
              </w:rPr>
              <w:t> </w:t>
            </w:r>
          </w:p>
        </w:tc>
        <w:tc>
          <w:tcPr>
            <w:tcW w:w="993" w:type="dxa"/>
            <w:shd w:val="clear" w:color="auto" w:fill="BDD7EE"/>
            <w:vAlign w:val="center"/>
            <w:hideMark/>
          </w:tcPr>
          <w:p w14:paraId="50B4BDC1" w14:textId="77777777" w:rsidR="003B5F50" w:rsidRDefault="000D2D85">
            <w:pPr>
              <w:pStyle w:val="P68B1DB1-Normal84"/>
              <w:spacing w:after="0" w:line="240" w:lineRule="auto"/>
              <w:jc w:val="center"/>
              <w:textAlignment w:val="baseline"/>
              <w:rPr>
                <w:rFonts w:eastAsia="Times New Roman"/>
                <w:noProof/>
              </w:rPr>
            </w:pPr>
            <w:r>
              <w:rPr>
                <w:b/>
                <w:noProof/>
              </w:rPr>
              <w:t>Étape/cible</w:t>
            </w:r>
            <w:r>
              <w:rPr>
                <w:noProof/>
              </w:rPr>
              <w:t> </w:t>
            </w:r>
          </w:p>
        </w:tc>
        <w:tc>
          <w:tcPr>
            <w:tcW w:w="4110" w:type="dxa"/>
            <w:shd w:val="clear" w:color="auto" w:fill="BDD7EE"/>
            <w:vAlign w:val="center"/>
            <w:hideMark/>
          </w:tcPr>
          <w:p w14:paraId="50B4BDC2" w14:textId="77777777" w:rsidR="003B5F50" w:rsidRDefault="000D2D85">
            <w:pPr>
              <w:pStyle w:val="P68B1DB1-Normal84"/>
              <w:spacing w:after="0" w:line="240" w:lineRule="auto"/>
              <w:jc w:val="center"/>
              <w:textAlignment w:val="baseline"/>
              <w:rPr>
                <w:rFonts w:eastAsia="Times New Roman"/>
                <w:noProof/>
              </w:rPr>
            </w:pPr>
            <w:r>
              <w:rPr>
                <w:b/>
                <w:noProof/>
              </w:rPr>
              <w:t>Nom</w:t>
            </w:r>
            <w:r>
              <w:rPr>
                <w:noProof/>
              </w:rPr>
              <w:t> </w:t>
            </w:r>
          </w:p>
        </w:tc>
      </w:tr>
      <w:tr w:rsidR="003B5F50" w14:paraId="50B4BDC8" w14:textId="77777777">
        <w:trPr>
          <w:trHeight w:val="1080"/>
        </w:trPr>
        <w:tc>
          <w:tcPr>
            <w:tcW w:w="1222" w:type="dxa"/>
            <w:shd w:val="clear" w:color="auto" w:fill="C6EFCE"/>
            <w:vAlign w:val="center"/>
            <w:hideMark/>
          </w:tcPr>
          <w:p w14:paraId="50B4BDC4" w14:textId="77777777" w:rsidR="003B5F50" w:rsidRDefault="000D2D85">
            <w:pPr>
              <w:pStyle w:val="P68B1DB1-Normal48"/>
              <w:spacing w:after="0" w:line="240" w:lineRule="auto"/>
              <w:jc w:val="center"/>
              <w:textAlignment w:val="baseline"/>
              <w:rPr>
                <w:rFonts w:eastAsia="Times New Roman"/>
                <w:noProof/>
              </w:rPr>
            </w:pPr>
            <w:r>
              <w:rPr>
                <w:noProof/>
              </w:rPr>
              <w:t>1 </w:t>
            </w:r>
          </w:p>
        </w:tc>
        <w:tc>
          <w:tcPr>
            <w:tcW w:w="3924" w:type="dxa"/>
            <w:shd w:val="clear" w:color="auto" w:fill="C6EFCE"/>
            <w:vAlign w:val="center"/>
            <w:hideMark/>
          </w:tcPr>
          <w:p w14:paraId="50B4BDC5" w14:textId="77777777" w:rsidR="003B5F50" w:rsidRDefault="000D2D85">
            <w:pPr>
              <w:pStyle w:val="P68B1DB1-Normal42"/>
              <w:spacing w:after="0" w:line="240" w:lineRule="auto"/>
              <w:jc w:val="center"/>
              <w:textAlignment w:val="baseline"/>
              <w:rPr>
                <w:noProof/>
              </w:rPr>
            </w:pPr>
            <w:r>
              <w:rPr>
                <w:noProof/>
              </w:rPr>
              <w:t>3 - Transports durables - Réforme 1: Réforme de la préparation des projets d'investissement dans les transports </w:t>
            </w:r>
          </w:p>
        </w:tc>
        <w:tc>
          <w:tcPr>
            <w:tcW w:w="993" w:type="dxa"/>
            <w:shd w:val="clear" w:color="auto" w:fill="C6EFCE"/>
            <w:vAlign w:val="center"/>
            <w:hideMark/>
          </w:tcPr>
          <w:p w14:paraId="50B4BDC6"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C7" w14:textId="77777777" w:rsidR="003B5F50" w:rsidRDefault="000D2D85">
            <w:pPr>
              <w:pStyle w:val="P68B1DB1-Normal42"/>
              <w:spacing w:after="0" w:line="240" w:lineRule="auto"/>
              <w:jc w:val="center"/>
              <w:textAlignment w:val="baseline"/>
              <w:rPr>
                <w:noProof/>
              </w:rPr>
            </w:pPr>
            <w:r>
              <w:rPr>
                <w:noProof/>
              </w:rPr>
              <w:t>Modification de la loi sur les chemins de fer et des règlements connexes relatifs aux paramètres de l'infrastructure de transport </w:t>
            </w:r>
          </w:p>
        </w:tc>
      </w:tr>
      <w:tr w:rsidR="003B5F50" w14:paraId="50B4BDCD" w14:textId="77777777">
        <w:trPr>
          <w:trHeight w:val="1080"/>
        </w:trPr>
        <w:tc>
          <w:tcPr>
            <w:tcW w:w="1222" w:type="dxa"/>
            <w:shd w:val="clear" w:color="auto" w:fill="C6EFCE"/>
            <w:vAlign w:val="center"/>
            <w:hideMark/>
          </w:tcPr>
          <w:p w14:paraId="50B4BDC9" w14:textId="77777777" w:rsidR="003B5F50" w:rsidRDefault="000D2D85">
            <w:pPr>
              <w:pStyle w:val="P68B1DB1-Normal48"/>
              <w:spacing w:after="0" w:line="240" w:lineRule="auto"/>
              <w:jc w:val="center"/>
              <w:textAlignment w:val="baseline"/>
              <w:rPr>
                <w:rFonts w:eastAsia="Times New Roman"/>
                <w:noProof/>
              </w:rPr>
            </w:pPr>
            <w:r>
              <w:rPr>
                <w:noProof/>
              </w:rPr>
              <w:t>2 </w:t>
            </w:r>
          </w:p>
        </w:tc>
        <w:tc>
          <w:tcPr>
            <w:tcW w:w="3924" w:type="dxa"/>
            <w:shd w:val="clear" w:color="auto" w:fill="C6EFCE"/>
            <w:vAlign w:val="center"/>
            <w:hideMark/>
          </w:tcPr>
          <w:p w14:paraId="50B4BDCA" w14:textId="77777777" w:rsidR="003B5F50" w:rsidRDefault="000D2D85">
            <w:pPr>
              <w:pStyle w:val="P68B1DB1-Normal42"/>
              <w:spacing w:after="0" w:line="240" w:lineRule="auto"/>
              <w:jc w:val="center"/>
              <w:textAlignment w:val="baseline"/>
              <w:rPr>
                <w:noProof/>
              </w:rPr>
            </w:pPr>
            <w:r>
              <w:rPr>
                <w:noProof/>
              </w:rPr>
              <w:t>3 - Transports durables - Réforme 2: Réforme du transport public de voyageurs </w:t>
            </w:r>
          </w:p>
        </w:tc>
        <w:tc>
          <w:tcPr>
            <w:tcW w:w="993" w:type="dxa"/>
            <w:shd w:val="clear" w:color="auto" w:fill="C6EFCE"/>
            <w:vAlign w:val="center"/>
            <w:hideMark/>
          </w:tcPr>
          <w:p w14:paraId="50B4BDCB"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CC" w14:textId="77777777" w:rsidR="003B5F50" w:rsidRDefault="000D2D85">
            <w:pPr>
              <w:pStyle w:val="P68B1DB1-Normal42"/>
              <w:spacing w:after="0" w:line="240" w:lineRule="auto"/>
              <w:jc w:val="center"/>
              <w:textAlignment w:val="baseline"/>
              <w:rPr>
                <w:noProof/>
              </w:rPr>
            </w:pPr>
            <w:r>
              <w:rPr>
                <w:noProof/>
              </w:rPr>
              <w:t>Nouvelle loi sur le transport public de voyageurs </w:t>
            </w:r>
          </w:p>
        </w:tc>
      </w:tr>
      <w:tr w:rsidR="003B5F50" w14:paraId="50B4BDD2" w14:textId="77777777">
        <w:trPr>
          <w:trHeight w:val="1080"/>
        </w:trPr>
        <w:tc>
          <w:tcPr>
            <w:tcW w:w="1222" w:type="dxa"/>
            <w:shd w:val="clear" w:color="auto" w:fill="C6EFCE"/>
            <w:vAlign w:val="center"/>
            <w:hideMark/>
          </w:tcPr>
          <w:p w14:paraId="50B4BDCE" w14:textId="77777777" w:rsidR="003B5F50" w:rsidRDefault="000D2D85">
            <w:pPr>
              <w:pStyle w:val="P68B1DB1-Normal48"/>
              <w:spacing w:after="0" w:line="240" w:lineRule="auto"/>
              <w:jc w:val="center"/>
              <w:textAlignment w:val="baseline"/>
              <w:rPr>
                <w:rFonts w:eastAsia="Times New Roman"/>
                <w:noProof/>
              </w:rPr>
            </w:pPr>
            <w:r>
              <w:rPr>
                <w:noProof/>
              </w:rPr>
              <w:t>3 </w:t>
            </w:r>
          </w:p>
        </w:tc>
        <w:tc>
          <w:tcPr>
            <w:tcW w:w="3924" w:type="dxa"/>
            <w:shd w:val="clear" w:color="auto" w:fill="C6EFCE"/>
            <w:vAlign w:val="center"/>
            <w:hideMark/>
          </w:tcPr>
          <w:p w14:paraId="50B4BDCF" w14:textId="77777777" w:rsidR="003B5F50" w:rsidRDefault="000D2D85">
            <w:pPr>
              <w:pStyle w:val="P68B1DB1-Normal42"/>
              <w:spacing w:after="0" w:line="240" w:lineRule="auto"/>
              <w:jc w:val="center"/>
              <w:textAlignment w:val="baseline"/>
              <w:rPr>
                <w:noProof/>
              </w:rPr>
            </w:pPr>
            <w:r>
              <w:rPr>
                <w:noProof/>
              </w:rPr>
              <w:t>6 - Accessibilité, développement et qualité de l'éducation inclusive - Réforme 2: Définition de la notion de besoins éducatifs spéciaux des enfants et des élèves et élaboration d'un modèle pour les mesures de soutien éligibles dans le domaine de l'éducation et de l'éducation, y compris leur système de financement </w:t>
            </w:r>
          </w:p>
        </w:tc>
        <w:tc>
          <w:tcPr>
            <w:tcW w:w="993" w:type="dxa"/>
            <w:shd w:val="clear" w:color="auto" w:fill="C6EFCE"/>
            <w:vAlign w:val="center"/>
            <w:hideMark/>
          </w:tcPr>
          <w:p w14:paraId="50B4BDD0"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D1" w14:textId="77548979" w:rsidR="003B5F50" w:rsidRDefault="000D2D85">
            <w:pPr>
              <w:pStyle w:val="P68B1DB1-Normal42"/>
              <w:spacing w:after="0" w:line="240" w:lineRule="auto"/>
              <w:jc w:val="center"/>
              <w:textAlignment w:val="baseline"/>
              <w:rPr>
                <w:noProof/>
              </w:rPr>
            </w:pPr>
            <w:r>
              <w:rPr>
                <w:noProof/>
              </w:rPr>
              <w:t xml:space="preserve">Entrée en vigueur de la redéfinition de la notion de besoins éducatifs spéciaux </w:t>
            </w:r>
          </w:p>
        </w:tc>
      </w:tr>
      <w:tr w:rsidR="003B5F50" w14:paraId="50B4BDD7" w14:textId="77777777">
        <w:trPr>
          <w:trHeight w:val="1080"/>
        </w:trPr>
        <w:tc>
          <w:tcPr>
            <w:tcW w:w="1222" w:type="dxa"/>
            <w:shd w:val="clear" w:color="auto" w:fill="C6EFCE"/>
            <w:vAlign w:val="center"/>
            <w:hideMark/>
          </w:tcPr>
          <w:p w14:paraId="50B4BDD3" w14:textId="77777777" w:rsidR="003B5F50" w:rsidRDefault="000D2D85">
            <w:pPr>
              <w:pStyle w:val="P68B1DB1-Normal48"/>
              <w:spacing w:after="0" w:line="240" w:lineRule="auto"/>
              <w:jc w:val="center"/>
              <w:textAlignment w:val="baseline"/>
              <w:rPr>
                <w:rFonts w:eastAsia="Times New Roman"/>
                <w:noProof/>
              </w:rPr>
            </w:pPr>
            <w:r>
              <w:rPr>
                <w:noProof/>
              </w:rPr>
              <w:t>4 </w:t>
            </w:r>
          </w:p>
        </w:tc>
        <w:tc>
          <w:tcPr>
            <w:tcW w:w="3924" w:type="dxa"/>
            <w:shd w:val="clear" w:color="auto" w:fill="C6EFCE"/>
            <w:vAlign w:val="center"/>
            <w:hideMark/>
          </w:tcPr>
          <w:p w14:paraId="50B4BDD4" w14:textId="77777777" w:rsidR="003B5F50" w:rsidRDefault="000D2D85">
            <w:pPr>
              <w:pStyle w:val="P68B1DB1-Normal42"/>
              <w:spacing w:after="0" w:line="240" w:lineRule="auto"/>
              <w:jc w:val="center"/>
              <w:textAlignment w:val="baseline"/>
              <w:rPr>
                <w:noProof/>
              </w:rPr>
            </w:pPr>
            <w:r>
              <w:rPr>
                <w:noProof/>
              </w:rPr>
              <w:t>6 - Accessibilité, développement et qualité de l'éducation inclusive - Réforme 3: Réformer le système de conseil et de prévention et assurer la collecte de données systémiques dans le domaine de la promotion de la santé mentale pour les enfants, les élèves et les étudiants </w:t>
            </w:r>
          </w:p>
        </w:tc>
        <w:tc>
          <w:tcPr>
            <w:tcW w:w="993" w:type="dxa"/>
            <w:shd w:val="clear" w:color="auto" w:fill="C6EFCE"/>
            <w:vAlign w:val="center"/>
            <w:hideMark/>
          </w:tcPr>
          <w:p w14:paraId="50B4BDD5"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D6" w14:textId="77777777" w:rsidR="003B5F50" w:rsidRDefault="000D2D85">
            <w:pPr>
              <w:pStyle w:val="P68B1DB1-Normal42"/>
              <w:spacing w:after="0" w:line="240" w:lineRule="auto"/>
              <w:jc w:val="center"/>
              <w:textAlignment w:val="baseline"/>
              <w:rPr>
                <w:noProof/>
              </w:rPr>
            </w:pPr>
            <w:r>
              <w:rPr>
                <w:noProof/>
              </w:rPr>
              <w:t>Entrée en vigueur de la législation qui crée le système global de conseil </w:t>
            </w:r>
          </w:p>
        </w:tc>
      </w:tr>
      <w:tr w:rsidR="003B5F50" w14:paraId="50B4BDDC" w14:textId="77777777">
        <w:trPr>
          <w:trHeight w:val="2550"/>
        </w:trPr>
        <w:tc>
          <w:tcPr>
            <w:tcW w:w="1222" w:type="dxa"/>
            <w:shd w:val="clear" w:color="auto" w:fill="C6EFCE"/>
            <w:vAlign w:val="center"/>
            <w:hideMark/>
          </w:tcPr>
          <w:p w14:paraId="50B4BDD8" w14:textId="77777777" w:rsidR="003B5F50" w:rsidRDefault="000D2D85">
            <w:pPr>
              <w:pStyle w:val="P68B1DB1-Normal48"/>
              <w:spacing w:after="0" w:line="240" w:lineRule="auto"/>
              <w:jc w:val="center"/>
              <w:textAlignment w:val="baseline"/>
              <w:rPr>
                <w:rFonts w:eastAsia="Times New Roman"/>
                <w:noProof/>
              </w:rPr>
            </w:pPr>
            <w:r>
              <w:rPr>
                <w:noProof/>
              </w:rPr>
              <w:t>5 </w:t>
            </w:r>
          </w:p>
        </w:tc>
        <w:tc>
          <w:tcPr>
            <w:tcW w:w="3924" w:type="dxa"/>
            <w:shd w:val="clear" w:color="auto" w:fill="C6EFCE"/>
            <w:vAlign w:val="center"/>
            <w:hideMark/>
          </w:tcPr>
          <w:p w14:paraId="50B4BDD9" w14:textId="77777777" w:rsidR="003B5F50" w:rsidRDefault="000D2D85">
            <w:pPr>
              <w:pStyle w:val="P68B1DB1-Normal42"/>
              <w:spacing w:after="0" w:line="240" w:lineRule="auto"/>
              <w:jc w:val="center"/>
              <w:textAlignment w:val="baseline"/>
              <w:rPr>
                <w:noProof/>
              </w:rPr>
            </w:pPr>
            <w:r>
              <w:rPr>
                <w:noProof/>
              </w:rPr>
              <w:t>6 - Accessibilité, développement et qualité de l'éducation inclusive - Réforme 4: Mise en œuvre d'outils pour prévenir le décrochage scolaire et adapter les programmes d'études de type F </w:t>
            </w:r>
          </w:p>
        </w:tc>
        <w:tc>
          <w:tcPr>
            <w:tcW w:w="993" w:type="dxa"/>
            <w:shd w:val="clear" w:color="auto" w:fill="C6EFCE"/>
            <w:vAlign w:val="center"/>
            <w:hideMark/>
          </w:tcPr>
          <w:p w14:paraId="50B4BDDA"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DB" w14:textId="77777777" w:rsidR="003B5F50" w:rsidRDefault="000D2D85">
            <w:pPr>
              <w:pStyle w:val="P68B1DB1-Normal42"/>
              <w:spacing w:after="0" w:line="240" w:lineRule="auto"/>
              <w:jc w:val="center"/>
              <w:textAlignment w:val="baseline"/>
              <w:rPr>
                <w:noProof/>
              </w:rPr>
            </w:pPr>
            <w:r>
              <w:rPr>
                <w:noProof/>
              </w:rPr>
              <w:t>Entrée en vigueur des modifications législatives visant à: Extension de la possibilité d'acquérir un enseignement secondaire inférieur dans l'enseignement professionnel secondaire inférieur (EFP) optimisation des programmes NSOV en réponse aux besoins du marché du travail et l'offre de programmes NSOV par rapport aux besoins éducatifs du groupe cible d'élèves </w:t>
            </w:r>
          </w:p>
        </w:tc>
      </w:tr>
      <w:tr w:rsidR="003B5F50" w14:paraId="50B4BDE1" w14:textId="77777777">
        <w:trPr>
          <w:trHeight w:val="1080"/>
        </w:trPr>
        <w:tc>
          <w:tcPr>
            <w:tcW w:w="1222" w:type="dxa"/>
            <w:shd w:val="clear" w:color="auto" w:fill="C6EFCE"/>
            <w:vAlign w:val="center"/>
            <w:hideMark/>
          </w:tcPr>
          <w:p w14:paraId="50B4BDDD" w14:textId="77777777" w:rsidR="003B5F50" w:rsidRDefault="000D2D85">
            <w:pPr>
              <w:pStyle w:val="P68B1DB1-Normal48"/>
              <w:spacing w:after="0" w:line="240" w:lineRule="auto"/>
              <w:jc w:val="center"/>
              <w:textAlignment w:val="baseline"/>
              <w:rPr>
                <w:rFonts w:eastAsia="Times New Roman"/>
                <w:noProof/>
              </w:rPr>
            </w:pPr>
            <w:r>
              <w:rPr>
                <w:noProof/>
              </w:rPr>
              <w:t>6 </w:t>
            </w:r>
          </w:p>
        </w:tc>
        <w:tc>
          <w:tcPr>
            <w:tcW w:w="3924" w:type="dxa"/>
            <w:shd w:val="clear" w:color="auto" w:fill="C6EFCE"/>
            <w:vAlign w:val="center"/>
            <w:hideMark/>
          </w:tcPr>
          <w:p w14:paraId="50B4BDDE" w14:textId="77777777" w:rsidR="003B5F50" w:rsidRDefault="000D2D85">
            <w:pPr>
              <w:pStyle w:val="P68B1DB1-Normal42"/>
              <w:spacing w:after="0" w:line="240" w:lineRule="auto"/>
              <w:jc w:val="center"/>
              <w:textAlignment w:val="baseline"/>
              <w:rPr>
                <w:noProof/>
              </w:rPr>
            </w:pPr>
            <w:r>
              <w:rPr>
                <w:noProof/>
              </w:rPr>
              <w:t>7 - L'éducation pour le XXIe siècle - Réforme 1: Réforme du contenu et de la forme de l’éducation – Réforme des programmes et des manuels scolaires </w:t>
            </w:r>
          </w:p>
        </w:tc>
        <w:tc>
          <w:tcPr>
            <w:tcW w:w="993" w:type="dxa"/>
            <w:shd w:val="clear" w:color="auto" w:fill="C6EFCE"/>
            <w:vAlign w:val="center"/>
            <w:hideMark/>
          </w:tcPr>
          <w:p w14:paraId="50B4BDDF"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E0" w14:textId="77777777" w:rsidR="003B5F50" w:rsidRDefault="000D2D85">
            <w:pPr>
              <w:pStyle w:val="P68B1DB1-Normal42"/>
              <w:spacing w:after="0" w:line="240" w:lineRule="auto"/>
              <w:jc w:val="center"/>
              <w:textAlignment w:val="baseline"/>
              <w:rPr>
                <w:noProof/>
              </w:rPr>
            </w:pPr>
            <w:r>
              <w:rPr>
                <w:noProof/>
              </w:rPr>
              <w:t>Approbation de la version finale du nouveau programme d'études pour tous les établissements d'enseignement primaire et secondaire inférieur organisés en cycles d'enseignement pluriannuels </w:t>
            </w:r>
          </w:p>
        </w:tc>
      </w:tr>
      <w:tr w:rsidR="003B5F50" w14:paraId="50B4BDE6" w14:textId="77777777">
        <w:trPr>
          <w:trHeight w:val="1080"/>
        </w:trPr>
        <w:tc>
          <w:tcPr>
            <w:tcW w:w="1222" w:type="dxa"/>
            <w:shd w:val="clear" w:color="auto" w:fill="C6EFCE"/>
            <w:vAlign w:val="center"/>
            <w:hideMark/>
          </w:tcPr>
          <w:p w14:paraId="50B4BDE2" w14:textId="77777777" w:rsidR="003B5F50" w:rsidRDefault="000D2D85">
            <w:pPr>
              <w:pStyle w:val="P68B1DB1-Normal48"/>
              <w:spacing w:after="0" w:line="240" w:lineRule="auto"/>
              <w:jc w:val="center"/>
              <w:textAlignment w:val="baseline"/>
              <w:rPr>
                <w:rFonts w:eastAsia="Times New Roman"/>
                <w:noProof/>
              </w:rPr>
            </w:pPr>
            <w:r>
              <w:rPr>
                <w:noProof/>
              </w:rPr>
              <w:t>7 </w:t>
            </w:r>
          </w:p>
        </w:tc>
        <w:tc>
          <w:tcPr>
            <w:tcW w:w="3924" w:type="dxa"/>
            <w:shd w:val="clear" w:color="auto" w:fill="C6EFCE"/>
            <w:vAlign w:val="center"/>
            <w:hideMark/>
          </w:tcPr>
          <w:p w14:paraId="50B4BDE3" w14:textId="77777777" w:rsidR="003B5F50" w:rsidRDefault="000D2D85">
            <w:pPr>
              <w:pStyle w:val="P68B1DB1-Normal42"/>
              <w:spacing w:after="0" w:line="240" w:lineRule="auto"/>
              <w:jc w:val="center"/>
              <w:textAlignment w:val="baseline"/>
              <w:rPr>
                <w:noProof/>
              </w:rPr>
            </w:pPr>
            <w:r>
              <w:rPr>
                <w:noProof/>
              </w:rPr>
              <w:t>7 - L'éducation pour le XXIe siècle - Réforme 2: Préparer et développer les enseignants à de nouveaux contenus et à de nouvelles formes d'enseignement </w:t>
            </w:r>
          </w:p>
        </w:tc>
        <w:tc>
          <w:tcPr>
            <w:tcW w:w="993" w:type="dxa"/>
            <w:shd w:val="clear" w:color="auto" w:fill="C6EFCE"/>
            <w:vAlign w:val="center"/>
            <w:hideMark/>
          </w:tcPr>
          <w:p w14:paraId="50B4BDE4"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E5" w14:textId="77777777" w:rsidR="003B5F50" w:rsidRDefault="000D2D85">
            <w:pPr>
              <w:pStyle w:val="P68B1DB1-Normal42"/>
              <w:spacing w:after="0" w:line="240" w:lineRule="auto"/>
              <w:jc w:val="center"/>
              <w:textAlignment w:val="baseline"/>
              <w:rPr>
                <w:noProof/>
              </w:rPr>
            </w:pPr>
            <w:r>
              <w:rPr>
                <w:noProof/>
              </w:rPr>
              <w:t>Entrée en vigueur des modifications législatives visant à renforcer la qualité des compétences du personnel enseignant et professionnel et à les motiver pour le développement professionnel tout au long de la vie </w:t>
            </w:r>
          </w:p>
        </w:tc>
      </w:tr>
      <w:tr w:rsidR="003B5F50" w14:paraId="50B4BDEB" w14:textId="77777777">
        <w:trPr>
          <w:trHeight w:val="1080"/>
        </w:trPr>
        <w:tc>
          <w:tcPr>
            <w:tcW w:w="1222" w:type="dxa"/>
            <w:shd w:val="clear" w:color="auto" w:fill="C6EFCE"/>
            <w:vAlign w:val="center"/>
            <w:hideMark/>
          </w:tcPr>
          <w:p w14:paraId="50B4BDE7" w14:textId="77777777" w:rsidR="003B5F50" w:rsidRDefault="000D2D85">
            <w:pPr>
              <w:pStyle w:val="P68B1DB1-Normal48"/>
              <w:spacing w:after="0" w:line="240" w:lineRule="auto"/>
              <w:jc w:val="center"/>
              <w:textAlignment w:val="baseline"/>
              <w:rPr>
                <w:rFonts w:eastAsia="Times New Roman"/>
                <w:noProof/>
              </w:rPr>
            </w:pPr>
            <w:r>
              <w:rPr>
                <w:noProof/>
              </w:rPr>
              <w:t>8 </w:t>
            </w:r>
          </w:p>
        </w:tc>
        <w:tc>
          <w:tcPr>
            <w:tcW w:w="3924" w:type="dxa"/>
            <w:shd w:val="clear" w:color="auto" w:fill="C6EFCE"/>
            <w:vAlign w:val="center"/>
            <w:hideMark/>
          </w:tcPr>
          <w:p w14:paraId="50B4BDE8" w14:textId="77777777" w:rsidR="003B5F50" w:rsidRDefault="000D2D85">
            <w:pPr>
              <w:pStyle w:val="P68B1DB1-Normal42"/>
              <w:spacing w:after="0" w:line="240" w:lineRule="auto"/>
              <w:jc w:val="center"/>
              <w:textAlignment w:val="baseline"/>
              <w:rPr>
                <w:noProof/>
              </w:rPr>
            </w:pPr>
            <w:r>
              <w:rPr>
                <w:noProof/>
              </w:rPr>
              <w:t>11 – Des soins de santé modernes et accessibles – Réforme 4 Optimisation du réseau des soins de santé de courte durée et nouvelle définition des soins de santé d’urgence </w:t>
            </w:r>
          </w:p>
        </w:tc>
        <w:tc>
          <w:tcPr>
            <w:tcW w:w="993" w:type="dxa"/>
            <w:shd w:val="clear" w:color="auto" w:fill="C6EFCE"/>
            <w:vAlign w:val="center"/>
            <w:hideMark/>
          </w:tcPr>
          <w:p w14:paraId="50B4BDE9"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EA" w14:textId="77777777" w:rsidR="003B5F50" w:rsidRDefault="000D2D85">
            <w:pPr>
              <w:pStyle w:val="P68B1DB1-Normal42"/>
              <w:spacing w:after="0" w:line="240" w:lineRule="auto"/>
              <w:jc w:val="center"/>
              <w:textAlignment w:val="baseline"/>
              <w:rPr>
                <w:noProof/>
              </w:rPr>
            </w:pPr>
            <w:r>
              <w:rPr>
                <w:noProof/>
              </w:rPr>
              <w:t>Modification de la loi sur le réseau d'ambulances optimal et nouvelle définition des soins de santé d'urgence </w:t>
            </w:r>
          </w:p>
        </w:tc>
      </w:tr>
      <w:tr w:rsidR="003B5F50" w14:paraId="50B4BDF0" w14:textId="77777777">
        <w:trPr>
          <w:trHeight w:val="1080"/>
        </w:trPr>
        <w:tc>
          <w:tcPr>
            <w:tcW w:w="1222" w:type="dxa"/>
            <w:shd w:val="clear" w:color="auto" w:fill="C6EFCE"/>
            <w:vAlign w:val="center"/>
            <w:hideMark/>
          </w:tcPr>
          <w:p w14:paraId="50B4BDEC" w14:textId="77777777" w:rsidR="003B5F50" w:rsidRDefault="000D2D85">
            <w:pPr>
              <w:pStyle w:val="P68B1DB1-Normal48"/>
              <w:spacing w:after="0" w:line="240" w:lineRule="auto"/>
              <w:jc w:val="center"/>
              <w:textAlignment w:val="baseline"/>
              <w:rPr>
                <w:rFonts w:eastAsia="Times New Roman"/>
                <w:noProof/>
              </w:rPr>
            </w:pPr>
            <w:r>
              <w:rPr>
                <w:noProof/>
              </w:rPr>
              <w:t>9 </w:t>
            </w:r>
          </w:p>
        </w:tc>
        <w:tc>
          <w:tcPr>
            <w:tcW w:w="3924" w:type="dxa"/>
            <w:shd w:val="clear" w:color="auto" w:fill="C6EFCE"/>
            <w:vAlign w:val="center"/>
            <w:hideMark/>
          </w:tcPr>
          <w:p w14:paraId="50B4BDED" w14:textId="77777777" w:rsidR="003B5F50" w:rsidRDefault="000D2D85">
            <w:pPr>
              <w:pStyle w:val="P68B1DB1-Normal42"/>
              <w:spacing w:after="0" w:line="240" w:lineRule="auto"/>
              <w:jc w:val="center"/>
              <w:textAlignment w:val="baseline"/>
              <w:rPr>
                <w:noProof/>
              </w:rPr>
            </w:pPr>
            <w:r>
              <w:rPr>
                <w:noProof/>
              </w:rPr>
              <w:t>13 - Soins socio-sanitaires à long terme accessibles et de qualité - Réforme de l'intégration et du financement des soins sociaux et de santé à long terme </w:t>
            </w:r>
          </w:p>
        </w:tc>
        <w:tc>
          <w:tcPr>
            <w:tcW w:w="993" w:type="dxa"/>
            <w:shd w:val="clear" w:color="auto" w:fill="C6EFCE"/>
            <w:vAlign w:val="center"/>
            <w:hideMark/>
          </w:tcPr>
          <w:p w14:paraId="50B4BDEE"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EF" w14:textId="77777777" w:rsidR="003B5F50" w:rsidRDefault="000D2D85">
            <w:pPr>
              <w:pStyle w:val="P68B1DB1-Normal42"/>
              <w:spacing w:after="0" w:line="240" w:lineRule="auto"/>
              <w:jc w:val="center"/>
              <w:textAlignment w:val="baseline"/>
              <w:rPr>
                <w:noProof/>
              </w:rPr>
            </w:pPr>
            <w:r>
              <w:rPr>
                <w:noProof/>
              </w:rPr>
              <w:t>Nouveau cadre législatif pour la santé à long terme et les soins palliatifs </w:t>
            </w:r>
          </w:p>
        </w:tc>
      </w:tr>
      <w:tr w:rsidR="003B5F50" w14:paraId="50B4BDF5" w14:textId="77777777">
        <w:trPr>
          <w:trHeight w:val="1080"/>
        </w:trPr>
        <w:tc>
          <w:tcPr>
            <w:tcW w:w="1222" w:type="dxa"/>
            <w:shd w:val="clear" w:color="auto" w:fill="C6EFCE"/>
            <w:vAlign w:val="center"/>
            <w:hideMark/>
          </w:tcPr>
          <w:p w14:paraId="50B4BDF1" w14:textId="77777777" w:rsidR="003B5F50" w:rsidRDefault="000D2D85">
            <w:pPr>
              <w:pStyle w:val="P68B1DB1-Normal48"/>
              <w:spacing w:after="0" w:line="240" w:lineRule="auto"/>
              <w:jc w:val="center"/>
              <w:textAlignment w:val="baseline"/>
              <w:rPr>
                <w:rFonts w:eastAsia="Times New Roman"/>
                <w:noProof/>
              </w:rPr>
            </w:pPr>
            <w:r>
              <w:rPr>
                <w:noProof/>
              </w:rPr>
              <w:t>10 </w:t>
            </w:r>
          </w:p>
        </w:tc>
        <w:tc>
          <w:tcPr>
            <w:tcW w:w="3924" w:type="dxa"/>
            <w:shd w:val="clear" w:color="auto" w:fill="C6EFCE"/>
            <w:vAlign w:val="center"/>
            <w:hideMark/>
          </w:tcPr>
          <w:p w14:paraId="50B4BDF2" w14:textId="77777777" w:rsidR="003B5F50" w:rsidRDefault="000D2D85">
            <w:pPr>
              <w:pStyle w:val="P68B1DB1-Normal42"/>
              <w:spacing w:after="0" w:line="240" w:lineRule="auto"/>
              <w:jc w:val="center"/>
              <w:textAlignment w:val="baseline"/>
              <w:rPr>
                <w:noProof/>
              </w:rPr>
            </w:pPr>
            <w:r>
              <w:rPr>
                <w:noProof/>
              </w:rPr>
              <w:t>14 - Améliorer l'environnement des entreprises - Réforme 1: Réduire la charge réglementaire pesant sur les entreprises </w:t>
            </w:r>
          </w:p>
        </w:tc>
        <w:tc>
          <w:tcPr>
            <w:tcW w:w="993" w:type="dxa"/>
            <w:shd w:val="clear" w:color="auto" w:fill="C6EFCE"/>
            <w:vAlign w:val="center"/>
            <w:hideMark/>
          </w:tcPr>
          <w:p w14:paraId="50B4BDF3"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F4" w14:textId="77777777" w:rsidR="003B5F50" w:rsidRDefault="000D2D85">
            <w:pPr>
              <w:pStyle w:val="P68B1DB1-Normal42"/>
              <w:spacing w:after="0" w:line="240" w:lineRule="auto"/>
              <w:jc w:val="center"/>
              <w:textAlignment w:val="baseline"/>
              <w:rPr>
                <w:noProof/>
              </w:rPr>
            </w:pPr>
            <w:r>
              <w:rPr>
                <w:noProof/>
              </w:rPr>
              <w:t>introduction des nouveaux outils de réduction de la charge réglementaire: —Mise en œuvre de la règle «1in-2out» — Introduction d’une évaluation ex post des règlements existants (matériels législatifs et non législatifs) — Introduction d’une protection contre la surréglementation injustifiée </w:t>
            </w:r>
          </w:p>
        </w:tc>
      </w:tr>
      <w:tr w:rsidR="003B5F50" w14:paraId="50B4BDFA" w14:textId="77777777">
        <w:trPr>
          <w:trHeight w:val="1080"/>
        </w:trPr>
        <w:tc>
          <w:tcPr>
            <w:tcW w:w="1222" w:type="dxa"/>
            <w:shd w:val="clear" w:color="auto" w:fill="C6EFCE"/>
            <w:vAlign w:val="center"/>
            <w:hideMark/>
          </w:tcPr>
          <w:p w14:paraId="50B4BDF6" w14:textId="77777777" w:rsidR="003B5F50" w:rsidRDefault="000D2D85">
            <w:pPr>
              <w:pStyle w:val="P68B1DB1-Normal48"/>
              <w:spacing w:after="0" w:line="240" w:lineRule="auto"/>
              <w:jc w:val="center"/>
              <w:textAlignment w:val="baseline"/>
              <w:rPr>
                <w:rFonts w:eastAsia="Times New Roman"/>
                <w:noProof/>
              </w:rPr>
            </w:pPr>
            <w:r>
              <w:rPr>
                <w:noProof/>
              </w:rPr>
              <w:t>11</w:t>
            </w:r>
          </w:p>
        </w:tc>
        <w:tc>
          <w:tcPr>
            <w:tcW w:w="3924" w:type="dxa"/>
            <w:shd w:val="clear" w:color="auto" w:fill="C6EFCE"/>
            <w:vAlign w:val="center"/>
            <w:hideMark/>
          </w:tcPr>
          <w:p w14:paraId="50B4BDF7" w14:textId="77777777" w:rsidR="003B5F50" w:rsidRDefault="000D2D85">
            <w:pPr>
              <w:pStyle w:val="P68B1DB1-Normal42"/>
              <w:spacing w:after="0" w:line="240" w:lineRule="auto"/>
              <w:jc w:val="center"/>
              <w:textAlignment w:val="baseline"/>
              <w:rPr>
                <w:noProof/>
              </w:rPr>
            </w:pPr>
            <w:r>
              <w:rPr>
                <w:noProof/>
              </w:rPr>
              <w:t>14 - Améliorer l'environnement des entreprises - Réforme 3: Réforme des marchés publics – numérisation des procédures de passation des marchés publics </w:t>
            </w:r>
          </w:p>
        </w:tc>
        <w:tc>
          <w:tcPr>
            <w:tcW w:w="993" w:type="dxa"/>
            <w:shd w:val="clear" w:color="auto" w:fill="C6EFCE"/>
            <w:vAlign w:val="center"/>
            <w:hideMark/>
          </w:tcPr>
          <w:p w14:paraId="50B4BDF8"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F9" w14:textId="77777777" w:rsidR="003B5F50" w:rsidRDefault="000D2D85">
            <w:pPr>
              <w:pStyle w:val="P68B1DB1-Normal42"/>
              <w:spacing w:after="0" w:line="240" w:lineRule="auto"/>
              <w:jc w:val="center"/>
              <w:textAlignment w:val="baseline"/>
              <w:rPr>
                <w:noProof/>
              </w:rPr>
            </w:pPr>
            <w:r>
              <w:rPr>
                <w:noProof/>
              </w:rPr>
              <w:t>Numérisation des procédures de passation des marchés publics au moyen d’une plateforme électronique unique. </w:t>
            </w:r>
          </w:p>
        </w:tc>
      </w:tr>
      <w:tr w:rsidR="003B5F50" w14:paraId="50B4BDFF" w14:textId="77777777">
        <w:trPr>
          <w:trHeight w:val="1080"/>
        </w:trPr>
        <w:tc>
          <w:tcPr>
            <w:tcW w:w="1222" w:type="dxa"/>
            <w:shd w:val="clear" w:color="auto" w:fill="C6EFCE"/>
            <w:vAlign w:val="center"/>
            <w:hideMark/>
          </w:tcPr>
          <w:p w14:paraId="50B4BDFB" w14:textId="77777777" w:rsidR="003B5F50" w:rsidRDefault="000D2D85">
            <w:pPr>
              <w:pStyle w:val="P68B1DB1-Normal48"/>
              <w:spacing w:after="0" w:line="240" w:lineRule="auto"/>
              <w:jc w:val="center"/>
              <w:textAlignment w:val="baseline"/>
              <w:rPr>
                <w:rFonts w:eastAsia="Times New Roman"/>
                <w:noProof/>
              </w:rPr>
            </w:pPr>
            <w:r>
              <w:rPr>
                <w:noProof/>
              </w:rPr>
              <w:t>12 </w:t>
            </w:r>
          </w:p>
        </w:tc>
        <w:tc>
          <w:tcPr>
            <w:tcW w:w="3924" w:type="dxa"/>
            <w:shd w:val="clear" w:color="auto" w:fill="C6EFCE"/>
            <w:vAlign w:val="center"/>
            <w:hideMark/>
          </w:tcPr>
          <w:p w14:paraId="50B4BDFC" w14:textId="77777777" w:rsidR="003B5F50" w:rsidRDefault="000D2D85">
            <w:pPr>
              <w:pStyle w:val="P68B1DB1-Normal42"/>
              <w:spacing w:after="0" w:line="240" w:lineRule="auto"/>
              <w:jc w:val="center"/>
              <w:textAlignment w:val="baseline"/>
              <w:rPr>
                <w:noProof/>
              </w:rPr>
            </w:pPr>
            <w:r>
              <w:rPr>
                <w:noProof/>
              </w:rPr>
              <w:t>14 - Améliorer l'environnement des entreprises - Réforme 2: Réforme du cadre en matière d’insolvabilité – adaptation de la législation </w:t>
            </w:r>
          </w:p>
        </w:tc>
        <w:tc>
          <w:tcPr>
            <w:tcW w:w="993" w:type="dxa"/>
            <w:shd w:val="clear" w:color="auto" w:fill="C6EFCE"/>
            <w:vAlign w:val="center"/>
            <w:hideMark/>
          </w:tcPr>
          <w:p w14:paraId="50B4BDFD"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DFE" w14:textId="77777777" w:rsidR="003B5F50" w:rsidRDefault="000D2D85">
            <w:pPr>
              <w:pStyle w:val="P68B1DB1-Normal42"/>
              <w:spacing w:after="0" w:line="240" w:lineRule="auto"/>
              <w:jc w:val="center"/>
              <w:textAlignment w:val="baseline"/>
              <w:rPr>
                <w:noProof/>
              </w:rPr>
            </w:pPr>
            <w:r>
              <w:rPr>
                <w:noProof/>
              </w:rPr>
              <w:t>Réforme du cadre en matière d'insolvabilité </w:t>
            </w:r>
          </w:p>
        </w:tc>
      </w:tr>
      <w:tr w:rsidR="003B5F50" w14:paraId="50B4BE04" w14:textId="77777777">
        <w:trPr>
          <w:trHeight w:val="1080"/>
        </w:trPr>
        <w:tc>
          <w:tcPr>
            <w:tcW w:w="1222" w:type="dxa"/>
            <w:shd w:val="clear" w:color="auto" w:fill="C6EFCE"/>
            <w:vAlign w:val="center"/>
            <w:hideMark/>
          </w:tcPr>
          <w:p w14:paraId="50B4BE00" w14:textId="77777777" w:rsidR="003B5F50" w:rsidRDefault="000D2D85">
            <w:pPr>
              <w:pStyle w:val="P68B1DB1-Normal48"/>
              <w:spacing w:after="0" w:line="240" w:lineRule="auto"/>
              <w:jc w:val="center"/>
              <w:textAlignment w:val="baseline"/>
              <w:rPr>
                <w:rFonts w:eastAsia="Times New Roman"/>
                <w:noProof/>
              </w:rPr>
            </w:pPr>
            <w:r>
              <w:rPr>
                <w:noProof/>
              </w:rPr>
              <w:t>13 </w:t>
            </w:r>
          </w:p>
        </w:tc>
        <w:tc>
          <w:tcPr>
            <w:tcW w:w="3924" w:type="dxa"/>
            <w:shd w:val="clear" w:color="auto" w:fill="C6EFCE"/>
            <w:vAlign w:val="center"/>
            <w:hideMark/>
          </w:tcPr>
          <w:p w14:paraId="50B4BE01" w14:textId="77777777" w:rsidR="003B5F50" w:rsidRDefault="000D2D85">
            <w:pPr>
              <w:pStyle w:val="P68B1DB1-Normal42"/>
              <w:spacing w:after="0" w:line="240" w:lineRule="auto"/>
              <w:jc w:val="center"/>
              <w:textAlignment w:val="baseline"/>
              <w:rPr>
                <w:noProof/>
              </w:rPr>
            </w:pPr>
            <w:r>
              <w:rPr>
                <w:noProof/>
              </w:rPr>
              <w:t>15 - Réforme judiciaire - Réforme 1: Réforme de la carte judiciaire – Législation </w:t>
            </w:r>
          </w:p>
        </w:tc>
        <w:tc>
          <w:tcPr>
            <w:tcW w:w="993" w:type="dxa"/>
            <w:shd w:val="clear" w:color="auto" w:fill="C6EFCE"/>
            <w:vAlign w:val="center"/>
            <w:hideMark/>
          </w:tcPr>
          <w:p w14:paraId="50B4BE02"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03" w14:textId="671AF465" w:rsidR="003B5F50" w:rsidRDefault="000D2D85">
            <w:pPr>
              <w:pStyle w:val="P68B1DB1-Normal42"/>
              <w:spacing w:after="0" w:line="240" w:lineRule="auto"/>
              <w:jc w:val="center"/>
              <w:textAlignment w:val="baseline"/>
              <w:rPr>
                <w:noProof/>
              </w:rPr>
            </w:pPr>
            <w:r>
              <w:rPr>
                <w:noProof/>
              </w:rPr>
              <w:t xml:space="preserve">L'introduction du nouveau réseau judiciaire </w:t>
            </w:r>
          </w:p>
        </w:tc>
      </w:tr>
      <w:tr w:rsidR="003B5F50" w14:paraId="50B4BE09" w14:textId="77777777">
        <w:trPr>
          <w:trHeight w:val="1080"/>
        </w:trPr>
        <w:tc>
          <w:tcPr>
            <w:tcW w:w="1222" w:type="dxa"/>
            <w:shd w:val="clear" w:color="auto" w:fill="C6EFCE"/>
            <w:vAlign w:val="center"/>
            <w:hideMark/>
          </w:tcPr>
          <w:p w14:paraId="50B4BE05" w14:textId="77777777" w:rsidR="003B5F50" w:rsidRDefault="000D2D85">
            <w:pPr>
              <w:pStyle w:val="P68B1DB1-Normal48"/>
              <w:spacing w:after="0" w:line="240" w:lineRule="auto"/>
              <w:jc w:val="center"/>
              <w:textAlignment w:val="baseline"/>
              <w:rPr>
                <w:rFonts w:eastAsia="Times New Roman"/>
                <w:noProof/>
              </w:rPr>
            </w:pPr>
            <w:r>
              <w:rPr>
                <w:noProof/>
              </w:rPr>
              <w:t>14 </w:t>
            </w:r>
          </w:p>
        </w:tc>
        <w:tc>
          <w:tcPr>
            <w:tcW w:w="3924" w:type="dxa"/>
            <w:shd w:val="clear" w:color="auto" w:fill="C6EFCE"/>
            <w:vAlign w:val="center"/>
            <w:hideMark/>
          </w:tcPr>
          <w:p w14:paraId="50B4BE06" w14:textId="77777777" w:rsidR="003B5F50" w:rsidRDefault="000D2D85">
            <w:pPr>
              <w:pStyle w:val="P68B1DB1-Normal42"/>
              <w:spacing w:after="0" w:line="240" w:lineRule="auto"/>
              <w:jc w:val="center"/>
              <w:textAlignment w:val="baseline"/>
              <w:rPr>
                <w:noProof/>
              </w:rPr>
            </w:pPr>
            <w:r>
              <w:rPr>
                <w:noProof/>
              </w:rPr>
              <w:t>16 - Lutte contre la corruption et le blanchiment de capitaux - - Réforme 3: Optimiser la gestion des crises </w:t>
            </w:r>
          </w:p>
        </w:tc>
        <w:tc>
          <w:tcPr>
            <w:tcW w:w="993" w:type="dxa"/>
            <w:shd w:val="clear" w:color="auto" w:fill="C6EFCE"/>
            <w:vAlign w:val="center"/>
            <w:hideMark/>
          </w:tcPr>
          <w:p w14:paraId="50B4BE07"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08" w14:textId="77777777" w:rsidR="003B5F50" w:rsidRDefault="000D2D85">
            <w:pPr>
              <w:pStyle w:val="P68B1DB1-Normal42"/>
              <w:spacing w:after="0" w:line="240" w:lineRule="auto"/>
              <w:jc w:val="center"/>
              <w:textAlignment w:val="baseline"/>
              <w:rPr>
                <w:noProof/>
              </w:rPr>
            </w:pPr>
            <w:r>
              <w:rPr>
                <w:noProof/>
              </w:rPr>
              <w:t>Entrée en vigueur de la gestion optimisée des crises </w:t>
            </w:r>
          </w:p>
        </w:tc>
      </w:tr>
      <w:tr w:rsidR="003B5F50" w14:paraId="50B4BE0E" w14:textId="77777777">
        <w:trPr>
          <w:trHeight w:val="1080"/>
        </w:trPr>
        <w:tc>
          <w:tcPr>
            <w:tcW w:w="1222" w:type="dxa"/>
            <w:shd w:val="clear" w:color="auto" w:fill="C6EFCE"/>
            <w:vAlign w:val="center"/>
            <w:hideMark/>
          </w:tcPr>
          <w:p w14:paraId="50B4BE0A" w14:textId="77777777" w:rsidR="003B5F50" w:rsidRDefault="000D2D85">
            <w:pPr>
              <w:pStyle w:val="P68B1DB1-Normal48"/>
              <w:spacing w:after="0" w:line="240" w:lineRule="auto"/>
              <w:jc w:val="center"/>
              <w:textAlignment w:val="baseline"/>
              <w:rPr>
                <w:rFonts w:eastAsia="Times New Roman"/>
                <w:noProof/>
              </w:rPr>
            </w:pPr>
            <w:r>
              <w:rPr>
                <w:noProof/>
              </w:rPr>
              <w:t>15 </w:t>
            </w:r>
          </w:p>
        </w:tc>
        <w:tc>
          <w:tcPr>
            <w:tcW w:w="3924" w:type="dxa"/>
            <w:shd w:val="clear" w:color="auto" w:fill="C6EFCE"/>
            <w:vAlign w:val="center"/>
            <w:hideMark/>
          </w:tcPr>
          <w:p w14:paraId="50B4BE0B" w14:textId="77777777" w:rsidR="003B5F50" w:rsidRDefault="000D2D85">
            <w:pPr>
              <w:pStyle w:val="P68B1DB1-Normal42"/>
              <w:spacing w:after="0" w:line="240" w:lineRule="auto"/>
              <w:jc w:val="center"/>
              <w:textAlignment w:val="baseline"/>
              <w:rPr>
                <w:noProof/>
              </w:rPr>
            </w:pPr>
            <w:r>
              <w:rPr>
                <w:noProof/>
              </w:rPr>
              <w:t>18 - Finances publiques saines, viables et compétitives - Réforme 1: Améliorer la viabilité du système de retraite </w:t>
            </w:r>
          </w:p>
        </w:tc>
        <w:tc>
          <w:tcPr>
            <w:tcW w:w="993" w:type="dxa"/>
            <w:shd w:val="clear" w:color="auto" w:fill="C6EFCE"/>
            <w:vAlign w:val="center"/>
            <w:hideMark/>
          </w:tcPr>
          <w:p w14:paraId="50B4BE0C"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0D" w14:textId="03A7EB89" w:rsidR="003B5F50" w:rsidRDefault="000D2D85">
            <w:pPr>
              <w:pStyle w:val="P68B1DB1-Normal42"/>
              <w:spacing w:after="0" w:line="240" w:lineRule="auto"/>
              <w:jc w:val="center"/>
              <w:textAlignment w:val="baseline"/>
              <w:rPr>
                <w:noProof/>
              </w:rPr>
            </w:pPr>
            <w:r>
              <w:rPr>
                <w:noProof/>
              </w:rPr>
              <w:t xml:space="preserve">Réforme du système de retraite </w:t>
            </w:r>
          </w:p>
        </w:tc>
      </w:tr>
      <w:tr w:rsidR="003B5F50" w14:paraId="50B4BE13" w14:textId="77777777">
        <w:trPr>
          <w:trHeight w:val="315"/>
        </w:trPr>
        <w:tc>
          <w:tcPr>
            <w:tcW w:w="1222" w:type="dxa"/>
            <w:shd w:val="clear" w:color="auto" w:fill="C6EFCE"/>
            <w:vAlign w:val="center"/>
            <w:hideMark/>
          </w:tcPr>
          <w:p w14:paraId="50B4BE0F" w14:textId="77777777" w:rsidR="003B5F50" w:rsidRDefault="000D2D85">
            <w:pPr>
              <w:pStyle w:val="P68B1DB1-Normal85"/>
              <w:spacing w:after="0" w:line="240" w:lineRule="auto"/>
              <w:jc w:val="center"/>
              <w:textAlignment w:val="baseline"/>
              <w:rPr>
                <w:rFonts w:eastAsia="Times New Roman"/>
                <w:noProof/>
              </w:rPr>
            </w:pPr>
            <w:r>
              <w:rPr>
                <w:noProof/>
              </w:rPr>
              <w:t>  </w:t>
            </w:r>
          </w:p>
        </w:tc>
        <w:tc>
          <w:tcPr>
            <w:tcW w:w="3924" w:type="dxa"/>
            <w:shd w:val="clear" w:color="auto" w:fill="C6EFCE"/>
            <w:vAlign w:val="center"/>
            <w:hideMark/>
          </w:tcPr>
          <w:p w14:paraId="50B4BE10" w14:textId="77777777" w:rsidR="003B5F50" w:rsidRDefault="000D2D85">
            <w:pPr>
              <w:pStyle w:val="P68B1DB1-Normal42"/>
              <w:spacing w:after="0" w:line="240" w:lineRule="auto"/>
              <w:jc w:val="center"/>
              <w:textAlignment w:val="baseline"/>
              <w:rPr>
                <w:noProof/>
              </w:rPr>
            </w:pPr>
            <w:r>
              <w:rPr>
                <w:noProof/>
              </w:rPr>
              <w:t>  </w:t>
            </w:r>
          </w:p>
        </w:tc>
        <w:tc>
          <w:tcPr>
            <w:tcW w:w="993" w:type="dxa"/>
            <w:shd w:val="clear" w:color="auto" w:fill="C6EFCE"/>
            <w:vAlign w:val="center"/>
            <w:hideMark/>
          </w:tcPr>
          <w:p w14:paraId="50B4BE11" w14:textId="77777777" w:rsidR="003B5F50" w:rsidRDefault="000D2D85">
            <w:pPr>
              <w:pStyle w:val="P68B1DB1-Normal42"/>
              <w:spacing w:after="0" w:line="240" w:lineRule="auto"/>
              <w:jc w:val="center"/>
              <w:textAlignment w:val="baseline"/>
              <w:rPr>
                <w:noProof/>
              </w:rPr>
            </w:pPr>
            <w:r>
              <w:rPr>
                <w:noProof/>
              </w:rPr>
              <w:t>Montant des acomptes provisionnels </w:t>
            </w:r>
          </w:p>
        </w:tc>
        <w:tc>
          <w:tcPr>
            <w:tcW w:w="4110" w:type="dxa"/>
            <w:shd w:val="clear" w:color="auto" w:fill="C6EFCE"/>
            <w:vAlign w:val="center"/>
            <w:hideMark/>
          </w:tcPr>
          <w:p w14:paraId="50B4BE12" w14:textId="77777777" w:rsidR="003B5F50" w:rsidRDefault="000D2D85">
            <w:pPr>
              <w:pStyle w:val="P68B1DB1-Normal42"/>
              <w:spacing w:after="0" w:line="240" w:lineRule="auto"/>
              <w:jc w:val="center"/>
              <w:textAlignment w:val="baseline"/>
              <w:rPr>
                <w:noProof/>
              </w:rPr>
            </w:pPr>
            <w:r>
              <w:rPr>
                <w:noProof/>
              </w:rPr>
              <w:t>923 828 000 EUR</w:t>
            </w:r>
          </w:p>
        </w:tc>
      </w:tr>
    </w:tbl>
    <w:p w14:paraId="50B4BE14" w14:textId="77777777" w:rsidR="003B5F50" w:rsidRDefault="000D2D85">
      <w:pPr>
        <w:pStyle w:val="P68B1DB1-Normal36"/>
        <w:spacing w:after="0" w:line="240" w:lineRule="auto"/>
        <w:ind w:left="840"/>
        <w:jc w:val="both"/>
        <w:textAlignment w:val="baseline"/>
        <w:rPr>
          <w:noProof/>
        </w:rPr>
      </w:pPr>
      <w:r>
        <w:rPr>
          <w:noProof/>
        </w:rPr>
        <w:t> </w:t>
      </w:r>
    </w:p>
    <w:p w14:paraId="50B4BE15" w14:textId="112FF556" w:rsidR="003B5F50" w:rsidRDefault="000D2D85">
      <w:pPr>
        <w:pStyle w:val="P68B1DB1-ListParagraph86"/>
        <w:numPr>
          <w:ilvl w:val="0"/>
          <w:numId w:val="51"/>
        </w:numPr>
        <w:spacing w:after="0" w:line="240" w:lineRule="auto"/>
        <w:jc w:val="both"/>
        <w:textAlignment w:val="baseline"/>
        <w:rPr>
          <w:noProof/>
        </w:rPr>
      </w:pPr>
      <w:r>
        <w:rPr>
          <w:noProof/>
        </w:rPr>
        <w:t xml:space="preserve">Cinquième tranche (soutien non remboursable): </w:t>
      </w:r>
    </w:p>
    <w:p w14:paraId="50B4BE16" w14:textId="77777777" w:rsidR="003B5F50" w:rsidRDefault="000D2D85">
      <w:pPr>
        <w:pStyle w:val="P68B1DB1-Normal36"/>
        <w:spacing w:after="0" w:line="240" w:lineRule="auto"/>
        <w:ind w:left="840"/>
        <w:jc w:val="both"/>
        <w:textAlignment w:val="baseline"/>
        <w:rPr>
          <w:rFonts w:ascii="Segoe UI" w:eastAsia="Times New Roman" w:hAnsi="Segoe UI" w:cs="Segoe UI"/>
          <w:noProof/>
          <w:sz w:val="18"/>
          <w:szCs w:val="18"/>
        </w:rPr>
      </w:pPr>
      <w:r>
        <w:rPr>
          <w:noProof/>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1"/>
        <w:gridCol w:w="3782"/>
        <w:gridCol w:w="1138"/>
        <w:gridCol w:w="4108"/>
      </w:tblGrid>
      <w:tr w:rsidR="003B5F50" w14:paraId="50B4BE1B" w14:textId="77777777">
        <w:trPr>
          <w:trHeight w:val="1350"/>
          <w:tblHeader/>
        </w:trPr>
        <w:tc>
          <w:tcPr>
            <w:tcW w:w="1221" w:type="dxa"/>
            <w:shd w:val="clear" w:color="auto" w:fill="BDD7EE"/>
            <w:vAlign w:val="center"/>
            <w:hideMark/>
          </w:tcPr>
          <w:p w14:paraId="50B4BE17" w14:textId="77777777" w:rsidR="003B5F50" w:rsidRDefault="000D2D85">
            <w:pPr>
              <w:pStyle w:val="P68B1DB1-Normal84"/>
              <w:spacing w:after="0" w:line="240" w:lineRule="auto"/>
              <w:jc w:val="center"/>
              <w:textAlignment w:val="baseline"/>
              <w:rPr>
                <w:rFonts w:eastAsia="Times New Roman"/>
                <w:noProof/>
              </w:rPr>
            </w:pPr>
            <w:r>
              <w:rPr>
                <w:b/>
                <w:noProof/>
              </w:rPr>
              <w:t>Numéro séquentiel</w:t>
            </w:r>
            <w:r>
              <w:rPr>
                <w:noProof/>
              </w:rPr>
              <w:t> </w:t>
            </w:r>
          </w:p>
        </w:tc>
        <w:tc>
          <w:tcPr>
            <w:tcW w:w="3784" w:type="dxa"/>
            <w:shd w:val="clear" w:color="auto" w:fill="BDD7EE"/>
            <w:vAlign w:val="center"/>
            <w:hideMark/>
          </w:tcPr>
          <w:p w14:paraId="50B4BE18" w14:textId="77777777" w:rsidR="003B5F50" w:rsidRDefault="000D2D85">
            <w:pPr>
              <w:pStyle w:val="P68B1DB1-Normal84"/>
              <w:spacing w:after="0" w:line="240" w:lineRule="auto"/>
              <w:jc w:val="center"/>
              <w:textAlignment w:val="baseline"/>
              <w:rPr>
                <w:rFonts w:eastAsia="Times New Roman"/>
                <w:noProof/>
              </w:rPr>
            </w:pPr>
            <w:r>
              <w:rPr>
                <w:b/>
                <w:noProof/>
              </w:rPr>
              <w:t>Mesure connexe (réforme ou investissement)</w:t>
            </w:r>
            <w:r>
              <w:rPr>
                <w:noProof/>
              </w:rPr>
              <w:t> </w:t>
            </w:r>
          </w:p>
        </w:tc>
        <w:tc>
          <w:tcPr>
            <w:tcW w:w="1134" w:type="dxa"/>
            <w:shd w:val="clear" w:color="auto" w:fill="BDD7EE"/>
            <w:vAlign w:val="center"/>
            <w:hideMark/>
          </w:tcPr>
          <w:p w14:paraId="50B4BE19" w14:textId="77777777" w:rsidR="003B5F50" w:rsidRDefault="000D2D85">
            <w:pPr>
              <w:pStyle w:val="P68B1DB1-Normal84"/>
              <w:spacing w:after="0" w:line="240" w:lineRule="auto"/>
              <w:jc w:val="center"/>
              <w:textAlignment w:val="baseline"/>
              <w:rPr>
                <w:rFonts w:eastAsia="Times New Roman"/>
                <w:noProof/>
              </w:rPr>
            </w:pPr>
            <w:r>
              <w:rPr>
                <w:b/>
                <w:noProof/>
              </w:rPr>
              <w:t>Étape/cible</w:t>
            </w:r>
            <w:r>
              <w:rPr>
                <w:noProof/>
              </w:rPr>
              <w:t> </w:t>
            </w:r>
          </w:p>
        </w:tc>
        <w:tc>
          <w:tcPr>
            <w:tcW w:w="4110" w:type="dxa"/>
            <w:shd w:val="clear" w:color="auto" w:fill="BDD7EE"/>
            <w:vAlign w:val="center"/>
            <w:hideMark/>
          </w:tcPr>
          <w:p w14:paraId="50B4BE1A" w14:textId="77777777" w:rsidR="003B5F50" w:rsidRDefault="000D2D85">
            <w:pPr>
              <w:pStyle w:val="P68B1DB1-Normal84"/>
              <w:spacing w:after="0" w:line="240" w:lineRule="auto"/>
              <w:jc w:val="center"/>
              <w:textAlignment w:val="baseline"/>
              <w:rPr>
                <w:rFonts w:eastAsia="Times New Roman"/>
                <w:noProof/>
              </w:rPr>
            </w:pPr>
            <w:r>
              <w:rPr>
                <w:b/>
                <w:noProof/>
              </w:rPr>
              <w:t>Nom</w:t>
            </w:r>
            <w:r>
              <w:rPr>
                <w:noProof/>
              </w:rPr>
              <w:t> </w:t>
            </w:r>
          </w:p>
        </w:tc>
      </w:tr>
      <w:tr w:rsidR="003B5F50" w14:paraId="50B4BE20" w14:textId="77777777">
        <w:trPr>
          <w:trHeight w:val="1380"/>
        </w:trPr>
        <w:tc>
          <w:tcPr>
            <w:tcW w:w="1221" w:type="dxa"/>
            <w:shd w:val="clear" w:color="auto" w:fill="C6EFCE"/>
            <w:vAlign w:val="center"/>
            <w:hideMark/>
          </w:tcPr>
          <w:p w14:paraId="50B4BE1C" w14:textId="77777777" w:rsidR="003B5F50" w:rsidRDefault="000D2D85">
            <w:pPr>
              <w:pStyle w:val="P68B1DB1-Normal48"/>
              <w:spacing w:after="0" w:line="240" w:lineRule="auto"/>
              <w:jc w:val="center"/>
              <w:textAlignment w:val="baseline"/>
              <w:rPr>
                <w:rFonts w:eastAsia="Times New Roman"/>
                <w:noProof/>
              </w:rPr>
            </w:pPr>
            <w:r>
              <w:rPr>
                <w:noProof/>
              </w:rPr>
              <w:t>1 </w:t>
            </w:r>
          </w:p>
        </w:tc>
        <w:tc>
          <w:tcPr>
            <w:tcW w:w="3784" w:type="dxa"/>
            <w:shd w:val="clear" w:color="auto" w:fill="C6EFCE"/>
            <w:vAlign w:val="center"/>
            <w:hideMark/>
          </w:tcPr>
          <w:p w14:paraId="50B4BE1D" w14:textId="74E3959C" w:rsidR="003B5F50" w:rsidRDefault="000D2D85">
            <w:pPr>
              <w:pStyle w:val="P68B1DB1-Normal42"/>
              <w:spacing w:after="0" w:line="240" w:lineRule="auto"/>
              <w:jc w:val="center"/>
              <w:textAlignment w:val="baseline"/>
              <w:rPr>
                <w:noProof/>
              </w:rPr>
            </w:pPr>
            <w:r>
              <w:rPr>
                <w:noProof/>
              </w:rPr>
              <w:t>2 - Rénovation des bâtiments - Réforme 2: Accroître la transparence et rationaliser les décisions du Conseil des monuments de la République slovaque </w:t>
            </w:r>
          </w:p>
        </w:tc>
        <w:tc>
          <w:tcPr>
            <w:tcW w:w="1134" w:type="dxa"/>
            <w:shd w:val="clear" w:color="auto" w:fill="C6EFCE"/>
            <w:vAlign w:val="center"/>
            <w:hideMark/>
          </w:tcPr>
          <w:p w14:paraId="50B4BE1E"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1F" w14:textId="77777777" w:rsidR="003B5F50" w:rsidRDefault="000D2D85">
            <w:pPr>
              <w:pStyle w:val="P68B1DB1-Normal42"/>
              <w:spacing w:after="0" w:line="240" w:lineRule="auto"/>
              <w:jc w:val="center"/>
              <w:textAlignment w:val="baseline"/>
              <w:rPr>
                <w:noProof/>
              </w:rPr>
            </w:pPr>
            <w:r>
              <w:rPr>
                <w:noProof/>
              </w:rPr>
              <w:t>Méthodologies pour le processus de prise de décision du Conseil des monuments de la République slovaque </w:t>
            </w:r>
          </w:p>
        </w:tc>
      </w:tr>
      <w:tr w:rsidR="003B5F50" w14:paraId="50B4BE25" w14:textId="77777777">
        <w:trPr>
          <w:trHeight w:val="1155"/>
        </w:trPr>
        <w:tc>
          <w:tcPr>
            <w:tcW w:w="1221" w:type="dxa"/>
            <w:shd w:val="clear" w:color="auto" w:fill="C6EFCE"/>
            <w:vAlign w:val="center"/>
            <w:hideMark/>
          </w:tcPr>
          <w:p w14:paraId="50B4BE21" w14:textId="77777777" w:rsidR="003B5F50" w:rsidRDefault="000D2D85">
            <w:pPr>
              <w:pStyle w:val="P68B1DB1-Normal48"/>
              <w:spacing w:after="0" w:line="240" w:lineRule="auto"/>
              <w:jc w:val="center"/>
              <w:textAlignment w:val="baseline"/>
              <w:rPr>
                <w:rFonts w:eastAsia="Times New Roman"/>
                <w:noProof/>
              </w:rPr>
            </w:pPr>
            <w:r>
              <w:rPr>
                <w:noProof/>
              </w:rPr>
              <w:t>2 </w:t>
            </w:r>
          </w:p>
        </w:tc>
        <w:tc>
          <w:tcPr>
            <w:tcW w:w="3784" w:type="dxa"/>
            <w:shd w:val="clear" w:color="auto" w:fill="C6EFCE"/>
            <w:vAlign w:val="center"/>
            <w:hideMark/>
          </w:tcPr>
          <w:p w14:paraId="50B4BE22" w14:textId="77777777" w:rsidR="003B5F50" w:rsidRDefault="000D2D85">
            <w:pPr>
              <w:pStyle w:val="P68B1DB1-Normal42"/>
              <w:spacing w:after="0" w:line="240" w:lineRule="auto"/>
              <w:jc w:val="center"/>
              <w:textAlignment w:val="baseline"/>
              <w:rPr>
                <w:noProof/>
              </w:rPr>
            </w:pPr>
            <w:r>
              <w:rPr>
                <w:noProof/>
              </w:rPr>
              <w:t>3 - Transports durables - Réforme 2: Réforme du transport public de voyageurs </w:t>
            </w:r>
          </w:p>
        </w:tc>
        <w:tc>
          <w:tcPr>
            <w:tcW w:w="1134" w:type="dxa"/>
            <w:shd w:val="clear" w:color="auto" w:fill="C6EFCE"/>
            <w:vAlign w:val="center"/>
            <w:hideMark/>
          </w:tcPr>
          <w:p w14:paraId="50B4BE23"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24" w14:textId="77777777" w:rsidR="003B5F50" w:rsidRDefault="000D2D85">
            <w:pPr>
              <w:pStyle w:val="P68B1DB1-Normal42"/>
              <w:spacing w:after="0" w:line="240" w:lineRule="auto"/>
              <w:jc w:val="center"/>
              <w:textAlignment w:val="baseline"/>
              <w:rPr>
                <w:noProof/>
              </w:rPr>
            </w:pPr>
            <w:r>
              <w:rPr>
                <w:noProof/>
              </w:rPr>
              <w:t>Mise en œuvre d'un horaire de transport ferroviaire optimisé </w:t>
            </w:r>
          </w:p>
        </w:tc>
      </w:tr>
      <w:tr w:rsidR="003B5F50" w14:paraId="50B4BE2A" w14:textId="77777777">
        <w:trPr>
          <w:trHeight w:val="1170"/>
        </w:trPr>
        <w:tc>
          <w:tcPr>
            <w:tcW w:w="1221" w:type="dxa"/>
            <w:shd w:val="clear" w:color="auto" w:fill="C6EFCE"/>
            <w:vAlign w:val="center"/>
            <w:hideMark/>
          </w:tcPr>
          <w:p w14:paraId="50B4BE26" w14:textId="77777777" w:rsidR="003B5F50" w:rsidRDefault="000D2D85">
            <w:pPr>
              <w:pStyle w:val="P68B1DB1-Normal48"/>
              <w:spacing w:after="0" w:line="240" w:lineRule="auto"/>
              <w:jc w:val="center"/>
              <w:textAlignment w:val="baseline"/>
              <w:rPr>
                <w:rFonts w:eastAsia="Times New Roman"/>
                <w:noProof/>
              </w:rPr>
            </w:pPr>
            <w:r>
              <w:rPr>
                <w:noProof/>
              </w:rPr>
              <w:t>3 </w:t>
            </w:r>
          </w:p>
        </w:tc>
        <w:tc>
          <w:tcPr>
            <w:tcW w:w="3784" w:type="dxa"/>
            <w:shd w:val="clear" w:color="auto" w:fill="C6EFCE"/>
            <w:vAlign w:val="center"/>
            <w:hideMark/>
          </w:tcPr>
          <w:p w14:paraId="50B4BE27" w14:textId="77777777" w:rsidR="003B5F50" w:rsidRDefault="000D2D85">
            <w:pPr>
              <w:pStyle w:val="P68B1DB1-Normal42"/>
              <w:spacing w:after="0" w:line="240" w:lineRule="auto"/>
              <w:jc w:val="center"/>
              <w:textAlignment w:val="baseline"/>
              <w:rPr>
                <w:noProof/>
              </w:rPr>
            </w:pPr>
            <w:r>
              <w:rPr>
                <w:noProof/>
              </w:rPr>
              <w:t>4 - Décarbonation de l'industrie - Réforme 1: L'arrêt de la production d'électricité à base de charbon à la centrale de Nováky et la transformation de la région du Haut Nitra </w:t>
            </w:r>
          </w:p>
        </w:tc>
        <w:tc>
          <w:tcPr>
            <w:tcW w:w="1134" w:type="dxa"/>
            <w:shd w:val="clear" w:color="auto" w:fill="C6EFCE"/>
            <w:vAlign w:val="center"/>
            <w:hideMark/>
          </w:tcPr>
          <w:p w14:paraId="50B4BE28"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29" w14:textId="77777777" w:rsidR="003B5F50" w:rsidRDefault="000D2D85">
            <w:pPr>
              <w:pStyle w:val="P68B1DB1-Normal42"/>
              <w:spacing w:after="0" w:line="240" w:lineRule="auto"/>
              <w:jc w:val="center"/>
              <w:textAlignment w:val="baseline"/>
              <w:rPr>
                <w:noProof/>
              </w:rPr>
            </w:pPr>
            <w:r>
              <w:rPr>
                <w:noProof/>
              </w:rPr>
              <w:t>Éloignement du charbon dans la région du Haut-Nitra </w:t>
            </w:r>
          </w:p>
        </w:tc>
      </w:tr>
      <w:tr w:rsidR="003B5F50" w14:paraId="50B4BE2F" w14:textId="77777777">
        <w:trPr>
          <w:trHeight w:val="1380"/>
        </w:trPr>
        <w:tc>
          <w:tcPr>
            <w:tcW w:w="1221" w:type="dxa"/>
            <w:shd w:val="clear" w:color="auto" w:fill="C6EFCE"/>
            <w:vAlign w:val="center"/>
            <w:hideMark/>
          </w:tcPr>
          <w:p w14:paraId="50B4BE2B" w14:textId="77777777" w:rsidR="003B5F50" w:rsidRDefault="000D2D85">
            <w:pPr>
              <w:pStyle w:val="P68B1DB1-Normal48"/>
              <w:spacing w:line="240" w:lineRule="auto"/>
              <w:jc w:val="center"/>
              <w:rPr>
                <w:rFonts w:eastAsia="Times New Roman"/>
                <w:noProof/>
              </w:rPr>
            </w:pPr>
            <w:r>
              <w:rPr>
                <w:noProof/>
              </w:rPr>
              <w:t>4</w:t>
            </w:r>
          </w:p>
        </w:tc>
        <w:tc>
          <w:tcPr>
            <w:tcW w:w="3784" w:type="dxa"/>
            <w:shd w:val="clear" w:color="auto" w:fill="C6EFCE"/>
            <w:vAlign w:val="center"/>
            <w:hideMark/>
          </w:tcPr>
          <w:p w14:paraId="50B4BE2C" w14:textId="77777777" w:rsidR="003B5F50" w:rsidRDefault="000D2D85">
            <w:pPr>
              <w:pStyle w:val="P68B1DB1-Normal42"/>
              <w:spacing w:line="240" w:lineRule="auto"/>
              <w:jc w:val="center"/>
              <w:rPr>
                <w:noProof/>
              </w:rPr>
            </w:pPr>
            <w:r>
              <w:rPr>
                <w:noProof/>
              </w:rPr>
              <w:t>5 – Adaptation au changement climatique – Réforme 1: Réforme de l'aménagement du territoire</w:t>
            </w:r>
          </w:p>
        </w:tc>
        <w:tc>
          <w:tcPr>
            <w:tcW w:w="1134" w:type="dxa"/>
            <w:shd w:val="clear" w:color="auto" w:fill="C6EFCE"/>
            <w:vAlign w:val="center"/>
            <w:hideMark/>
          </w:tcPr>
          <w:p w14:paraId="50B4BE2D" w14:textId="77777777" w:rsidR="003B5F50" w:rsidRDefault="000D2D85">
            <w:pPr>
              <w:pStyle w:val="P68B1DB1-Normal42"/>
              <w:spacing w:line="240" w:lineRule="auto"/>
              <w:jc w:val="center"/>
              <w:rPr>
                <w:noProof/>
              </w:rPr>
            </w:pPr>
            <w:r>
              <w:rPr>
                <w:noProof/>
              </w:rPr>
              <w:t>Étape</w:t>
            </w:r>
          </w:p>
        </w:tc>
        <w:tc>
          <w:tcPr>
            <w:tcW w:w="4110" w:type="dxa"/>
            <w:shd w:val="clear" w:color="auto" w:fill="C6EFCE"/>
            <w:vAlign w:val="center"/>
            <w:hideMark/>
          </w:tcPr>
          <w:p w14:paraId="50B4BE2E" w14:textId="77777777" w:rsidR="003B5F50" w:rsidRDefault="000D2D85">
            <w:pPr>
              <w:pStyle w:val="P68B1DB1-Normal42"/>
              <w:spacing w:line="240" w:lineRule="auto"/>
              <w:jc w:val="center"/>
              <w:rPr>
                <w:noProof/>
              </w:rPr>
            </w:pPr>
            <w:r>
              <w:rPr>
                <w:noProof/>
              </w:rPr>
              <w:t>La réforme de l'aménagement du territoire</w:t>
            </w:r>
          </w:p>
        </w:tc>
      </w:tr>
      <w:tr w:rsidR="003B5F50" w14:paraId="50B4BE34" w14:textId="77777777">
        <w:trPr>
          <w:trHeight w:val="1380"/>
        </w:trPr>
        <w:tc>
          <w:tcPr>
            <w:tcW w:w="1221" w:type="dxa"/>
            <w:shd w:val="clear" w:color="auto" w:fill="C6EFCE"/>
            <w:vAlign w:val="center"/>
            <w:hideMark/>
          </w:tcPr>
          <w:p w14:paraId="50B4BE30" w14:textId="77777777" w:rsidR="003B5F50" w:rsidRDefault="000D2D85">
            <w:pPr>
              <w:pStyle w:val="P68B1DB1-Normal48"/>
              <w:spacing w:after="0" w:line="240" w:lineRule="auto"/>
              <w:jc w:val="center"/>
              <w:textAlignment w:val="baseline"/>
              <w:rPr>
                <w:rFonts w:eastAsia="Times New Roman"/>
                <w:noProof/>
              </w:rPr>
            </w:pPr>
            <w:r>
              <w:rPr>
                <w:noProof/>
              </w:rPr>
              <w:t>5 </w:t>
            </w:r>
          </w:p>
        </w:tc>
        <w:tc>
          <w:tcPr>
            <w:tcW w:w="3784" w:type="dxa"/>
            <w:shd w:val="clear" w:color="auto" w:fill="C6EFCE"/>
            <w:vAlign w:val="center"/>
            <w:hideMark/>
          </w:tcPr>
          <w:p w14:paraId="50B4BE31" w14:textId="77777777" w:rsidR="003B5F50" w:rsidRDefault="000D2D85">
            <w:pPr>
              <w:pStyle w:val="P68B1DB1-Normal42"/>
              <w:spacing w:after="0" w:line="240" w:lineRule="auto"/>
              <w:jc w:val="center"/>
              <w:textAlignment w:val="baseline"/>
              <w:rPr>
                <w:noProof/>
              </w:rPr>
            </w:pPr>
            <w:r>
              <w:rPr>
                <w:noProof/>
              </w:rPr>
              <w:t>5 – S’adapter au changement climatique – Investissement 1: Adapter les régions au changement climatique, en mettant l'accent sur la conservation de la nature et le développement de la biodiversité </w:t>
            </w:r>
          </w:p>
        </w:tc>
        <w:tc>
          <w:tcPr>
            <w:tcW w:w="1134" w:type="dxa"/>
            <w:shd w:val="clear" w:color="auto" w:fill="C6EFCE"/>
            <w:vAlign w:val="center"/>
            <w:hideMark/>
          </w:tcPr>
          <w:p w14:paraId="50B4BE32" w14:textId="77777777" w:rsidR="003B5F50" w:rsidRDefault="000D2D85">
            <w:pPr>
              <w:pStyle w:val="P68B1DB1-Normal42"/>
              <w:spacing w:after="0" w:line="240" w:lineRule="auto"/>
              <w:jc w:val="center"/>
              <w:textAlignment w:val="baseline"/>
              <w:rPr>
                <w:noProof/>
              </w:rPr>
            </w:pPr>
            <w:r>
              <w:rPr>
                <w:noProof/>
              </w:rPr>
              <w:t>Objectif </w:t>
            </w:r>
          </w:p>
        </w:tc>
        <w:tc>
          <w:tcPr>
            <w:tcW w:w="4110" w:type="dxa"/>
            <w:shd w:val="clear" w:color="auto" w:fill="C6EFCE"/>
            <w:vAlign w:val="center"/>
            <w:hideMark/>
          </w:tcPr>
          <w:p w14:paraId="50B4BE33" w14:textId="77777777" w:rsidR="003B5F50" w:rsidRDefault="000D2D85">
            <w:pPr>
              <w:pStyle w:val="P68B1DB1-Normal42"/>
              <w:spacing w:after="0" w:line="240" w:lineRule="auto"/>
              <w:jc w:val="center"/>
              <w:textAlignment w:val="baseline"/>
              <w:rPr>
                <w:noProof/>
              </w:rPr>
            </w:pPr>
            <w:r>
              <w:rPr>
                <w:noProof/>
              </w:rPr>
              <w:t>Règlement de la propriété avec des propriétaires fonciers privés (en superficie de terres réglées en ha) </w:t>
            </w:r>
          </w:p>
        </w:tc>
      </w:tr>
      <w:tr w:rsidR="003B5F50" w14:paraId="50B4BE39" w14:textId="77777777">
        <w:trPr>
          <w:trHeight w:val="1200"/>
        </w:trPr>
        <w:tc>
          <w:tcPr>
            <w:tcW w:w="1221" w:type="dxa"/>
            <w:shd w:val="clear" w:color="auto" w:fill="C6EFCE"/>
            <w:vAlign w:val="center"/>
            <w:hideMark/>
          </w:tcPr>
          <w:p w14:paraId="50B4BE35" w14:textId="77777777" w:rsidR="003B5F50" w:rsidRDefault="000D2D85">
            <w:pPr>
              <w:pStyle w:val="P68B1DB1-Normal48"/>
              <w:spacing w:after="0" w:line="240" w:lineRule="auto"/>
              <w:jc w:val="center"/>
              <w:textAlignment w:val="baseline"/>
              <w:rPr>
                <w:rFonts w:eastAsia="Times New Roman"/>
                <w:noProof/>
              </w:rPr>
            </w:pPr>
            <w:r>
              <w:rPr>
                <w:noProof/>
              </w:rPr>
              <w:t>6 </w:t>
            </w:r>
          </w:p>
        </w:tc>
        <w:tc>
          <w:tcPr>
            <w:tcW w:w="3784" w:type="dxa"/>
            <w:shd w:val="clear" w:color="auto" w:fill="C6EFCE"/>
            <w:vAlign w:val="center"/>
            <w:hideMark/>
          </w:tcPr>
          <w:p w14:paraId="50B4BE36" w14:textId="77777777" w:rsidR="003B5F50" w:rsidRDefault="000D2D85">
            <w:pPr>
              <w:pStyle w:val="P68B1DB1-Normal42"/>
              <w:spacing w:after="0" w:line="240" w:lineRule="auto"/>
              <w:jc w:val="center"/>
              <w:textAlignment w:val="baseline"/>
              <w:rPr>
                <w:noProof/>
              </w:rPr>
            </w:pPr>
            <w:r>
              <w:rPr>
                <w:noProof/>
              </w:rPr>
              <w:t>6 - Accessibilité, développement et qualité de l'éducation inclusive - Réforme 5: Soutenir la déségrégation scolaire </w:t>
            </w:r>
          </w:p>
        </w:tc>
        <w:tc>
          <w:tcPr>
            <w:tcW w:w="1134" w:type="dxa"/>
            <w:shd w:val="clear" w:color="auto" w:fill="C6EFCE"/>
            <w:vAlign w:val="center"/>
            <w:hideMark/>
          </w:tcPr>
          <w:p w14:paraId="50B4BE37"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38" w14:textId="77777777" w:rsidR="003B5F50" w:rsidRDefault="000D2D85">
            <w:pPr>
              <w:pStyle w:val="P68B1DB1-Normal42"/>
              <w:spacing w:after="0" w:line="240" w:lineRule="auto"/>
              <w:jc w:val="center"/>
              <w:textAlignment w:val="baseline"/>
              <w:rPr>
                <w:noProof/>
              </w:rPr>
            </w:pPr>
            <w:r>
              <w:rPr>
                <w:noProof/>
              </w:rPr>
              <w:t>Adoption d'amendements législatifs qui introduisent la définition de l'école dans la législation et l'élaboration de matériel méthodologique pour la mise en œuvre de la déségrégation </w:t>
            </w:r>
          </w:p>
        </w:tc>
      </w:tr>
      <w:tr w:rsidR="003B5F50" w14:paraId="50B4BE3E" w14:textId="77777777">
        <w:trPr>
          <w:trHeight w:val="1380"/>
        </w:trPr>
        <w:tc>
          <w:tcPr>
            <w:tcW w:w="1221" w:type="dxa"/>
            <w:shd w:val="clear" w:color="auto" w:fill="C6EFCE"/>
            <w:vAlign w:val="center"/>
            <w:hideMark/>
          </w:tcPr>
          <w:p w14:paraId="50B4BE3A" w14:textId="77777777" w:rsidR="003B5F50" w:rsidRDefault="000D2D85">
            <w:pPr>
              <w:pStyle w:val="P68B1DB1-Normal48"/>
              <w:spacing w:after="0" w:line="240" w:lineRule="auto"/>
              <w:jc w:val="center"/>
              <w:textAlignment w:val="baseline"/>
              <w:rPr>
                <w:rFonts w:eastAsia="Times New Roman"/>
                <w:noProof/>
              </w:rPr>
            </w:pPr>
            <w:r>
              <w:rPr>
                <w:noProof/>
              </w:rPr>
              <w:t>7 </w:t>
            </w:r>
          </w:p>
        </w:tc>
        <w:tc>
          <w:tcPr>
            <w:tcW w:w="3784" w:type="dxa"/>
            <w:shd w:val="clear" w:color="auto" w:fill="C6EFCE"/>
            <w:vAlign w:val="center"/>
            <w:hideMark/>
          </w:tcPr>
          <w:p w14:paraId="50B4BE3B" w14:textId="77777777" w:rsidR="003B5F50" w:rsidRDefault="000D2D85">
            <w:pPr>
              <w:pStyle w:val="P68B1DB1-Normal42"/>
              <w:spacing w:after="0" w:line="240" w:lineRule="auto"/>
              <w:jc w:val="center"/>
              <w:textAlignment w:val="baseline"/>
              <w:rPr>
                <w:noProof/>
              </w:rPr>
            </w:pPr>
            <w:r>
              <w:rPr>
                <w:noProof/>
              </w:rPr>
              <w:t>7 - L'éducation pour le XXIe siècle - Réforme 2: Préparer et développer les enseignants à de nouveaux contenus et à de nouvelles formes d'enseignement </w:t>
            </w:r>
          </w:p>
        </w:tc>
        <w:tc>
          <w:tcPr>
            <w:tcW w:w="1134" w:type="dxa"/>
            <w:shd w:val="clear" w:color="auto" w:fill="C6EFCE"/>
            <w:vAlign w:val="center"/>
            <w:hideMark/>
          </w:tcPr>
          <w:p w14:paraId="50B4BE3C" w14:textId="77777777" w:rsidR="003B5F50" w:rsidRDefault="000D2D85">
            <w:pPr>
              <w:pStyle w:val="P68B1DB1-Normal42"/>
              <w:spacing w:after="0" w:line="240" w:lineRule="auto"/>
              <w:jc w:val="center"/>
              <w:textAlignment w:val="baseline"/>
              <w:rPr>
                <w:noProof/>
              </w:rPr>
            </w:pPr>
            <w:r>
              <w:rPr>
                <w:noProof/>
              </w:rPr>
              <w:t>Objectif </w:t>
            </w:r>
          </w:p>
        </w:tc>
        <w:tc>
          <w:tcPr>
            <w:tcW w:w="4110" w:type="dxa"/>
            <w:shd w:val="clear" w:color="auto" w:fill="C6EFCE"/>
            <w:vAlign w:val="center"/>
            <w:hideMark/>
          </w:tcPr>
          <w:p w14:paraId="50B4BE3D" w14:textId="556A33B5" w:rsidR="003B5F50" w:rsidRDefault="000D2D85">
            <w:pPr>
              <w:pStyle w:val="P68B1DB1-Normal42"/>
              <w:spacing w:after="0" w:line="240" w:lineRule="auto"/>
              <w:jc w:val="center"/>
              <w:textAlignment w:val="baseline"/>
              <w:rPr>
                <w:noProof/>
              </w:rPr>
            </w:pPr>
            <w:r>
              <w:rPr>
                <w:noProof/>
              </w:rPr>
              <w:t xml:space="preserve">Pourcentage d’enseignants formés en particulier à la préparation au nouveau programme d’enseignement inclusif et aux compétences numériques </w:t>
            </w:r>
          </w:p>
        </w:tc>
      </w:tr>
      <w:tr w:rsidR="003B5F50" w14:paraId="50B4BE43" w14:textId="77777777">
        <w:trPr>
          <w:trHeight w:val="1380"/>
        </w:trPr>
        <w:tc>
          <w:tcPr>
            <w:tcW w:w="1221" w:type="dxa"/>
            <w:shd w:val="clear" w:color="auto" w:fill="C6EFCE"/>
            <w:vAlign w:val="center"/>
            <w:hideMark/>
          </w:tcPr>
          <w:p w14:paraId="50B4BE3F" w14:textId="77777777" w:rsidR="003B5F50" w:rsidRDefault="000D2D85">
            <w:pPr>
              <w:pStyle w:val="P68B1DB1-Normal48"/>
              <w:spacing w:after="0" w:line="240" w:lineRule="auto"/>
              <w:jc w:val="center"/>
              <w:textAlignment w:val="baseline"/>
              <w:rPr>
                <w:rFonts w:eastAsia="Times New Roman"/>
                <w:noProof/>
              </w:rPr>
            </w:pPr>
            <w:r>
              <w:rPr>
                <w:noProof/>
              </w:rPr>
              <w:t>8 </w:t>
            </w:r>
          </w:p>
        </w:tc>
        <w:tc>
          <w:tcPr>
            <w:tcW w:w="3784" w:type="dxa"/>
            <w:shd w:val="clear" w:color="auto" w:fill="C6EFCE"/>
            <w:vAlign w:val="center"/>
            <w:hideMark/>
          </w:tcPr>
          <w:p w14:paraId="50B4BE40" w14:textId="77777777" w:rsidR="003B5F50" w:rsidRDefault="000D2D85">
            <w:pPr>
              <w:pStyle w:val="P68B1DB1-Normal42"/>
              <w:spacing w:after="0" w:line="240" w:lineRule="auto"/>
              <w:jc w:val="center"/>
              <w:textAlignment w:val="baseline"/>
              <w:rPr>
                <w:noProof/>
              </w:rPr>
            </w:pPr>
            <w:r>
              <w:rPr>
                <w:noProof/>
              </w:rPr>
              <w:t>8 - Augmentation des performances des établissements d'enseignement supérieur slovaques - Réforme 1: Changement dans le financement des universités, y compris l'introduction de contrats de performance </w:t>
            </w:r>
          </w:p>
        </w:tc>
        <w:tc>
          <w:tcPr>
            <w:tcW w:w="1134" w:type="dxa"/>
            <w:shd w:val="clear" w:color="auto" w:fill="C6EFCE"/>
            <w:vAlign w:val="center"/>
            <w:hideMark/>
          </w:tcPr>
          <w:p w14:paraId="50B4BE41" w14:textId="77777777" w:rsidR="003B5F50" w:rsidRDefault="000D2D85">
            <w:pPr>
              <w:pStyle w:val="P68B1DB1-Normal42"/>
              <w:spacing w:after="0" w:line="240" w:lineRule="auto"/>
              <w:jc w:val="center"/>
              <w:textAlignment w:val="baseline"/>
              <w:rPr>
                <w:noProof/>
              </w:rPr>
            </w:pPr>
            <w:r>
              <w:rPr>
                <w:noProof/>
              </w:rPr>
              <w:t>Objectif </w:t>
            </w:r>
          </w:p>
        </w:tc>
        <w:tc>
          <w:tcPr>
            <w:tcW w:w="4110" w:type="dxa"/>
            <w:shd w:val="clear" w:color="auto" w:fill="C6EFCE"/>
            <w:vAlign w:val="center"/>
            <w:hideMark/>
          </w:tcPr>
          <w:p w14:paraId="50B4BE42" w14:textId="6BD64254" w:rsidR="003B5F50" w:rsidRDefault="000D2D85">
            <w:pPr>
              <w:pStyle w:val="P68B1DB1-Normal42"/>
              <w:spacing w:after="0" w:line="240" w:lineRule="auto"/>
              <w:jc w:val="center"/>
              <w:textAlignment w:val="baseline"/>
              <w:rPr>
                <w:noProof/>
              </w:rPr>
            </w:pPr>
            <w:r>
              <w:rPr>
                <w:noProof/>
              </w:rPr>
              <w:t xml:space="preserve">Contrats de performance signés avec des universités publiques (en pourcentage) </w:t>
            </w:r>
          </w:p>
        </w:tc>
      </w:tr>
      <w:tr w:rsidR="003B5F50" w14:paraId="50B4BE4B" w14:textId="77777777">
        <w:trPr>
          <w:trHeight w:val="1380"/>
        </w:trPr>
        <w:tc>
          <w:tcPr>
            <w:tcW w:w="1221" w:type="dxa"/>
            <w:shd w:val="clear" w:color="auto" w:fill="C6EFCE"/>
            <w:vAlign w:val="center"/>
          </w:tcPr>
          <w:p w14:paraId="50B4BE44" w14:textId="77777777" w:rsidR="003B5F50" w:rsidRDefault="000D2D85">
            <w:pPr>
              <w:pStyle w:val="P68B1DB1-Normal48"/>
              <w:spacing w:after="0" w:line="240" w:lineRule="auto"/>
              <w:jc w:val="center"/>
              <w:textAlignment w:val="baseline"/>
              <w:rPr>
                <w:noProof/>
              </w:rPr>
            </w:pPr>
            <w:r>
              <w:rPr>
                <w:noProof/>
              </w:rPr>
              <w:t>9</w:t>
            </w:r>
          </w:p>
        </w:tc>
        <w:tc>
          <w:tcPr>
            <w:tcW w:w="3784" w:type="dxa"/>
            <w:shd w:val="clear" w:color="auto" w:fill="C6EFCE"/>
            <w:vAlign w:val="center"/>
          </w:tcPr>
          <w:p w14:paraId="50B4BE45" w14:textId="77777777" w:rsidR="003B5F50" w:rsidRDefault="000D2D85">
            <w:pPr>
              <w:pStyle w:val="P68B1DB1-Normal42"/>
              <w:spacing w:after="0" w:line="240" w:lineRule="auto"/>
              <w:jc w:val="center"/>
              <w:textAlignment w:val="baseline"/>
              <w:rPr>
                <w:noProof/>
              </w:rPr>
            </w:pPr>
            <w:r>
              <w:rPr>
                <w:noProof/>
              </w:rPr>
              <w:t>8 – Augmentation de la performance des</w:t>
            </w:r>
          </w:p>
          <w:p w14:paraId="50B4BE46" w14:textId="77777777" w:rsidR="003B5F50" w:rsidRDefault="000D2D85">
            <w:pPr>
              <w:pStyle w:val="P68B1DB1-Normal42"/>
              <w:spacing w:after="0" w:line="240" w:lineRule="auto"/>
              <w:jc w:val="center"/>
              <w:textAlignment w:val="baseline"/>
              <w:rPr>
                <w:noProof/>
              </w:rPr>
            </w:pPr>
            <w:r>
              <w:rPr>
                <w:noProof/>
              </w:rPr>
              <w:t>Établissements d’enseignement supérieur slovaques –</w:t>
            </w:r>
          </w:p>
          <w:p w14:paraId="50B4BE47" w14:textId="77777777" w:rsidR="003B5F50" w:rsidRDefault="000D2D85">
            <w:pPr>
              <w:pStyle w:val="P68B1DB1-Normal42"/>
              <w:spacing w:after="0" w:line="240" w:lineRule="auto"/>
              <w:jc w:val="center"/>
              <w:textAlignment w:val="baseline"/>
              <w:rPr>
                <w:noProof/>
              </w:rPr>
            </w:pPr>
            <w:r>
              <w:rPr>
                <w:noProof/>
              </w:rPr>
              <w:t>Investissement 1: appui à la stratégie</w:t>
            </w:r>
          </w:p>
          <w:p w14:paraId="50B4BE48" w14:textId="77777777" w:rsidR="003B5F50" w:rsidRDefault="000D2D85">
            <w:pPr>
              <w:pStyle w:val="P68B1DB1-Normal42"/>
              <w:spacing w:after="0" w:line="240" w:lineRule="auto"/>
              <w:jc w:val="center"/>
              <w:textAlignment w:val="baseline"/>
              <w:rPr>
                <w:noProof/>
              </w:rPr>
            </w:pPr>
            <w:r>
              <w:rPr>
                <w:noProof/>
              </w:rPr>
              <w:t>développement des universités</w:t>
            </w:r>
          </w:p>
        </w:tc>
        <w:tc>
          <w:tcPr>
            <w:tcW w:w="1134" w:type="dxa"/>
            <w:shd w:val="clear" w:color="auto" w:fill="C6EFCE"/>
            <w:vAlign w:val="center"/>
          </w:tcPr>
          <w:p w14:paraId="50B4BE49" w14:textId="77777777" w:rsidR="003B5F50" w:rsidRDefault="000D2D85">
            <w:pPr>
              <w:pStyle w:val="P68B1DB1-Normal42"/>
              <w:spacing w:after="0" w:line="240" w:lineRule="auto"/>
              <w:jc w:val="center"/>
              <w:textAlignment w:val="baseline"/>
              <w:rPr>
                <w:noProof/>
              </w:rPr>
            </w:pPr>
            <w:r>
              <w:rPr>
                <w:noProof/>
              </w:rPr>
              <w:t>Étape</w:t>
            </w:r>
          </w:p>
        </w:tc>
        <w:tc>
          <w:tcPr>
            <w:tcW w:w="4110" w:type="dxa"/>
            <w:shd w:val="clear" w:color="auto" w:fill="C6EFCE"/>
            <w:vAlign w:val="center"/>
          </w:tcPr>
          <w:p w14:paraId="50B4BE4A" w14:textId="77777777" w:rsidR="003B5F50" w:rsidRDefault="000D2D85">
            <w:pPr>
              <w:pStyle w:val="P68B1DB1-Normal42"/>
              <w:spacing w:after="0" w:line="240" w:lineRule="auto"/>
              <w:jc w:val="center"/>
              <w:textAlignment w:val="baseline"/>
              <w:rPr>
                <w:noProof/>
              </w:rPr>
            </w:pPr>
            <w:r>
              <w:rPr>
                <w:noProof/>
              </w:rPr>
              <w:t>Au moins 2 appels conclus pour soutenir le développement stratégique des universités</w:t>
            </w:r>
          </w:p>
        </w:tc>
      </w:tr>
      <w:tr w:rsidR="003B5F50" w14:paraId="50B4BE50" w14:textId="77777777">
        <w:trPr>
          <w:trHeight w:val="1380"/>
        </w:trPr>
        <w:tc>
          <w:tcPr>
            <w:tcW w:w="1221" w:type="dxa"/>
            <w:shd w:val="clear" w:color="auto" w:fill="C6EFCE"/>
            <w:vAlign w:val="center"/>
            <w:hideMark/>
          </w:tcPr>
          <w:p w14:paraId="50B4BE4C" w14:textId="77777777" w:rsidR="003B5F50" w:rsidRDefault="000D2D85">
            <w:pPr>
              <w:pStyle w:val="P68B1DB1-Normal48"/>
              <w:spacing w:after="0" w:line="240" w:lineRule="auto"/>
              <w:jc w:val="center"/>
              <w:textAlignment w:val="baseline"/>
              <w:rPr>
                <w:rFonts w:eastAsia="Times New Roman"/>
                <w:noProof/>
              </w:rPr>
            </w:pPr>
            <w:r>
              <w:rPr>
                <w:noProof/>
              </w:rPr>
              <w:t>10</w:t>
            </w:r>
          </w:p>
        </w:tc>
        <w:tc>
          <w:tcPr>
            <w:tcW w:w="3784" w:type="dxa"/>
            <w:shd w:val="clear" w:color="auto" w:fill="C6EFCE"/>
            <w:vAlign w:val="center"/>
            <w:hideMark/>
          </w:tcPr>
          <w:p w14:paraId="50B4BE4D" w14:textId="77777777" w:rsidR="003B5F50" w:rsidRDefault="000D2D85">
            <w:pPr>
              <w:pStyle w:val="P68B1DB1-Normal42"/>
              <w:spacing w:after="0" w:line="240" w:lineRule="auto"/>
              <w:jc w:val="center"/>
              <w:textAlignment w:val="baseline"/>
              <w:rPr>
                <w:noProof/>
              </w:rPr>
            </w:pPr>
            <w:r>
              <w:rPr>
                <w:noProof/>
              </w:rPr>
              <w:t>9 - Gouvernance plus efficace et renforcement du financement de la RDI - Investissement 3: Excellente science</w:t>
            </w:r>
          </w:p>
        </w:tc>
        <w:tc>
          <w:tcPr>
            <w:tcW w:w="1134" w:type="dxa"/>
            <w:shd w:val="clear" w:color="auto" w:fill="C6EFCE"/>
            <w:vAlign w:val="center"/>
            <w:hideMark/>
          </w:tcPr>
          <w:p w14:paraId="50B4BE4E" w14:textId="77777777" w:rsidR="003B5F50" w:rsidRDefault="000D2D85">
            <w:pPr>
              <w:pStyle w:val="P68B1DB1-Normal42"/>
              <w:spacing w:after="0" w:line="240" w:lineRule="auto"/>
              <w:jc w:val="center"/>
              <w:textAlignment w:val="baseline"/>
              <w:rPr>
                <w:noProof/>
              </w:rPr>
            </w:pPr>
            <w:r>
              <w:rPr>
                <w:noProof/>
              </w:rPr>
              <w:t>Objectif</w:t>
            </w:r>
          </w:p>
        </w:tc>
        <w:tc>
          <w:tcPr>
            <w:tcW w:w="4110" w:type="dxa"/>
            <w:shd w:val="clear" w:color="auto" w:fill="C6EFCE"/>
            <w:vAlign w:val="center"/>
            <w:hideMark/>
          </w:tcPr>
          <w:p w14:paraId="50B4BE4F" w14:textId="77777777" w:rsidR="003B5F50" w:rsidRDefault="000D2D85">
            <w:pPr>
              <w:pStyle w:val="P68B1DB1-Normal42"/>
              <w:spacing w:after="0" w:line="240" w:lineRule="auto"/>
              <w:jc w:val="center"/>
              <w:textAlignment w:val="baseline"/>
              <w:rPr>
                <w:noProof/>
              </w:rPr>
            </w:pPr>
            <w:r>
              <w:rPr>
                <w:noProof/>
              </w:rPr>
              <w:t>Nombre d'excellents chercheurs soutenus</w:t>
            </w:r>
          </w:p>
        </w:tc>
      </w:tr>
      <w:tr w:rsidR="003B5F50" w14:paraId="50B4BE55" w14:textId="77777777">
        <w:trPr>
          <w:trHeight w:val="1380"/>
        </w:trPr>
        <w:tc>
          <w:tcPr>
            <w:tcW w:w="1221" w:type="dxa"/>
            <w:shd w:val="clear" w:color="auto" w:fill="C6EFCE"/>
            <w:vAlign w:val="center"/>
            <w:hideMark/>
          </w:tcPr>
          <w:p w14:paraId="50B4BE51" w14:textId="77777777" w:rsidR="003B5F50" w:rsidRDefault="000D2D85">
            <w:pPr>
              <w:pStyle w:val="P68B1DB1-Normal48"/>
              <w:spacing w:line="240" w:lineRule="auto"/>
              <w:jc w:val="center"/>
              <w:rPr>
                <w:rFonts w:eastAsia="Times New Roman"/>
                <w:noProof/>
              </w:rPr>
            </w:pPr>
            <w:r>
              <w:rPr>
                <w:noProof/>
              </w:rPr>
              <w:t>11</w:t>
            </w:r>
          </w:p>
        </w:tc>
        <w:tc>
          <w:tcPr>
            <w:tcW w:w="3784" w:type="dxa"/>
            <w:shd w:val="clear" w:color="auto" w:fill="C6EFCE"/>
            <w:vAlign w:val="center"/>
            <w:hideMark/>
          </w:tcPr>
          <w:p w14:paraId="50B4BE52" w14:textId="77777777" w:rsidR="003B5F50" w:rsidRDefault="000D2D85">
            <w:pPr>
              <w:pStyle w:val="P68B1DB1-Normal42"/>
              <w:spacing w:line="240" w:lineRule="auto"/>
              <w:jc w:val="center"/>
              <w:rPr>
                <w:noProof/>
              </w:rPr>
            </w:pPr>
            <w:r>
              <w:rPr>
                <w:noProof/>
              </w:rPr>
              <w:t>9 - Gouvernance plus efficace et renforcement du financement de la RDI - Investissement 6: Instruments financiers pour soutenir l'innovation</w:t>
            </w:r>
          </w:p>
        </w:tc>
        <w:tc>
          <w:tcPr>
            <w:tcW w:w="1134" w:type="dxa"/>
            <w:shd w:val="clear" w:color="auto" w:fill="C6EFCE"/>
            <w:vAlign w:val="center"/>
            <w:hideMark/>
          </w:tcPr>
          <w:p w14:paraId="50B4BE53" w14:textId="77777777" w:rsidR="003B5F50" w:rsidRDefault="000D2D85">
            <w:pPr>
              <w:pStyle w:val="P68B1DB1-Normal42"/>
              <w:spacing w:line="240" w:lineRule="auto"/>
              <w:jc w:val="center"/>
              <w:rPr>
                <w:noProof/>
              </w:rPr>
            </w:pPr>
            <w:r>
              <w:rPr>
                <w:noProof/>
              </w:rPr>
              <w:t>Étape</w:t>
            </w:r>
          </w:p>
        </w:tc>
        <w:tc>
          <w:tcPr>
            <w:tcW w:w="4110" w:type="dxa"/>
            <w:shd w:val="clear" w:color="auto" w:fill="C6EFCE"/>
            <w:vAlign w:val="center"/>
            <w:hideMark/>
          </w:tcPr>
          <w:p w14:paraId="50B4BE54" w14:textId="77777777" w:rsidR="003B5F50" w:rsidRDefault="000D2D85">
            <w:pPr>
              <w:pStyle w:val="P68B1DB1-Normal42"/>
              <w:spacing w:line="240" w:lineRule="auto"/>
              <w:jc w:val="center"/>
              <w:rPr>
                <w:noProof/>
              </w:rPr>
            </w:pPr>
            <w:r>
              <w:rPr>
                <w:noProof/>
              </w:rPr>
              <w:t>Lancement et mise en œuvre d'instruments financiers pour soutenir l'innovation</w:t>
            </w:r>
          </w:p>
        </w:tc>
      </w:tr>
      <w:tr w:rsidR="003B5F50" w14:paraId="50B4BE5A" w14:textId="77777777">
        <w:trPr>
          <w:trHeight w:val="1380"/>
        </w:trPr>
        <w:tc>
          <w:tcPr>
            <w:tcW w:w="1221" w:type="dxa"/>
            <w:shd w:val="clear" w:color="auto" w:fill="C6EFCE"/>
            <w:vAlign w:val="center"/>
            <w:hideMark/>
          </w:tcPr>
          <w:p w14:paraId="50B4BE56" w14:textId="77777777" w:rsidR="003B5F50" w:rsidRDefault="000D2D85">
            <w:pPr>
              <w:pStyle w:val="P68B1DB1-Normal48"/>
              <w:spacing w:after="0" w:line="240" w:lineRule="auto"/>
              <w:jc w:val="center"/>
              <w:textAlignment w:val="baseline"/>
              <w:rPr>
                <w:rFonts w:eastAsia="Times New Roman"/>
                <w:noProof/>
              </w:rPr>
            </w:pPr>
            <w:r>
              <w:rPr>
                <w:noProof/>
              </w:rPr>
              <w:t>12</w:t>
            </w:r>
          </w:p>
        </w:tc>
        <w:tc>
          <w:tcPr>
            <w:tcW w:w="3784" w:type="dxa"/>
            <w:shd w:val="clear" w:color="auto" w:fill="C6EFCE"/>
            <w:vAlign w:val="center"/>
            <w:hideMark/>
          </w:tcPr>
          <w:p w14:paraId="50B4BE57" w14:textId="77777777" w:rsidR="003B5F50" w:rsidRDefault="000D2D85">
            <w:pPr>
              <w:pStyle w:val="P68B1DB1-Normal42"/>
              <w:spacing w:after="0" w:line="240" w:lineRule="auto"/>
              <w:jc w:val="center"/>
              <w:textAlignment w:val="baseline"/>
              <w:rPr>
                <w:noProof/>
              </w:rPr>
            </w:pPr>
            <w:r>
              <w:rPr>
                <w:noProof/>
              </w:rPr>
              <w:t>11 - Des soins de santé modernes et accessibles - Réforme 3: Centralisation de la gestion des plus grands hôpitaux </w:t>
            </w:r>
          </w:p>
        </w:tc>
        <w:tc>
          <w:tcPr>
            <w:tcW w:w="1134" w:type="dxa"/>
            <w:shd w:val="clear" w:color="auto" w:fill="C6EFCE"/>
            <w:vAlign w:val="center"/>
            <w:hideMark/>
          </w:tcPr>
          <w:p w14:paraId="50B4BE58"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59" w14:textId="77777777" w:rsidR="003B5F50" w:rsidRDefault="000D2D85">
            <w:pPr>
              <w:pStyle w:val="P68B1DB1-Normal42"/>
              <w:spacing w:after="0" w:line="240" w:lineRule="auto"/>
              <w:jc w:val="center"/>
              <w:textAlignment w:val="baseline"/>
              <w:rPr>
                <w:noProof/>
              </w:rPr>
            </w:pPr>
            <w:r>
              <w:rPr>
                <w:noProof/>
              </w:rPr>
              <w:t>Mise en place d'un organe central de gestion hospitalière d'un point de vue organisationnel, opérationnel et économique </w:t>
            </w:r>
          </w:p>
        </w:tc>
      </w:tr>
      <w:tr w:rsidR="003B5F50" w14:paraId="50B4BE5F" w14:textId="77777777">
        <w:trPr>
          <w:trHeight w:val="1095"/>
        </w:trPr>
        <w:tc>
          <w:tcPr>
            <w:tcW w:w="1221" w:type="dxa"/>
            <w:shd w:val="clear" w:color="auto" w:fill="C6EFCE"/>
            <w:vAlign w:val="center"/>
            <w:hideMark/>
          </w:tcPr>
          <w:p w14:paraId="50B4BE5B" w14:textId="77777777" w:rsidR="003B5F50" w:rsidRDefault="000D2D85">
            <w:pPr>
              <w:pStyle w:val="P68B1DB1-Normal48"/>
              <w:spacing w:after="0" w:line="240" w:lineRule="auto"/>
              <w:jc w:val="center"/>
              <w:textAlignment w:val="baseline"/>
              <w:rPr>
                <w:rFonts w:eastAsia="Times New Roman"/>
                <w:noProof/>
              </w:rPr>
            </w:pPr>
            <w:r>
              <w:rPr>
                <w:noProof/>
              </w:rPr>
              <w:t>13 </w:t>
            </w:r>
          </w:p>
        </w:tc>
        <w:tc>
          <w:tcPr>
            <w:tcW w:w="3784" w:type="dxa"/>
            <w:shd w:val="clear" w:color="auto" w:fill="C6EFCE"/>
            <w:vAlign w:val="center"/>
            <w:hideMark/>
          </w:tcPr>
          <w:p w14:paraId="50B4BE5C" w14:textId="77777777" w:rsidR="003B5F50" w:rsidRDefault="000D2D85">
            <w:pPr>
              <w:pStyle w:val="P68B1DB1-Normal42"/>
              <w:spacing w:after="0" w:line="240" w:lineRule="auto"/>
              <w:jc w:val="center"/>
              <w:textAlignment w:val="baseline"/>
              <w:rPr>
                <w:noProof/>
              </w:rPr>
            </w:pPr>
            <w:r>
              <w:rPr>
                <w:noProof/>
              </w:rPr>
              <w:t>13 – Soins socio-sanitaires de longue durée accessibles et de qualité – Réforme 1: Soins socio-sanitaires à long terme disponibles et de qualité – Réforme de l’intégration et du financement des soins sociaux et de santé à long terme</w:t>
            </w:r>
          </w:p>
        </w:tc>
        <w:tc>
          <w:tcPr>
            <w:tcW w:w="1134" w:type="dxa"/>
            <w:shd w:val="clear" w:color="auto" w:fill="C6EFCE"/>
            <w:vAlign w:val="center"/>
            <w:hideMark/>
          </w:tcPr>
          <w:p w14:paraId="50B4BE5D"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5E" w14:textId="77777777" w:rsidR="003B5F50" w:rsidRDefault="000D2D85">
            <w:pPr>
              <w:pStyle w:val="P68B1DB1-Normal42"/>
              <w:spacing w:after="0" w:line="240" w:lineRule="auto"/>
              <w:jc w:val="center"/>
              <w:textAlignment w:val="baseline"/>
              <w:rPr>
                <w:noProof/>
              </w:rPr>
            </w:pPr>
            <w:r>
              <w:rPr>
                <w:noProof/>
              </w:rPr>
              <w:t>Publication du concept de financement des services sociaux pour le débat public </w:t>
            </w:r>
          </w:p>
        </w:tc>
      </w:tr>
      <w:tr w:rsidR="003B5F50" w14:paraId="50B4BE64" w14:textId="77777777">
        <w:trPr>
          <w:trHeight w:val="1380"/>
        </w:trPr>
        <w:tc>
          <w:tcPr>
            <w:tcW w:w="1221" w:type="dxa"/>
            <w:shd w:val="clear" w:color="auto" w:fill="C6EFCE"/>
            <w:vAlign w:val="center"/>
            <w:hideMark/>
          </w:tcPr>
          <w:p w14:paraId="50B4BE60" w14:textId="77777777" w:rsidR="003B5F50" w:rsidRDefault="000D2D85">
            <w:pPr>
              <w:pStyle w:val="P68B1DB1-Normal48"/>
              <w:spacing w:after="0" w:line="240" w:lineRule="auto"/>
              <w:jc w:val="center"/>
              <w:textAlignment w:val="baseline"/>
              <w:rPr>
                <w:rFonts w:eastAsia="Times New Roman"/>
                <w:noProof/>
              </w:rPr>
            </w:pPr>
            <w:r>
              <w:rPr>
                <w:noProof/>
              </w:rPr>
              <w:t>14</w:t>
            </w:r>
          </w:p>
        </w:tc>
        <w:tc>
          <w:tcPr>
            <w:tcW w:w="3784" w:type="dxa"/>
            <w:shd w:val="clear" w:color="auto" w:fill="C6EFCE"/>
            <w:vAlign w:val="center"/>
            <w:hideMark/>
          </w:tcPr>
          <w:p w14:paraId="50B4BE61" w14:textId="77777777" w:rsidR="003B5F50" w:rsidRDefault="000D2D85">
            <w:pPr>
              <w:pStyle w:val="P68B1DB1-Normal42"/>
              <w:spacing w:after="0" w:line="240" w:lineRule="auto"/>
              <w:jc w:val="center"/>
              <w:textAlignment w:val="baseline"/>
              <w:rPr>
                <w:noProof/>
              </w:rPr>
            </w:pPr>
            <w:r>
              <w:rPr>
                <w:noProof/>
              </w:rPr>
              <w:t>13 - Soins socio-sanitaires de longue durée accessibles et de qualité – Réforme 2: Évaluation des besoins en matière de soins</w:t>
            </w:r>
          </w:p>
        </w:tc>
        <w:tc>
          <w:tcPr>
            <w:tcW w:w="1134" w:type="dxa"/>
            <w:shd w:val="clear" w:color="auto" w:fill="C6EFCE"/>
            <w:vAlign w:val="center"/>
            <w:hideMark/>
          </w:tcPr>
          <w:p w14:paraId="50B4BE62" w14:textId="77777777" w:rsidR="003B5F50" w:rsidRDefault="000D2D85">
            <w:pPr>
              <w:pStyle w:val="P68B1DB1-Normal42"/>
              <w:spacing w:after="0" w:line="240" w:lineRule="auto"/>
              <w:jc w:val="center"/>
              <w:textAlignment w:val="baseline"/>
              <w:rPr>
                <w:noProof/>
              </w:rPr>
            </w:pPr>
            <w:r>
              <w:rPr>
                <w:noProof/>
              </w:rPr>
              <w:t>Étape</w:t>
            </w:r>
          </w:p>
        </w:tc>
        <w:tc>
          <w:tcPr>
            <w:tcW w:w="4110" w:type="dxa"/>
            <w:shd w:val="clear" w:color="auto" w:fill="C6EFCE"/>
            <w:vAlign w:val="center"/>
            <w:hideMark/>
          </w:tcPr>
          <w:p w14:paraId="50B4BE63" w14:textId="77777777" w:rsidR="003B5F50" w:rsidRDefault="000D2D85">
            <w:pPr>
              <w:pStyle w:val="P68B1DB1-Normal42"/>
              <w:spacing w:after="0" w:line="240" w:lineRule="auto"/>
              <w:jc w:val="center"/>
              <w:textAlignment w:val="baseline"/>
              <w:rPr>
                <w:noProof/>
              </w:rPr>
            </w:pPr>
            <w:r>
              <w:rPr>
                <w:noProof/>
              </w:rPr>
              <w:t>Unification du système d'évaluation</w:t>
            </w:r>
          </w:p>
        </w:tc>
      </w:tr>
      <w:tr w:rsidR="003B5F50" w14:paraId="50B4BE69" w14:textId="77777777">
        <w:trPr>
          <w:trHeight w:val="1380"/>
        </w:trPr>
        <w:tc>
          <w:tcPr>
            <w:tcW w:w="1221" w:type="dxa"/>
            <w:shd w:val="clear" w:color="auto" w:fill="C6EFCE"/>
            <w:vAlign w:val="center"/>
            <w:hideMark/>
          </w:tcPr>
          <w:p w14:paraId="50B4BE65" w14:textId="77777777" w:rsidR="003B5F50" w:rsidRDefault="000D2D85">
            <w:pPr>
              <w:pStyle w:val="P68B1DB1-Normal48"/>
              <w:spacing w:line="240" w:lineRule="auto"/>
              <w:jc w:val="center"/>
              <w:rPr>
                <w:rFonts w:eastAsia="Times New Roman"/>
                <w:noProof/>
              </w:rPr>
            </w:pPr>
            <w:r>
              <w:rPr>
                <w:noProof/>
              </w:rPr>
              <w:t>15</w:t>
            </w:r>
          </w:p>
        </w:tc>
        <w:tc>
          <w:tcPr>
            <w:tcW w:w="3784" w:type="dxa"/>
            <w:shd w:val="clear" w:color="auto" w:fill="C6EFCE"/>
            <w:vAlign w:val="center"/>
            <w:hideMark/>
          </w:tcPr>
          <w:p w14:paraId="50B4BE66" w14:textId="77777777" w:rsidR="003B5F50" w:rsidRDefault="000D2D85">
            <w:pPr>
              <w:pStyle w:val="P68B1DB1-Normal42"/>
              <w:spacing w:line="240" w:lineRule="auto"/>
              <w:jc w:val="center"/>
              <w:rPr>
                <w:noProof/>
              </w:rPr>
            </w:pPr>
            <w:r>
              <w:rPr>
                <w:noProof/>
              </w:rPr>
              <w:t>13 – Soins socio-sanitaires de longue durée accessibles et de qualité – Réforme 3: Réformer le contrôle de la protection sociale et mettre en place les infrastructures nécessaires à sa mise en œuvre</w:t>
            </w:r>
          </w:p>
        </w:tc>
        <w:tc>
          <w:tcPr>
            <w:tcW w:w="1134" w:type="dxa"/>
            <w:shd w:val="clear" w:color="auto" w:fill="C6EFCE"/>
            <w:vAlign w:val="center"/>
            <w:hideMark/>
          </w:tcPr>
          <w:p w14:paraId="50B4BE67" w14:textId="77777777" w:rsidR="003B5F50" w:rsidRDefault="000D2D85">
            <w:pPr>
              <w:pStyle w:val="P68B1DB1-Normal42"/>
              <w:spacing w:line="240" w:lineRule="auto"/>
              <w:jc w:val="center"/>
              <w:rPr>
                <w:noProof/>
              </w:rPr>
            </w:pPr>
            <w:r>
              <w:rPr>
                <w:noProof/>
              </w:rPr>
              <w:t>Objectif</w:t>
            </w:r>
          </w:p>
        </w:tc>
        <w:tc>
          <w:tcPr>
            <w:tcW w:w="4110" w:type="dxa"/>
            <w:shd w:val="clear" w:color="auto" w:fill="C6EFCE"/>
            <w:vAlign w:val="center"/>
            <w:hideMark/>
          </w:tcPr>
          <w:p w14:paraId="50B4BE68" w14:textId="77777777" w:rsidR="003B5F50" w:rsidRDefault="000D2D85">
            <w:pPr>
              <w:pStyle w:val="P68B1DB1-Normal42"/>
              <w:spacing w:line="240" w:lineRule="auto"/>
              <w:jc w:val="center"/>
              <w:rPr>
                <w:noProof/>
              </w:rPr>
            </w:pPr>
            <w:r>
              <w:rPr>
                <w:noProof/>
              </w:rPr>
              <w:t>Mise en place d'un système de surveillance unifié avec siège et 8 succursales</w:t>
            </w:r>
          </w:p>
        </w:tc>
      </w:tr>
      <w:tr w:rsidR="003B5F50" w14:paraId="50B4BE6E" w14:textId="77777777">
        <w:trPr>
          <w:trHeight w:val="1380"/>
        </w:trPr>
        <w:tc>
          <w:tcPr>
            <w:tcW w:w="1221" w:type="dxa"/>
            <w:shd w:val="clear" w:color="auto" w:fill="C6EFCE"/>
            <w:vAlign w:val="center"/>
            <w:hideMark/>
          </w:tcPr>
          <w:p w14:paraId="50B4BE6A" w14:textId="77777777" w:rsidR="003B5F50" w:rsidRDefault="000D2D85">
            <w:pPr>
              <w:pStyle w:val="P68B1DB1-Normal48"/>
              <w:spacing w:after="0" w:line="240" w:lineRule="auto"/>
              <w:jc w:val="center"/>
              <w:textAlignment w:val="baseline"/>
              <w:rPr>
                <w:rFonts w:eastAsia="Times New Roman"/>
                <w:noProof/>
              </w:rPr>
            </w:pPr>
            <w:r>
              <w:rPr>
                <w:noProof/>
              </w:rPr>
              <w:t>16</w:t>
            </w:r>
          </w:p>
        </w:tc>
        <w:tc>
          <w:tcPr>
            <w:tcW w:w="3784" w:type="dxa"/>
            <w:shd w:val="clear" w:color="auto" w:fill="C6EFCE"/>
            <w:vAlign w:val="center"/>
            <w:hideMark/>
          </w:tcPr>
          <w:p w14:paraId="50B4BE6B" w14:textId="77777777" w:rsidR="003B5F50" w:rsidRDefault="000D2D85">
            <w:pPr>
              <w:pStyle w:val="P68B1DB1-Normal42"/>
              <w:spacing w:after="0" w:line="240" w:lineRule="auto"/>
              <w:jc w:val="center"/>
              <w:textAlignment w:val="baseline"/>
              <w:rPr>
                <w:noProof/>
              </w:rPr>
            </w:pPr>
            <w:r>
              <w:rPr>
                <w:noProof/>
              </w:rPr>
              <w:t>16 - Lutte contre la corruption et le blanchiment de capitaux - Investissement 1: Outils et capacités de lutte contre la corruption et le blanchiment de capitaux </w:t>
            </w:r>
          </w:p>
        </w:tc>
        <w:tc>
          <w:tcPr>
            <w:tcW w:w="1134" w:type="dxa"/>
            <w:shd w:val="clear" w:color="auto" w:fill="C6EFCE"/>
            <w:vAlign w:val="center"/>
            <w:hideMark/>
          </w:tcPr>
          <w:p w14:paraId="50B4BE6C"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6D" w14:textId="56B19FC4" w:rsidR="003B5F50" w:rsidRDefault="000D2D85">
            <w:pPr>
              <w:pStyle w:val="P68B1DB1-Normal42"/>
              <w:spacing w:after="0" w:line="240" w:lineRule="auto"/>
              <w:jc w:val="center"/>
              <w:textAlignment w:val="baseline"/>
              <w:rPr>
                <w:noProof/>
              </w:rPr>
            </w:pPr>
            <w:r>
              <w:rPr>
                <w:noProof/>
              </w:rPr>
              <w:t xml:space="preserve">Fournir les infrastructures nécessaires pour soutenir la lutte contre le blanchiment de capitaux et la corruption </w:t>
            </w:r>
          </w:p>
        </w:tc>
      </w:tr>
      <w:tr w:rsidR="003B5F50" w14:paraId="50B4BE73" w14:textId="77777777">
        <w:trPr>
          <w:trHeight w:val="1380"/>
        </w:trPr>
        <w:tc>
          <w:tcPr>
            <w:tcW w:w="1221" w:type="dxa"/>
            <w:shd w:val="clear" w:color="auto" w:fill="C6EFCE"/>
            <w:vAlign w:val="center"/>
            <w:hideMark/>
          </w:tcPr>
          <w:p w14:paraId="50B4BE6F" w14:textId="77777777" w:rsidR="003B5F50" w:rsidRDefault="000D2D85">
            <w:pPr>
              <w:pStyle w:val="P68B1DB1-Normal48"/>
              <w:spacing w:after="0" w:line="240" w:lineRule="auto"/>
              <w:jc w:val="center"/>
              <w:textAlignment w:val="baseline"/>
              <w:rPr>
                <w:rFonts w:eastAsia="Times New Roman"/>
                <w:noProof/>
              </w:rPr>
            </w:pPr>
            <w:r>
              <w:rPr>
                <w:noProof/>
              </w:rPr>
              <w:t>17</w:t>
            </w:r>
          </w:p>
        </w:tc>
        <w:tc>
          <w:tcPr>
            <w:tcW w:w="3784" w:type="dxa"/>
            <w:shd w:val="clear" w:color="auto" w:fill="C6EFCE"/>
            <w:vAlign w:val="center"/>
            <w:hideMark/>
          </w:tcPr>
          <w:p w14:paraId="50B4BE70" w14:textId="77777777" w:rsidR="003B5F50" w:rsidRDefault="000D2D85">
            <w:pPr>
              <w:pStyle w:val="P68B1DB1-Normal42"/>
              <w:spacing w:after="0" w:line="240" w:lineRule="auto"/>
              <w:jc w:val="center"/>
              <w:textAlignment w:val="baseline"/>
              <w:rPr>
                <w:noProof/>
              </w:rPr>
            </w:pPr>
            <w:r>
              <w:rPr>
                <w:noProof/>
              </w:rPr>
              <w:t>16 - Lutte contre la corruption et le blanchiment de capitaux - Investissement 1: Outils et capacités de lutte contre la corruption et le blanchiment de capitaux </w:t>
            </w:r>
          </w:p>
        </w:tc>
        <w:tc>
          <w:tcPr>
            <w:tcW w:w="1134" w:type="dxa"/>
            <w:shd w:val="clear" w:color="auto" w:fill="C6EFCE"/>
            <w:vAlign w:val="center"/>
            <w:hideMark/>
          </w:tcPr>
          <w:p w14:paraId="50B4BE71" w14:textId="77777777" w:rsidR="003B5F50" w:rsidRDefault="000D2D85">
            <w:pPr>
              <w:pStyle w:val="P68B1DB1-Normal42"/>
              <w:spacing w:after="0" w:line="240" w:lineRule="auto"/>
              <w:jc w:val="center"/>
              <w:textAlignment w:val="baseline"/>
              <w:rPr>
                <w:noProof/>
              </w:rPr>
            </w:pPr>
            <w:r>
              <w:rPr>
                <w:noProof/>
              </w:rPr>
              <w:t>Objectif </w:t>
            </w:r>
          </w:p>
        </w:tc>
        <w:tc>
          <w:tcPr>
            <w:tcW w:w="4110" w:type="dxa"/>
            <w:shd w:val="clear" w:color="auto" w:fill="C6EFCE"/>
            <w:vAlign w:val="center"/>
            <w:hideMark/>
          </w:tcPr>
          <w:p w14:paraId="50B4BE72" w14:textId="77777777" w:rsidR="003B5F50" w:rsidRDefault="000D2D85">
            <w:pPr>
              <w:pStyle w:val="P68B1DB1-Normal42"/>
              <w:spacing w:after="0" w:line="240" w:lineRule="auto"/>
              <w:jc w:val="center"/>
              <w:textAlignment w:val="baseline"/>
              <w:rPr>
                <w:noProof/>
              </w:rPr>
            </w:pPr>
            <w:r>
              <w:rPr>
                <w:noProof/>
              </w:rPr>
              <w:t>Formation des agents de police aux enquêtes financières et aux activités d'analyse </w:t>
            </w:r>
          </w:p>
        </w:tc>
      </w:tr>
      <w:tr w:rsidR="003B5F50" w14:paraId="50B4BE78" w14:textId="77777777">
        <w:trPr>
          <w:trHeight w:val="1380"/>
        </w:trPr>
        <w:tc>
          <w:tcPr>
            <w:tcW w:w="1221" w:type="dxa"/>
            <w:shd w:val="clear" w:color="auto" w:fill="C6EFCE"/>
            <w:vAlign w:val="center"/>
            <w:hideMark/>
          </w:tcPr>
          <w:p w14:paraId="50B4BE74" w14:textId="77777777" w:rsidR="003B5F50" w:rsidRDefault="000D2D85">
            <w:pPr>
              <w:pStyle w:val="P68B1DB1-Normal42"/>
              <w:spacing w:after="0" w:line="240" w:lineRule="auto"/>
              <w:jc w:val="center"/>
              <w:rPr>
                <w:rFonts w:eastAsia="Calibri" w:cs="Times New Roman"/>
                <w:noProof/>
                <w:szCs w:val="20"/>
              </w:rPr>
            </w:pPr>
            <w:r>
              <w:rPr>
                <w:noProof/>
              </w:rPr>
              <w:t>18</w:t>
            </w:r>
          </w:p>
        </w:tc>
        <w:tc>
          <w:tcPr>
            <w:tcW w:w="3784" w:type="dxa"/>
            <w:shd w:val="clear" w:color="auto" w:fill="C6EFCE"/>
            <w:vAlign w:val="center"/>
            <w:hideMark/>
          </w:tcPr>
          <w:p w14:paraId="50B4BE75" w14:textId="77777777" w:rsidR="003B5F50" w:rsidRDefault="000D2D85">
            <w:pPr>
              <w:pStyle w:val="P68B1DB1-Normal42"/>
              <w:spacing w:after="0" w:line="240" w:lineRule="auto"/>
              <w:jc w:val="center"/>
              <w:textAlignment w:val="baseline"/>
              <w:rPr>
                <w:noProof/>
              </w:rPr>
            </w:pPr>
            <w:r>
              <w:rPr>
                <w:noProof/>
              </w:rPr>
              <w:t>17 - Slovaquie numérique - Réforme 1: Créer des solutions d'administration en ligne pour les situations de vie prioritaires </w:t>
            </w:r>
          </w:p>
        </w:tc>
        <w:tc>
          <w:tcPr>
            <w:tcW w:w="1134" w:type="dxa"/>
            <w:shd w:val="clear" w:color="auto" w:fill="C6EFCE"/>
            <w:vAlign w:val="center"/>
            <w:hideMark/>
          </w:tcPr>
          <w:p w14:paraId="50B4BE76"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77" w14:textId="77777777" w:rsidR="003B5F50" w:rsidRDefault="000D2D85">
            <w:pPr>
              <w:pStyle w:val="P68B1DB1-Normal42"/>
              <w:spacing w:after="0" w:line="240" w:lineRule="auto"/>
              <w:jc w:val="center"/>
              <w:textAlignment w:val="baseline"/>
              <w:rPr>
                <w:noProof/>
              </w:rPr>
            </w:pPr>
            <w:r>
              <w:rPr>
                <w:noProof/>
              </w:rPr>
              <w:t>Feuille de route des situations de vie prioritaires </w:t>
            </w:r>
          </w:p>
        </w:tc>
      </w:tr>
      <w:tr w:rsidR="003B5F50" w14:paraId="50B4BE7D" w14:textId="77777777">
        <w:trPr>
          <w:trHeight w:val="1170"/>
        </w:trPr>
        <w:tc>
          <w:tcPr>
            <w:tcW w:w="1221" w:type="dxa"/>
            <w:shd w:val="clear" w:color="auto" w:fill="C6EFCE"/>
            <w:vAlign w:val="center"/>
            <w:hideMark/>
          </w:tcPr>
          <w:p w14:paraId="50B4BE79" w14:textId="77777777" w:rsidR="003B5F50" w:rsidRDefault="000D2D85">
            <w:pPr>
              <w:pStyle w:val="P68B1DB1-Normal42"/>
              <w:spacing w:after="0" w:line="240" w:lineRule="auto"/>
              <w:jc w:val="center"/>
              <w:rPr>
                <w:rFonts w:eastAsia="Calibri" w:cs="Times New Roman"/>
                <w:noProof/>
                <w:szCs w:val="20"/>
              </w:rPr>
            </w:pPr>
            <w:r>
              <w:rPr>
                <w:noProof/>
              </w:rPr>
              <w:t>19</w:t>
            </w:r>
          </w:p>
        </w:tc>
        <w:tc>
          <w:tcPr>
            <w:tcW w:w="3784" w:type="dxa"/>
            <w:shd w:val="clear" w:color="auto" w:fill="C6EFCE"/>
            <w:vAlign w:val="center"/>
            <w:hideMark/>
          </w:tcPr>
          <w:p w14:paraId="50B4BE7A" w14:textId="77777777" w:rsidR="003B5F50" w:rsidRDefault="000D2D85">
            <w:pPr>
              <w:pStyle w:val="P68B1DB1-Normal42"/>
              <w:spacing w:after="0" w:line="240" w:lineRule="auto"/>
              <w:jc w:val="center"/>
              <w:textAlignment w:val="baseline"/>
              <w:rPr>
                <w:noProof/>
              </w:rPr>
            </w:pPr>
            <w:r>
              <w:rPr>
                <w:noProof/>
              </w:rPr>
              <w:t>17 - Slovaquie numérique - Réforme 2: Gestion centralisée des ressources informatiques </w:t>
            </w:r>
          </w:p>
        </w:tc>
        <w:tc>
          <w:tcPr>
            <w:tcW w:w="1134" w:type="dxa"/>
            <w:shd w:val="clear" w:color="auto" w:fill="C6EFCE"/>
            <w:vAlign w:val="center"/>
            <w:hideMark/>
          </w:tcPr>
          <w:p w14:paraId="50B4BE7B" w14:textId="77777777" w:rsidR="003B5F50" w:rsidRDefault="000D2D85">
            <w:pPr>
              <w:pStyle w:val="P68B1DB1-Normal42"/>
              <w:spacing w:after="0" w:line="240" w:lineRule="auto"/>
              <w:jc w:val="center"/>
              <w:textAlignment w:val="baseline"/>
              <w:rPr>
                <w:noProof/>
              </w:rPr>
            </w:pPr>
            <w:r>
              <w:rPr>
                <w:noProof/>
              </w:rPr>
              <w:t>Étape </w:t>
            </w:r>
          </w:p>
        </w:tc>
        <w:tc>
          <w:tcPr>
            <w:tcW w:w="4110" w:type="dxa"/>
            <w:shd w:val="clear" w:color="auto" w:fill="C6EFCE"/>
            <w:vAlign w:val="center"/>
            <w:hideMark/>
          </w:tcPr>
          <w:p w14:paraId="50B4BE7C" w14:textId="77777777" w:rsidR="003B5F50" w:rsidRDefault="000D2D85">
            <w:pPr>
              <w:pStyle w:val="P68B1DB1-Normal42"/>
              <w:spacing w:after="0" w:line="240" w:lineRule="auto"/>
              <w:jc w:val="center"/>
              <w:textAlignment w:val="baseline"/>
              <w:rPr>
                <w:noProof/>
              </w:rPr>
            </w:pPr>
            <w:r>
              <w:rPr>
                <w:noProof/>
              </w:rPr>
              <w:t>Plateforme centrale pour l'utilisation des ressources informatiques (place de marché numérique) </w:t>
            </w:r>
          </w:p>
        </w:tc>
      </w:tr>
      <w:tr w:rsidR="003B5F50" w14:paraId="50B4BE82" w14:textId="77777777">
        <w:trPr>
          <w:trHeight w:val="1260"/>
        </w:trPr>
        <w:tc>
          <w:tcPr>
            <w:tcW w:w="1221" w:type="dxa"/>
            <w:shd w:val="clear" w:color="auto" w:fill="C6EFCE"/>
            <w:vAlign w:val="center"/>
            <w:hideMark/>
          </w:tcPr>
          <w:p w14:paraId="50B4BE7E" w14:textId="77777777" w:rsidR="003B5F50" w:rsidRDefault="000D2D85">
            <w:pPr>
              <w:pStyle w:val="P68B1DB1-Normal48"/>
              <w:spacing w:after="0" w:line="240" w:lineRule="auto"/>
              <w:jc w:val="center"/>
              <w:rPr>
                <w:rFonts w:eastAsia="Calibri"/>
                <w:noProof/>
              </w:rPr>
            </w:pPr>
            <w:r>
              <w:rPr>
                <w:noProof/>
              </w:rPr>
              <w:t>20</w:t>
            </w:r>
          </w:p>
        </w:tc>
        <w:tc>
          <w:tcPr>
            <w:tcW w:w="3784" w:type="dxa"/>
            <w:shd w:val="clear" w:color="auto" w:fill="C6EFCE"/>
            <w:vAlign w:val="center"/>
            <w:hideMark/>
          </w:tcPr>
          <w:p w14:paraId="50B4BE7F" w14:textId="77777777" w:rsidR="003B5F50" w:rsidRDefault="000D2D85">
            <w:pPr>
              <w:pStyle w:val="P68B1DB1-Normal42"/>
              <w:spacing w:after="0" w:line="240" w:lineRule="auto"/>
              <w:jc w:val="center"/>
              <w:textAlignment w:val="baseline"/>
              <w:rPr>
                <w:noProof/>
              </w:rPr>
            </w:pPr>
            <w:r>
              <w:rPr>
                <w:noProof/>
              </w:rPr>
              <w:t>19 – REPowerEU – Réforme 2 – Sous-mesure 2: Plan d'action pour l'hydrogène</w:t>
            </w:r>
          </w:p>
        </w:tc>
        <w:tc>
          <w:tcPr>
            <w:tcW w:w="1134" w:type="dxa"/>
            <w:shd w:val="clear" w:color="auto" w:fill="C6EFCE"/>
            <w:vAlign w:val="center"/>
            <w:hideMark/>
          </w:tcPr>
          <w:p w14:paraId="50B4BE80" w14:textId="77777777" w:rsidR="003B5F50" w:rsidRDefault="000D2D85">
            <w:pPr>
              <w:pStyle w:val="P68B1DB1-Normal42"/>
              <w:spacing w:after="0" w:line="240" w:lineRule="auto"/>
              <w:jc w:val="center"/>
              <w:textAlignment w:val="baseline"/>
              <w:rPr>
                <w:noProof/>
              </w:rPr>
            </w:pPr>
            <w:r>
              <w:rPr>
                <w:noProof/>
              </w:rPr>
              <w:t>Étape</w:t>
            </w:r>
          </w:p>
        </w:tc>
        <w:tc>
          <w:tcPr>
            <w:tcW w:w="4110" w:type="dxa"/>
            <w:shd w:val="clear" w:color="auto" w:fill="C6EFCE"/>
            <w:vAlign w:val="center"/>
            <w:hideMark/>
          </w:tcPr>
          <w:p w14:paraId="50B4BE81" w14:textId="77777777" w:rsidR="003B5F50" w:rsidRDefault="000D2D85">
            <w:pPr>
              <w:pStyle w:val="P68B1DB1-Normal42"/>
              <w:spacing w:after="0" w:line="240" w:lineRule="auto"/>
              <w:jc w:val="center"/>
              <w:textAlignment w:val="baseline"/>
              <w:rPr>
                <w:noProof/>
              </w:rPr>
            </w:pPr>
            <w:r>
              <w:rPr>
                <w:noProof/>
              </w:rPr>
              <w:t>Publication du plan d'action pour l'hydrogène</w:t>
            </w:r>
          </w:p>
        </w:tc>
      </w:tr>
      <w:tr w:rsidR="003B5F50" w14:paraId="50B4BE87" w14:textId="77777777">
        <w:trPr>
          <w:trHeight w:val="1260"/>
        </w:trPr>
        <w:tc>
          <w:tcPr>
            <w:tcW w:w="1221" w:type="dxa"/>
            <w:shd w:val="clear" w:color="auto" w:fill="C6EFCE"/>
            <w:vAlign w:val="center"/>
            <w:hideMark/>
          </w:tcPr>
          <w:p w14:paraId="50B4BE83" w14:textId="77777777" w:rsidR="003B5F50" w:rsidRDefault="000D2D85">
            <w:pPr>
              <w:pStyle w:val="P68B1DB1-Normal48"/>
              <w:spacing w:after="0" w:line="240" w:lineRule="auto"/>
              <w:jc w:val="center"/>
              <w:rPr>
                <w:rFonts w:eastAsia="Calibri"/>
                <w:noProof/>
              </w:rPr>
            </w:pPr>
            <w:r>
              <w:rPr>
                <w:noProof/>
              </w:rPr>
              <w:t>21</w:t>
            </w:r>
          </w:p>
        </w:tc>
        <w:tc>
          <w:tcPr>
            <w:tcW w:w="3784" w:type="dxa"/>
            <w:shd w:val="clear" w:color="auto" w:fill="C6EFCE"/>
            <w:vAlign w:val="center"/>
            <w:hideMark/>
          </w:tcPr>
          <w:p w14:paraId="50B4BE84" w14:textId="77777777" w:rsidR="003B5F50" w:rsidRDefault="000D2D85">
            <w:pPr>
              <w:pStyle w:val="P68B1DB1-Normal42"/>
              <w:spacing w:line="240" w:lineRule="auto"/>
              <w:jc w:val="center"/>
              <w:rPr>
                <w:noProof/>
              </w:rPr>
            </w:pPr>
            <w:r>
              <w:rPr>
                <w:noProof/>
              </w:rPr>
              <w:t>19 – REPowerEU – Investissement 1.4: Modernisation et numérisation du réseau de transport et des réseaux de distribution régionaux – le centre de données sur l’énergie</w:t>
            </w:r>
          </w:p>
        </w:tc>
        <w:tc>
          <w:tcPr>
            <w:tcW w:w="1134" w:type="dxa"/>
            <w:shd w:val="clear" w:color="auto" w:fill="C6EFCE"/>
            <w:vAlign w:val="center"/>
            <w:hideMark/>
          </w:tcPr>
          <w:p w14:paraId="50B4BE85" w14:textId="77777777" w:rsidR="003B5F50" w:rsidRDefault="000D2D85">
            <w:pPr>
              <w:pStyle w:val="P68B1DB1-Normal42"/>
              <w:spacing w:line="240" w:lineRule="auto"/>
              <w:jc w:val="center"/>
              <w:rPr>
                <w:noProof/>
              </w:rPr>
            </w:pPr>
            <w:r>
              <w:rPr>
                <w:noProof/>
              </w:rPr>
              <w:t>Étape</w:t>
            </w:r>
          </w:p>
        </w:tc>
        <w:tc>
          <w:tcPr>
            <w:tcW w:w="4110" w:type="dxa"/>
            <w:shd w:val="clear" w:color="auto" w:fill="C6EFCE"/>
            <w:vAlign w:val="center"/>
            <w:hideMark/>
          </w:tcPr>
          <w:p w14:paraId="50B4BE86" w14:textId="77777777" w:rsidR="003B5F50" w:rsidRDefault="000D2D85">
            <w:pPr>
              <w:pStyle w:val="P68B1DB1-Normal42"/>
              <w:spacing w:line="240" w:lineRule="auto"/>
              <w:jc w:val="center"/>
              <w:rPr>
                <w:noProof/>
              </w:rPr>
            </w:pPr>
            <w:r>
              <w:rPr>
                <w:noProof/>
              </w:rPr>
              <w:t>Mise en service du centre de données sur l’énergie</w:t>
            </w:r>
          </w:p>
        </w:tc>
      </w:tr>
      <w:tr w:rsidR="003B5F50" w14:paraId="50B4BE8C" w14:textId="77777777">
        <w:trPr>
          <w:trHeight w:val="1260"/>
        </w:trPr>
        <w:tc>
          <w:tcPr>
            <w:tcW w:w="1221" w:type="dxa"/>
            <w:shd w:val="clear" w:color="auto" w:fill="C6EFCE"/>
            <w:vAlign w:val="center"/>
            <w:hideMark/>
          </w:tcPr>
          <w:p w14:paraId="50B4BE88" w14:textId="77777777" w:rsidR="003B5F50" w:rsidRDefault="000D2D85">
            <w:pPr>
              <w:pStyle w:val="P68B1DB1-Normal85"/>
              <w:spacing w:after="0" w:line="240" w:lineRule="auto"/>
              <w:jc w:val="center"/>
              <w:rPr>
                <w:rFonts w:eastAsia="Calibri"/>
                <w:noProof/>
              </w:rPr>
            </w:pPr>
            <w:r>
              <w:rPr>
                <w:noProof/>
              </w:rPr>
              <w:t>  </w:t>
            </w:r>
          </w:p>
        </w:tc>
        <w:tc>
          <w:tcPr>
            <w:tcW w:w="3784" w:type="dxa"/>
            <w:shd w:val="clear" w:color="auto" w:fill="C6EFCE"/>
            <w:vAlign w:val="center"/>
            <w:hideMark/>
          </w:tcPr>
          <w:p w14:paraId="50B4BE89" w14:textId="77777777" w:rsidR="003B5F50" w:rsidRDefault="000D2D85">
            <w:pPr>
              <w:pStyle w:val="P68B1DB1-Normal42"/>
              <w:spacing w:line="240" w:lineRule="auto"/>
              <w:jc w:val="center"/>
              <w:rPr>
                <w:noProof/>
              </w:rPr>
            </w:pPr>
            <w:r>
              <w:rPr>
                <w:noProof/>
              </w:rPr>
              <w:t>  </w:t>
            </w:r>
          </w:p>
        </w:tc>
        <w:tc>
          <w:tcPr>
            <w:tcW w:w="1134" w:type="dxa"/>
            <w:shd w:val="clear" w:color="auto" w:fill="C6EFCE"/>
            <w:vAlign w:val="center"/>
            <w:hideMark/>
          </w:tcPr>
          <w:p w14:paraId="50B4BE8A" w14:textId="77777777" w:rsidR="003B5F50" w:rsidRDefault="000D2D85">
            <w:pPr>
              <w:pStyle w:val="P68B1DB1-Normal42"/>
              <w:spacing w:line="240" w:lineRule="auto"/>
              <w:jc w:val="center"/>
              <w:rPr>
                <w:noProof/>
              </w:rPr>
            </w:pPr>
            <w:r>
              <w:rPr>
                <w:noProof/>
              </w:rPr>
              <w:t>Montant des acomptes provisionnels </w:t>
            </w:r>
          </w:p>
        </w:tc>
        <w:tc>
          <w:tcPr>
            <w:tcW w:w="4110" w:type="dxa"/>
            <w:shd w:val="clear" w:color="auto" w:fill="C6EFCE"/>
            <w:vAlign w:val="center"/>
            <w:hideMark/>
          </w:tcPr>
          <w:p w14:paraId="50B4BE8B" w14:textId="77777777" w:rsidR="003B5F50" w:rsidRDefault="000D2D85">
            <w:pPr>
              <w:pStyle w:val="P68B1DB1-Normal42"/>
              <w:spacing w:line="240" w:lineRule="auto"/>
              <w:jc w:val="center"/>
              <w:rPr>
                <w:noProof/>
              </w:rPr>
            </w:pPr>
            <w:r>
              <w:rPr>
                <w:noProof/>
              </w:rPr>
              <w:t xml:space="preserve">570 388 736 EUR </w:t>
            </w:r>
          </w:p>
        </w:tc>
      </w:tr>
    </w:tbl>
    <w:p w14:paraId="50B4BE8D" w14:textId="77777777" w:rsidR="003B5F50" w:rsidRDefault="000D2D85">
      <w:pPr>
        <w:pStyle w:val="P68B1DB1-Normal20"/>
        <w:spacing w:after="0" w:line="240" w:lineRule="auto"/>
        <w:ind w:left="840"/>
        <w:jc w:val="both"/>
        <w:textAlignment w:val="baseline"/>
        <w:rPr>
          <w:rFonts w:eastAsia="Times New Roman" w:cs="Times New Roman"/>
          <w:noProof/>
        </w:rPr>
      </w:pPr>
      <w:r>
        <w:rPr>
          <w:noProof/>
        </w:rPr>
        <w:t> </w:t>
      </w:r>
    </w:p>
    <w:p w14:paraId="50B4BE8E" w14:textId="77777777" w:rsidR="003B5F50" w:rsidRDefault="003B5F50">
      <w:pPr>
        <w:spacing w:after="0" w:line="240" w:lineRule="auto"/>
        <w:ind w:left="840"/>
        <w:jc w:val="both"/>
        <w:textAlignment w:val="baseline"/>
        <w:rPr>
          <w:rFonts w:ascii="Segoe UI" w:eastAsia="Times New Roman" w:hAnsi="Segoe UI" w:cs="Segoe UI"/>
          <w:noProof/>
          <w:sz w:val="18"/>
          <w:szCs w:val="18"/>
        </w:rPr>
      </w:pPr>
    </w:p>
    <w:p w14:paraId="50B4BE8F" w14:textId="149F8D8E" w:rsidR="003B5F50" w:rsidRDefault="000D2D85">
      <w:pPr>
        <w:pStyle w:val="P68B1DB1-ListParagraph51"/>
        <w:numPr>
          <w:ilvl w:val="0"/>
          <w:numId w:val="51"/>
        </w:numPr>
        <w:spacing w:after="0" w:line="240" w:lineRule="auto"/>
        <w:jc w:val="both"/>
        <w:textAlignment w:val="baseline"/>
        <w:rPr>
          <w:rFonts w:eastAsia="Times New Roman" w:cs="Times New Roman"/>
          <w:noProof/>
          <w:szCs w:val="24"/>
        </w:rPr>
      </w:pPr>
      <w:r>
        <w:rPr>
          <w:b/>
          <w:noProof/>
        </w:rPr>
        <w:t xml:space="preserve">Sixième tranche (soutien non remboursable): </w:t>
      </w:r>
      <w:r>
        <w:rPr>
          <w:noProof/>
        </w:rPr>
        <w:t> </w:t>
      </w:r>
    </w:p>
    <w:p w14:paraId="50B4BE90" w14:textId="77777777" w:rsidR="003B5F50" w:rsidRDefault="003B5F50">
      <w:pPr>
        <w:pStyle w:val="ListParagraph"/>
        <w:spacing w:after="0" w:line="240" w:lineRule="auto"/>
        <w:jc w:val="both"/>
        <w:textAlignment w:val="baseline"/>
        <w:rPr>
          <w:rFonts w:ascii="Times New Roman" w:eastAsia="Times New Roman" w:hAnsi="Times New Roman" w:cs="Times New Roman"/>
          <w:noProof/>
          <w:sz w:val="24"/>
          <w:szCs w:val="24"/>
        </w:rPr>
      </w:pP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3786"/>
        <w:gridCol w:w="1134"/>
        <w:gridCol w:w="4110"/>
      </w:tblGrid>
      <w:tr w:rsidR="003B5F50" w14:paraId="50B4BE95" w14:textId="77777777">
        <w:trPr>
          <w:trHeight w:val="765"/>
          <w:tblHeader/>
        </w:trPr>
        <w:tc>
          <w:tcPr>
            <w:tcW w:w="1219" w:type="dxa"/>
            <w:shd w:val="clear" w:color="auto" w:fill="BDD7EE"/>
            <w:vAlign w:val="center"/>
            <w:hideMark/>
          </w:tcPr>
          <w:p w14:paraId="50B4BE91" w14:textId="77777777" w:rsidR="003B5F50" w:rsidRDefault="000D2D85">
            <w:pPr>
              <w:pStyle w:val="P68B1DB1-Normal84"/>
              <w:spacing w:after="0" w:line="240" w:lineRule="auto"/>
              <w:jc w:val="center"/>
              <w:textAlignment w:val="baseline"/>
              <w:rPr>
                <w:rFonts w:eastAsia="Times New Roman"/>
                <w:noProof/>
              </w:rPr>
            </w:pPr>
            <w:r>
              <w:rPr>
                <w:b/>
                <w:noProof/>
              </w:rPr>
              <w:t>Numéro séquentiel</w:t>
            </w:r>
            <w:r>
              <w:rPr>
                <w:noProof/>
              </w:rPr>
              <w:t> </w:t>
            </w:r>
          </w:p>
        </w:tc>
        <w:tc>
          <w:tcPr>
            <w:tcW w:w="3786" w:type="dxa"/>
            <w:shd w:val="clear" w:color="auto" w:fill="BDD7EE"/>
            <w:vAlign w:val="center"/>
            <w:hideMark/>
          </w:tcPr>
          <w:p w14:paraId="50B4BE92" w14:textId="77777777" w:rsidR="003B5F50" w:rsidRDefault="000D2D85">
            <w:pPr>
              <w:pStyle w:val="P68B1DB1-Normal84"/>
              <w:spacing w:after="0" w:line="240" w:lineRule="auto"/>
              <w:jc w:val="center"/>
              <w:textAlignment w:val="baseline"/>
              <w:rPr>
                <w:rFonts w:eastAsia="Times New Roman"/>
                <w:noProof/>
              </w:rPr>
            </w:pPr>
            <w:r>
              <w:rPr>
                <w:b/>
                <w:noProof/>
              </w:rPr>
              <w:t>Mesure connexe (réforme ou investissement)</w:t>
            </w:r>
            <w:r>
              <w:rPr>
                <w:noProof/>
              </w:rPr>
              <w:t> </w:t>
            </w:r>
          </w:p>
        </w:tc>
        <w:tc>
          <w:tcPr>
            <w:tcW w:w="1134" w:type="dxa"/>
            <w:shd w:val="clear" w:color="auto" w:fill="BDD7EE"/>
            <w:vAlign w:val="center"/>
            <w:hideMark/>
          </w:tcPr>
          <w:p w14:paraId="50B4BE93" w14:textId="77777777" w:rsidR="003B5F50" w:rsidRDefault="000D2D85">
            <w:pPr>
              <w:pStyle w:val="P68B1DB1-Normal84"/>
              <w:spacing w:after="0" w:line="240" w:lineRule="auto"/>
              <w:jc w:val="center"/>
              <w:textAlignment w:val="baseline"/>
              <w:rPr>
                <w:rFonts w:eastAsia="Times New Roman"/>
                <w:noProof/>
              </w:rPr>
            </w:pPr>
            <w:r>
              <w:rPr>
                <w:b/>
                <w:noProof/>
              </w:rPr>
              <w:t>Étape/cible</w:t>
            </w:r>
            <w:r>
              <w:rPr>
                <w:noProof/>
              </w:rPr>
              <w:t> </w:t>
            </w:r>
          </w:p>
        </w:tc>
        <w:tc>
          <w:tcPr>
            <w:tcW w:w="4110" w:type="dxa"/>
            <w:shd w:val="clear" w:color="auto" w:fill="BDD7EE"/>
            <w:vAlign w:val="center"/>
            <w:hideMark/>
          </w:tcPr>
          <w:p w14:paraId="50B4BE94" w14:textId="77777777" w:rsidR="003B5F50" w:rsidRDefault="000D2D85">
            <w:pPr>
              <w:pStyle w:val="P68B1DB1-Normal84"/>
              <w:spacing w:after="0" w:line="240" w:lineRule="auto"/>
              <w:jc w:val="center"/>
              <w:textAlignment w:val="baseline"/>
              <w:rPr>
                <w:rFonts w:eastAsia="Times New Roman"/>
                <w:noProof/>
              </w:rPr>
            </w:pPr>
            <w:r>
              <w:rPr>
                <w:b/>
                <w:noProof/>
              </w:rPr>
              <w:t>Nom</w:t>
            </w:r>
            <w:r>
              <w:rPr>
                <w:noProof/>
              </w:rPr>
              <w:t> </w:t>
            </w:r>
          </w:p>
        </w:tc>
      </w:tr>
      <w:tr w:rsidR="003B5F50" w14:paraId="50B4BE9A" w14:textId="77777777">
        <w:trPr>
          <w:trHeight w:val="765"/>
        </w:trPr>
        <w:tc>
          <w:tcPr>
            <w:tcW w:w="1219" w:type="dxa"/>
            <w:shd w:val="clear" w:color="auto" w:fill="C6EFCE"/>
            <w:vAlign w:val="center"/>
          </w:tcPr>
          <w:p w14:paraId="50B4BE96" w14:textId="77777777" w:rsidR="003B5F50" w:rsidRDefault="000D2D85">
            <w:pPr>
              <w:pStyle w:val="P68B1DB1-Normal48"/>
              <w:spacing w:after="0" w:line="240" w:lineRule="auto"/>
              <w:jc w:val="center"/>
              <w:textAlignment w:val="baseline"/>
              <w:rPr>
                <w:rFonts w:eastAsia="Times New Roman"/>
                <w:noProof/>
              </w:rPr>
            </w:pPr>
            <w:r>
              <w:rPr>
                <w:noProof/>
              </w:rPr>
              <w:t>1</w:t>
            </w:r>
          </w:p>
        </w:tc>
        <w:tc>
          <w:tcPr>
            <w:tcW w:w="3786" w:type="dxa"/>
            <w:shd w:val="clear" w:color="auto" w:fill="C6EFCE"/>
            <w:vAlign w:val="center"/>
          </w:tcPr>
          <w:p w14:paraId="50B4BE97" w14:textId="77777777" w:rsidR="003B5F50" w:rsidRDefault="000D2D85">
            <w:pPr>
              <w:pStyle w:val="P68B1DB1-Normal14"/>
              <w:spacing w:after="0" w:line="240" w:lineRule="auto"/>
              <w:jc w:val="center"/>
              <w:textAlignment w:val="baseline"/>
              <w:rPr>
                <w:noProof/>
              </w:rPr>
            </w:pPr>
            <w:r>
              <w:rPr>
                <w:noProof/>
              </w:rPr>
              <w:t>6 – Accessibilité, développement et qualité de l’éducation inclusive – Réforme 1:1. Garantir les conditions de mise en œuvre de l’enseignement préprimaire obligatoire pour les enfants âgés de cinq ans et introduire un droit légal à une place à la maternelle ou dans d’autres établissements d’enseignement préprimaire à partir de l’âge de trois ans </w:t>
            </w:r>
          </w:p>
        </w:tc>
        <w:tc>
          <w:tcPr>
            <w:tcW w:w="1134" w:type="dxa"/>
            <w:shd w:val="clear" w:color="auto" w:fill="C6EFCE"/>
            <w:vAlign w:val="center"/>
          </w:tcPr>
          <w:p w14:paraId="50B4BE98" w14:textId="77777777" w:rsidR="003B5F50" w:rsidRDefault="000D2D85">
            <w:pPr>
              <w:pStyle w:val="P68B1DB1-Normal14"/>
              <w:spacing w:after="0" w:line="240" w:lineRule="auto"/>
              <w:jc w:val="center"/>
              <w:textAlignment w:val="baseline"/>
              <w:rPr>
                <w:noProof/>
              </w:rPr>
            </w:pPr>
            <w:r>
              <w:rPr>
                <w:noProof/>
              </w:rPr>
              <w:t>Étape</w:t>
            </w:r>
          </w:p>
        </w:tc>
        <w:tc>
          <w:tcPr>
            <w:tcW w:w="4110" w:type="dxa"/>
            <w:shd w:val="clear" w:color="auto" w:fill="C6EFCE"/>
            <w:vAlign w:val="center"/>
          </w:tcPr>
          <w:p w14:paraId="50B4BE99" w14:textId="77777777" w:rsidR="003B5F50" w:rsidRDefault="000D2D85">
            <w:pPr>
              <w:pStyle w:val="P68B1DB1-Normal14"/>
              <w:jc w:val="center"/>
              <w:rPr>
                <w:noProof/>
              </w:rPr>
            </w:pPr>
            <w:r>
              <w:rPr>
                <w:noProof/>
              </w:rPr>
              <w:t>Entrée en vigueur d'un nouveau système de financement normatif de l'enseignement préprimaire fondé sur les coûts réels de personnel et de fonctionnement de l'établissement concerné, ainsi que sur la réalisation du taux de scolarisation des enfants âgés de quatre ans.</w:t>
            </w:r>
          </w:p>
        </w:tc>
      </w:tr>
      <w:tr w:rsidR="003B5F50" w14:paraId="50B4BE9F" w14:textId="77777777">
        <w:trPr>
          <w:trHeight w:val="765"/>
        </w:trPr>
        <w:tc>
          <w:tcPr>
            <w:tcW w:w="1219" w:type="dxa"/>
            <w:shd w:val="clear" w:color="auto" w:fill="C6EFCE"/>
            <w:vAlign w:val="center"/>
            <w:hideMark/>
          </w:tcPr>
          <w:p w14:paraId="50B4BE9B" w14:textId="77777777" w:rsidR="003B5F50" w:rsidRDefault="000D2D85">
            <w:pPr>
              <w:pStyle w:val="P68B1DB1-Normal48"/>
              <w:spacing w:after="0" w:line="240" w:lineRule="auto"/>
              <w:jc w:val="center"/>
              <w:textAlignment w:val="baseline"/>
              <w:rPr>
                <w:rFonts w:eastAsia="Times New Roman"/>
                <w:noProof/>
              </w:rPr>
            </w:pPr>
            <w:r>
              <w:rPr>
                <w:noProof/>
              </w:rPr>
              <w:t>2</w:t>
            </w:r>
          </w:p>
        </w:tc>
        <w:tc>
          <w:tcPr>
            <w:tcW w:w="3786" w:type="dxa"/>
            <w:shd w:val="clear" w:color="auto" w:fill="C6EFCE"/>
            <w:vAlign w:val="center"/>
            <w:hideMark/>
          </w:tcPr>
          <w:p w14:paraId="50B4BE9C" w14:textId="77777777" w:rsidR="003B5F50" w:rsidRDefault="000D2D85">
            <w:pPr>
              <w:pStyle w:val="P68B1DB1-Normal14"/>
              <w:spacing w:after="0" w:line="240" w:lineRule="auto"/>
              <w:jc w:val="center"/>
              <w:textAlignment w:val="baseline"/>
              <w:rPr>
                <w:noProof/>
              </w:rPr>
            </w:pPr>
            <w:r>
              <w:rPr>
                <w:noProof/>
              </w:rPr>
              <w:t>7 - L'éducation pour le XXIe siècle - Réforme 1: Réforme du contenu et de la forme de l'éducation</w:t>
            </w:r>
          </w:p>
        </w:tc>
        <w:tc>
          <w:tcPr>
            <w:tcW w:w="1134" w:type="dxa"/>
            <w:shd w:val="clear" w:color="auto" w:fill="C6EFCE"/>
            <w:vAlign w:val="center"/>
            <w:hideMark/>
          </w:tcPr>
          <w:p w14:paraId="50B4BE9D"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E9E" w14:textId="77777777" w:rsidR="003B5F50" w:rsidRDefault="000D2D85">
            <w:pPr>
              <w:pStyle w:val="P68B1DB1-Normal14"/>
              <w:spacing w:after="0" w:line="240" w:lineRule="auto"/>
              <w:jc w:val="center"/>
              <w:textAlignment w:val="baseline"/>
              <w:rPr>
                <w:noProof/>
              </w:rPr>
            </w:pPr>
            <w:r>
              <w:rPr>
                <w:noProof/>
              </w:rPr>
              <w:t>Création d'un réseau de centres régionaux de soutien </w:t>
            </w:r>
          </w:p>
        </w:tc>
      </w:tr>
      <w:tr w:rsidR="003B5F50" w14:paraId="50B4BEA4" w14:textId="77777777">
        <w:trPr>
          <w:trHeight w:val="765"/>
        </w:trPr>
        <w:tc>
          <w:tcPr>
            <w:tcW w:w="1219" w:type="dxa"/>
            <w:shd w:val="clear" w:color="auto" w:fill="C6EFCE"/>
            <w:vAlign w:val="center"/>
            <w:hideMark/>
          </w:tcPr>
          <w:p w14:paraId="50B4BEA0" w14:textId="77777777" w:rsidR="003B5F50" w:rsidRDefault="000D2D85">
            <w:pPr>
              <w:pStyle w:val="P68B1DB1-Normal48"/>
              <w:spacing w:after="0" w:line="240" w:lineRule="auto"/>
              <w:jc w:val="center"/>
              <w:rPr>
                <w:noProof/>
              </w:rPr>
            </w:pPr>
            <w:r>
              <w:rPr>
                <w:noProof/>
              </w:rPr>
              <w:t>3</w:t>
            </w:r>
          </w:p>
        </w:tc>
        <w:tc>
          <w:tcPr>
            <w:tcW w:w="3786" w:type="dxa"/>
            <w:shd w:val="clear" w:color="auto" w:fill="C6EFCE"/>
            <w:vAlign w:val="center"/>
            <w:hideMark/>
          </w:tcPr>
          <w:p w14:paraId="50B4BEA1" w14:textId="77777777" w:rsidR="003B5F50" w:rsidRDefault="000D2D85">
            <w:pPr>
              <w:pStyle w:val="P68B1DB1-Normal14"/>
              <w:spacing w:after="0" w:line="240" w:lineRule="auto"/>
              <w:jc w:val="center"/>
              <w:textAlignment w:val="baseline"/>
              <w:rPr>
                <w:noProof/>
              </w:rPr>
            </w:pPr>
            <w:r>
              <w:rPr>
                <w:noProof/>
              </w:rPr>
              <w:t>9 - Gouvernance plus efficace et renforcement du financement de la RDI - Investissement 5: Recherche et innovation pour la numérisation de l’économie </w:t>
            </w:r>
          </w:p>
        </w:tc>
        <w:tc>
          <w:tcPr>
            <w:tcW w:w="1134" w:type="dxa"/>
            <w:shd w:val="clear" w:color="auto" w:fill="C6EFCE"/>
            <w:vAlign w:val="center"/>
            <w:hideMark/>
          </w:tcPr>
          <w:p w14:paraId="50B4BEA2"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EA3" w14:textId="77777777" w:rsidR="003B5F50" w:rsidRDefault="000D2D85">
            <w:pPr>
              <w:pStyle w:val="P68B1DB1-Normal14"/>
              <w:spacing w:after="0" w:line="240" w:lineRule="auto"/>
              <w:jc w:val="center"/>
              <w:textAlignment w:val="baseline"/>
              <w:rPr>
                <w:noProof/>
              </w:rPr>
            </w:pPr>
            <w:r>
              <w:rPr>
                <w:noProof/>
              </w:rPr>
              <w:t>Nombre de projets de RDI sélectionnés dans le cadre des appels visant à relever les défis de la transformation numérique. </w:t>
            </w:r>
          </w:p>
        </w:tc>
      </w:tr>
      <w:tr w:rsidR="003B5F50" w14:paraId="50B4BEA9" w14:textId="77777777">
        <w:trPr>
          <w:trHeight w:val="765"/>
        </w:trPr>
        <w:tc>
          <w:tcPr>
            <w:tcW w:w="1219" w:type="dxa"/>
            <w:shd w:val="clear" w:color="auto" w:fill="C6EFCE"/>
            <w:vAlign w:val="center"/>
          </w:tcPr>
          <w:p w14:paraId="50B4BEA5" w14:textId="77777777" w:rsidR="003B5F50" w:rsidRDefault="000D2D85">
            <w:pPr>
              <w:pStyle w:val="P68B1DB1-Normal48"/>
              <w:spacing w:after="0" w:line="240" w:lineRule="auto"/>
              <w:jc w:val="center"/>
              <w:rPr>
                <w:noProof/>
              </w:rPr>
            </w:pPr>
            <w:r>
              <w:rPr>
                <w:noProof/>
              </w:rPr>
              <w:t>4</w:t>
            </w:r>
          </w:p>
        </w:tc>
        <w:tc>
          <w:tcPr>
            <w:tcW w:w="3786" w:type="dxa"/>
            <w:shd w:val="clear" w:color="auto" w:fill="C6EFCE"/>
            <w:vAlign w:val="center"/>
          </w:tcPr>
          <w:p w14:paraId="50B4BEA6" w14:textId="349A325C" w:rsidR="003B5F50" w:rsidRDefault="000D2D85">
            <w:pPr>
              <w:pStyle w:val="P68B1DB1-Normal15"/>
              <w:spacing w:after="0" w:line="240" w:lineRule="auto"/>
              <w:jc w:val="center"/>
              <w:textAlignment w:val="baseline"/>
              <w:rPr>
                <w:noProof/>
              </w:rPr>
            </w:pPr>
            <w:r>
              <w:rPr>
                <w:noProof/>
              </w:rPr>
              <w:t xml:space="preserve">9 - Gouvernance plus efficace et renforcement du financement de la RDI - Investissement 2: Soutien à la coopération entre les entreprises, le monde universitaire et les organisations de RD </w:t>
            </w:r>
          </w:p>
        </w:tc>
        <w:tc>
          <w:tcPr>
            <w:tcW w:w="1134" w:type="dxa"/>
            <w:shd w:val="clear" w:color="auto" w:fill="C6EFCE"/>
            <w:vAlign w:val="center"/>
          </w:tcPr>
          <w:p w14:paraId="50B4BEA7" w14:textId="77777777" w:rsidR="003B5F50" w:rsidRDefault="000D2D85">
            <w:pPr>
              <w:pStyle w:val="P68B1DB1-Normal14"/>
              <w:spacing w:after="0" w:line="240" w:lineRule="auto"/>
              <w:jc w:val="center"/>
              <w:textAlignment w:val="baseline"/>
              <w:rPr>
                <w:noProof/>
              </w:rPr>
            </w:pPr>
            <w:r>
              <w:rPr>
                <w:noProof/>
              </w:rPr>
              <w:t>Objectif</w:t>
            </w:r>
          </w:p>
        </w:tc>
        <w:tc>
          <w:tcPr>
            <w:tcW w:w="4110" w:type="dxa"/>
            <w:shd w:val="clear" w:color="auto" w:fill="C6EFCE"/>
            <w:vAlign w:val="center"/>
          </w:tcPr>
          <w:p w14:paraId="50B4BEA8" w14:textId="77777777" w:rsidR="003B5F50" w:rsidRDefault="000D2D85">
            <w:pPr>
              <w:pStyle w:val="P68B1DB1-Normal15"/>
              <w:spacing w:after="0" w:line="240" w:lineRule="auto"/>
              <w:jc w:val="center"/>
              <w:textAlignment w:val="baseline"/>
              <w:rPr>
                <w:noProof/>
              </w:rPr>
            </w:pPr>
            <w:r>
              <w:rPr>
                <w:noProof/>
              </w:rPr>
              <w:t> Nombre de projets collaboratifs et de bons </w:t>
            </w:r>
          </w:p>
        </w:tc>
      </w:tr>
      <w:tr w:rsidR="003B5F50" w14:paraId="50B4BEAE" w14:textId="77777777">
        <w:trPr>
          <w:trHeight w:val="765"/>
        </w:trPr>
        <w:tc>
          <w:tcPr>
            <w:tcW w:w="1219" w:type="dxa"/>
            <w:shd w:val="clear" w:color="auto" w:fill="C6EFCE"/>
            <w:vAlign w:val="center"/>
          </w:tcPr>
          <w:p w14:paraId="50B4BEAA" w14:textId="77777777" w:rsidR="003B5F50" w:rsidRDefault="000D2D85">
            <w:pPr>
              <w:pStyle w:val="P68B1DB1-Normal48"/>
              <w:spacing w:after="0" w:line="240" w:lineRule="auto"/>
              <w:jc w:val="center"/>
              <w:rPr>
                <w:noProof/>
              </w:rPr>
            </w:pPr>
            <w:r>
              <w:rPr>
                <w:noProof/>
              </w:rPr>
              <w:t>5</w:t>
            </w:r>
          </w:p>
        </w:tc>
        <w:tc>
          <w:tcPr>
            <w:tcW w:w="3786" w:type="dxa"/>
            <w:shd w:val="clear" w:color="auto" w:fill="C6EFCE"/>
            <w:vAlign w:val="center"/>
          </w:tcPr>
          <w:p w14:paraId="50B4BEAB" w14:textId="77777777" w:rsidR="003B5F50" w:rsidRDefault="000D2D85">
            <w:pPr>
              <w:pStyle w:val="P68B1DB1-Normal15"/>
              <w:spacing w:after="0" w:line="240" w:lineRule="auto"/>
              <w:jc w:val="center"/>
              <w:textAlignment w:val="baseline"/>
              <w:rPr>
                <w:noProof/>
              </w:rPr>
            </w:pPr>
            <w:r>
              <w:rPr>
                <w:noProof/>
              </w:rPr>
              <w:t>9 - Gouvernance plus efficace et renforcement du financement de la RDI - Investissement 4: Recherche et innovation pour décarboner l’économie </w:t>
            </w:r>
          </w:p>
        </w:tc>
        <w:tc>
          <w:tcPr>
            <w:tcW w:w="1134" w:type="dxa"/>
            <w:shd w:val="clear" w:color="auto" w:fill="C6EFCE"/>
            <w:vAlign w:val="center"/>
          </w:tcPr>
          <w:p w14:paraId="50B4BEAC" w14:textId="77777777" w:rsidR="003B5F50" w:rsidRDefault="000D2D85">
            <w:pPr>
              <w:pStyle w:val="P68B1DB1-Normal14"/>
              <w:spacing w:after="0" w:line="240" w:lineRule="auto"/>
              <w:jc w:val="center"/>
              <w:textAlignment w:val="baseline"/>
              <w:rPr>
                <w:noProof/>
              </w:rPr>
            </w:pPr>
            <w:r>
              <w:rPr>
                <w:noProof/>
              </w:rPr>
              <w:t xml:space="preserve">Objectif </w:t>
            </w:r>
          </w:p>
        </w:tc>
        <w:tc>
          <w:tcPr>
            <w:tcW w:w="4110" w:type="dxa"/>
            <w:shd w:val="clear" w:color="auto" w:fill="C6EFCE"/>
            <w:vAlign w:val="center"/>
          </w:tcPr>
          <w:p w14:paraId="50B4BEAD" w14:textId="58F46064" w:rsidR="003B5F50" w:rsidRDefault="000D2D85">
            <w:pPr>
              <w:pStyle w:val="P68B1DB1-Normal15"/>
              <w:spacing w:after="0" w:line="240" w:lineRule="auto"/>
              <w:jc w:val="center"/>
              <w:textAlignment w:val="baseline"/>
              <w:rPr>
                <w:noProof/>
              </w:rPr>
            </w:pPr>
            <w:r>
              <w:rPr>
                <w:noProof/>
              </w:rPr>
              <w:t xml:space="preserve">Nombre de projets sélectionnés pour relever les défis de la transition écologique </w:t>
            </w:r>
          </w:p>
        </w:tc>
      </w:tr>
      <w:tr w:rsidR="003B5F50" w14:paraId="50B4BEB3" w14:textId="77777777">
        <w:trPr>
          <w:trHeight w:val="765"/>
        </w:trPr>
        <w:tc>
          <w:tcPr>
            <w:tcW w:w="1219" w:type="dxa"/>
            <w:shd w:val="clear" w:color="auto" w:fill="C6EFCE"/>
            <w:vAlign w:val="center"/>
            <w:hideMark/>
          </w:tcPr>
          <w:p w14:paraId="50B4BEAF" w14:textId="77777777" w:rsidR="003B5F50" w:rsidRDefault="000D2D85">
            <w:pPr>
              <w:pStyle w:val="P68B1DB1-Normal48"/>
              <w:spacing w:after="0" w:line="240" w:lineRule="auto"/>
              <w:jc w:val="center"/>
              <w:rPr>
                <w:noProof/>
              </w:rPr>
            </w:pPr>
            <w:r>
              <w:rPr>
                <w:noProof/>
              </w:rPr>
              <w:t>6</w:t>
            </w:r>
          </w:p>
        </w:tc>
        <w:tc>
          <w:tcPr>
            <w:tcW w:w="3786" w:type="dxa"/>
            <w:shd w:val="clear" w:color="auto" w:fill="C6EFCE"/>
            <w:vAlign w:val="center"/>
            <w:hideMark/>
          </w:tcPr>
          <w:p w14:paraId="50B4BEB0" w14:textId="77777777" w:rsidR="003B5F50" w:rsidRDefault="000D2D85">
            <w:pPr>
              <w:pStyle w:val="P68B1DB1-Normal14"/>
              <w:spacing w:line="240" w:lineRule="auto"/>
              <w:jc w:val="center"/>
              <w:rPr>
                <w:noProof/>
              </w:rPr>
            </w:pPr>
            <w:r>
              <w:rPr>
                <w:noProof/>
              </w:rPr>
              <w:t>10 – Attirer et retenir les talents – Investissement 1: Outils de soutien et d'assistance pour des groupes cibles spécifiques</w:t>
            </w:r>
          </w:p>
        </w:tc>
        <w:tc>
          <w:tcPr>
            <w:tcW w:w="1134" w:type="dxa"/>
            <w:shd w:val="clear" w:color="auto" w:fill="C6EFCE"/>
            <w:vAlign w:val="center"/>
            <w:hideMark/>
          </w:tcPr>
          <w:p w14:paraId="50B4BEB1" w14:textId="77777777" w:rsidR="003B5F50" w:rsidRDefault="000D2D85">
            <w:pPr>
              <w:pStyle w:val="P68B1DB1-Normal14"/>
              <w:spacing w:line="240" w:lineRule="auto"/>
              <w:jc w:val="center"/>
              <w:rPr>
                <w:noProof/>
              </w:rPr>
            </w:pPr>
            <w:r>
              <w:rPr>
                <w:noProof/>
              </w:rPr>
              <w:t>Objectif</w:t>
            </w:r>
          </w:p>
        </w:tc>
        <w:tc>
          <w:tcPr>
            <w:tcW w:w="4110" w:type="dxa"/>
            <w:shd w:val="clear" w:color="auto" w:fill="C6EFCE"/>
            <w:vAlign w:val="center"/>
            <w:hideMark/>
          </w:tcPr>
          <w:p w14:paraId="50B4BEB2" w14:textId="77777777" w:rsidR="003B5F50" w:rsidRDefault="000D2D85">
            <w:pPr>
              <w:pStyle w:val="P68B1DB1-Normal14"/>
              <w:spacing w:line="240" w:lineRule="auto"/>
              <w:jc w:val="center"/>
              <w:rPr>
                <w:noProof/>
              </w:rPr>
            </w:pPr>
            <w:r>
              <w:rPr>
                <w:noProof/>
              </w:rPr>
              <w:t>Nombre de guichets uniques pour l’intégration en Slovaquie</w:t>
            </w:r>
          </w:p>
        </w:tc>
      </w:tr>
      <w:tr w:rsidR="003B5F50" w14:paraId="50B4BEB8" w14:textId="77777777">
        <w:trPr>
          <w:trHeight w:val="765"/>
        </w:trPr>
        <w:tc>
          <w:tcPr>
            <w:tcW w:w="1219" w:type="dxa"/>
            <w:shd w:val="clear" w:color="auto" w:fill="C6EFCE"/>
            <w:vAlign w:val="center"/>
          </w:tcPr>
          <w:p w14:paraId="50B4BEB4" w14:textId="77777777" w:rsidR="003B5F50" w:rsidRDefault="000D2D85">
            <w:pPr>
              <w:pStyle w:val="P68B1DB1-Normal48"/>
              <w:spacing w:after="0" w:line="240" w:lineRule="auto"/>
              <w:jc w:val="center"/>
              <w:rPr>
                <w:noProof/>
              </w:rPr>
            </w:pPr>
            <w:r>
              <w:rPr>
                <w:noProof/>
              </w:rPr>
              <w:t>7 </w:t>
            </w:r>
          </w:p>
        </w:tc>
        <w:tc>
          <w:tcPr>
            <w:tcW w:w="3786" w:type="dxa"/>
            <w:shd w:val="clear" w:color="auto" w:fill="C6EFCE"/>
            <w:vAlign w:val="center"/>
          </w:tcPr>
          <w:p w14:paraId="50B4BEB5" w14:textId="77777777" w:rsidR="003B5F50" w:rsidRDefault="000D2D85">
            <w:pPr>
              <w:pStyle w:val="P68B1DB1-Normal14"/>
              <w:spacing w:line="240" w:lineRule="auto"/>
              <w:jc w:val="center"/>
              <w:rPr>
                <w:noProof/>
              </w:rPr>
            </w:pPr>
            <w:r>
              <w:rPr>
                <w:noProof/>
              </w:rPr>
              <w:t>10 - Attirer et retenir les talents - Investissement 1: Outils de soutien et d'assistance pour des groupes cibles spécifiques</w:t>
            </w:r>
          </w:p>
        </w:tc>
        <w:tc>
          <w:tcPr>
            <w:tcW w:w="1134" w:type="dxa"/>
            <w:shd w:val="clear" w:color="auto" w:fill="C6EFCE"/>
            <w:vAlign w:val="center"/>
          </w:tcPr>
          <w:p w14:paraId="50B4BEB6" w14:textId="77777777" w:rsidR="003B5F50" w:rsidRDefault="000D2D85">
            <w:pPr>
              <w:pStyle w:val="P68B1DB1-Normal14"/>
              <w:spacing w:line="240" w:lineRule="auto"/>
              <w:jc w:val="center"/>
              <w:rPr>
                <w:noProof/>
              </w:rPr>
            </w:pPr>
            <w:r>
              <w:rPr>
                <w:noProof/>
              </w:rPr>
              <w:t>Objectif </w:t>
            </w:r>
          </w:p>
        </w:tc>
        <w:tc>
          <w:tcPr>
            <w:tcW w:w="4110" w:type="dxa"/>
            <w:shd w:val="clear" w:color="auto" w:fill="C6EFCE"/>
            <w:vAlign w:val="center"/>
          </w:tcPr>
          <w:p w14:paraId="50B4BEB7" w14:textId="7B3D0410" w:rsidR="003B5F50" w:rsidRDefault="000D2D85">
            <w:pPr>
              <w:pStyle w:val="P68B1DB1-Normal14"/>
              <w:spacing w:line="240" w:lineRule="auto"/>
              <w:jc w:val="center"/>
              <w:rPr>
                <w:noProof/>
              </w:rPr>
            </w:pPr>
            <w:r>
              <w:rPr>
                <w:noProof/>
              </w:rPr>
              <w:t xml:space="preserve">Nombre de bénéficiaires utilisant le Centre d'information de l'OIM sur la migration </w:t>
            </w:r>
          </w:p>
        </w:tc>
      </w:tr>
      <w:tr w:rsidR="003B5F50" w14:paraId="50B4BEBD" w14:textId="77777777">
        <w:trPr>
          <w:trHeight w:val="765"/>
        </w:trPr>
        <w:tc>
          <w:tcPr>
            <w:tcW w:w="1219" w:type="dxa"/>
            <w:shd w:val="clear" w:color="auto" w:fill="C6EFCE"/>
            <w:vAlign w:val="center"/>
            <w:hideMark/>
          </w:tcPr>
          <w:p w14:paraId="50B4BEB9" w14:textId="77777777" w:rsidR="003B5F50" w:rsidRDefault="000D2D85">
            <w:pPr>
              <w:pStyle w:val="P68B1DB1-Normal48"/>
              <w:spacing w:after="0" w:line="240" w:lineRule="auto"/>
              <w:jc w:val="center"/>
              <w:textAlignment w:val="baseline"/>
              <w:rPr>
                <w:rFonts w:eastAsia="Times New Roman"/>
                <w:noProof/>
              </w:rPr>
            </w:pPr>
            <w:r>
              <w:rPr>
                <w:noProof/>
              </w:rPr>
              <w:t>8 </w:t>
            </w:r>
          </w:p>
        </w:tc>
        <w:tc>
          <w:tcPr>
            <w:tcW w:w="3786" w:type="dxa"/>
            <w:shd w:val="clear" w:color="auto" w:fill="C6EFCE"/>
            <w:vAlign w:val="center"/>
            <w:hideMark/>
          </w:tcPr>
          <w:p w14:paraId="50B4BEBA" w14:textId="77777777" w:rsidR="003B5F50" w:rsidRDefault="000D2D85">
            <w:pPr>
              <w:pStyle w:val="P68B1DB1-Normal14"/>
              <w:spacing w:after="0" w:line="240" w:lineRule="auto"/>
              <w:jc w:val="center"/>
              <w:textAlignment w:val="baseline"/>
              <w:rPr>
                <w:noProof/>
              </w:rPr>
            </w:pPr>
            <w:r>
              <w:rPr>
                <w:noProof/>
              </w:rPr>
              <w:t>10 - Attirer et retenir les talents- Investissement 3: Bourses d'études pour les étudiants talentueux nationaux et étrangers </w:t>
            </w:r>
          </w:p>
        </w:tc>
        <w:tc>
          <w:tcPr>
            <w:tcW w:w="1134" w:type="dxa"/>
            <w:shd w:val="clear" w:color="auto" w:fill="C6EFCE"/>
            <w:vAlign w:val="center"/>
            <w:hideMark/>
          </w:tcPr>
          <w:p w14:paraId="50B4BEBB"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EBC" w14:textId="77777777" w:rsidR="003B5F50" w:rsidRDefault="000D2D85">
            <w:pPr>
              <w:pStyle w:val="P68B1DB1-Normal14"/>
              <w:spacing w:after="0" w:line="240" w:lineRule="auto"/>
              <w:jc w:val="center"/>
              <w:textAlignment w:val="baseline"/>
              <w:rPr>
                <w:noProof/>
              </w:rPr>
            </w:pPr>
            <w:r>
              <w:rPr>
                <w:noProof/>
              </w:rPr>
              <w:t>Nombre de bourses attribuées à des étudiants talentueux </w:t>
            </w:r>
          </w:p>
        </w:tc>
      </w:tr>
      <w:tr w:rsidR="003B5F50" w14:paraId="50B4BEC2" w14:textId="77777777">
        <w:trPr>
          <w:trHeight w:val="765"/>
        </w:trPr>
        <w:tc>
          <w:tcPr>
            <w:tcW w:w="1219" w:type="dxa"/>
            <w:shd w:val="clear" w:color="auto" w:fill="C6EFCE"/>
            <w:vAlign w:val="center"/>
          </w:tcPr>
          <w:p w14:paraId="50B4BEBE" w14:textId="77777777" w:rsidR="003B5F50" w:rsidRDefault="000D2D85">
            <w:pPr>
              <w:pStyle w:val="P68B1DB1-Normal48"/>
              <w:spacing w:after="0" w:line="240" w:lineRule="auto"/>
              <w:jc w:val="center"/>
              <w:rPr>
                <w:noProof/>
              </w:rPr>
            </w:pPr>
            <w:r>
              <w:rPr>
                <w:noProof/>
              </w:rPr>
              <w:t>9</w:t>
            </w:r>
          </w:p>
        </w:tc>
        <w:tc>
          <w:tcPr>
            <w:tcW w:w="3786" w:type="dxa"/>
            <w:shd w:val="clear" w:color="auto" w:fill="C6EFCE"/>
            <w:vAlign w:val="center"/>
          </w:tcPr>
          <w:p w14:paraId="50B4BEBF" w14:textId="77777777" w:rsidR="003B5F50" w:rsidRDefault="000D2D85">
            <w:pPr>
              <w:pStyle w:val="P68B1DB1-Normal14"/>
              <w:spacing w:line="240" w:lineRule="auto"/>
              <w:jc w:val="center"/>
              <w:rPr>
                <w:noProof/>
              </w:rPr>
            </w:pPr>
            <w:r>
              <w:rPr>
                <w:noProof/>
              </w:rPr>
              <w:t>11 - Des soins de santé modernes et accessibles - Investissement 3: Numérisation dans le domaine de la santé </w:t>
            </w:r>
          </w:p>
        </w:tc>
        <w:tc>
          <w:tcPr>
            <w:tcW w:w="1134" w:type="dxa"/>
            <w:shd w:val="clear" w:color="auto" w:fill="C6EFCE"/>
            <w:vAlign w:val="center"/>
          </w:tcPr>
          <w:p w14:paraId="50B4BEC0" w14:textId="77777777" w:rsidR="003B5F50" w:rsidRDefault="000D2D85">
            <w:pPr>
              <w:pStyle w:val="P68B1DB1-Normal14"/>
              <w:spacing w:line="240" w:lineRule="auto"/>
              <w:jc w:val="center"/>
              <w:rPr>
                <w:noProof/>
              </w:rPr>
            </w:pPr>
            <w:r>
              <w:rPr>
                <w:noProof/>
              </w:rPr>
              <w:t>Objectif</w:t>
            </w:r>
          </w:p>
        </w:tc>
        <w:tc>
          <w:tcPr>
            <w:tcW w:w="4110" w:type="dxa"/>
            <w:shd w:val="clear" w:color="auto" w:fill="C6EFCE"/>
            <w:vAlign w:val="center"/>
          </w:tcPr>
          <w:p w14:paraId="50B4BEC1" w14:textId="77777777" w:rsidR="003B5F50" w:rsidRDefault="000D2D85">
            <w:pPr>
              <w:pStyle w:val="P68B1DB1-Normal14"/>
              <w:spacing w:after="0" w:line="240" w:lineRule="auto"/>
              <w:jc w:val="center"/>
              <w:rPr>
                <w:noProof/>
              </w:rPr>
            </w:pPr>
            <w:r>
              <w:rPr>
                <w:noProof/>
              </w:rPr>
              <w:t>Augmentation de la fourniture de chirurgies de fibrillation auriculaire</w:t>
            </w:r>
          </w:p>
        </w:tc>
      </w:tr>
      <w:tr w:rsidR="003B5F50" w14:paraId="50B4BEC7" w14:textId="77777777">
        <w:trPr>
          <w:trHeight w:val="765"/>
        </w:trPr>
        <w:tc>
          <w:tcPr>
            <w:tcW w:w="1219" w:type="dxa"/>
            <w:shd w:val="clear" w:color="auto" w:fill="C6EFCE"/>
            <w:vAlign w:val="center"/>
            <w:hideMark/>
          </w:tcPr>
          <w:p w14:paraId="50B4BEC3" w14:textId="77777777" w:rsidR="003B5F50" w:rsidRDefault="000D2D85">
            <w:pPr>
              <w:pStyle w:val="P68B1DB1-Normal48"/>
              <w:spacing w:after="0" w:line="240" w:lineRule="auto"/>
              <w:jc w:val="center"/>
              <w:textAlignment w:val="baseline"/>
              <w:rPr>
                <w:rFonts w:eastAsia="Times New Roman"/>
                <w:noProof/>
              </w:rPr>
            </w:pPr>
            <w:r>
              <w:rPr>
                <w:noProof/>
              </w:rPr>
              <w:t>10</w:t>
            </w:r>
          </w:p>
        </w:tc>
        <w:tc>
          <w:tcPr>
            <w:tcW w:w="3786" w:type="dxa"/>
            <w:shd w:val="clear" w:color="auto" w:fill="C6EFCE"/>
            <w:vAlign w:val="center"/>
            <w:hideMark/>
          </w:tcPr>
          <w:p w14:paraId="50B4BEC4" w14:textId="77777777" w:rsidR="003B5F50" w:rsidRDefault="000D2D85">
            <w:pPr>
              <w:pStyle w:val="P68B1DB1-Normal14"/>
              <w:spacing w:after="0" w:line="240" w:lineRule="auto"/>
              <w:jc w:val="center"/>
              <w:textAlignment w:val="baseline"/>
              <w:rPr>
                <w:noProof/>
              </w:rPr>
            </w:pPr>
            <w:r>
              <w:rPr>
                <w:noProof/>
              </w:rPr>
              <w:t>14 - Améliorer l'environnement des entreprises - Investissement 1: Réduire la charge réglementaire pesant sur les entreprises </w:t>
            </w:r>
          </w:p>
        </w:tc>
        <w:tc>
          <w:tcPr>
            <w:tcW w:w="1134" w:type="dxa"/>
            <w:shd w:val="clear" w:color="auto" w:fill="C6EFCE"/>
            <w:vAlign w:val="center"/>
            <w:hideMark/>
          </w:tcPr>
          <w:p w14:paraId="50B4BEC5"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EC6" w14:textId="77777777" w:rsidR="003B5F50" w:rsidRDefault="000D2D85">
            <w:pPr>
              <w:pStyle w:val="P68B1DB1-Normal14"/>
              <w:spacing w:after="0" w:line="240" w:lineRule="auto"/>
              <w:jc w:val="center"/>
              <w:textAlignment w:val="baseline"/>
              <w:rPr>
                <w:noProof/>
              </w:rPr>
            </w:pPr>
            <w:r>
              <w:rPr>
                <w:noProof/>
              </w:rPr>
              <w:t>Réduction de la charge administrative pesant sur les entrepreneurs </w:t>
            </w:r>
          </w:p>
        </w:tc>
      </w:tr>
      <w:tr w:rsidR="003B5F50" w14:paraId="50B4BECC" w14:textId="77777777">
        <w:trPr>
          <w:trHeight w:val="765"/>
        </w:trPr>
        <w:tc>
          <w:tcPr>
            <w:tcW w:w="1219" w:type="dxa"/>
            <w:shd w:val="clear" w:color="auto" w:fill="C6EFCE"/>
            <w:vAlign w:val="center"/>
            <w:hideMark/>
          </w:tcPr>
          <w:p w14:paraId="50B4BEC8" w14:textId="77777777" w:rsidR="003B5F50" w:rsidRDefault="000D2D85">
            <w:pPr>
              <w:pStyle w:val="P68B1DB1-Normal48"/>
              <w:spacing w:after="0" w:line="240" w:lineRule="auto"/>
              <w:jc w:val="center"/>
              <w:rPr>
                <w:noProof/>
              </w:rPr>
            </w:pPr>
            <w:r>
              <w:rPr>
                <w:noProof/>
              </w:rPr>
              <w:t>11</w:t>
            </w:r>
          </w:p>
        </w:tc>
        <w:tc>
          <w:tcPr>
            <w:tcW w:w="3786" w:type="dxa"/>
            <w:shd w:val="clear" w:color="auto" w:fill="C6EFCE"/>
            <w:vAlign w:val="center"/>
            <w:hideMark/>
          </w:tcPr>
          <w:p w14:paraId="50B4BEC9" w14:textId="77777777" w:rsidR="003B5F50" w:rsidRDefault="000D2D85">
            <w:pPr>
              <w:pStyle w:val="P68B1DB1-Normal14"/>
              <w:spacing w:line="240" w:lineRule="auto"/>
              <w:jc w:val="center"/>
              <w:rPr>
                <w:noProof/>
              </w:rPr>
            </w:pPr>
            <w:r>
              <w:rPr>
                <w:noProof/>
              </w:rPr>
              <w:t>14 – Améliorer l’environnement des entreprises – Investissement 2: Numérisation des procédures d’insolvabilité</w:t>
            </w:r>
          </w:p>
        </w:tc>
        <w:tc>
          <w:tcPr>
            <w:tcW w:w="1134" w:type="dxa"/>
            <w:shd w:val="clear" w:color="auto" w:fill="C6EFCE"/>
            <w:vAlign w:val="center"/>
            <w:hideMark/>
          </w:tcPr>
          <w:p w14:paraId="50B4BECA" w14:textId="77777777" w:rsidR="003B5F50" w:rsidRDefault="000D2D85">
            <w:pPr>
              <w:pStyle w:val="P68B1DB1-Normal15"/>
              <w:spacing w:line="240" w:lineRule="auto"/>
              <w:jc w:val="center"/>
              <w:rPr>
                <w:noProof/>
              </w:rPr>
            </w:pPr>
            <w:r>
              <w:rPr>
                <w:noProof/>
              </w:rPr>
              <w:t xml:space="preserve"> Étape</w:t>
            </w:r>
          </w:p>
        </w:tc>
        <w:tc>
          <w:tcPr>
            <w:tcW w:w="4110" w:type="dxa"/>
            <w:shd w:val="clear" w:color="auto" w:fill="C6EFCE"/>
            <w:vAlign w:val="center"/>
            <w:hideMark/>
          </w:tcPr>
          <w:p w14:paraId="50B4BECB" w14:textId="01FC3058" w:rsidR="003B5F50" w:rsidRDefault="000D2D85">
            <w:pPr>
              <w:pStyle w:val="P68B1DB1-Normal14"/>
              <w:spacing w:line="240" w:lineRule="auto"/>
              <w:jc w:val="center"/>
              <w:rPr>
                <w:noProof/>
              </w:rPr>
            </w:pPr>
            <w:r>
              <w:rPr>
                <w:noProof/>
              </w:rPr>
              <w:t xml:space="preserve">Une procédure d’insolvabilité unique et entièrement numérisée est pleinement opérationnelle. </w:t>
            </w:r>
          </w:p>
        </w:tc>
      </w:tr>
      <w:tr w:rsidR="003B5F50" w14:paraId="50B4BED1" w14:textId="77777777">
        <w:trPr>
          <w:trHeight w:val="765"/>
        </w:trPr>
        <w:tc>
          <w:tcPr>
            <w:tcW w:w="1219" w:type="dxa"/>
            <w:shd w:val="clear" w:color="auto" w:fill="C6EFCE"/>
            <w:vAlign w:val="center"/>
            <w:hideMark/>
          </w:tcPr>
          <w:p w14:paraId="50B4BECD" w14:textId="77777777" w:rsidR="003B5F50" w:rsidRDefault="000D2D85">
            <w:pPr>
              <w:pStyle w:val="P68B1DB1-Normal48"/>
              <w:spacing w:after="0" w:line="240" w:lineRule="auto"/>
              <w:jc w:val="center"/>
              <w:rPr>
                <w:noProof/>
              </w:rPr>
            </w:pPr>
            <w:r>
              <w:rPr>
                <w:noProof/>
              </w:rPr>
              <w:t>12</w:t>
            </w:r>
          </w:p>
        </w:tc>
        <w:tc>
          <w:tcPr>
            <w:tcW w:w="3786" w:type="dxa"/>
            <w:shd w:val="clear" w:color="auto" w:fill="C6EFCE"/>
            <w:vAlign w:val="center"/>
            <w:hideMark/>
          </w:tcPr>
          <w:p w14:paraId="50B4BECE" w14:textId="77777777" w:rsidR="003B5F50" w:rsidRDefault="000D2D85">
            <w:pPr>
              <w:pStyle w:val="P68B1DB1-Normal14"/>
              <w:spacing w:after="0" w:line="240" w:lineRule="auto"/>
              <w:jc w:val="center"/>
              <w:textAlignment w:val="baseline"/>
              <w:rPr>
                <w:noProof/>
              </w:rPr>
            </w:pPr>
            <w:r>
              <w:rPr>
                <w:noProof/>
              </w:rPr>
              <w:t xml:space="preserve">16 - Lutte contre la corruption et le blanchiment de capitaux - Investissement 2: Équiper et numériser les forces de police – formation </w:t>
            </w:r>
          </w:p>
        </w:tc>
        <w:tc>
          <w:tcPr>
            <w:tcW w:w="1134" w:type="dxa"/>
            <w:shd w:val="clear" w:color="auto" w:fill="C6EFCE"/>
            <w:vAlign w:val="center"/>
            <w:hideMark/>
          </w:tcPr>
          <w:p w14:paraId="50B4BECF"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ED0" w14:textId="77777777" w:rsidR="003B5F50" w:rsidRDefault="000D2D85">
            <w:pPr>
              <w:pStyle w:val="P68B1DB1-Normal14"/>
              <w:spacing w:after="0" w:line="240" w:lineRule="auto"/>
              <w:jc w:val="center"/>
              <w:textAlignment w:val="baseline"/>
              <w:rPr>
                <w:noProof/>
              </w:rPr>
            </w:pPr>
            <w:r>
              <w:rPr>
                <w:noProof/>
              </w:rPr>
              <w:t>La formation liée à la réforme de la police est mise en œuvre </w:t>
            </w:r>
          </w:p>
        </w:tc>
      </w:tr>
      <w:tr w:rsidR="003B5F50" w14:paraId="50B4BED6" w14:textId="77777777">
        <w:trPr>
          <w:trHeight w:val="765"/>
        </w:trPr>
        <w:tc>
          <w:tcPr>
            <w:tcW w:w="1219" w:type="dxa"/>
            <w:shd w:val="clear" w:color="auto" w:fill="C6EFCE"/>
            <w:vAlign w:val="center"/>
            <w:hideMark/>
          </w:tcPr>
          <w:p w14:paraId="50B4BED2" w14:textId="77777777" w:rsidR="003B5F50" w:rsidRDefault="000D2D85">
            <w:pPr>
              <w:pStyle w:val="P68B1DB1-Normal48"/>
              <w:spacing w:after="0" w:line="240" w:lineRule="auto"/>
              <w:jc w:val="center"/>
              <w:rPr>
                <w:noProof/>
              </w:rPr>
            </w:pPr>
            <w:r>
              <w:rPr>
                <w:noProof/>
              </w:rPr>
              <w:t>13</w:t>
            </w:r>
          </w:p>
        </w:tc>
        <w:tc>
          <w:tcPr>
            <w:tcW w:w="3786" w:type="dxa"/>
            <w:shd w:val="clear" w:color="auto" w:fill="C6EFCE"/>
            <w:vAlign w:val="center"/>
            <w:hideMark/>
          </w:tcPr>
          <w:p w14:paraId="50B4BED3" w14:textId="77777777" w:rsidR="003B5F50" w:rsidRDefault="000D2D85">
            <w:pPr>
              <w:pStyle w:val="P68B1DB1-Normal14"/>
              <w:spacing w:after="0" w:line="240" w:lineRule="auto"/>
              <w:jc w:val="center"/>
              <w:textAlignment w:val="baseline"/>
              <w:rPr>
                <w:noProof/>
              </w:rPr>
            </w:pPr>
            <w:r>
              <w:rPr>
                <w:noProof/>
              </w:rPr>
              <w:t>16 - Lutte contre la corruption et le blanchiment de capitaux - Investissement 4: Renforcement des capacités administratives aux différents niveaux de gouvernement – création de centres de services partagés </w:t>
            </w:r>
          </w:p>
        </w:tc>
        <w:tc>
          <w:tcPr>
            <w:tcW w:w="1134" w:type="dxa"/>
            <w:shd w:val="clear" w:color="auto" w:fill="C6EFCE"/>
            <w:vAlign w:val="center"/>
            <w:hideMark/>
          </w:tcPr>
          <w:p w14:paraId="50B4BED4"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ED5" w14:textId="77777777" w:rsidR="003B5F50" w:rsidRDefault="000D2D85">
            <w:pPr>
              <w:pStyle w:val="P68B1DB1-Normal14"/>
              <w:spacing w:after="0" w:line="240" w:lineRule="auto"/>
              <w:jc w:val="center"/>
              <w:textAlignment w:val="baseline"/>
              <w:rPr>
                <w:noProof/>
              </w:rPr>
            </w:pPr>
            <w:r>
              <w:rPr>
                <w:noProof/>
              </w:rPr>
              <w:t>Création de centres de services partagés </w:t>
            </w:r>
          </w:p>
        </w:tc>
      </w:tr>
      <w:tr w:rsidR="003B5F50" w14:paraId="50B4BEDB" w14:textId="77777777">
        <w:trPr>
          <w:trHeight w:val="765"/>
        </w:trPr>
        <w:tc>
          <w:tcPr>
            <w:tcW w:w="1219" w:type="dxa"/>
            <w:shd w:val="clear" w:color="auto" w:fill="C6EFCE"/>
            <w:vAlign w:val="center"/>
          </w:tcPr>
          <w:p w14:paraId="50B4BED7" w14:textId="77777777" w:rsidR="003B5F50" w:rsidRDefault="000D2D85">
            <w:pPr>
              <w:pStyle w:val="P68B1DB1-Normal48"/>
              <w:spacing w:after="0" w:line="240" w:lineRule="auto"/>
              <w:jc w:val="center"/>
              <w:rPr>
                <w:noProof/>
              </w:rPr>
            </w:pPr>
            <w:r>
              <w:rPr>
                <w:noProof/>
              </w:rPr>
              <w:t>14</w:t>
            </w:r>
          </w:p>
        </w:tc>
        <w:tc>
          <w:tcPr>
            <w:tcW w:w="3786" w:type="dxa"/>
            <w:shd w:val="clear" w:color="auto" w:fill="C6EFCE"/>
            <w:vAlign w:val="center"/>
          </w:tcPr>
          <w:p w14:paraId="50B4BED8" w14:textId="77777777" w:rsidR="003B5F50" w:rsidRDefault="000D2D85">
            <w:pPr>
              <w:pStyle w:val="P68B1DB1-Normal14"/>
              <w:spacing w:line="240" w:lineRule="auto"/>
              <w:jc w:val="center"/>
              <w:rPr>
                <w:noProof/>
              </w:rPr>
            </w:pPr>
            <w:r>
              <w:rPr>
                <w:noProof/>
              </w:rPr>
              <w:t>16 – Lutte contre la corruption et le blanchiment de capitaux – Réforme 4: Contrôle et audit</w:t>
            </w:r>
          </w:p>
        </w:tc>
        <w:tc>
          <w:tcPr>
            <w:tcW w:w="1134" w:type="dxa"/>
            <w:shd w:val="clear" w:color="auto" w:fill="C6EFCE"/>
            <w:vAlign w:val="center"/>
          </w:tcPr>
          <w:p w14:paraId="50B4BED9"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tcPr>
          <w:p w14:paraId="50B4BEDA" w14:textId="77777777" w:rsidR="003B5F50" w:rsidRDefault="000D2D85">
            <w:pPr>
              <w:pStyle w:val="P68B1DB1-Normal14"/>
              <w:spacing w:line="240" w:lineRule="auto"/>
              <w:jc w:val="center"/>
              <w:rPr>
                <w:noProof/>
              </w:rPr>
            </w:pPr>
            <w:r>
              <w:rPr>
                <w:noProof/>
              </w:rPr>
              <w:t>Adoption a) d’une méthodologie de gestion des risques de corruption et b) de procédures concernant la supervision par NIKA de la mise en œuvre de cette méthodologie</w:t>
            </w:r>
          </w:p>
        </w:tc>
      </w:tr>
      <w:tr w:rsidR="003B5F50" w14:paraId="50B4BEE0" w14:textId="77777777">
        <w:trPr>
          <w:trHeight w:val="765"/>
        </w:trPr>
        <w:tc>
          <w:tcPr>
            <w:tcW w:w="1219" w:type="dxa"/>
            <w:shd w:val="clear" w:color="auto" w:fill="C6EFCE"/>
            <w:vAlign w:val="center"/>
            <w:hideMark/>
          </w:tcPr>
          <w:p w14:paraId="50B4BEDC" w14:textId="77777777" w:rsidR="003B5F50" w:rsidRDefault="000D2D85">
            <w:pPr>
              <w:pStyle w:val="P68B1DB1-Normal48"/>
              <w:spacing w:after="0" w:line="240" w:lineRule="auto"/>
              <w:jc w:val="center"/>
              <w:rPr>
                <w:noProof/>
              </w:rPr>
            </w:pPr>
            <w:r>
              <w:rPr>
                <w:noProof/>
              </w:rPr>
              <w:t>15</w:t>
            </w:r>
          </w:p>
        </w:tc>
        <w:tc>
          <w:tcPr>
            <w:tcW w:w="3786" w:type="dxa"/>
            <w:shd w:val="clear" w:color="auto" w:fill="C6EFCE"/>
            <w:vAlign w:val="center"/>
            <w:hideMark/>
          </w:tcPr>
          <w:p w14:paraId="50B4BEDD" w14:textId="77777777" w:rsidR="003B5F50" w:rsidRDefault="000D2D85">
            <w:pPr>
              <w:pStyle w:val="P68B1DB1-Normal14"/>
              <w:spacing w:line="240" w:lineRule="auto"/>
              <w:jc w:val="center"/>
              <w:rPr>
                <w:noProof/>
              </w:rPr>
            </w:pPr>
            <w:r>
              <w:rPr>
                <w:noProof/>
              </w:rPr>
              <w:t>17 – Slovaquie numérique – Investissement 6: Mesures préventives, rapidité de détection et de résolution des incidents (ITVS – Technologies de l’information pour l’administration publique)</w:t>
            </w:r>
          </w:p>
        </w:tc>
        <w:tc>
          <w:tcPr>
            <w:tcW w:w="1134" w:type="dxa"/>
            <w:shd w:val="clear" w:color="auto" w:fill="C6EFCE"/>
            <w:vAlign w:val="center"/>
            <w:hideMark/>
          </w:tcPr>
          <w:p w14:paraId="50B4BEDE" w14:textId="77777777" w:rsidR="003B5F50" w:rsidRDefault="000D2D85">
            <w:pPr>
              <w:pStyle w:val="P68B1DB1-Normal14"/>
              <w:spacing w:line="240" w:lineRule="auto"/>
              <w:jc w:val="center"/>
              <w:rPr>
                <w:noProof/>
              </w:rPr>
            </w:pPr>
            <w:r>
              <w:rPr>
                <w:noProof/>
              </w:rPr>
              <w:t>Objectif</w:t>
            </w:r>
          </w:p>
        </w:tc>
        <w:tc>
          <w:tcPr>
            <w:tcW w:w="4110" w:type="dxa"/>
            <w:shd w:val="clear" w:color="auto" w:fill="C6EFCE"/>
            <w:vAlign w:val="center"/>
            <w:hideMark/>
          </w:tcPr>
          <w:p w14:paraId="50B4BEDF" w14:textId="77777777" w:rsidR="003B5F50" w:rsidRDefault="000D2D85">
            <w:pPr>
              <w:pStyle w:val="P68B1DB1-Normal14"/>
              <w:spacing w:line="240" w:lineRule="auto"/>
              <w:jc w:val="center"/>
              <w:rPr>
                <w:noProof/>
              </w:rPr>
            </w:pPr>
            <w:r>
              <w:rPr>
                <w:noProof/>
              </w:rPr>
              <w:t>Nombre de systèmes informatiques sécurisés dans l’administration publique</w:t>
            </w:r>
          </w:p>
        </w:tc>
      </w:tr>
      <w:tr w:rsidR="003B5F50" w14:paraId="50B4BEE5" w14:textId="77777777">
        <w:trPr>
          <w:trHeight w:val="765"/>
        </w:trPr>
        <w:tc>
          <w:tcPr>
            <w:tcW w:w="1219" w:type="dxa"/>
            <w:shd w:val="clear" w:color="auto" w:fill="C6EFCE"/>
            <w:vAlign w:val="center"/>
            <w:hideMark/>
          </w:tcPr>
          <w:p w14:paraId="50B4BEE1" w14:textId="77777777" w:rsidR="003B5F50" w:rsidRDefault="000D2D85">
            <w:pPr>
              <w:pStyle w:val="P68B1DB1-Normal48"/>
              <w:spacing w:after="0" w:line="240" w:lineRule="auto"/>
              <w:jc w:val="center"/>
              <w:rPr>
                <w:noProof/>
              </w:rPr>
            </w:pPr>
            <w:r>
              <w:rPr>
                <w:noProof/>
              </w:rPr>
              <w:t>16</w:t>
            </w:r>
          </w:p>
        </w:tc>
        <w:tc>
          <w:tcPr>
            <w:tcW w:w="3786" w:type="dxa"/>
            <w:shd w:val="clear" w:color="auto" w:fill="C6EFCE"/>
            <w:vAlign w:val="center"/>
            <w:hideMark/>
          </w:tcPr>
          <w:p w14:paraId="50B4BEE2" w14:textId="77777777" w:rsidR="003B5F50" w:rsidRDefault="000D2D85">
            <w:pPr>
              <w:pStyle w:val="P68B1DB1-Normal14"/>
              <w:spacing w:line="240" w:lineRule="auto"/>
              <w:jc w:val="center"/>
              <w:rPr>
                <w:noProof/>
              </w:rPr>
            </w:pPr>
            <w:r>
              <w:rPr>
                <w:noProof/>
              </w:rPr>
              <w:t>19 – REPowerEU – Réforme 1 – Sous-mesure 3: Support de pompe à chaleur</w:t>
            </w:r>
          </w:p>
        </w:tc>
        <w:tc>
          <w:tcPr>
            <w:tcW w:w="1134" w:type="dxa"/>
            <w:shd w:val="clear" w:color="auto" w:fill="C6EFCE"/>
            <w:vAlign w:val="center"/>
            <w:hideMark/>
          </w:tcPr>
          <w:p w14:paraId="50B4BEE3"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EE4" w14:textId="77777777" w:rsidR="003B5F50" w:rsidRDefault="000D2D85">
            <w:pPr>
              <w:pStyle w:val="P68B1DB1-Normal14"/>
              <w:spacing w:line="240" w:lineRule="auto"/>
              <w:jc w:val="center"/>
              <w:rPr>
                <w:noProof/>
              </w:rPr>
            </w:pPr>
            <w:r>
              <w:rPr>
                <w:noProof/>
              </w:rPr>
              <w:t>Entrée en vigueur de la modification législative de la loi sur l’eau no 364/2004</w:t>
            </w:r>
          </w:p>
        </w:tc>
      </w:tr>
      <w:tr w:rsidR="003B5F50" w14:paraId="50B4BEEA" w14:textId="77777777">
        <w:trPr>
          <w:trHeight w:val="765"/>
        </w:trPr>
        <w:tc>
          <w:tcPr>
            <w:tcW w:w="1219" w:type="dxa"/>
            <w:shd w:val="clear" w:color="auto" w:fill="C6EFCE"/>
            <w:vAlign w:val="center"/>
            <w:hideMark/>
          </w:tcPr>
          <w:p w14:paraId="50B4BEE6" w14:textId="77777777" w:rsidR="003B5F50" w:rsidRDefault="000D2D85">
            <w:pPr>
              <w:pStyle w:val="P68B1DB1-Normal48"/>
              <w:spacing w:after="0" w:line="240" w:lineRule="auto"/>
              <w:jc w:val="center"/>
              <w:rPr>
                <w:noProof/>
              </w:rPr>
            </w:pPr>
            <w:r>
              <w:rPr>
                <w:noProof/>
              </w:rPr>
              <w:t>17</w:t>
            </w:r>
          </w:p>
        </w:tc>
        <w:tc>
          <w:tcPr>
            <w:tcW w:w="3786" w:type="dxa"/>
            <w:shd w:val="clear" w:color="auto" w:fill="C6EFCE"/>
            <w:vAlign w:val="center"/>
            <w:hideMark/>
          </w:tcPr>
          <w:p w14:paraId="50B4BEE7" w14:textId="77777777" w:rsidR="003B5F50" w:rsidRDefault="000D2D85">
            <w:pPr>
              <w:pStyle w:val="P68B1DB1-Normal14"/>
              <w:spacing w:line="240" w:lineRule="auto"/>
              <w:jc w:val="center"/>
              <w:rPr>
                <w:noProof/>
              </w:rPr>
            </w:pPr>
            <w:r>
              <w:rPr>
                <w:noProof/>
              </w:rPr>
              <w:t>19 – REPowerEU – Réforme 2 – Sous-mesure 1: Développement de méthodologies et de 2 zones pilotes adaptées au développement de l'énergie éolienne</w:t>
            </w:r>
          </w:p>
        </w:tc>
        <w:tc>
          <w:tcPr>
            <w:tcW w:w="1134" w:type="dxa"/>
            <w:shd w:val="clear" w:color="auto" w:fill="C6EFCE"/>
            <w:vAlign w:val="center"/>
            <w:hideMark/>
          </w:tcPr>
          <w:p w14:paraId="50B4BEE8"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EE9" w14:textId="77777777" w:rsidR="003B5F50" w:rsidRDefault="000D2D85">
            <w:pPr>
              <w:pStyle w:val="P68B1DB1-Normal14"/>
              <w:spacing w:line="240" w:lineRule="auto"/>
              <w:jc w:val="center"/>
              <w:rPr>
                <w:noProof/>
              </w:rPr>
            </w:pPr>
            <w:r>
              <w:rPr>
                <w:noProof/>
              </w:rPr>
              <w:t>Entrée en vigueur de la législation sur les «zones propices au déploiement» des énergies renouvelables et publication de la méthode d’établissement des «zones propices au déploiement»</w:t>
            </w:r>
          </w:p>
        </w:tc>
      </w:tr>
      <w:tr w:rsidR="003B5F50" w14:paraId="50B4BEEF" w14:textId="77777777">
        <w:trPr>
          <w:trHeight w:val="765"/>
        </w:trPr>
        <w:tc>
          <w:tcPr>
            <w:tcW w:w="1219" w:type="dxa"/>
            <w:shd w:val="clear" w:color="auto" w:fill="C6EFCE"/>
            <w:vAlign w:val="center"/>
            <w:hideMark/>
          </w:tcPr>
          <w:p w14:paraId="50B4BEEB" w14:textId="77777777" w:rsidR="003B5F50" w:rsidRDefault="000D2D85">
            <w:pPr>
              <w:pStyle w:val="P68B1DB1-Normal48"/>
              <w:spacing w:after="0" w:line="240" w:lineRule="auto"/>
              <w:jc w:val="center"/>
              <w:rPr>
                <w:noProof/>
              </w:rPr>
            </w:pPr>
            <w:r>
              <w:rPr>
                <w:noProof/>
              </w:rPr>
              <w:t>18</w:t>
            </w:r>
          </w:p>
        </w:tc>
        <w:tc>
          <w:tcPr>
            <w:tcW w:w="3786" w:type="dxa"/>
            <w:shd w:val="clear" w:color="auto" w:fill="C6EFCE"/>
            <w:vAlign w:val="center"/>
            <w:hideMark/>
          </w:tcPr>
          <w:p w14:paraId="50B4BEEC" w14:textId="77777777" w:rsidR="003B5F50" w:rsidRDefault="000D2D85">
            <w:pPr>
              <w:pStyle w:val="P68B1DB1-Normal14"/>
              <w:spacing w:line="240" w:lineRule="auto"/>
              <w:jc w:val="center"/>
              <w:rPr>
                <w:noProof/>
              </w:rPr>
            </w:pPr>
            <w:r>
              <w:rPr>
                <w:noProof/>
              </w:rPr>
              <w:t xml:space="preserve">19 – REPowerEU – Réforme 2 – Sous-mesure 3: Intégration des énergies renouvelables dans le réseau électrique </w:t>
            </w:r>
          </w:p>
        </w:tc>
        <w:tc>
          <w:tcPr>
            <w:tcW w:w="1134" w:type="dxa"/>
            <w:shd w:val="clear" w:color="auto" w:fill="C6EFCE"/>
            <w:vAlign w:val="center"/>
            <w:hideMark/>
          </w:tcPr>
          <w:p w14:paraId="50B4BEED"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EEE" w14:textId="77777777" w:rsidR="003B5F50" w:rsidRDefault="000D2D85">
            <w:pPr>
              <w:pStyle w:val="P68B1DB1-Normal14"/>
              <w:spacing w:line="240" w:lineRule="auto"/>
              <w:jc w:val="center"/>
              <w:rPr>
                <w:noProof/>
              </w:rPr>
            </w:pPr>
            <w:r>
              <w:rPr>
                <w:noProof/>
              </w:rPr>
              <w:t>Mesures de rationalisation et d’accélération du raccordement des énergies renouvelables au réseau</w:t>
            </w:r>
          </w:p>
        </w:tc>
      </w:tr>
      <w:tr w:rsidR="003B5F50" w14:paraId="50B4BEF4" w14:textId="77777777">
        <w:trPr>
          <w:trHeight w:val="765"/>
        </w:trPr>
        <w:tc>
          <w:tcPr>
            <w:tcW w:w="1219" w:type="dxa"/>
            <w:shd w:val="clear" w:color="auto" w:fill="C6EFCE"/>
            <w:vAlign w:val="center"/>
            <w:hideMark/>
          </w:tcPr>
          <w:p w14:paraId="50B4BEF0" w14:textId="77777777" w:rsidR="003B5F50" w:rsidRDefault="000D2D85">
            <w:pPr>
              <w:pStyle w:val="P68B1DB1-Normal48"/>
              <w:spacing w:after="0" w:line="240" w:lineRule="auto"/>
              <w:jc w:val="center"/>
              <w:rPr>
                <w:noProof/>
              </w:rPr>
            </w:pPr>
            <w:r>
              <w:rPr>
                <w:noProof/>
              </w:rPr>
              <w:t>19</w:t>
            </w:r>
          </w:p>
        </w:tc>
        <w:tc>
          <w:tcPr>
            <w:tcW w:w="3786" w:type="dxa"/>
            <w:shd w:val="clear" w:color="auto" w:fill="C6EFCE"/>
            <w:vAlign w:val="center"/>
            <w:hideMark/>
          </w:tcPr>
          <w:p w14:paraId="50B4BEF1" w14:textId="77777777" w:rsidR="003B5F50" w:rsidRDefault="000D2D85">
            <w:pPr>
              <w:pStyle w:val="P68B1DB1-Normal14"/>
              <w:spacing w:line="240" w:lineRule="auto"/>
              <w:jc w:val="center"/>
              <w:rPr>
                <w:noProof/>
              </w:rPr>
            </w:pPr>
            <w:r>
              <w:rPr>
                <w:noProof/>
              </w:rPr>
              <w:t>19 – REPowerEU – Réforme 6: Compétences pour la transition écologique</w:t>
            </w:r>
          </w:p>
        </w:tc>
        <w:tc>
          <w:tcPr>
            <w:tcW w:w="1134" w:type="dxa"/>
            <w:shd w:val="clear" w:color="auto" w:fill="C6EFCE"/>
            <w:vAlign w:val="center"/>
            <w:hideMark/>
          </w:tcPr>
          <w:p w14:paraId="50B4BEF2"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EF3" w14:textId="77777777" w:rsidR="003B5F50" w:rsidRDefault="000D2D85">
            <w:pPr>
              <w:pStyle w:val="P68B1DB1-Normal14"/>
              <w:spacing w:line="240" w:lineRule="auto"/>
              <w:jc w:val="center"/>
              <w:rPr>
                <w:noProof/>
              </w:rPr>
            </w:pPr>
            <w:r>
              <w:rPr>
                <w:noProof/>
              </w:rPr>
              <w:t>Nouveaux modules de formation dans les programmes éducatifs des écoles secondaires professionnelles et un programme de formation pour les enseignants et les adultes</w:t>
            </w:r>
          </w:p>
        </w:tc>
      </w:tr>
      <w:tr w:rsidR="003B5F50" w14:paraId="50B4BEF9" w14:textId="77777777">
        <w:trPr>
          <w:trHeight w:val="315"/>
        </w:trPr>
        <w:tc>
          <w:tcPr>
            <w:tcW w:w="1219" w:type="dxa"/>
            <w:shd w:val="clear" w:color="auto" w:fill="C6EFCE"/>
            <w:vAlign w:val="center"/>
            <w:hideMark/>
          </w:tcPr>
          <w:p w14:paraId="50B4BEF5" w14:textId="77777777" w:rsidR="003B5F50" w:rsidRDefault="000D2D85">
            <w:pPr>
              <w:pStyle w:val="P68B1DB1-Normal85"/>
              <w:spacing w:after="0" w:line="240" w:lineRule="auto"/>
              <w:jc w:val="center"/>
              <w:textAlignment w:val="baseline"/>
              <w:rPr>
                <w:rFonts w:eastAsia="Times New Roman"/>
                <w:noProof/>
              </w:rPr>
            </w:pPr>
            <w:r>
              <w:rPr>
                <w:noProof/>
              </w:rPr>
              <w:t>  </w:t>
            </w:r>
          </w:p>
        </w:tc>
        <w:tc>
          <w:tcPr>
            <w:tcW w:w="3786" w:type="dxa"/>
            <w:shd w:val="clear" w:color="auto" w:fill="C6EFCE"/>
            <w:vAlign w:val="center"/>
            <w:hideMark/>
          </w:tcPr>
          <w:p w14:paraId="50B4BEF6" w14:textId="77777777" w:rsidR="003B5F50" w:rsidRDefault="000D2D85">
            <w:pPr>
              <w:pStyle w:val="P68B1DB1-Normal14"/>
              <w:spacing w:after="0" w:line="240" w:lineRule="auto"/>
              <w:jc w:val="center"/>
              <w:textAlignment w:val="baseline"/>
              <w:rPr>
                <w:noProof/>
              </w:rPr>
            </w:pPr>
            <w:r>
              <w:rPr>
                <w:noProof/>
              </w:rPr>
              <w:t>  </w:t>
            </w:r>
          </w:p>
        </w:tc>
        <w:tc>
          <w:tcPr>
            <w:tcW w:w="1134" w:type="dxa"/>
            <w:shd w:val="clear" w:color="auto" w:fill="C6EFCE"/>
            <w:vAlign w:val="center"/>
            <w:hideMark/>
          </w:tcPr>
          <w:p w14:paraId="50B4BEF7" w14:textId="77777777" w:rsidR="003B5F50" w:rsidRDefault="000D2D85">
            <w:pPr>
              <w:pStyle w:val="P68B1DB1-Normal14"/>
              <w:spacing w:after="0" w:line="240" w:lineRule="auto"/>
              <w:jc w:val="center"/>
              <w:textAlignment w:val="baseline"/>
              <w:rPr>
                <w:noProof/>
              </w:rPr>
            </w:pPr>
            <w:r>
              <w:rPr>
                <w:noProof/>
              </w:rPr>
              <w:t>Montant des acomptes provisionnels </w:t>
            </w:r>
          </w:p>
        </w:tc>
        <w:tc>
          <w:tcPr>
            <w:tcW w:w="4110" w:type="dxa"/>
            <w:shd w:val="clear" w:color="auto" w:fill="C6EFCE"/>
            <w:vAlign w:val="center"/>
            <w:hideMark/>
          </w:tcPr>
          <w:p w14:paraId="50B4BEF8" w14:textId="77777777" w:rsidR="003B5F50" w:rsidRDefault="000D2D85">
            <w:pPr>
              <w:pStyle w:val="P68B1DB1-Normal14"/>
              <w:spacing w:after="0" w:line="240" w:lineRule="auto"/>
              <w:jc w:val="center"/>
              <w:textAlignment w:val="baseline"/>
              <w:rPr>
                <w:noProof/>
                <w:szCs w:val="20"/>
              </w:rPr>
            </w:pPr>
            <w:r>
              <w:rPr>
                <w:noProof/>
                <w:szCs w:val="20"/>
              </w:rPr>
              <w:t>683 255 024 EUR</w:t>
            </w:r>
          </w:p>
        </w:tc>
      </w:tr>
    </w:tbl>
    <w:p w14:paraId="50B4BEFA" w14:textId="5A10896E" w:rsidR="003B5F50" w:rsidRDefault="000D2D85">
      <w:pPr>
        <w:pStyle w:val="P68B1DB1-Normal20"/>
        <w:spacing w:after="0" w:line="240" w:lineRule="auto"/>
        <w:ind w:left="840"/>
        <w:jc w:val="both"/>
        <w:textAlignment w:val="baseline"/>
        <w:rPr>
          <w:rFonts w:eastAsia="Times New Roman" w:cs="Times New Roman"/>
          <w:noProof/>
          <w:sz w:val="18"/>
          <w:szCs w:val="18"/>
        </w:rPr>
      </w:pPr>
      <w:r>
        <w:rPr>
          <w:noProof/>
        </w:rPr>
        <w:t xml:space="preserve"> </w:t>
      </w:r>
    </w:p>
    <w:p w14:paraId="50B4BEFB" w14:textId="4365684A" w:rsidR="003B5F50" w:rsidRDefault="000D2D85">
      <w:pPr>
        <w:pStyle w:val="P68B1DB1-Normal87"/>
        <w:rPr>
          <w:noProof/>
        </w:rPr>
      </w:pPr>
      <w:r>
        <w:rPr>
          <w:noProof/>
        </w:rPr>
        <w:br w:type="page"/>
      </w:r>
    </w:p>
    <w:p w14:paraId="245EA8B0" w14:textId="77777777" w:rsidR="003B5F50" w:rsidRDefault="003B5F50">
      <w:pPr>
        <w:spacing w:after="0" w:line="240" w:lineRule="auto"/>
        <w:ind w:left="840"/>
        <w:jc w:val="both"/>
        <w:textAlignment w:val="baseline"/>
        <w:rPr>
          <w:rFonts w:ascii="Segoe UI" w:eastAsia="Times New Roman" w:hAnsi="Segoe UI" w:cs="Segoe UI"/>
          <w:noProof/>
          <w:sz w:val="18"/>
          <w:szCs w:val="18"/>
        </w:rPr>
      </w:pPr>
    </w:p>
    <w:p w14:paraId="50B4BEFC" w14:textId="76B6AC6C" w:rsidR="003B5F50" w:rsidRDefault="000D2D85">
      <w:pPr>
        <w:pStyle w:val="P68B1DB1-ListParagraph86"/>
        <w:numPr>
          <w:ilvl w:val="0"/>
          <w:numId w:val="51"/>
        </w:numPr>
        <w:spacing w:after="0" w:line="240" w:lineRule="auto"/>
        <w:jc w:val="both"/>
        <w:textAlignment w:val="baseline"/>
        <w:rPr>
          <w:rFonts w:eastAsia="Times New Roman" w:cs="Times New Roman"/>
          <w:noProof/>
          <w:szCs w:val="24"/>
        </w:rPr>
      </w:pPr>
      <w:r>
        <w:rPr>
          <w:noProof/>
        </w:rPr>
        <w:t xml:space="preserve">Septième tranche (soutien non remboursable): </w:t>
      </w:r>
    </w:p>
    <w:p w14:paraId="50B4BEFD" w14:textId="77777777" w:rsidR="003B5F50" w:rsidRDefault="000D2D85">
      <w:pPr>
        <w:pStyle w:val="P68B1DB1-Normal20"/>
        <w:spacing w:after="0" w:line="240" w:lineRule="auto"/>
        <w:ind w:left="840"/>
        <w:jc w:val="both"/>
        <w:textAlignment w:val="baseline"/>
        <w:rPr>
          <w:rFonts w:ascii="Segoe UI" w:eastAsia="Times New Roman" w:hAnsi="Segoe UI" w:cs="Segoe UI"/>
          <w:noProof/>
          <w:sz w:val="18"/>
          <w:szCs w:val="18"/>
        </w:rPr>
      </w:pPr>
      <w:r>
        <w:rPr>
          <w:noProof/>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7"/>
        <w:gridCol w:w="3776"/>
        <w:gridCol w:w="1138"/>
        <w:gridCol w:w="4108"/>
      </w:tblGrid>
      <w:tr w:rsidR="003B5F50" w14:paraId="50B4BF02" w14:textId="77777777">
        <w:trPr>
          <w:trHeight w:val="893"/>
          <w:tblHeader/>
        </w:trPr>
        <w:tc>
          <w:tcPr>
            <w:tcW w:w="1227" w:type="dxa"/>
            <w:shd w:val="clear" w:color="auto" w:fill="BDD7EE"/>
            <w:vAlign w:val="center"/>
            <w:hideMark/>
          </w:tcPr>
          <w:p w14:paraId="50B4BEFE" w14:textId="77777777" w:rsidR="003B5F50" w:rsidRDefault="000D2D85">
            <w:pPr>
              <w:pStyle w:val="P68B1DB1-Normal84"/>
              <w:spacing w:after="0" w:line="240" w:lineRule="auto"/>
              <w:jc w:val="center"/>
              <w:textAlignment w:val="baseline"/>
              <w:rPr>
                <w:rFonts w:eastAsia="Times New Roman"/>
                <w:noProof/>
              </w:rPr>
            </w:pPr>
            <w:r>
              <w:rPr>
                <w:b/>
                <w:noProof/>
              </w:rPr>
              <w:t>Numéro séquentiel</w:t>
            </w:r>
            <w:r>
              <w:rPr>
                <w:noProof/>
              </w:rPr>
              <w:t> </w:t>
            </w:r>
          </w:p>
        </w:tc>
        <w:tc>
          <w:tcPr>
            <w:tcW w:w="3778" w:type="dxa"/>
            <w:shd w:val="clear" w:color="auto" w:fill="BDD7EE"/>
            <w:vAlign w:val="center"/>
            <w:hideMark/>
          </w:tcPr>
          <w:p w14:paraId="50B4BEFF" w14:textId="77777777" w:rsidR="003B5F50" w:rsidRDefault="000D2D85">
            <w:pPr>
              <w:pStyle w:val="P68B1DB1-Normal84"/>
              <w:spacing w:after="0" w:line="240" w:lineRule="auto"/>
              <w:jc w:val="center"/>
              <w:textAlignment w:val="baseline"/>
              <w:rPr>
                <w:rFonts w:eastAsia="Times New Roman"/>
                <w:noProof/>
              </w:rPr>
            </w:pPr>
            <w:r>
              <w:rPr>
                <w:b/>
                <w:noProof/>
              </w:rPr>
              <w:t>Mesure connexe (réforme ou investissement)</w:t>
            </w:r>
            <w:r>
              <w:rPr>
                <w:noProof/>
              </w:rPr>
              <w:t> </w:t>
            </w:r>
          </w:p>
        </w:tc>
        <w:tc>
          <w:tcPr>
            <w:tcW w:w="1134" w:type="dxa"/>
            <w:shd w:val="clear" w:color="auto" w:fill="BDD7EE"/>
            <w:vAlign w:val="center"/>
            <w:hideMark/>
          </w:tcPr>
          <w:p w14:paraId="50B4BF00" w14:textId="77777777" w:rsidR="003B5F50" w:rsidRDefault="000D2D85">
            <w:pPr>
              <w:pStyle w:val="P68B1DB1-Normal84"/>
              <w:spacing w:after="0" w:line="240" w:lineRule="auto"/>
              <w:jc w:val="center"/>
              <w:textAlignment w:val="baseline"/>
              <w:rPr>
                <w:rFonts w:eastAsia="Times New Roman"/>
                <w:noProof/>
              </w:rPr>
            </w:pPr>
            <w:r>
              <w:rPr>
                <w:b/>
                <w:noProof/>
              </w:rPr>
              <w:t>Étape/cible</w:t>
            </w:r>
            <w:r>
              <w:rPr>
                <w:noProof/>
              </w:rPr>
              <w:t> </w:t>
            </w:r>
          </w:p>
        </w:tc>
        <w:tc>
          <w:tcPr>
            <w:tcW w:w="4110" w:type="dxa"/>
            <w:shd w:val="clear" w:color="auto" w:fill="BDD7EE"/>
            <w:vAlign w:val="center"/>
            <w:hideMark/>
          </w:tcPr>
          <w:p w14:paraId="50B4BF01" w14:textId="77777777" w:rsidR="003B5F50" w:rsidRDefault="000D2D85">
            <w:pPr>
              <w:pStyle w:val="P68B1DB1-Normal84"/>
              <w:spacing w:after="0" w:line="240" w:lineRule="auto"/>
              <w:jc w:val="center"/>
              <w:textAlignment w:val="baseline"/>
              <w:rPr>
                <w:rFonts w:eastAsia="Times New Roman"/>
                <w:noProof/>
              </w:rPr>
            </w:pPr>
            <w:r>
              <w:rPr>
                <w:b/>
                <w:noProof/>
              </w:rPr>
              <w:t>Nom</w:t>
            </w:r>
            <w:r>
              <w:rPr>
                <w:noProof/>
              </w:rPr>
              <w:t> </w:t>
            </w:r>
          </w:p>
        </w:tc>
      </w:tr>
      <w:tr w:rsidR="003B5F50" w14:paraId="50B4BF07" w14:textId="77777777">
        <w:trPr>
          <w:trHeight w:val="930"/>
        </w:trPr>
        <w:tc>
          <w:tcPr>
            <w:tcW w:w="1227" w:type="dxa"/>
            <w:shd w:val="clear" w:color="auto" w:fill="C6EFCE"/>
            <w:vAlign w:val="center"/>
            <w:hideMark/>
          </w:tcPr>
          <w:p w14:paraId="50B4BF03" w14:textId="77777777" w:rsidR="003B5F50" w:rsidRDefault="000D2D85">
            <w:pPr>
              <w:pStyle w:val="P68B1DB1-Normal48"/>
              <w:spacing w:after="0" w:line="240" w:lineRule="auto"/>
              <w:jc w:val="center"/>
              <w:textAlignment w:val="baseline"/>
              <w:rPr>
                <w:rFonts w:eastAsia="Times New Roman"/>
                <w:noProof/>
              </w:rPr>
            </w:pPr>
            <w:r>
              <w:rPr>
                <w:noProof/>
              </w:rPr>
              <w:t>1 </w:t>
            </w:r>
          </w:p>
        </w:tc>
        <w:tc>
          <w:tcPr>
            <w:tcW w:w="3778" w:type="dxa"/>
            <w:shd w:val="clear" w:color="auto" w:fill="C6EFCE"/>
            <w:vAlign w:val="center"/>
            <w:hideMark/>
          </w:tcPr>
          <w:p w14:paraId="50B4BF04" w14:textId="77777777" w:rsidR="003B5F50" w:rsidRDefault="000D2D85">
            <w:pPr>
              <w:pStyle w:val="P68B1DB1-Normal14"/>
              <w:spacing w:after="0" w:line="240" w:lineRule="auto"/>
              <w:jc w:val="center"/>
              <w:textAlignment w:val="baseline"/>
              <w:rPr>
                <w:noProof/>
              </w:rPr>
            </w:pPr>
            <w:r>
              <w:rPr>
                <w:noProof/>
              </w:rPr>
              <w:t>4 - Décarbonation de l'industrie - Investissement 2: Assurer le fonctionnement de l’inspection slovaque de l’environnement en lien avec la décarbonation </w:t>
            </w:r>
          </w:p>
        </w:tc>
        <w:tc>
          <w:tcPr>
            <w:tcW w:w="1134" w:type="dxa"/>
            <w:shd w:val="clear" w:color="auto" w:fill="C6EFCE"/>
            <w:vAlign w:val="center"/>
            <w:hideMark/>
          </w:tcPr>
          <w:p w14:paraId="50B4BF05"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F06" w14:textId="2C5D8494" w:rsidR="003B5F50" w:rsidRDefault="000D2D85">
            <w:pPr>
              <w:pStyle w:val="P68B1DB1-Normal14"/>
              <w:spacing w:after="0" w:line="240" w:lineRule="auto"/>
              <w:jc w:val="center"/>
              <w:textAlignment w:val="baseline"/>
              <w:rPr>
                <w:noProof/>
              </w:rPr>
            </w:pPr>
            <w:r>
              <w:rPr>
                <w:noProof/>
              </w:rPr>
              <w:t xml:space="preserve">Investissements visant à accroître les capacités de l'Inspection slovaque de l'environnement </w:t>
            </w:r>
          </w:p>
        </w:tc>
      </w:tr>
      <w:tr w:rsidR="003B5F50" w14:paraId="50B4BF0D" w14:textId="77777777">
        <w:trPr>
          <w:trHeight w:val="930"/>
        </w:trPr>
        <w:tc>
          <w:tcPr>
            <w:tcW w:w="1227" w:type="dxa"/>
            <w:shd w:val="clear" w:color="auto" w:fill="C6EFCE"/>
            <w:vAlign w:val="center"/>
            <w:hideMark/>
          </w:tcPr>
          <w:p w14:paraId="50B4BF08" w14:textId="77777777" w:rsidR="003B5F50" w:rsidRDefault="000D2D85">
            <w:pPr>
              <w:pStyle w:val="P68B1DB1-Normal48"/>
              <w:spacing w:after="0" w:line="240" w:lineRule="auto"/>
              <w:jc w:val="center"/>
              <w:textAlignment w:val="baseline"/>
              <w:rPr>
                <w:rFonts w:eastAsia="Times New Roman"/>
                <w:noProof/>
              </w:rPr>
            </w:pPr>
            <w:r>
              <w:rPr>
                <w:noProof/>
              </w:rPr>
              <w:t>2 </w:t>
            </w:r>
          </w:p>
        </w:tc>
        <w:tc>
          <w:tcPr>
            <w:tcW w:w="3778" w:type="dxa"/>
            <w:shd w:val="clear" w:color="auto" w:fill="C6EFCE"/>
            <w:vAlign w:val="center"/>
            <w:hideMark/>
          </w:tcPr>
          <w:p w14:paraId="50B4BF09" w14:textId="77777777" w:rsidR="003B5F50" w:rsidRDefault="000D2D85">
            <w:pPr>
              <w:pStyle w:val="P68B1DB1-Normal14"/>
              <w:spacing w:after="0" w:line="240" w:lineRule="auto"/>
              <w:jc w:val="center"/>
              <w:textAlignment w:val="baseline"/>
              <w:rPr>
                <w:noProof/>
              </w:rPr>
            </w:pPr>
            <w:r>
              <w:rPr>
                <w:noProof/>
              </w:rPr>
              <w:t>6 - Accessibilité, développement et qualité de l'éducation inclusive - Réforme 4: Adapter les programmes d'études de type F</w:t>
            </w:r>
          </w:p>
        </w:tc>
        <w:tc>
          <w:tcPr>
            <w:tcW w:w="1134" w:type="dxa"/>
            <w:shd w:val="clear" w:color="auto" w:fill="C6EFCE"/>
            <w:vAlign w:val="center"/>
            <w:hideMark/>
          </w:tcPr>
          <w:p w14:paraId="50B4BF0A"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F0B" w14:textId="77777777" w:rsidR="003B5F50" w:rsidRDefault="003B5F50">
            <w:pPr>
              <w:spacing w:after="0" w:line="240" w:lineRule="auto"/>
              <w:jc w:val="center"/>
              <w:textAlignment w:val="baseline"/>
              <w:rPr>
                <w:rFonts w:ascii="Times New Roman" w:hAnsi="Times New Roman"/>
                <w:noProof/>
                <w:color w:val="006100"/>
                <w:sz w:val="20"/>
              </w:rPr>
            </w:pPr>
          </w:p>
          <w:p w14:paraId="50B4BF0C" w14:textId="77777777" w:rsidR="003B5F50" w:rsidRDefault="000D2D85">
            <w:pPr>
              <w:pStyle w:val="P68B1DB1-Normal42"/>
              <w:spacing w:after="0" w:line="240" w:lineRule="auto"/>
              <w:jc w:val="center"/>
              <w:textAlignment w:val="baseline"/>
              <w:rPr>
                <w:noProof/>
              </w:rPr>
            </w:pPr>
            <w:r>
              <w:rPr>
                <w:noProof/>
              </w:rPr>
              <w:t>Adaptation des programmes F</w:t>
            </w:r>
          </w:p>
        </w:tc>
      </w:tr>
      <w:tr w:rsidR="003B5F50" w14:paraId="50B4BF12" w14:textId="77777777">
        <w:trPr>
          <w:trHeight w:val="930"/>
        </w:trPr>
        <w:tc>
          <w:tcPr>
            <w:tcW w:w="1227" w:type="dxa"/>
            <w:shd w:val="clear" w:color="auto" w:fill="C6EFCE"/>
            <w:vAlign w:val="center"/>
            <w:hideMark/>
          </w:tcPr>
          <w:p w14:paraId="50B4BF0E" w14:textId="77777777" w:rsidR="003B5F50" w:rsidRDefault="000D2D85">
            <w:pPr>
              <w:pStyle w:val="P68B1DB1-Normal48"/>
              <w:spacing w:after="0" w:line="240" w:lineRule="auto"/>
              <w:jc w:val="center"/>
              <w:textAlignment w:val="baseline"/>
              <w:rPr>
                <w:rFonts w:eastAsia="Times New Roman"/>
                <w:noProof/>
              </w:rPr>
            </w:pPr>
            <w:r>
              <w:rPr>
                <w:noProof/>
              </w:rPr>
              <w:t>3 </w:t>
            </w:r>
          </w:p>
        </w:tc>
        <w:tc>
          <w:tcPr>
            <w:tcW w:w="3778" w:type="dxa"/>
            <w:shd w:val="clear" w:color="auto" w:fill="C6EFCE"/>
            <w:vAlign w:val="center"/>
            <w:hideMark/>
          </w:tcPr>
          <w:p w14:paraId="50B4BF0F" w14:textId="00BD950D" w:rsidR="003B5F50" w:rsidRDefault="000D2D85">
            <w:pPr>
              <w:pStyle w:val="P68B1DB1-Normal14"/>
              <w:spacing w:after="0" w:line="240" w:lineRule="auto"/>
              <w:jc w:val="center"/>
              <w:textAlignment w:val="baseline"/>
              <w:rPr>
                <w:noProof/>
              </w:rPr>
            </w:pPr>
            <w:r>
              <w:rPr>
                <w:noProof/>
              </w:rPr>
              <w:t xml:space="preserve">6 - Accessibilité, développement et qualité de l'éducation inclusive - Investissement 1: Suppression des barrières des bâtiments scolaires </w:t>
            </w:r>
          </w:p>
        </w:tc>
        <w:tc>
          <w:tcPr>
            <w:tcW w:w="1134" w:type="dxa"/>
            <w:shd w:val="clear" w:color="auto" w:fill="C6EFCE"/>
            <w:vAlign w:val="center"/>
            <w:hideMark/>
          </w:tcPr>
          <w:p w14:paraId="50B4BF10"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F11" w14:textId="77777777" w:rsidR="003B5F50" w:rsidRDefault="000D2D85">
            <w:pPr>
              <w:pStyle w:val="P68B1DB1-Normal14"/>
              <w:spacing w:after="0" w:line="240" w:lineRule="auto"/>
              <w:jc w:val="center"/>
              <w:textAlignment w:val="baseline"/>
              <w:rPr>
                <w:noProof/>
              </w:rPr>
            </w:pPr>
            <w:r>
              <w:rPr>
                <w:noProof/>
              </w:rPr>
              <w:t>Élimination des barrières architecturales dans les écoles secondaires </w:t>
            </w:r>
          </w:p>
        </w:tc>
      </w:tr>
      <w:tr w:rsidR="003B5F50" w14:paraId="50B4BF17" w14:textId="77777777">
        <w:trPr>
          <w:trHeight w:val="930"/>
        </w:trPr>
        <w:tc>
          <w:tcPr>
            <w:tcW w:w="1227" w:type="dxa"/>
            <w:shd w:val="clear" w:color="auto" w:fill="C6EFCE"/>
            <w:vAlign w:val="center"/>
            <w:hideMark/>
          </w:tcPr>
          <w:p w14:paraId="50B4BF13" w14:textId="77777777" w:rsidR="003B5F50" w:rsidRDefault="000D2D85">
            <w:pPr>
              <w:pStyle w:val="P68B1DB1-Normal48"/>
              <w:spacing w:after="0" w:line="240" w:lineRule="auto"/>
              <w:jc w:val="center"/>
              <w:textAlignment w:val="baseline"/>
              <w:rPr>
                <w:rFonts w:eastAsia="Times New Roman"/>
                <w:noProof/>
              </w:rPr>
            </w:pPr>
            <w:r>
              <w:rPr>
                <w:noProof/>
              </w:rPr>
              <w:t>4 </w:t>
            </w:r>
          </w:p>
        </w:tc>
        <w:tc>
          <w:tcPr>
            <w:tcW w:w="3778" w:type="dxa"/>
            <w:shd w:val="clear" w:color="auto" w:fill="C6EFCE"/>
            <w:vAlign w:val="center"/>
            <w:hideMark/>
          </w:tcPr>
          <w:p w14:paraId="50B4BF14" w14:textId="77777777" w:rsidR="003B5F50" w:rsidRDefault="000D2D85">
            <w:pPr>
              <w:pStyle w:val="P68B1DB1-Normal14"/>
              <w:spacing w:after="0" w:line="240" w:lineRule="auto"/>
              <w:jc w:val="center"/>
              <w:textAlignment w:val="baseline"/>
              <w:rPr>
                <w:noProof/>
              </w:rPr>
            </w:pPr>
            <w:r>
              <w:rPr>
                <w:noProof/>
              </w:rPr>
              <w:t>11 - Soins de santé modernes et accessibles - Réforme 3 Centralisation de la gestion des plus grands hôpitaux </w:t>
            </w:r>
          </w:p>
        </w:tc>
        <w:tc>
          <w:tcPr>
            <w:tcW w:w="1134" w:type="dxa"/>
            <w:shd w:val="clear" w:color="auto" w:fill="C6EFCE"/>
            <w:vAlign w:val="center"/>
            <w:hideMark/>
          </w:tcPr>
          <w:p w14:paraId="50B4BF15"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F16" w14:textId="77777777" w:rsidR="003B5F50" w:rsidRDefault="000D2D85">
            <w:pPr>
              <w:pStyle w:val="P68B1DB1-Normal14"/>
              <w:spacing w:after="0" w:line="240" w:lineRule="auto"/>
              <w:jc w:val="center"/>
              <w:textAlignment w:val="baseline"/>
              <w:rPr>
                <w:noProof/>
              </w:rPr>
            </w:pPr>
            <w:r>
              <w:rPr>
                <w:noProof/>
              </w:rPr>
              <w:t>Nombre d'hôpitaux participant au système central de gestion </w:t>
            </w:r>
          </w:p>
        </w:tc>
      </w:tr>
      <w:tr w:rsidR="003B5F50" w14:paraId="50B4BF1C" w14:textId="77777777">
        <w:trPr>
          <w:trHeight w:val="930"/>
        </w:trPr>
        <w:tc>
          <w:tcPr>
            <w:tcW w:w="1227" w:type="dxa"/>
            <w:shd w:val="clear" w:color="auto" w:fill="C6EFCE"/>
            <w:vAlign w:val="center"/>
          </w:tcPr>
          <w:p w14:paraId="50B4BF18" w14:textId="77777777" w:rsidR="003B5F50" w:rsidRDefault="000D2D85">
            <w:pPr>
              <w:pStyle w:val="P68B1DB1-Normal48"/>
              <w:spacing w:after="0" w:line="240" w:lineRule="auto"/>
              <w:jc w:val="center"/>
              <w:textAlignment w:val="baseline"/>
              <w:rPr>
                <w:noProof/>
              </w:rPr>
            </w:pPr>
            <w:r>
              <w:rPr>
                <w:noProof/>
              </w:rPr>
              <w:t>5</w:t>
            </w:r>
          </w:p>
        </w:tc>
        <w:tc>
          <w:tcPr>
            <w:tcW w:w="3778" w:type="dxa"/>
            <w:shd w:val="clear" w:color="auto" w:fill="C6EFCE"/>
            <w:vAlign w:val="center"/>
          </w:tcPr>
          <w:p w14:paraId="50B4BF19" w14:textId="77777777" w:rsidR="003B5F50" w:rsidRDefault="000D2D85">
            <w:pPr>
              <w:pStyle w:val="P68B1DB1-Normal14"/>
              <w:spacing w:after="0" w:line="240" w:lineRule="auto"/>
              <w:jc w:val="center"/>
              <w:textAlignment w:val="baseline"/>
              <w:rPr>
                <w:noProof/>
              </w:rPr>
            </w:pPr>
            <w:r>
              <w:rPr>
                <w:noProof/>
              </w:rPr>
              <w:t xml:space="preserve">11 - Des soins de santé modernes et accessibles - Investissement 1 Soutenir l'ouverture de nouveaux soins primaires </w:t>
            </w:r>
          </w:p>
        </w:tc>
        <w:tc>
          <w:tcPr>
            <w:tcW w:w="1134" w:type="dxa"/>
            <w:shd w:val="clear" w:color="auto" w:fill="C6EFCE"/>
            <w:vAlign w:val="center"/>
          </w:tcPr>
          <w:p w14:paraId="50B4BF1A" w14:textId="77777777" w:rsidR="003B5F50" w:rsidRDefault="000D2D85">
            <w:pPr>
              <w:pStyle w:val="P68B1DB1-Normal14"/>
              <w:spacing w:after="0" w:line="240" w:lineRule="auto"/>
              <w:jc w:val="center"/>
              <w:textAlignment w:val="baseline"/>
              <w:rPr>
                <w:noProof/>
              </w:rPr>
            </w:pPr>
            <w:r>
              <w:rPr>
                <w:noProof/>
              </w:rPr>
              <w:t>Étape</w:t>
            </w:r>
          </w:p>
        </w:tc>
        <w:tc>
          <w:tcPr>
            <w:tcW w:w="4110" w:type="dxa"/>
            <w:shd w:val="clear" w:color="auto" w:fill="C6EFCE"/>
            <w:vAlign w:val="center"/>
          </w:tcPr>
          <w:p w14:paraId="50B4BF1B" w14:textId="77777777" w:rsidR="003B5F50" w:rsidRDefault="000D2D85">
            <w:pPr>
              <w:pStyle w:val="P68B1DB1-Normal14"/>
              <w:spacing w:after="0" w:line="240" w:lineRule="auto"/>
              <w:jc w:val="center"/>
              <w:textAlignment w:val="baseline"/>
              <w:rPr>
                <w:noProof/>
              </w:rPr>
            </w:pPr>
            <w:r>
              <w:rPr>
                <w:noProof/>
              </w:rPr>
              <w:t>Appels publics pour la mise en place de nouvelles pratiques de soins primaires ambulatoires</w:t>
            </w:r>
          </w:p>
        </w:tc>
      </w:tr>
      <w:tr w:rsidR="003B5F50" w14:paraId="50B4BF21" w14:textId="77777777">
        <w:trPr>
          <w:trHeight w:val="930"/>
        </w:trPr>
        <w:tc>
          <w:tcPr>
            <w:tcW w:w="1227" w:type="dxa"/>
            <w:shd w:val="clear" w:color="auto" w:fill="C6EFCE"/>
            <w:vAlign w:val="center"/>
            <w:hideMark/>
          </w:tcPr>
          <w:p w14:paraId="50B4BF1D" w14:textId="77777777" w:rsidR="003B5F50" w:rsidRDefault="000D2D85">
            <w:pPr>
              <w:pStyle w:val="P68B1DB1-Normal48"/>
              <w:spacing w:after="0" w:line="240" w:lineRule="auto"/>
              <w:jc w:val="center"/>
              <w:textAlignment w:val="baseline"/>
              <w:rPr>
                <w:rFonts w:eastAsia="Times New Roman"/>
                <w:noProof/>
              </w:rPr>
            </w:pPr>
            <w:r>
              <w:rPr>
                <w:noProof/>
              </w:rPr>
              <w:t>6 </w:t>
            </w:r>
          </w:p>
        </w:tc>
        <w:tc>
          <w:tcPr>
            <w:tcW w:w="3778" w:type="dxa"/>
            <w:shd w:val="clear" w:color="auto" w:fill="C6EFCE"/>
            <w:vAlign w:val="center"/>
            <w:hideMark/>
          </w:tcPr>
          <w:p w14:paraId="50B4BF1E" w14:textId="77777777" w:rsidR="003B5F50" w:rsidRDefault="000D2D85">
            <w:pPr>
              <w:pStyle w:val="P68B1DB1-Normal14"/>
              <w:spacing w:after="0" w:line="240" w:lineRule="auto"/>
              <w:jc w:val="center"/>
              <w:textAlignment w:val="baseline"/>
              <w:rPr>
                <w:noProof/>
              </w:rPr>
            </w:pPr>
            <w:r>
              <w:rPr>
                <w:noProof/>
              </w:rPr>
              <w:t>12 - Soins de santé mentale humains, modernes et accessibles - Réforme 1: Coopération interministérielle coordonnée et réglementation </w:t>
            </w:r>
          </w:p>
        </w:tc>
        <w:tc>
          <w:tcPr>
            <w:tcW w:w="1134" w:type="dxa"/>
            <w:shd w:val="clear" w:color="auto" w:fill="C6EFCE"/>
            <w:vAlign w:val="center"/>
            <w:hideMark/>
          </w:tcPr>
          <w:p w14:paraId="50B4BF1F"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F20" w14:textId="77777777" w:rsidR="003B5F50" w:rsidRDefault="000D2D85">
            <w:pPr>
              <w:pStyle w:val="P68B1DB1-Normal14"/>
              <w:spacing w:after="0" w:line="240" w:lineRule="auto"/>
              <w:jc w:val="center"/>
              <w:textAlignment w:val="baseline"/>
              <w:rPr>
                <w:noProof/>
              </w:rPr>
            </w:pPr>
            <w:r>
              <w:rPr>
                <w:noProof/>
              </w:rPr>
              <w:t>Création d'une entité pour la santé mentale et élargissement des compétences d'une association de psychologues</w:t>
            </w:r>
          </w:p>
        </w:tc>
      </w:tr>
      <w:tr w:rsidR="003B5F50" w14:paraId="50B4BF26" w14:textId="77777777">
        <w:trPr>
          <w:trHeight w:val="930"/>
        </w:trPr>
        <w:tc>
          <w:tcPr>
            <w:tcW w:w="1227" w:type="dxa"/>
            <w:shd w:val="clear" w:color="auto" w:fill="C6EFCE"/>
            <w:vAlign w:val="center"/>
            <w:hideMark/>
          </w:tcPr>
          <w:p w14:paraId="50B4BF22" w14:textId="77777777" w:rsidR="003B5F50" w:rsidRDefault="000D2D85">
            <w:pPr>
              <w:pStyle w:val="P68B1DB1-Normal48"/>
              <w:spacing w:after="0" w:line="240" w:lineRule="auto"/>
              <w:jc w:val="center"/>
              <w:textAlignment w:val="baseline"/>
              <w:rPr>
                <w:rFonts w:eastAsia="Times New Roman"/>
                <w:noProof/>
              </w:rPr>
            </w:pPr>
            <w:r>
              <w:rPr>
                <w:noProof/>
              </w:rPr>
              <w:t>7</w:t>
            </w:r>
          </w:p>
        </w:tc>
        <w:tc>
          <w:tcPr>
            <w:tcW w:w="3778" w:type="dxa"/>
            <w:shd w:val="clear" w:color="auto" w:fill="C6EFCE"/>
            <w:vAlign w:val="center"/>
            <w:hideMark/>
          </w:tcPr>
          <w:p w14:paraId="50B4BF23" w14:textId="77777777" w:rsidR="003B5F50" w:rsidRDefault="000D2D85">
            <w:pPr>
              <w:pStyle w:val="P68B1DB1-Normal14"/>
              <w:spacing w:after="0" w:line="240" w:lineRule="auto"/>
              <w:jc w:val="center"/>
              <w:textAlignment w:val="baseline"/>
              <w:rPr>
                <w:noProof/>
              </w:rPr>
            </w:pPr>
            <w:r>
              <w:rPr>
                <w:noProof/>
              </w:rPr>
              <w:t>12 - Soins de santé mentale humains, modernes et accessibles - Investissement 8: Formation en santé mentale pour le personnel </w:t>
            </w:r>
          </w:p>
        </w:tc>
        <w:tc>
          <w:tcPr>
            <w:tcW w:w="1134" w:type="dxa"/>
            <w:shd w:val="clear" w:color="auto" w:fill="C6EFCE"/>
            <w:vAlign w:val="center"/>
            <w:hideMark/>
          </w:tcPr>
          <w:p w14:paraId="50B4BF24"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F25" w14:textId="77777777" w:rsidR="003B5F50" w:rsidRDefault="000D2D85">
            <w:pPr>
              <w:pStyle w:val="P68B1DB1-Normal14"/>
              <w:spacing w:after="0" w:line="240" w:lineRule="auto"/>
              <w:jc w:val="center"/>
              <w:textAlignment w:val="baseline"/>
              <w:rPr>
                <w:noProof/>
              </w:rPr>
            </w:pPr>
            <w:r>
              <w:rPr>
                <w:noProof/>
              </w:rPr>
              <w:t>Nombre de personnes formées aux soins de santé mentale</w:t>
            </w:r>
          </w:p>
        </w:tc>
      </w:tr>
      <w:tr w:rsidR="003B5F50" w14:paraId="50B4BF2B" w14:textId="77777777">
        <w:trPr>
          <w:trHeight w:val="930"/>
        </w:trPr>
        <w:tc>
          <w:tcPr>
            <w:tcW w:w="1227" w:type="dxa"/>
            <w:shd w:val="clear" w:color="auto" w:fill="C6EFCE"/>
            <w:vAlign w:val="center"/>
            <w:hideMark/>
          </w:tcPr>
          <w:p w14:paraId="50B4BF27" w14:textId="77777777" w:rsidR="003B5F50" w:rsidRDefault="000D2D85">
            <w:pPr>
              <w:pStyle w:val="P68B1DB1-Normal48"/>
              <w:spacing w:after="0" w:line="240" w:lineRule="auto"/>
              <w:jc w:val="center"/>
              <w:textAlignment w:val="baseline"/>
              <w:rPr>
                <w:rFonts w:eastAsia="Times New Roman"/>
                <w:noProof/>
              </w:rPr>
            </w:pPr>
            <w:r>
              <w:rPr>
                <w:noProof/>
              </w:rPr>
              <w:t>8 </w:t>
            </w:r>
          </w:p>
        </w:tc>
        <w:tc>
          <w:tcPr>
            <w:tcW w:w="3778" w:type="dxa"/>
            <w:shd w:val="clear" w:color="auto" w:fill="C6EFCE"/>
            <w:vAlign w:val="center"/>
            <w:hideMark/>
          </w:tcPr>
          <w:p w14:paraId="50B4BF28" w14:textId="77777777" w:rsidR="003B5F50" w:rsidRDefault="000D2D85">
            <w:pPr>
              <w:pStyle w:val="P68B1DB1-Normal14"/>
              <w:spacing w:after="0" w:line="240" w:lineRule="auto"/>
              <w:jc w:val="center"/>
              <w:textAlignment w:val="baseline"/>
              <w:rPr>
                <w:noProof/>
              </w:rPr>
            </w:pPr>
            <w:r>
              <w:rPr>
                <w:noProof/>
              </w:rPr>
              <w:t>13 - Soins socio-sanitaires de longue durée accessibles et de qualité - Extension et rétablissement des capacités de soins post-hospitaliers et infirmiers </w:t>
            </w:r>
          </w:p>
        </w:tc>
        <w:tc>
          <w:tcPr>
            <w:tcW w:w="1134" w:type="dxa"/>
            <w:shd w:val="clear" w:color="auto" w:fill="C6EFCE"/>
            <w:vAlign w:val="center"/>
            <w:hideMark/>
          </w:tcPr>
          <w:p w14:paraId="50B4BF29"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F2A" w14:textId="77777777" w:rsidR="003B5F50" w:rsidRDefault="000D2D85">
            <w:pPr>
              <w:pStyle w:val="P68B1DB1-Normal14"/>
              <w:spacing w:after="0" w:line="240" w:lineRule="auto"/>
              <w:jc w:val="center"/>
              <w:textAlignment w:val="baseline"/>
              <w:rPr>
                <w:noProof/>
              </w:rPr>
            </w:pPr>
            <w:r>
              <w:rPr>
                <w:noProof/>
              </w:rPr>
              <w:t>Extension et renouvellement des fournisseurs de soins infirmiers à domicile</w:t>
            </w:r>
          </w:p>
        </w:tc>
      </w:tr>
      <w:tr w:rsidR="003B5F50" w14:paraId="50B4BF30" w14:textId="77777777">
        <w:trPr>
          <w:trHeight w:val="930"/>
        </w:trPr>
        <w:tc>
          <w:tcPr>
            <w:tcW w:w="1227" w:type="dxa"/>
            <w:shd w:val="clear" w:color="auto" w:fill="C6EFCE"/>
            <w:vAlign w:val="center"/>
            <w:hideMark/>
          </w:tcPr>
          <w:p w14:paraId="50B4BF2C" w14:textId="77777777" w:rsidR="003B5F50" w:rsidRDefault="000D2D85">
            <w:pPr>
              <w:pStyle w:val="P68B1DB1-Normal48"/>
              <w:spacing w:after="0" w:line="240" w:lineRule="auto"/>
              <w:jc w:val="center"/>
              <w:textAlignment w:val="baseline"/>
              <w:rPr>
                <w:rFonts w:eastAsia="Times New Roman"/>
                <w:noProof/>
              </w:rPr>
            </w:pPr>
            <w:r>
              <w:rPr>
                <w:noProof/>
              </w:rPr>
              <w:t>9 </w:t>
            </w:r>
          </w:p>
        </w:tc>
        <w:tc>
          <w:tcPr>
            <w:tcW w:w="3778" w:type="dxa"/>
            <w:shd w:val="clear" w:color="auto" w:fill="C6EFCE"/>
            <w:vAlign w:val="center"/>
            <w:hideMark/>
          </w:tcPr>
          <w:p w14:paraId="50B4BF2D" w14:textId="542A9296" w:rsidR="003B5F50" w:rsidRDefault="000D2D85">
            <w:pPr>
              <w:pStyle w:val="P68B1DB1-Normal14"/>
              <w:spacing w:after="0" w:line="240" w:lineRule="auto"/>
              <w:jc w:val="center"/>
              <w:textAlignment w:val="baseline"/>
              <w:rPr>
                <w:noProof/>
              </w:rPr>
            </w:pPr>
            <w:r>
              <w:rPr>
                <w:noProof/>
              </w:rPr>
              <w:t xml:space="preserve">13 - Soins socio-sanitaires de longue durée accessibles et de qualité - Extension et rétablissement des capacités de soins palliatifs </w:t>
            </w:r>
          </w:p>
        </w:tc>
        <w:tc>
          <w:tcPr>
            <w:tcW w:w="1134" w:type="dxa"/>
            <w:shd w:val="clear" w:color="auto" w:fill="C6EFCE"/>
            <w:vAlign w:val="center"/>
            <w:hideMark/>
          </w:tcPr>
          <w:p w14:paraId="50B4BF2E"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F2F" w14:textId="77777777" w:rsidR="003B5F50" w:rsidRDefault="000D2D85">
            <w:pPr>
              <w:pStyle w:val="P68B1DB1-Normal14"/>
              <w:spacing w:after="0" w:line="240" w:lineRule="auto"/>
              <w:jc w:val="center"/>
              <w:textAlignment w:val="baseline"/>
              <w:rPr>
                <w:noProof/>
              </w:rPr>
            </w:pPr>
            <w:r>
              <w:rPr>
                <w:noProof/>
              </w:rPr>
              <w:t>Extension et renouvellement du réseau d’hospices mobiles (indicateur: nombre de fournisseurs nouveaux et reconstruits) </w:t>
            </w:r>
          </w:p>
        </w:tc>
      </w:tr>
      <w:tr w:rsidR="003B5F50" w14:paraId="50B4BF35" w14:textId="77777777">
        <w:trPr>
          <w:trHeight w:val="930"/>
        </w:trPr>
        <w:tc>
          <w:tcPr>
            <w:tcW w:w="1227" w:type="dxa"/>
            <w:shd w:val="clear" w:color="auto" w:fill="C6EFCE"/>
            <w:vAlign w:val="center"/>
            <w:hideMark/>
          </w:tcPr>
          <w:p w14:paraId="50B4BF31" w14:textId="77777777" w:rsidR="003B5F50" w:rsidRDefault="000D2D85">
            <w:pPr>
              <w:pStyle w:val="P68B1DB1-Normal48"/>
              <w:spacing w:after="0" w:line="240" w:lineRule="auto"/>
              <w:jc w:val="center"/>
              <w:textAlignment w:val="baseline"/>
              <w:rPr>
                <w:rFonts w:eastAsia="Times New Roman"/>
                <w:noProof/>
              </w:rPr>
            </w:pPr>
            <w:r>
              <w:rPr>
                <w:noProof/>
              </w:rPr>
              <w:t>10 </w:t>
            </w:r>
          </w:p>
        </w:tc>
        <w:tc>
          <w:tcPr>
            <w:tcW w:w="3778" w:type="dxa"/>
            <w:shd w:val="clear" w:color="auto" w:fill="C6EFCE"/>
            <w:vAlign w:val="center"/>
            <w:hideMark/>
          </w:tcPr>
          <w:p w14:paraId="50B4BF32" w14:textId="27796CB1" w:rsidR="003B5F50" w:rsidRDefault="000D2D85">
            <w:pPr>
              <w:pStyle w:val="P68B1DB1-Normal14"/>
              <w:spacing w:after="0" w:line="240" w:lineRule="auto"/>
              <w:jc w:val="center"/>
              <w:textAlignment w:val="baseline"/>
              <w:rPr>
                <w:noProof/>
              </w:rPr>
            </w:pPr>
            <w:r>
              <w:rPr>
                <w:noProof/>
              </w:rPr>
              <w:t>14 - Améliorer l'environnement des entreprises - Investissement 1: Capacités en matière de réformes visant à réduire la charge réglementaire  </w:t>
            </w:r>
          </w:p>
        </w:tc>
        <w:tc>
          <w:tcPr>
            <w:tcW w:w="1134" w:type="dxa"/>
            <w:shd w:val="clear" w:color="auto" w:fill="C6EFCE"/>
            <w:vAlign w:val="center"/>
            <w:hideMark/>
          </w:tcPr>
          <w:p w14:paraId="50B4BF33"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F34" w14:textId="03DDBD3E" w:rsidR="003B5F50" w:rsidRDefault="000D2D85">
            <w:pPr>
              <w:pStyle w:val="P68B1DB1-Normal14"/>
              <w:spacing w:after="0" w:line="240" w:lineRule="auto"/>
              <w:jc w:val="center"/>
              <w:textAlignment w:val="baseline"/>
              <w:rPr>
                <w:noProof/>
              </w:rPr>
            </w:pPr>
            <w:r>
              <w:rPr>
                <w:noProof/>
              </w:rPr>
              <w:t xml:space="preserve">Application de la règle du 1-en-2-out, du principe de protection contre la surréglementation injustifiée et des évaluations ex post de la réglementation existante </w:t>
            </w:r>
          </w:p>
        </w:tc>
      </w:tr>
      <w:tr w:rsidR="003B5F50" w14:paraId="50B4BF3A" w14:textId="77777777">
        <w:trPr>
          <w:trHeight w:val="930"/>
        </w:trPr>
        <w:tc>
          <w:tcPr>
            <w:tcW w:w="1227" w:type="dxa"/>
            <w:shd w:val="clear" w:color="auto" w:fill="C6EFCE"/>
            <w:vAlign w:val="center"/>
          </w:tcPr>
          <w:p w14:paraId="50B4BF36" w14:textId="77777777" w:rsidR="003B5F50" w:rsidRDefault="000D2D85">
            <w:pPr>
              <w:pStyle w:val="P68B1DB1-Normal48"/>
              <w:spacing w:after="0" w:line="240" w:lineRule="auto"/>
              <w:jc w:val="center"/>
              <w:textAlignment w:val="baseline"/>
              <w:rPr>
                <w:noProof/>
              </w:rPr>
            </w:pPr>
            <w:r>
              <w:rPr>
                <w:noProof/>
              </w:rPr>
              <w:t>11</w:t>
            </w:r>
          </w:p>
        </w:tc>
        <w:tc>
          <w:tcPr>
            <w:tcW w:w="3778" w:type="dxa"/>
            <w:shd w:val="clear" w:color="auto" w:fill="C6EFCE"/>
            <w:vAlign w:val="center"/>
          </w:tcPr>
          <w:p w14:paraId="50B4BF37" w14:textId="77777777" w:rsidR="003B5F50" w:rsidRDefault="000D2D85">
            <w:pPr>
              <w:pStyle w:val="P68B1DB1-Normal14"/>
              <w:spacing w:after="0" w:line="240" w:lineRule="auto"/>
              <w:jc w:val="center"/>
              <w:textAlignment w:val="baseline"/>
              <w:rPr>
                <w:noProof/>
              </w:rPr>
            </w:pPr>
            <w:r>
              <w:rPr>
                <w:noProof/>
              </w:rPr>
              <w:t>15 - Réforme judiciaire - Investissement 2: Numérisation et capacités d’analyse </w:t>
            </w:r>
          </w:p>
        </w:tc>
        <w:tc>
          <w:tcPr>
            <w:tcW w:w="1134" w:type="dxa"/>
            <w:shd w:val="clear" w:color="auto" w:fill="C6EFCE"/>
            <w:vAlign w:val="center"/>
          </w:tcPr>
          <w:p w14:paraId="50B4BF38"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tcPr>
          <w:p w14:paraId="50B4BF39" w14:textId="737ADE09" w:rsidR="003B5F50" w:rsidRDefault="000D2D85">
            <w:pPr>
              <w:pStyle w:val="P68B1DB1-Normal14"/>
              <w:spacing w:after="0" w:line="240" w:lineRule="auto"/>
              <w:jc w:val="center"/>
              <w:textAlignment w:val="baseline"/>
              <w:rPr>
                <w:noProof/>
              </w:rPr>
            </w:pPr>
            <w:r>
              <w:rPr>
                <w:noProof/>
              </w:rPr>
              <w:t xml:space="preserve">Modernisation de l'équipement informatique du personnel judiciaire </w:t>
            </w:r>
          </w:p>
        </w:tc>
      </w:tr>
      <w:tr w:rsidR="003B5F50" w14:paraId="50B4BF3F" w14:textId="77777777">
        <w:trPr>
          <w:trHeight w:val="930"/>
        </w:trPr>
        <w:tc>
          <w:tcPr>
            <w:tcW w:w="1227" w:type="dxa"/>
            <w:shd w:val="clear" w:color="auto" w:fill="C6EFCE"/>
            <w:vAlign w:val="center"/>
          </w:tcPr>
          <w:p w14:paraId="50B4BF3B" w14:textId="77777777" w:rsidR="003B5F50" w:rsidRDefault="000D2D85">
            <w:pPr>
              <w:pStyle w:val="P68B1DB1-Normal48"/>
              <w:spacing w:after="0" w:line="240" w:lineRule="auto"/>
              <w:jc w:val="center"/>
              <w:textAlignment w:val="baseline"/>
              <w:rPr>
                <w:noProof/>
              </w:rPr>
            </w:pPr>
            <w:r>
              <w:rPr>
                <w:noProof/>
              </w:rPr>
              <w:t>12</w:t>
            </w:r>
          </w:p>
        </w:tc>
        <w:tc>
          <w:tcPr>
            <w:tcW w:w="3778" w:type="dxa"/>
            <w:shd w:val="clear" w:color="auto" w:fill="C6EFCE"/>
            <w:vAlign w:val="center"/>
          </w:tcPr>
          <w:p w14:paraId="50B4BF3C" w14:textId="77777777" w:rsidR="003B5F50" w:rsidRDefault="000D2D85">
            <w:pPr>
              <w:pStyle w:val="P68B1DB1-Normal14"/>
              <w:spacing w:after="0" w:line="240" w:lineRule="auto"/>
              <w:jc w:val="center"/>
              <w:textAlignment w:val="baseline"/>
              <w:rPr>
                <w:noProof/>
              </w:rPr>
            </w:pPr>
            <w:r>
              <w:rPr>
                <w:noProof/>
              </w:rPr>
              <w:t>16 - Lutte contre la corruption et le blanchiment de capitaux, - Investissement 2: Équipement et numérisation des forces de police – modules nouveaux ou améliorés du système d’information sur l’enregistrement des résidents étrangers (IS ECU)</w:t>
            </w:r>
          </w:p>
        </w:tc>
        <w:tc>
          <w:tcPr>
            <w:tcW w:w="1134" w:type="dxa"/>
            <w:shd w:val="clear" w:color="auto" w:fill="C6EFCE"/>
            <w:vAlign w:val="center"/>
          </w:tcPr>
          <w:p w14:paraId="50B4BF3D"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tcPr>
          <w:p w14:paraId="50B4BF3E" w14:textId="77777777" w:rsidR="003B5F50" w:rsidRDefault="000D2D85">
            <w:pPr>
              <w:pStyle w:val="P68B1DB1-Normal14"/>
              <w:spacing w:after="0" w:line="240" w:lineRule="auto"/>
              <w:jc w:val="center"/>
              <w:textAlignment w:val="baseline"/>
              <w:rPr>
                <w:noProof/>
              </w:rPr>
            </w:pPr>
            <w:r>
              <w:rPr>
                <w:noProof/>
              </w:rPr>
              <w:t>Électronique des procédures de délivrance de permis de séjour pour simplifier les procédures pour le public </w:t>
            </w:r>
          </w:p>
        </w:tc>
      </w:tr>
      <w:tr w:rsidR="003B5F50" w14:paraId="50B4BF44" w14:textId="77777777">
        <w:trPr>
          <w:trHeight w:val="300"/>
        </w:trPr>
        <w:tc>
          <w:tcPr>
            <w:tcW w:w="1227" w:type="dxa"/>
            <w:shd w:val="clear" w:color="auto" w:fill="C6EFCE"/>
            <w:vAlign w:val="center"/>
            <w:hideMark/>
          </w:tcPr>
          <w:p w14:paraId="50B4BF40" w14:textId="77777777" w:rsidR="003B5F50" w:rsidRDefault="000D2D85">
            <w:pPr>
              <w:pStyle w:val="P68B1DB1-Normal48"/>
              <w:spacing w:after="0" w:line="240" w:lineRule="auto"/>
              <w:jc w:val="center"/>
              <w:rPr>
                <w:noProof/>
              </w:rPr>
            </w:pPr>
            <w:r>
              <w:rPr>
                <w:noProof/>
              </w:rPr>
              <w:t>13</w:t>
            </w:r>
          </w:p>
        </w:tc>
        <w:tc>
          <w:tcPr>
            <w:tcW w:w="3778" w:type="dxa"/>
            <w:shd w:val="clear" w:color="auto" w:fill="C6EFCE"/>
            <w:vAlign w:val="center"/>
            <w:hideMark/>
          </w:tcPr>
          <w:p w14:paraId="50B4BF41" w14:textId="77777777" w:rsidR="003B5F50" w:rsidRDefault="000D2D85">
            <w:pPr>
              <w:pStyle w:val="P68B1DB1-Normal14"/>
              <w:spacing w:after="0" w:line="240" w:lineRule="auto"/>
              <w:jc w:val="center"/>
              <w:rPr>
                <w:noProof/>
              </w:rPr>
            </w:pPr>
            <w:r>
              <w:rPr>
                <w:noProof/>
              </w:rPr>
              <w:t>16 - Lutte contre la corruption et le blanchiment de capitaux- Investissement 2: Équipement et numérisation des forces de police – Reconstruction des bâtiments </w:t>
            </w:r>
          </w:p>
        </w:tc>
        <w:tc>
          <w:tcPr>
            <w:tcW w:w="1134" w:type="dxa"/>
            <w:shd w:val="clear" w:color="auto" w:fill="C6EFCE"/>
            <w:vAlign w:val="center"/>
            <w:hideMark/>
          </w:tcPr>
          <w:p w14:paraId="50B4BF42" w14:textId="77777777" w:rsidR="003B5F50" w:rsidRDefault="000D2D85">
            <w:pPr>
              <w:pStyle w:val="P68B1DB1-Normal14"/>
              <w:spacing w:after="0" w:line="240" w:lineRule="auto"/>
              <w:jc w:val="center"/>
              <w:rPr>
                <w:noProof/>
              </w:rPr>
            </w:pPr>
            <w:r>
              <w:rPr>
                <w:noProof/>
              </w:rPr>
              <w:t>Étape </w:t>
            </w:r>
          </w:p>
        </w:tc>
        <w:tc>
          <w:tcPr>
            <w:tcW w:w="4110" w:type="dxa"/>
            <w:shd w:val="clear" w:color="auto" w:fill="C6EFCE"/>
            <w:vAlign w:val="center"/>
            <w:hideMark/>
          </w:tcPr>
          <w:p w14:paraId="50B4BF43" w14:textId="77777777" w:rsidR="003B5F50" w:rsidRDefault="000D2D85">
            <w:pPr>
              <w:pStyle w:val="P68B1DB1-Normal14"/>
              <w:spacing w:after="0" w:line="240" w:lineRule="auto"/>
              <w:jc w:val="center"/>
              <w:rPr>
                <w:noProof/>
              </w:rPr>
            </w:pPr>
            <w:r>
              <w:rPr>
                <w:noProof/>
              </w:rPr>
              <w:t>Étendue de la surface au sol rénovée des bâtiments de la police afin de réduire l'intensité énergétique des bâtiments (en m²) </w:t>
            </w:r>
          </w:p>
        </w:tc>
      </w:tr>
      <w:tr w:rsidR="003B5F50" w14:paraId="50B4BF49" w14:textId="77777777">
        <w:trPr>
          <w:trHeight w:val="930"/>
        </w:trPr>
        <w:tc>
          <w:tcPr>
            <w:tcW w:w="1227" w:type="dxa"/>
            <w:shd w:val="clear" w:color="auto" w:fill="C6EFCE"/>
            <w:vAlign w:val="center"/>
          </w:tcPr>
          <w:p w14:paraId="50B4BF45" w14:textId="77777777" w:rsidR="003B5F50" w:rsidRDefault="000D2D85">
            <w:pPr>
              <w:pStyle w:val="P68B1DB1-Normal48"/>
              <w:spacing w:after="0" w:line="240" w:lineRule="auto"/>
              <w:jc w:val="center"/>
              <w:rPr>
                <w:noProof/>
              </w:rPr>
            </w:pPr>
            <w:r>
              <w:rPr>
                <w:noProof/>
              </w:rPr>
              <w:t>14</w:t>
            </w:r>
          </w:p>
        </w:tc>
        <w:tc>
          <w:tcPr>
            <w:tcW w:w="3778" w:type="dxa"/>
            <w:shd w:val="clear" w:color="auto" w:fill="C6EFCE"/>
            <w:vAlign w:val="center"/>
          </w:tcPr>
          <w:p w14:paraId="50B4BF46" w14:textId="77777777" w:rsidR="003B5F50" w:rsidRDefault="000D2D85">
            <w:pPr>
              <w:pStyle w:val="P68B1DB1-Normal14"/>
              <w:spacing w:after="0" w:line="240" w:lineRule="auto"/>
              <w:jc w:val="center"/>
              <w:textAlignment w:val="baseline"/>
              <w:rPr>
                <w:noProof/>
              </w:rPr>
            </w:pPr>
            <w:r>
              <w:rPr>
                <w:noProof/>
              </w:rPr>
              <w:t>17 - Slovaquie numérique - Investissement 5: Hackathons </w:t>
            </w:r>
          </w:p>
        </w:tc>
        <w:tc>
          <w:tcPr>
            <w:tcW w:w="1134" w:type="dxa"/>
            <w:shd w:val="clear" w:color="auto" w:fill="C6EFCE"/>
            <w:vAlign w:val="center"/>
          </w:tcPr>
          <w:p w14:paraId="50B4BF47"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tcPr>
          <w:p w14:paraId="50B4BF48" w14:textId="77777777" w:rsidR="003B5F50" w:rsidRDefault="000D2D85">
            <w:pPr>
              <w:pStyle w:val="P68B1DB1-Normal14"/>
              <w:spacing w:after="0" w:line="240" w:lineRule="auto"/>
              <w:jc w:val="center"/>
              <w:textAlignment w:val="baseline"/>
              <w:rPr>
                <w:noProof/>
              </w:rPr>
            </w:pPr>
            <w:r>
              <w:rPr>
                <w:noProof/>
              </w:rPr>
              <w:t>Nombre de hackathons organisés </w:t>
            </w:r>
          </w:p>
        </w:tc>
      </w:tr>
      <w:tr w:rsidR="003B5F50" w14:paraId="50B4BF4E" w14:textId="77777777">
        <w:trPr>
          <w:trHeight w:val="930"/>
        </w:trPr>
        <w:tc>
          <w:tcPr>
            <w:tcW w:w="1227" w:type="dxa"/>
            <w:shd w:val="clear" w:color="auto" w:fill="C6EFCE"/>
            <w:vAlign w:val="center"/>
            <w:hideMark/>
          </w:tcPr>
          <w:p w14:paraId="50B4BF4A" w14:textId="77777777" w:rsidR="003B5F50" w:rsidRDefault="000D2D85">
            <w:pPr>
              <w:pStyle w:val="P68B1DB1-Normal48"/>
              <w:spacing w:after="0" w:line="240" w:lineRule="auto"/>
              <w:jc w:val="center"/>
              <w:rPr>
                <w:rFonts w:eastAsia="Calibri"/>
                <w:noProof/>
              </w:rPr>
            </w:pPr>
            <w:r>
              <w:rPr>
                <w:noProof/>
              </w:rPr>
              <w:t>15</w:t>
            </w:r>
          </w:p>
        </w:tc>
        <w:tc>
          <w:tcPr>
            <w:tcW w:w="3778" w:type="dxa"/>
            <w:shd w:val="clear" w:color="auto" w:fill="C6EFCE"/>
            <w:vAlign w:val="center"/>
            <w:hideMark/>
          </w:tcPr>
          <w:p w14:paraId="50B4BF4B" w14:textId="77777777" w:rsidR="003B5F50" w:rsidRDefault="000D2D85">
            <w:pPr>
              <w:pStyle w:val="P68B1DB1-Normal14"/>
              <w:spacing w:line="240" w:lineRule="auto"/>
              <w:jc w:val="center"/>
              <w:rPr>
                <w:noProof/>
              </w:rPr>
            </w:pPr>
            <w:r>
              <w:rPr>
                <w:noProof/>
              </w:rPr>
              <w:t>19 – REPowerEU – Réforme 1 – Sous-mesure 1: Modifications législatives et procédurales visant à accélérer la délivrance des permis environnementaux</w:t>
            </w:r>
          </w:p>
        </w:tc>
        <w:tc>
          <w:tcPr>
            <w:tcW w:w="1134" w:type="dxa"/>
            <w:shd w:val="clear" w:color="auto" w:fill="C6EFCE"/>
            <w:vAlign w:val="center"/>
            <w:hideMark/>
          </w:tcPr>
          <w:p w14:paraId="50B4BF4C"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F4D" w14:textId="77777777" w:rsidR="003B5F50" w:rsidRDefault="000D2D85">
            <w:pPr>
              <w:pStyle w:val="P68B1DB1-Normal14"/>
              <w:spacing w:line="240" w:lineRule="auto"/>
              <w:jc w:val="center"/>
              <w:rPr>
                <w:noProof/>
              </w:rPr>
            </w:pPr>
            <w:r>
              <w:rPr>
                <w:noProof/>
              </w:rPr>
              <w:t>Entrée en vigueur des modifications législatives et procédurales</w:t>
            </w:r>
          </w:p>
        </w:tc>
      </w:tr>
      <w:tr w:rsidR="003B5F50" w14:paraId="50B4BF53" w14:textId="77777777">
        <w:trPr>
          <w:trHeight w:val="930"/>
        </w:trPr>
        <w:tc>
          <w:tcPr>
            <w:tcW w:w="1227" w:type="dxa"/>
            <w:shd w:val="clear" w:color="auto" w:fill="C6EFCE"/>
            <w:vAlign w:val="center"/>
            <w:hideMark/>
          </w:tcPr>
          <w:p w14:paraId="50B4BF4F" w14:textId="77777777" w:rsidR="003B5F50" w:rsidRDefault="000D2D85">
            <w:pPr>
              <w:pStyle w:val="P68B1DB1-Normal48"/>
              <w:spacing w:line="240" w:lineRule="auto"/>
              <w:jc w:val="center"/>
              <w:rPr>
                <w:rFonts w:eastAsia="Calibri"/>
                <w:noProof/>
              </w:rPr>
            </w:pPr>
            <w:r>
              <w:rPr>
                <w:noProof/>
              </w:rPr>
              <w:t>16</w:t>
            </w:r>
          </w:p>
        </w:tc>
        <w:tc>
          <w:tcPr>
            <w:tcW w:w="3778" w:type="dxa"/>
            <w:shd w:val="clear" w:color="auto" w:fill="C6EFCE"/>
            <w:vAlign w:val="center"/>
            <w:hideMark/>
          </w:tcPr>
          <w:p w14:paraId="50B4BF50" w14:textId="77777777" w:rsidR="003B5F50" w:rsidRDefault="000D2D85">
            <w:pPr>
              <w:pStyle w:val="P68B1DB1-Normal14"/>
              <w:spacing w:line="240" w:lineRule="auto"/>
              <w:jc w:val="center"/>
              <w:rPr>
                <w:noProof/>
              </w:rPr>
            </w:pPr>
            <w:r>
              <w:rPr>
                <w:noProof/>
              </w:rPr>
              <w:t>19 – REPowerEU – Réforme 1 – Sous-mesure 5: Préparation d’une évaluation des trajectoires d’utilisation durable et d’approvisionnement en biomasse en Slovaquie pour la période 2025-2035</w:t>
            </w:r>
          </w:p>
        </w:tc>
        <w:tc>
          <w:tcPr>
            <w:tcW w:w="1134" w:type="dxa"/>
            <w:shd w:val="clear" w:color="auto" w:fill="C6EFCE"/>
            <w:vAlign w:val="center"/>
            <w:hideMark/>
          </w:tcPr>
          <w:p w14:paraId="50B4BF51"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F52" w14:textId="77777777" w:rsidR="003B5F50" w:rsidRDefault="000D2D85">
            <w:pPr>
              <w:pStyle w:val="P68B1DB1-Normal14"/>
              <w:spacing w:line="240" w:lineRule="auto"/>
              <w:jc w:val="center"/>
              <w:rPr>
                <w:noProof/>
              </w:rPr>
            </w:pPr>
            <w:r>
              <w:rPr>
                <w:noProof/>
              </w:rPr>
              <w:t>Évaluation des trajectoires d’utilisation durable de la biomasse et d’approvisionnement en biomasse en Slovaquie</w:t>
            </w:r>
          </w:p>
        </w:tc>
      </w:tr>
      <w:tr w:rsidR="003B5F50" w14:paraId="50B4BF58" w14:textId="77777777">
        <w:trPr>
          <w:trHeight w:val="930"/>
        </w:trPr>
        <w:tc>
          <w:tcPr>
            <w:tcW w:w="1227" w:type="dxa"/>
            <w:shd w:val="clear" w:color="auto" w:fill="C6EFCE"/>
            <w:vAlign w:val="center"/>
            <w:hideMark/>
          </w:tcPr>
          <w:p w14:paraId="50B4BF54" w14:textId="77777777" w:rsidR="003B5F50" w:rsidRDefault="000D2D85">
            <w:pPr>
              <w:pStyle w:val="P68B1DB1-Normal48"/>
              <w:spacing w:line="240" w:lineRule="auto"/>
              <w:jc w:val="center"/>
              <w:rPr>
                <w:rFonts w:eastAsia="Times New Roman"/>
                <w:noProof/>
              </w:rPr>
            </w:pPr>
            <w:r>
              <w:rPr>
                <w:noProof/>
              </w:rPr>
              <w:t>17</w:t>
            </w:r>
          </w:p>
        </w:tc>
        <w:tc>
          <w:tcPr>
            <w:tcW w:w="3778" w:type="dxa"/>
            <w:shd w:val="clear" w:color="auto" w:fill="C6EFCE"/>
            <w:vAlign w:val="center"/>
            <w:hideMark/>
          </w:tcPr>
          <w:p w14:paraId="50B4BF55" w14:textId="77777777" w:rsidR="003B5F50" w:rsidRDefault="000D2D85">
            <w:pPr>
              <w:pStyle w:val="P68B1DB1-Normal14"/>
              <w:spacing w:line="240" w:lineRule="auto"/>
              <w:jc w:val="center"/>
              <w:rPr>
                <w:noProof/>
              </w:rPr>
            </w:pPr>
            <w:r>
              <w:rPr>
                <w:noProof/>
              </w:rPr>
              <w:t>19 – REPowerEU – Réforme 2 – Sous-mesure 2 – Plan d’action pour l’hydrogène</w:t>
            </w:r>
          </w:p>
        </w:tc>
        <w:tc>
          <w:tcPr>
            <w:tcW w:w="1134" w:type="dxa"/>
            <w:shd w:val="clear" w:color="auto" w:fill="C6EFCE"/>
            <w:vAlign w:val="center"/>
            <w:hideMark/>
          </w:tcPr>
          <w:p w14:paraId="50B4BF56"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F57" w14:textId="77777777" w:rsidR="003B5F50" w:rsidRDefault="000D2D85">
            <w:pPr>
              <w:pStyle w:val="P68B1DB1-Normal14"/>
              <w:spacing w:line="240" w:lineRule="auto"/>
              <w:jc w:val="center"/>
              <w:rPr>
                <w:noProof/>
              </w:rPr>
            </w:pPr>
            <w:r>
              <w:rPr>
                <w:noProof/>
              </w:rPr>
              <w:t>Mesures visant à promouvoir l’utilisation de l’hydrogène</w:t>
            </w:r>
          </w:p>
        </w:tc>
      </w:tr>
      <w:tr w:rsidR="003B5F50" w14:paraId="50B4BF5D" w14:textId="77777777">
        <w:trPr>
          <w:trHeight w:val="930"/>
        </w:trPr>
        <w:tc>
          <w:tcPr>
            <w:tcW w:w="1227" w:type="dxa"/>
            <w:shd w:val="clear" w:color="auto" w:fill="C6EFCE"/>
            <w:vAlign w:val="center"/>
            <w:hideMark/>
          </w:tcPr>
          <w:p w14:paraId="50B4BF59" w14:textId="77777777" w:rsidR="003B5F50" w:rsidRDefault="000D2D85">
            <w:pPr>
              <w:pStyle w:val="P68B1DB1-Normal48"/>
              <w:spacing w:line="240" w:lineRule="auto"/>
              <w:jc w:val="center"/>
              <w:rPr>
                <w:rFonts w:eastAsia="Times New Roman"/>
                <w:noProof/>
              </w:rPr>
            </w:pPr>
            <w:r>
              <w:rPr>
                <w:noProof/>
              </w:rPr>
              <w:t>18</w:t>
            </w:r>
          </w:p>
        </w:tc>
        <w:tc>
          <w:tcPr>
            <w:tcW w:w="3778" w:type="dxa"/>
            <w:shd w:val="clear" w:color="auto" w:fill="C6EFCE"/>
            <w:vAlign w:val="center"/>
            <w:hideMark/>
          </w:tcPr>
          <w:p w14:paraId="50B4BF5A" w14:textId="77777777" w:rsidR="003B5F50" w:rsidRDefault="000D2D85">
            <w:pPr>
              <w:pStyle w:val="P68B1DB1-Normal14"/>
              <w:spacing w:line="240" w:lineRule="auto"/>
              <w:jc w:val="center"/>
              <w:rPr>
                <w:noProof/>
              </w:rPr>
            </w:pPr>
            <w:r>
              <w:rPr>
                <w:noProof/>
              </w:rPr>
              <w:t>19 – REPowerEU – Réforme 4: Gestion des bâtiments du gouvernement central</w:t>
            </w:r>
          </w:p>
        </w:tc>
        <w:tc>
          <w:tcPr>
            <w:tcW w:w="1134" w:type="dxa"/>
            <w:shd w:val="clear" w:color="auto" w:fill="C6EFCE"/>
            <w:vAlign w:val="center"/>
            <w:hideMark/>
          </w:tcPr>
          <w:p w14:paraId="50B4BF5B"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F5C" w14:textId="77777777" w:rsidR="003B5F50" w:rsidRDefault="000D2D85">
            <w:pPr>
              <w:pStyle w:val="P68B1DB1-Normal14"/>
              <w:spacing w:line="240" w:lineRule="auto"/>
              <w:jc w:val="center"/>
              <w:rPr>
                <w:noProof/>
              </w:rPr>
            </w:pPr>
            <w:r>
              <w:rPr>
                <w:noProof/>
              </w:rPr>
              <w:t>Stratégie de gestion des bâtiments du gouvernement central</w:t>
            </w:r>
          </w:p>
        </w:tc>
      </w:tr>
      <w:tr w:rsidR="003B5F50" w14:paraId="50B4BF62" w14:textId="77777777">
        <w:trPr>
          <w:trHeight w:val="315"/>
        </w:trPr>
        <w:tc>
          <w:tcPr>
            <w:tcW w:w="1227" w:type="dxa"/>
            <w:shd w:val="clear" w:color="auto" w:fill="C6EFCE"/>
            <w:vAlign w:val="center"/>
            <w:hideMark/>
          </w:tcPr>
          <w:p w14:paraId="50B4BF5E" w14:textId="77777777" w:rsidR="003B5F50" w:rsidRDefault="000D2D85">
            <w:pPr>
              <w:pStyle w:val="P68B1DB1-Normal85"/>
              <w:spacing w:after="0" w:line="240" w:lineRule="auto"/>
              <w:jc w:val="center"/>
              <w:textAlignment w:val="baseline"/>
              <w:rPr>
                <w:rFonts w:eastAsia="Times New Roman"/>
                <w:noProof/>
              </w:rPr>
            </w:pPr>
            <w:r>
              <w:rPr>
                <w:noProof/>
              </w:rPr>
              <w:t>  </w:t>
            </w:r>
          </w:p>
        </w:tc>
        <w:tc>
          <w:tcPr>
            <w:tcW w:w="3778" w:type="dxa"/>
            <w:shd w:val="clear" w:color="auto" w:fill="C6EFCE"/>
            <w:vAlign w:val="center"/>
            <w:hideMark/>
          </w:tcPr>
          <w:p w14:paraId="50B4BF5F" w14:textId="77777777" w:rsidR="003B5F50" w:rsidRDefault="000D2D85">
            <w:pPr>
              <w:pStyle w:val="P68B1DB1-Normal85"/>
              <w:spacing w:after="0" w:line="240" w:lineRule="auto"/>
              <w:jc w:val="center"/>
              <w:textAlignment w:val="baseline"/>
              <w:rPr>
                <w:rFonts w:eastAsia="Times New Roman"/>
                <w:noProof/>
              </w:rPr>
            </w:pPr>
            <w:r>
              <w:rPr>
                <w:noProof/>
              </w:rPr>
              <w:t>  </w:t>
            </w:r>
          </w:p>
        </w:tc>
        <w:tc>
          <w:tcPr>
            <w:tcW w:w="1134" w:type="dxa"/>
            <w:shd w:val="clear" w:color="auto" w:fill="C6EFCE"/>
            <w:vAlign w:val="center"/>
            <w:hideMark/>
          </w:tcPr>
          <w:p w14:paraId="50B4BF60" w14:textId="77777777" w:rsidR="003B5F50" w:rsidRDefault="000D2D85">
            <w:pPr>
              <w:pStyle w:val="P68B1DB1-Normal14"/>
              <w:spacing w:after="0" w:line="240" w:lineRule="auto"/>
              <w:jc w:val="center"/>
              <w:textAlignment w:val="baseline"/>
              <w:rPr>
                <w:noProof/>
              </w:rPr>
            </w:pPr>
            <w:r>
              <w:rPr>
                <w:noProof/>
              </w:rPr>
              <w:t>Montant des acomptes provisionnels </w:t>
            </w:r>
          </w:p>
        </w:tc>
        <w:tc>
          <w:tcPr>
            <w:tcW w:w="4110" w:type="dxa"/>
            <w:shd w:val="clear" w:color="auto" w:fill="C6EFCE"/>
            <w:vAlign w:val="center"/>
            <w:hideMark/>
          </w:tcPr>
          <w:p w14:paraId="50B4BF61" w14:textId="77777777" w:rsidR="003B5F50" w:rsidRDefault="000D2D85">
            <w:pPr>
              <w:pStyle w:val="P68B1DB1-Normal14"/>
              <w:spacing w:after="0" w:line="240" w:lineRule="auto"/>
              <w:jc w:val="center"/>
              <w:textAlignment w:val="baseline"/>
              <w:rPr>
                <w:noProof/>
                <w:szCs w:val="20"/>
              </w:rPr>
            </w:pPr>
            <w:r>
              <w:rPr>
                <w:noProof/>
                <w:szCs w:val="20"/>
              </w:rPr>
              <w:t>761 212 461 EUR</w:t>
            </w:r>
          </w:p>
        </w:tc>
      </w:tr>
    </w:tbl>
    <w:p w14:paraId="50B4BF63" w14:textId="77777777" w:rsidR="003B5F50" w:rsidRDefault="000D2D85">
      <w:pPr>
        <w:pStyle w:val="P68B1DB1-Normal20"/>
        <w:spacing w:after="0" w:line="240" w:lineRule="auto"/>
        <w:ind w:left="840"/>
        <w:jc w:val="both"/>
        <w:textAlignment w:val="baseline"/>
        <w:rPr>
          <w:noProof/>
        </w:rPr>
      </w:pPr>
      <w:r>
        <w:rPr>
          <w:noProof/>
        </w:rPr>
        <w:t> </w:t>
      </w:r>
    </w:p>
    <w:p w14:paraId="50B4BF64" w14:textId="1234AA5D" w:rsidR="003B5F50" w:rsidRDefault="000D2D85">
      <w:pPr>
        <w:pStyle w:val="P68B1DB1-ListParagraph86"/>
        <w:numPr>
          <w:ilvl w:val="0"/>
          <w:numId w:val="51"/>
        </w:numPr>
        <w:spacing w:after="0" w:line="240" w:lineRule="auto"/>
        <w:jc w:val="both"/>
        <w:textAlignment w:val="baseline"/>
        <w:rPr>
          <w:rFonts w:eastAsia="Times New Roman" w:cs="Times New Roman"/>
          <w:noProof/>
          <w:szCs w:val="24"/>
        </w:rPr>
      </w:pPr>
      <w:r>
        <w:rPr>
          <w:noProof/>
        </w:rPr>
        <w:t xml:space="preserve">Huitième tranche (soutien non remboursable): </w:t>
      </w:r>
    </w:p>
    <w:p w14:paraId="50B4BF65" w14:textId="77777777" w:rsidR="003B5F50" w:rsidRDefault="000D2D85">
      <w:pPr>
        <w:pStyle w:val="P68B1DB1-Normal20"/>
        <w:spacing w:after="0" w:line="240" w:lineRule="auto"/>
        <w:ind w:left="840"/>
        <w:jc w:val="both"/>
        <w:textAlignment w:val="baseline"/>
        <w:rPr>
          <w:rFonts w:ascii="Segoe UI" w:eastAsia="Times New Roman" w:hAnsi="Segoe UI" w:cs="Segoe UI"/>
          <w:noProof/>
          <w:sz w:val="18"/>
          <w:szCs w:val="18"/>
        </w:rPr>
      </w:pPr>
      <w:r>
        <w:rPr>
          <w:noProof/>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7"/>
        <w:gridCol w:w="3776"/>
        <w:gridCol w:w="1138"/>
        <w:gridCol w:w="4108"/>
      </w:tblGrid>
      <w:tr w:rsidR="003B5F50" w14:paraId="50B4BF6A" w14:textId="77777777">
        <w:trPr>
          <w:trHeight w:val="900"/>
          <w:tblHeader/>
        </w:trPr>
        <w:tc>
          <w:tcPr>
            <w:tcW w:w="1228" w:type="dxa"/>
            <w:shd w:val="clear" w:color="auto" w:fill="BDD7EE"/>
            <w:vAlign w:val="center"/>
            <w:hideMark/>
          </w:tcPr>
          <w:p w14:paraId="50B4BF66" w14:textId="77777777" w:rsidR="003B5F50" w:rsidRDefault="000D2D85">
            <w:pPr>
              <w:pStyle w:val="P68B1DB1-Normal84"/>
              <w:spacing w:after="0" w:line="240" w:lineRule="auto"/>
              <w:jc w:val="center"/>
              <w:textAlignment w:val="baseline"/>
              <w:rPr>
                <w:rFonts w:eastAsia="Times New Roman"/>
                <w:noProof/>
              </w:rPr>
            </w:pPr>
            <w:r>
              <w:rPr>
                <w:b/>
                <w:noProof/>
              </w:rPr>
              <w:t>Numéro séquentiel</w:t>
            </w:r>
            <w:r>
              <w:rPr>
                <w:noProof/>
              </w:rPr>
              <w:t> </w:t>
            </w:r>
          </w:p>
        </w:tc>
        <w:tc>
          <w:tcPr>
            <w:tcW w:w="3777" w:type="dxa"/>
            <w:shd w:val="clear" w:color="auto" w:fill="BDD7EE"/>
            <w:vAlign w:val="center"/>
            <w:hideMark/>
          </w:tcPr>
          <w:p w14:paraId="50B4BF67" w14:textId="77777777" w:rsidR="003B5F50" w:rsidRDefault="000D2D85">
            <w:pPr>
              <w:pStyle w:val="P68B1DB1-Normal84"/>
              <w:spacing w:after="0" w:line="240" w:lineRule="auto"/>
              <w:jc w:val="center"/>
              <w:textAlignment w:val="baseline"/>
              <w:rPr>
                <w:rFonts w:eastAsia="Times New Roman"/>
                <w:noProof/>
              </w:rPr>
            </w:pPr>
            <w:r>
              <w:rPr>
                <w:b/>
                <w:noProof/>
              </w:rPr>
              <w:t>Mesure connexe (réforme ou investissement)</w:t>
            </w:r>
            <w:r>
              <w:rPr>
                <w:noProof/>
              </w:rPr>
              <w:t> </w:t>
            </w:r>
          </w:p>
        </w:tc>
        <w:tc>
          <w:tcPr>
            <w:tcW w:w="1134" w:type="dxa"/>
            <w:shd w:val="clear" w:color="auto" w:fill="BDD7EE"/>
            <w:vAlign w:val="center"/>
            <w:hideMark/>
          </w:tcPr>
          <w:p w14:paraId="50B4BF68" w14:textId="77777777" w:rsidR="003B5F50" w:rsidRDefault="000D2D85">
            <w:pPr>
              <w:pStyle w:val="P68B1DB1-Normal84"/>
              <w:spacing w:after="0" w:line="240" w:lineRule="auto"/>
              <w:jc w:val="center"/>
              <w:textAlignment w:val="baseline"/>
              <w:rPr>
                <w:rFonts w:eastAsia="Times New Roman"/>
                <w:noProof/>
              </w:rPr>
            </w:pPr>
            <w:r>
              <w:rPr>
                <w:b/>
                <w:noProof/>
              </w:rPr>
              <w:t>Étape/cible</w:t>
            </w:r>
            <w:r>
              <w:rPr>
                <w:noProof/>
              </w:rPr>
              <w:t> </w:t>
            </w:r>
          </w:p>
        </w:tc>
        <w:tc>
          <w:tcPr>
            <w:tcW w:w="4110" w:type="dxa"/>
            <w:shd w:val="clear" w:color="auto" w:fill="BDD7EE"/>
            <w:vAlign w:val="center"/>
            <w:hideMark/>
          </w:tcPr>
          <w:p w14:paraId="50B4BF69" w14:textId="77777777" w:rsidR="003B5F50" w:rsidRDefault="000D2D85">
            <w:pPr>
              <w:pStyle w:val="P68B1DB1-Normal84"/>
              <w:spacing w:after="0" w:line="240" w:lineRule="auto"/>
              <w:jc w:val="center"/>
              <w:textAlignment w:val="baseline"/>
              <w:rPr>
                <w:rFonts w:eastAsia="Times New Roman"/>
                <w:noProof/>
              </w:rPr>
            </w:pPr>
            <w:r>
              <w:rPr>
                <w:b/>
                <w:noProof/>
              </w:rPr>
              <w:t>Nom</w:t>
            </w:r>
            <w:r>
              <w:rPr>
                <w:noProof/>
              </w:rPr>
              <w:t> </w:t>
            </w:r>
          </w:p>
        </w:tc>
      </w:tr>
      <w:tr w:rsidR="003B5F50" w14:paraId="50B4BF6F" w14:textId="77777777">
        <w:trPr>
          <w:trHeight w:val="1395"/>
        </w:trPr>
        <w:tc>
          <w:tcPr>
            <w:tcW w:w="1228" w:type="dxa"/>
            <w:shd w:val="clear" w:color="auto" w:fill="C6EFCE"/>
            <w:vAlign w:val="center"/>
            <w:hideMark/>
          </w:tcPr>
          <w:p w14:paraId="50B4BF6B" w14:textId="77777777" w:rsidR="003B5F50" w:rsidRDefault="000D2D85">
            <w:pPr>
              <w:pStyle w:val="P68B1DB1-Normal48"/>
              <w:spacing w:line="240" w:lineRule="auto"/>
              <w:jc w:val="center"/>
              <w:rPr>
                <w:noProof/>
              </w:rPr>
            </w:pPr>
            <w:r>
              <w:rPr>
                <w:noProof/>
              </w:rPr>
              <w:t>1</w:t>
            </w:r>
          </w:p>
        </w:tc>
        <w:tc>
          <w:tcPr>
            <w:tcW w:w="3777" w:type="dxa"/>
            <w:shd w:val="clear" w:color="auto" w:fill="C6EFCE"/>
            <w:vAlign w:val="center"/>
            <w:hideMark/>
          </w:tcPr>
          <w:p w14:paraId="50B4BF6C" w14:textId="77777777" w:rsidR="003B5F50" w:rsidRDefault="000D2D85">
            <w:pPr>
              <w:pStyle w:val="P68B1DB1-Normal14"/>
              <w:spacing w:line="240" w:lineRule="auto"/>
              <w:jc w:val="center"/>
              <w:rPr>
                <w:noProof/>
              </w:rPr>
            </w:pPr>
            <w:r>
              <w:rPr>
                <w:noProof/>
              </w:rPr>
              <w:t>5- Adaptation au changement climatique - Réforme 2: Réformer la conservation de la nature et la gestion de l'eau dans le pays</w:t>
            </w:r>
          </w:p>
        </w:tc>
        <w:tc>
          <w:tcPr>
            <w:tcW w:w="1134" w:type="dxa"/>
            <w:shd w:val="clear" w:color="auto" w:fill="C6EFCE"/>
            <w:vAlign w:val="center"/>
            <w:hideMark/>
          </w:tcPr>
          <w:p w14:paraId="50B4BF6D"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F6E" w14:textId="77777777" w:rsidR="003B5F50" w:rsidRDefault="000D2D85">
            <w:pPr>
              <w:pStyle w:val="P68B1DB1-Normal14"/>
              <w:spacing w:line="240" w:lineRule="auto"/>
              <w:jc w:val="center"/>
              <w:rPr>
                <w:noProof/>
              </w:rPr>
            </w:pPr>
            <w:r>
              <w:rPr>
                <w:noProof/>
              </w:rPr>
              <w:t>Finalisation du processus de zonage du parc national</w:t>
            </w:r>
          </w:p>
        </w:tc>
      </w:tr>
      <w:tr w:rsidR="003B5F50" w14:paraId="50B4BF74" w14:textId="77777777">
        <w:trPr>
          <w:trHeight w:val="1395"/>
        </w:trPr>
        <w:tc>
          <w:tcPr>
            <w:tcW w:w="1228" w:type="dxa"/>
            <w:shd w:val="clear" w:color="auto" w:fill="C6EFCE"/>
            <w:vAlign w:val="center"/>
            <w:hideMark/>
          </w:tcPr>
          <w:p w14:paraId="50B4BF70" w14:textId="77777777" w:rsidR="003B5F50" w:rsidRDefault="000D2D85">
            <w:pPr>
              <w:pStyle w:val="P68B1DB1-Normal48"/>
              <w:spacing w:line="240" w:lineRule="auto"/>
              <w:jc w:val="center"/>
              <w:rPr>
                <w:rFonts w:eastAsia="Times New Roman"/>
                <w:noProof/>
              </w:rPr>
            </w:pPr>
            <w:r>
              <w:rPr>
                <w:noProof/>
              </w:rPr>
              <w:t>2</w:t>
            </w:r>
          </w:p>
        </w:tc>
        <w:tc>
          <w:tcPr>
            <w:tcW w:w="3777" w:type="dxa"/>
            <w:shd w:val="clear" w:color="auto" w:fill="C6EFCE"/>
            <w:vAlign w:val="center"/>
            <w:hideMark/>
          </w:tcPr>
          <w:p w14:paraId="50B4BF71" w14:textId="77777777" w:rsidR="003B5F50" w:rsidRDefault="000D2D85">
            <w:pPr>
              <w:pStyle w:val="P68B1DB1-Normal14"/>
              <w:spacing w:line="240" w:lineRule="auto"/>
              <w:jc w:val="center"/>
              <w:rPr>
                <w:noProof/>
              </w:rPr>
            </w:pPr>
            <w:r>
              <w:rPr>
                <w:noProof/>
              </w:rPr>
              <w:t>6 - Accessibilité, développement et qualité de l'éducation inclusive - Réforme 2: La définition de la notion de besoins éducatifs spéciaux des enfants et des élèves et l'élaboration d'un modèle pour les mesures de soutien éligibles dans le domaine de l'éducation, y compris leur système de financement</w:t>
            </w:r>
          </w:p>
        </w:tc>
        <w:tc>
          <w:tcPr>
            <w:tcW w:w="1134" w:type="dxa"/>
            <w:shd w:val="clear" w:color="auto" w:fill="C6EFCE"/>
            <w:vAlign w:val="center"/>
            <w:hideMark/>
          </w:tcPr>
          <w:p w14:paraId="50B4BF72" w14:textId="77777777" w:rsidR="003B5F50" w:rsidRDefault="000D2D85">
            <w:pPr>
              <w:pStyle w:val="P68B1DB1-Normal14"/>
              <w:spacing w:after="0" w:line="240" w:lineRule="auto"/>
              <w:jc w:val="center"/>
              <w:rPr>
                <w:noProof/>
              </w:rPr>
            </w:pPr>
            <w:r>
              <w:rPr>
                <w:noProof/>
              </w:rPr>
              <w:t>Objectif</w:t>
            </w:r>
          </w:p>
        </w:tc>
        <w:tc>
          <w:tcPr>
            <w:tcW w:w="4110" w:type="dxa"/>
            <w:shd w:val="clear" w:color="auto" w:fill="C6EFCE"/>
            <w:vAlign w:val="center"/>
            <w:hideMark/>
          </w:tcPr>
          <w:p w14:paraId="50B4BF73" w14:textId="77777777" w:rsidR="003B5F50" w:rsidRDefault="000D2D85">
            <w:pPr>
              <w:pStyle w:val="P68B1DB1-Normal27"/>
              <w:spacing w:line="240" w:lineRule="auto"/>
              <w:jc w:val="center"/>
              <w:rPr>
                <w:rFonts w:ascii="Times New Roman" w:hAnsi="Times New Roman"/>
                <w:noProof/>
              </w:rPr>
            </w:pPr>
            <w:r>
              <w:rPr>
                <w:rFonts w:ascii="Times New Roman" w:hAnsi="Times New Roman"/>
                <w:noProof/>
              </w:rPr>
              <w:t xml:space="preserve">Nombre de </w:t>
            </w:r>
            <w:r>
              <w:rPr>
                <w:rFonts w:ascii="Times New Roman" w:eastAsia="MS Mincho" w:hAnsi="Times New Roman" w:cs="Arial"/>
                <w:noProof/>
                <w:szCs w:val="22"/>
              </w:rPr>
              <w:t xml:space="preserve">personnes formées qui sont soit un enseignant, soit un spécialiste de l'éducation </w:t>
            </w:r>
          </w:p>
        </w:tc>
      </w:tr>
      <w:tr w:rsidR="003B5F50" w14:paraId="50B4BF7A" w14:textId="77777777">
        <w:trPr>
          <w:trHeight w:val="1395"/>
        </w:trPr>
        <w:tc>
          <w:tcPr>
            <w:tcW w:w="1228" w:type="dxa"/>
            <w:shd w:val="clear" w:color="auto" w:fill="C6EFCE"/>
            <w:vAlign w:val="center"/>
          </w:tcPr>
          <w:p w14:paraId="50B4BF75" w14:textId="77777777" w:rsidR="003B5F50" w:rsidRDefault="000D2D85">
            <w:pPr>
              <w:pStyle w:val="P68B1DB1-Normal10"/>
              <w:spacing w:after="0" w:line="240" w:lineRule="auto"/>
              <w:jc w:val="center"/>
              <w:textAlignment w:val="baseline"/>
              <w:rPr>
                <w:noProof/>
              </w:rPr>
            </w:pPr>
            <w:r>
              <w:rPr>
                <w:noProof/>
              </w:rPr>
              <w:t>3</w:t>
            </w:r>
          </w:p>
        </w:tc>
        <w:tc>
          <w:tcPr>
            <w:tcW w:w="3777" w:type="dxa"/>
            <w:shd w:val="clear" w:color="auto" w:fill="C6EFCE"/>
            <w:vAlign w:val="center"/>
            <w:hideMark/>
          </w:tcPr>
          <w:p w14:paraId="50B4BF76" w14:textId="77777777" w:rsidR="003B5F50" w:rsidRDefault="000D2D85">
            <w:pPr>
              <w:pStyle w:val="P68B1DB1-Normal14"/>
              <w:spacing w:after="0" w:line="240" w:lineRule="auto"/>
              <w:jc w:val="center"/>
              <w:textAlignment w:val="baseline"/>
              <w:rPr>
                <w:noProof/>
              </w:rPr>
            </w:pPr>
            <w:r>
              <w:rPr>
                <w:noProof/>
              </w:rPr>
              <w:t>6 - Accessibilité, développement et qualité de l'éducation inclusive - Réforme 5: Promouvoir la déségrégation scolaire </w:t>
            </w:r>
          </w:p>
        </w:tc>
        <w:tc>
          <w:tcPr>
            <w:tcW w:w="1134" w:type="dxa"/>
            <w:shd w:val="clear" w:color="auto" w:fill="C6EFCE"/>
            <w:vAlign w:val="center"/>
            <w:hideMark/>
          </w:tcPr>
          <w:p w14:paraId="50B4BF77"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F78" w14:textId="77777777" w:rsidR="003B5F50" w:rsidRDefault="000D2D85">
            <w:pPr>
              <w:pStyle w:val="P68B1DB1-Normal42"/>
              <w:spacing w:line="259" w:lineRule="auto"/>
              <w:rPr>
                <w:noProof/>
              </w:rPr>
            </w:pPr>
            <w:r>
              <w:rPr>
                <w:noProof/>
              </w:rPr>
              <w:t xml:space="preserve">Introduction de normes de déségrégation </w:t>
            </w:r>
          </w:p>
          <w:p w14:paraId="50B4BF79" w14:textId="77777777" w:rsidR="003B5F50" w:rsidRDefault="003B5F50">
            <w:pPr>
              <w:spacing w:after="0" w:line="240" w:lineRule="auto"/>
              <w:jc w:val="center"/>
              <w:textAlignment w:val="baseline"/>
              <w:rPr>
                <w:rFonts w:ascii="Times New Roman" w:hAnsi="Times New Roman"/>
                <w:noProof/>
                <w:color w:val="006100"/>
                <w:sz w:val="20"/>
              </w:rPr>
            </w:pPr>
          </w:p>
        </w:tc>
      </w:tr>
      <w:tr w:rsidR="003B5F50" w14:paraId="50B4BF7F" w14:textId="77777777">
        <w:trPr>
          <w:trHeight w:val="1395"/>
        </w:trPr>
        <w:tc>
          <w:tcPr>
            <w:tcW w:w="1228" w:type="dxa"/>
            <w:shd w:val="clear" w:color="auto" w:fill="C6EFCE"/>
            <w:vAlign w:val="center"/>
          </w:tcPr>
          <w:p w14:paraId="50B4BF7B" w14:textId="77777777" w:rsidR="003B5F50" w:rsidRDefault="000D2D85">
            <w:pPr>
              <w:pStyle w:val="P68B1DB1-Normal48"/>
              <w:spacing w:after="0" w:line="240" w:lineRule="auto"/>
              <w:jc w:val="center"/>
              <w:textAlignment w:val="baseline"/>
              <w:rPr>
                <w:rFonts w:eastAsia="Times New Roman"/>
                <w:noProof/>
              </w:rPr>
            </w:pPr>
            <w:r>
              <w:rPr>
                <w:noProof/>
              </w:rPr>
              <w:t>4 </w:t>
            </w:r>
          </w:p>
        </w:tc>
        <w:tc>
          <w:tcPr>
            <w:tcW w:w="3777" w:type="dxa"/>
            <w:shd w:val="clear" w:color="auto" w:fill="C6EFCE"/>
            <w:vAlign w:val="center"/>
            <w:hideMark/>
          </w:tcPr>
          <w:p w14:paraId="50B4BF7C" w14:textId="77777777" w:rsidR="003B5F50" w:rsidRDefault="000D2D85">
            <w:pPr>
              <w:pStyle w:val="P68B1DB1-Normal14"/>
              <w:spacing w:after="0" w:line="240" w:lineRule="auto"/>
              <w:jc w:val="center"/>
              <w:textAlignment w:val="baseline"/>
              <w:rPr>
                <w:noProof/>
              </w:rPr>
            </w:pPr>
            <w:r>
              <w:rPr>
                <w:noProof/>
              </w:rPr>
              <w:t xml:space="preserve">7 - L'éducation pour le XXIe siècle - Réforme 1: Réforme du contenu et de la forme de l'éducation </w:t>
            </w:r>
          </w:p>
        </w:tc>
        <w:tc>
          <w:tcPr>
            <w:tcW w:w="1134" w:type="dxa"/>
            <w:shd w:val="clear" w:color="auto" w:fill="C6EFCE"/>
            <w:vAlign w:val="center"/>
            <w:hideMark/>
          </w:tcPr>
          <w:p w14:paraId="50B4BF7D"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F7E" w14:textId="77777777" w:rsidR="003B5F50" w:rsidRDefault="000D2D85">
            <w:pPr>
              <w:pStyle w:val="P68B1DB1-Normal14"/>
              <w:spacing w:after="0" w:line="240" w:lineRule="auto"/>
              <w:jc w:val="center"/>
              <w:textAlignment w:val="baseline"/>
              <w:rPr>
                <w:noProof/>
              </w:rPr>
            </w:pPr>
            <w:r>
              <w:rPr>
                <w:noProof/>
              </w:rPr>
              <w:t>Mise en œuvre de la réforme des programmes et de nouveaux matériels pédagogiques pour les écoles</w:t>
            </w:r>
          </w:p>
        </w:tc>
      </w:tr>
      <w:tr w:rsidR="003B5F50" w14:paraId="50B4BF84" w14:textId="77777777">
        <w:trPr>
          <w:trHeight w:val="1395"/>
        </w:trPr>
        <w:tc>
          <w:tcPr>
            <w:tcW w:w="1228" w:type="dxa"/>
            <w:shd w:val="clear" w:color="auto" w:fill="C6EFCE"/>
            <w:vAlign w:val="center"/>
          </w:tcPr>
          <w:p w14:paraId="50B4BF80" w14:textId="77777777" w:rsidR="003B5F50" w:rsidRDefault="000D2D85">
            <w:pPr>
              <w:pStyle w:val="P68B1DB1-Normal48"/>
              <w:spacing w:after="0" w:line="240" w:lineRule="auto"/>
              <w:jc w:val="center"/>
              <w:textAlignment w:val="baseline"/>
              <w:rPr>
                <w:rFonts w:eastAsia="Times New Roman"/>
                <w:noProof/>
              </w:rPr>
            </w:pPr>
            <w:r>
              <w:rPr>
                <w:noProof/>
              </w:rPr>
              <w:t>5 </w:t>
            </w:r>
          </w:p>
        </w:tc>
        <w:tc>
          <w:tcPr>
            <w:tcW w:w="3777" w:type="dxa"/>
            <w:shd w:val="clear" w:color="auto" w:fill="C6EFCE"/>
            <w:vAlign w:val="center"/>
            <w:hideMark/>
          </w:tcPr>
          <w:p w14:paraId="50B4BF81" w14:textId="77777777" w:rsidR="003B5F50" w:rsidRDefault="000D2D85">
            <w:pPr>
              <w:pStyle w:val="P68B1DB1-Normal14"/>
              <w:spacing w:after="0" w:line="240" w:lineRule="auto"/>
              <w:jc w:val="center"/>
              <w:textAlignment w:val="baseline"/>
              <w:rPr>
                <w:noProof/>
              </w:rPr>
            </w:pPr>
            <w:r>
              <w:rPr>
                <w:noProof/>
              </w:rPr>
              <w:t>7 - L'éducation pour le XXIe siècle - Réforme 1: Réforme du contenu et de la forme de l'éducation</w:t>
            </w:r>
          </w:p>
        </w:tc>
        <w:tc>
          <w:tcPr>
            <w:tcW w:w="1134" w:type="dxa"/>
            <w:shd w:val="clear" w:color="auto" w:fill="C6EFCE"/>
            <w:vAlign w:val="center"/>
            <w:hideMark/>
          </w:tcPr>
          <w:p w14:paraId="50B4BF82"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F83" w14:textId="77777777" w:rsidR="003B5F50" w:rsidRDefault="000D2D85">
            <w:pPr>
              <w:pStyle w:val="P68B1DB1-Normal14"/>
              <w:spacing w:after="0" w:line="240" w:lineRule="auto"/>
              <w:jc w:val="center"/>
              <w:textAlignment w:val="baseline"/>
              <w:rPr>
                <w:noProof/>
              </w:rPr>
            </w:pPr>
            <w:r>
              <w:rPr>
                <w:noProof/>
              </w:rPr>
              <w:t xml:space="preserve">Introduction d'un examen final en ligne (maturita) pour toutes les écoles secondaires supérieures </w:t>
            </w:r>
          </w:p>
        </w:tc>
      </w:tr>
      <w:tr w:rsidR="003B5F50" w14:paraId="50B4BF8A" w14:textId="77777777">
        <w:trPr>
          <w:trHeight w:val="1395"/>
        </w:trPr>
        <w:tc>
          <w:tcPr>
            <w:tcW w:w="1228" w:type="dxa"/>
            <w:shd w:val="clear" w:color="auto" w:fill="C6EFCE"/>
            <w:vAlign w:val="center"/>
          </w:tcPr>
          <w:p w14:paraId="50B4BF85" w14:textId="77777777" w:rsidR="003B5F50" w:rsidRDefault="000D2D85">
            <w:pPr>
              <w:pStyle w:val="P68B1DB1-Normal48"/>
              <w:spacing w:line="240" w:lineRule="auto"/>
              <w:jc w:val="center"/>
              <w:rPr>
                <w:rFonts w:eastAsia="Times New Roman"/>
                <w:noProof/>
              </w:rPr>
            </w:pPr>
            <w:r>
              <w:rPr>
                <w:noProof/>
              </w:rPr>
              <w:t>6 </w:t>
            </w:r>
          </w:p>
        </w:tc>
        <w:tc>
          <w:tcPr>
            <w:tcW w:w="3777" w:type="dxa"/>
            <w:shd w:val="clear" w:color="auto" w:fill="C6EFCE"/>
            <w:vAlign w:val="center"/>
            <w:hideMark/>
          </w:tcPr>
          <w:p w14:paraId="50B4BF86" w14:textId="6DAE8C08" w:rsidR="003B5F50" w:rsidRDefault="000D2D85">
            <w:pPr>
              <w:pStyle w:val="P68B1DB1-Normal14"/>
              <w:spacing w:line="240" w:lineRule="auto"/>
              <w:jc w:val="center"/>
              <w:rPr>
                <w:noProof/>
              </w:rPr>
            </w:pPr>
            <w:r>
              <w:rPr>
                <w:noProof/>
              </w:rPr>
              <w:t xml:space="preserve">7 – L’éducation pour le XXIe siècle – Investissement 1: Infrastructure numérique dans les écoles </w:t>
            </w:r>
          </w:p>
        </w:tc>
        <w:tc>
          <w:tcPr>
            <w:tcW w:w="1134" w:type="dxa"/>
            <w:shd w:val="clear" w:color="auto" w:fill="C6EFCE"/>
            <w:vAlign w:val="center"/>
            <w:hideMark/>
          </w:tcPr>
          <w:p w14:paraId="50B4BF87" w14:textId="77777777" w:rsidR="003B5F50" w:rsidRDefault="000D2D85">
            <w:pPr>
              <w:pStyle w:val="P68B1DB1-Normal14"/>
              <w:spacing w:line="240" w:lineRule="auto"/>
              <w:jc w:val="center"/>
              <w:rPr>
                <w:noProof/>
              </w:rPr>
            </w:pPr>
            <w:r>
              <w:rPr>
                <w:noProof/>
              </w:rPr>
              <w:t>Objectif</w:t>
            </w:r>
          </w:p>
        </w:tc>
        <w:tc>
          <w:tcPr>
            <w:tcW w:w="4110" w:type="dxa"/>
            <w:shd w:val="clear" w:color="auto" w:fill="C6EFCE"/>
            <w:vAlign w:val="center"/>
            <w:hideMark/>
          </w:tcPr>
          <w:p w14:paraId="50B4BF88" w14:textId="1ADBF3DB" w:rsidR="003B5F50" w:rsidRDefault="003B5F50">
            <w:pPr>
              <w:spacing w:line="240" w:lineRule="auto"/>
              <w:jc w:val="center"/>
              <w:rPr>
                <w:rFonts w:ascii="Times New Roman" w:hAnsi="Times New Roman"/>
                <w:noProof/>
                <w:color w:val="006100"/>
                <w:sz w:val="20"/>
                <w:szCs w:val="20"/>
              </w:rPr>
            </w:pPr>
          </w:p>
          <w:p w14:paraId="50B4BF89" w14:textId="7B1CA092" w:rsidR="003B5F50" w:rsidRDefault="000D2D85">
            <w:pPr>
              <w:pStyle w:val="P68B1DB1-Normal15"/>
              <w:spacing w:line="240" w:lineRule="auto"/>
              <w:jc w:val="center"/>
              <w:rPr>
                <w:rFonts w:eastAsia="Times New Roman" w:cs="Times New Roman"/>
                <w:noProof/>
              </w:rPr>
            </w:pPr>
            <w:r>
              <w:rPr>
                <w:noProof/>
              </w:rPr>
              <w:t>Livraison d'équipements numériques aux écoles</w:t>
            </w:r>
          </w:p>
        </w:tc>
      </w:tr>
      <w:tr w:rsidR="003B5F50" w14:paraId="50B4BF8F" w14:textId="77777777">
        <w:trPr>
          <w:trHeight w:val="1395"/>
        </w:trPr>
        <w:tc>
          <w:tcPr>
            <w:tcW w:w="1228" w:type="dxa"/>
            <w:shd w:val="clear" w:color="auto" w:fill="C6EFCE"/>
            <w:vAlign w:val="center"/>
          </w:tcPr>
          <w:p w14:paraId="50B4BF8B" w14:textId="77777777" w:rsidR="003B5F50" w:rsidRDefault="000D2D85">
            <w:pPr>
              <w:pStyle w:val="P68B1DB1-Normal48"/>
              <w:spacing w:line="240" w:lineRule="auto"/>
              <w:jc w:val="center"/>
              <w:rPr>
                <w:noProof/>
              </w:rPr>
            </w:pPr>
            <w:r>
              <w:rPr>
                <w:noProof/>
              </w:rPr>
              <w:t>7</w:t>
            </w:r>
          </w:p>
        </w:tc>
        <w:tc>
          <w:tcPr>
            <w:tcW w:w="3777" w:type="dxa"/>
            <w:shd w:val="clear" w:color="auto" w:fill="C6EFCE"/>
            <w:vAlign w:val="center"/>
          </w:tcPr>
          <w:p w14:paraId="50B4BF8C" w14:textId="77777777" w:rsidR="003B5F50" w:rsidRDefault="000D2D85">
            <w:pPr>
              <w:pStyle w:val="P68B1DB1-Normal14"/>
              <w:spacing w:line="240" w:lineRule="auto"/>
              <w:jc w:val="center"/>
              <w:rPr>
                <w:noProof/>
              </w:rPr>
            </w:pPr>
            <w:r>
              <w:rPr>
                <w:noProof/>
              </w:rPr>
              <w:t>9 - Gouvernance plus efficace et renforcement du financement de la RDI - Investissement 1: Promouvoir la coopération et la participation internationales aux projets Horizon Europe et EIT </w:t>
            </w:r>
          </w:p>
        </w:tc>
        <w:tc>
          <w:tcPr>
            <w:tcW w:w="1134" w:type="dxa"/>
            <w:shd w:val="clear" w:color="auto" w:fill="C6EFCE"/>
            <w:vAlign w:val="center"/>
          </w:tcPr>
          <w:p w14:paraId="50B4BF8D" w14:textId="77777777" w:rsidR="003B5F50" w:rsidRDefault="000D2D85">
            <w:pPr>
              <w:pStyle w:val="P68B1DB1-Normal15"/>
              <w:spacing w:line="240" w:lineRule="auto"/>
              <w:jc w:val="center"/>
              <w:rPr>
                <w:noProof/>
              </w:rPr>
            </w:pPr>
            <w:r>
              <w:rPr>
                <w:noProof/>
              </w:rPr>
              <w:t>Objectif</w:t>
            </w:r>
          </w:p>
        </w:tc>
        <w:tc>
          <w:tcPr>
            <w:tcW w:w="4110" w:type="dxa"/>
            <w:shd w:val="clear" w:color="auto" w:fill="C6EFCE"/>
            <w:vAlign w:val="center"/>
          </w:tcPr>
          <w:p w14:paraId="50B4BF8E" w14:textId="77777777" w:rsidR="003B5F50" w:rsidRDefault="000D2D85">
            <w:pPr>
              <w:pStyle w:val="P68B1DB1-Normal15"/>
              <w:spacing w:line="240" w:lineRule="auto"/>
              <w:jc w:val="center"/>
              <w:rPr>
                <w:noProof/>
              </w:rPr>
            </w:pPr>
            <w:r>
              <w:rPr>
                <w:noProof/>
              </w:rPr>
              <w:t xml:space="preserve">Nombre de projets soutenus visant à accroître la participation aux appels Horizon Europe </w:t>
            </w:r>
          </w:p>
        </w:tc>
      </w:tr>
      <w:tr w:rsidR="003B5F50" w14:paraId="50B4BF94" w14:textId="77777777">
        <w:trPr>
          <w:trHeight w:val="1395"/>
        </w:trPr>
        <w:tc>
          <w:tcPr>
            <w:tcW w:w="1228" w:type="dxa"/>
            <w:shd w:val="clear" w:color="auto" w:fill="C6EFCE"/>
            <w:vAlign w:val="center"/>
          </w:tcPr>
          <w:p w14:paraId="50B4BF90" w14:textId="77777777" w:rsidR="003B5F50" w:rsidRDefault="000D2D85">
            <w:pPr>
              <w:pStyle w:val="P68B1DB1-Normal48"/>
              <w:spacing w:after="0" w:line="240" w:lineRule="auto"/>
              <w:jc w:val="center"/>
              <w:textAlignment w:val="baseline"/>
              <w:rPr>
                <w:noProof/>
              </w:rPr>
            </w:pPr>
            <w:r>
              <w:rPr>
                <w:noProof/>
              </w:rPr>
              <w:t>8 </w:t>
            </w:r>
          </w:p>
        </w:tc>
        <w:tc>
          <w:tcPr>
            <w:tcW w:w="3777" w:type="dxa"/>
            <w:shd w:val="clear" w:color="auto" w:fill="C6EFCE"/>
            <w:vAlign w:val="center"/>
          </w:tcPr>
          <w:p w14:paraId="50B4BF91" w14:textId="77777777" w:rsidR="003B5F50" w:rsidRDefault="000D2D85">
            <w:pPr>
              <w:pStyle w:val="P68B1DB1-Normal14"/>
              <w:spacing w:after="0" w:line="240" w:lineRule="auto"/>
              <w:jc w:val="center"/>
              <w:textAlignment w:val="baseline"/>
              <w:rPr>
                <w:noProof/>
              </w:rPr>
            </w:pPr>
            <w:r>
              <w:rPr>
                <w:noProof/>
              </w:rPr>
              <w:t>9 - Gouvernance plus efficace et renforcement du financement de la RDI - Investissement 2: Soutien à la coopération entre les entreprises, le monde universitaire et les organisations de RD </w:t>
            </w:r>
          </w:p>
        </w:tc>
        <w:tc>
          <w:tcPr>
            <w:tcW w:w="1134" w:type="dxa"/>
            <w:shd w:val="clear" w:color="auto" w:fill="C6EFCE"/>
            <w:vAlign w:val="center"/>
          </w:tcPr>
          <w:p w14:paraId="50B4BF92" w14:textId="77777777" w:rsidR="003B5F50" w:rsidRDefault="000D2D85">
            <w:pPr>
              <w:pStyle w:val="P68B1DB1-Normal15"/>
              <w:spacing w:after="0" w:line="240" w:lineRule="auto"/>
              <w:jc w:val="center"/>
              <w:textAlignment w:val="baseline"/>
              <w:rPr>
                <w:noProof/>
              </w:rPr>
            </w:pPr>
            <w:r>
              <w:rPr>
                <w:noProof/>
              </w:rPr>
              <w:t xml:space="preserve">Étape </w:t>
            </w:r>
          </w:p>
        </w:tc>
        <w:tc>
          <w:tcPr>
            <w:tcW w:w="4110" w:type="dxa"/>
            <w:shd w:val="clear" w:color="auto" w:fill="C6EFCE"/>
            <w:vAlign w:val="center"/>
          </w:tcPr>
          <w:p w14:paraId="50B4BF93" w14:textId="77777777" w:rsidR="003B5F50" w:rsidRDefault="000D2D85">
            <w:pPr>
              <w:pStyle w:val="P68B1DB1-Normal9"/>
              <w:spacing w:after="0" w:line="240" w:lineRule="auto"/>
              <w:jc w:val="center"/>
              <w:textAlignment w:val="baseline"/>
              <w:rPr>
                <w:noProof/>
              </w:rPr>
            </w:pPr>
            <w:r>
              <w:rPr>
                <w:noProof/>
              </w:rPr>
              <w:t>Mise en œuvre d’appels à projets pour soutenir la coopération entre les entreprises, le monde universitaire et les organisations de RD et de bons d’achat</w:t>
            </w:r>
          </w:p>
        </w:tc>
      </w:tr>
      <w:tr w:rsidR="003B5F50" w14:paraId="50B4BF9A" w14:textId="77777777">
        <w:trPr>
          <w:trHeight w:val="1395"/>
        </w:trPr>
        <w:tc>
          <w:tcPr>
            <w:tcW w:w="1228" w:type="dxa"/>
            <w:shd w:val="clear" w:color="auto" w:fill="C6EFCE"/>
            <w:vAlign w:val="center"/>
          </w:tcPr>
          <w:p w14:paraId="50B4BF95" w14:textId="77777777" w:rsidR="003B5F50" w:rsidRDefault="000D2D85">
            <w:pPr>
              <w:pStyle w:val="P68B1DB1-Normal48"/>
              <w:spacing w:after="0" w:line="240" w:lineRule="auto"/>
              <w:jc w:val="center"/>
              <w:textAlignment w:val="baseline"/>
              <w:rPr>
                <w:noProof/>
              </w:rPr>
            </w:pPr>
            <w:r>
              <w:rPr>
                <w:noProof/>
              </w:rPr>
              <w:t>9</w:t>
            </w:r>
          </w:p>
        </w:tc>
        <w:tc>
          <w:tcPr>
            <w:tcW w:w="3777" w:type="dxa"/>
            <w:shd w:val="clear" w:color="auto" w:fill="C6EFCE"/>
            <w:vAlign w:val="center"/>
          </w:tcPr>
          <w:p w14:paraId="50B4BF96" w14:textId="77777777" w:rsidR="003B5F50" w:rsidRDefault="000D2D85">
            <w:pPr>
              <w:pStyle w:val="P68B1DB1-Normal14"/>
              <w:spacing w:after="0" w:line="240" w:lineRule="auto"/>
              <w:jc w:val="center"/>
              <w:textAlignment w:val="baseline"/>
              <w:rPr>
                <w:noProof/>
              </w:rPr>
            </w:pPr>
            <w:r>
              <w:rPr>
                <w:noProof/>
              </w:rPr>
              <w:t>9 - Gouvernance plus efficace et renforcement du financement de la RDI - Investissement 3: Excellente science </w:t>
            </w:r>
          </w:p>
        </w:tc>
        <w:tc>
          <w:tcPr>
            <w:tcW w:w="1134" w:type="dxa"/>
            <w:shd w:val="clear" w:color="auto" w:fill="C6EFCE"/>
            <w:vAlign w:val="center"/>
          </w:tcPr>
          <w:p w14:paraId="50B4BF97" w14:textId="77777777" w:rsidR="003B5F50" w:rsidRDefault="000D2D85">
            <w:pPr>
              <w:pStyle w:val="P68B1DB1-Normal15"/>
              <w:spacing w:after="0" w:line="240" w:lineRule="auto"/>
              <w:jc w:val="center"/>
              <w:textAlignment w:val="baseline"/>
              <w:rPr>
                <w:noProof/>
              </w:rPr>
            </w:pPr>
            <w:r>
              <w:rPr>
                <w:noProof/>
              </w:rPr>
              <w:t>Étape</w:t>
            </w:r>
          </w:p>
          <w:p w14:paraId="50B4BF98" w14:textId="77777777" w:rsidR="003B5F50" w:rsidRDefault="003B5F50">
            <w:pPr>
              <w:spacing w:after="0" w:line="240" w:lineRule="auto"/>
              <w:jc w:val="center"/>
              <w:textAlignment w:val="baseline"/>
              <w:rPr>
                <w:rFonts w:ascii="Times New Roman" w:hAnsi="Times New Roman"/>
                <w:noProof/>
                <w:color w:val="006100"/>
                <w:sz w:val="20"/>
                <w:szCs w:val="20"/>
              </w:rPr>
            </w:pPr>
          </w:p>
        </w:tc>
        <w:tc>
          <w:tcPr>
            <w:tcW w:w="4110" w:type="dxa"/>
            <w:shd w:val="clear" w:color="auto" w:fill="C6EFCE"/>
            <w:vAlign w:val="center"/>
          </w:tcPr>
          <w:p w14:paraId="50B4BF99" w14:textId="00958D54" w:rsidR="003B5F50" w:rsidRDefault="000D2D85">
            <w:pPr>
              <w:pStyle w:val="P68B1DB1-Normal17"/>
              <w:spacing w:after="0" w:line="240" w:lineRule="auto"/>
              <w:jc w:val="center"/>
              <w:textAlignment w:val="baseline"/>
              <w:rPr>
                <w:rFonts w:ascii="Times New Roman" w:hAnsi="Times New Roman"/>
                <w:noProof/>
                <w:color w:val="006100"/>
              </w:rPr>
            </w:pPr>
            <w:r>
              <w:rPr>
                <w:rFonts w:ascii="Times New Roman" w:eastAsia="Times New Roman" w:hAnsi="Times New Roman" w:cs="Times New Roman"/>
                <w:noProof/>
                <w:color w:val="006100"/>
              </w:rPr>
              <w:t>Mise en œuvre d'appels pour soutenir d'excellents chercheurs</w:t>
            </w:r>
            <w:r>
              <w:rPr>
                <w:rFonts w:ascii="Times New Roman" w:eastAsia="Times New Roman" w:hAnsi="Times New Roman" w:cs="Times New Roman"/>
                <w:noProof/>
              </w:rPr>
              <w:t xml:space="preserve"> </w:t>
            </w:r>
            <w:r>
              <w:rPr>
                <w:rFonts w:ascii="Times New Roman" w:hAnsi="Times New Roman"/>
                <w:noProof/>
                <w:color w:val="006100"/>
              </w:rPr>
              <w:t> </w:t>
            </w:r>
          </w:p>
        </w:tc>
      </w:tr>
      <w:tr w:rsidR="003B5F50" w14:paraId="50B4BFA0" w14:textId="77777777">
        <w:trPr>
          <w:trHeight w:val="1395"/>
        </w:trPr>
        <w:tc>
          <w:tcPr>
            <w:tcW w:w="1228" w:type="dxa"/>
            <w:shd w:val="clear" w:color="auto" w:fill="C6EFCE"/>
            <w:vAlign w:val="center"/>
          </w:tcPr>
          <w:p w14:paraId="50B4BF9B" w14:textId="77777777" w:rsidR="003B5F50" w:rsidRDefault="000D2D85">
            <w:pPr>
              <w:pStyle w:val="P68B1DB1-Normal48"/>
              <w:spacing w:after="0" w:line="240" w:lineRule="auto"/>
              <w:jc w:val="center"/>
              <w:textAlignment w:val="baseline"/>
              <w:rPr>
                <w:noProof/>
              </w:rPr>
            </w:pPr>
            <w:r>
              <w:rPr>
                <w:noProof/>
              </w:rPr>
              <w:t>10</w:t>
            </w:r>
          </w:p>
        </w:tc>
        <w:tc>
          <w:tcPr>
            <w:tcW w:w="3777" w:type="dxa"/>
            <w:shd w:val="clear" w:color="auto" w:fill="C6EFCE"/>
            <w:vAlign w:val="center"/>
          </w:tcPr>
          <w:p w14:paraId="50B4BF9C" w14:textId="77777777" w:rsidR="003B5F50" w:rsidRDefault="000D2D85">
            <w:pPr>
              <w:pStyle w:val="P68B1DB1-Normal14"/>
              <w:spacing w:after="0" w:line="240" w:lineRule="auto"/>
              <w:jc w:val="center"/>
              <w:textAlignment w:val="baseline"/>
              <w:rPr>
                <w:noProof/>
              </w:rPr>
            </w:pPr>
            <w:r>
              <w:rPr>
                <w:noProof/>
              </w:rPr>
              <w:t>9 - Gouvernance plus efficace et renforcement du financement de la RDI - Investissement 4: Recherche et innovation pour décarboner l’économie </w:t>
            </w:r>
          </w:p>
        </w:tc>
        <w:tc>
          <w:tcPr>
            <w:tcW w:w="1134" w:type="dxa"/>
            <w:shd w:val="clear" w:color="auto" w:fill="C6EFCE"/>
            <w:vAlign w:val="center"/>
          </w:tcPr>
          <w:p w14:paraId="50B4BF9D" w14:textId="77777777" w:rsidR="003B5F50" w:rsidRDefault="000D2D85">
            <w:pPr>
              <w:pStyle w:val="P68B1DB1-Normal15"/>
              <w:spacing w:after="0" w:line="240" w:lineRule="auto"/>
              <w:jc w:val="center"/>
              <w:textAlignment w:val="baseline"/>
              <w:rPr>
                <w:noProof/>
              </w:rPr>
            </w:pPr>
            <w:r>
              <w:rPr>
                <w:noProof/>
              </w:rPr>
              <w:t>Étape</w:t>
            </w:r>
          </w:p>
          <w:p w14:paraId="50B4BF9E" w14:textId="77777777" w:rsidR="003B5F50" w:rsidRDefault="003B5F50">
            <w:pPr>
              <w:spacing w:after="0" w:line="240" w:lineRule="auto"/>
              <w:jc w:val="center"/>
              <w:textAlignment w:val="baseline"/>
              <w:rPr>
                <w:rFonts w:ascii="Times New Roman" w:hAnsi="Times New Roman"/>
                <w:noProof/>
                <w:color w:val="006100"/>
                <w:sz w:val="20"/>
                <w:szCs w:val="20"/>
              </w:rPr>
            </w:pPr>
          </w:p>
        </w:tc>
        <w:tc>
          <w:tcPr>
            <w:tcW w:w="4110" w:type="dxa"/>
            <w:shd w:val="clear" w:color="auto" w:fill="C6EFCE"/>
            <w:vAlign w:val="center"/>
          </w:tcPr>
          <w:p w14:paraId="50B4BF9F" w14:textId="77777777" w:rsidR="003B5F50" w:rsidRDefault="000D2D85">
            <w:pPr>
              <w:pStyle w:val="P68B1DB1-Normal9"/>
              <w:spacing w:after="0" w:line="240" w:lineRule="auto"/>
              <w:jc w:val="center"/>
              <w:textAlignment w:val="baseline"/>
              <w:rPr>
                <w:noProof/>
              </w:rPr>
            </w:pPr>
            <w:r>
              <w:rPr>
                <w:noProof/>
              </w:rPr>
              <w:t>Mise en œuvre d’appels à projets thématiques axés sur la demande pour relever les défis de la transition écologique</w:t>
            </w:r>
          </w:p>
        </w:tc>
      </w:tr>
      <w:tr w:rsidR="003B5F50" w14:paraId="50B4BFA6" w14:textId="77777777">
        <w:trPr>
          <w:trHeight w:val="1395"/>
        </w:trPr>
        <w:tc>
          <w:tcPr>
            <w:tcW w:w="1228" w:type="dxa"/>
            <w:shd w:val="clear" w:color="auto" w:fill="C6EFCE"/>
            <w:vAlign w:val="center"/>
          </w:tcPr>
          <w:p w14:paraId="50B4BFA1" w14:textId="77777777" w:rsidR="003B5F50" w:rsidRDefault="000D2D85">
            <w:pPr>
              <w:pStyle w:val="P68B1DB1-Normal48"/>
              <w:spacing w:after="0" w:line="240" w:lineRule="auto"/>
              <w:jc w:val="center"/>
              <w:textAlignment w:val="baseline"/>
              <w:rPr>
                <w:noProof/>
              </w:rPr>
            </w:pPr>
            <w:r>
              <w:rPr>
                <w:noProof/>
              </w:rPr>
              <w:t>11</w:t>
            </w:r>
          </w:p>
        </w:tc>
        <w:tc>
          <w:tcPr>
            <w:tcW w:w="3777" w:type="dxa"/>
            <w:shd w:val="clear" w:color="auto" w:fill="C6EFCE"/>
            <w:vAlign w:val="center"/>
          </w:tcPr>
          <w:p w14:paraId="50B4BFA2" w14:textId="77777777" w:rsidR="003B5F50" w:rsidRDefault="000D2D85">
            <w:pPr>
              <w:pStyle w:val="P68B1DB1-Normal14"/>
              <w:spacing w:after="0" w:line="240" w:lineRule="auto"/>
              <w:jc w:val="center"/>
              <w:textAlignment w:val="baseline"/>
              <w:rPr>
                <w:noProof/>
              </w:rPr>
            </w:pPr>
            <w:r>
              <w:rPr>
                <w:noProof/>
              </w:rPr>
              <w:t>9 - Gouvernance plus efficace et renforcement du financement de la RDI - Investissement 5: Recherche et innovation pour la numérisation de l’économie </w:t>
            </w:r>
          </w:p>
        </w:tc>
        <w:tc>
          <w:tcPr>
            <w:tcW w:w="1134" w:type="dxa"/>
            <w:shd w:val="clear" w:color="auto" w:fill="C6EFCE"/>
            <w:vAlign w:val="center"/>
          </w:tcPr>
          <w:p w14:paraId="50B4BFA3" w14:textId="77777777" w:rsidR="003B5F50" w:rsidRDefault="000D2D85">
            <w:pPr>
              <w:pStyle w:val="P68B1DB1-Normal15"/>
              <w:spacing w:after="0" w:line="240" w:lineRule="auto"/>
              <w:jc w:val="center"/>
              <w:textAlignment w:val="baseline"/>
              <w:rPr>
                <w:noProof/>
              </w:rPr>
            </w:pPr>
            <w:r>
              <w:rPr>
                <w:noProof/>
              </w:rPr>
              <w:t>Étape</w:t>
            </w:r>
          </w:p>
          <w:p w14:paraId="50B4BFA4" w14:textId="77777777" w:rsidR="003B5F50" w:rsidRDefault="003B5F50">
            <w:pPr>
              <w:spacing w:after="0" w:line="240" w:lineRule="auto"/>
              <w:jc w:val="center"/>
              <w:textAlignment w:val="baseline"/>
              <w:rPr>
                <w:rFonts w:ascii="Times New Roman" w:hAnsi="Times New Roman"/>
                <w:noProof/>
                <w:color w:val="006100"/>
                <w:sz w:val="20"/>
                <w:szCs w:val="20"/>
              </w:rPr>
            </w:pPr>
          </w:p>
        </w:tc>
        <w:tc>
          <w:tcPr>
            <w:tcW w:w="4110" w:type="dxa"/>
            <w:shd w:val="clear" w:color="auto" w:fill="C6EFCE"/>
            <w:vAlign w:val="center"/>
          </w:tcPr>
          <w:p w14:paraId="50B4BFA5" w14:textId="77777777" w:rsidR="003B5F50" w:rsidRDefault="000D2D85">
            <w:pPr>
              <w:pStyle w:val="P68B1DB1-Normal9"/>
              <w:spacing w:after="0" w:line="240" w:lineRule="auto"/>
              <w:jc w:val="center"/>
              <w:textAlignment w:val="baseline"/>
              <w:rPr>
                <w:noProof/>
              </w:rPr>
            </w:pPr>
            <w:r>
              <w:rPr>
                <w:noProof/>
              </w:rPr>
              <w:t>Mise en œuvre d’appels à projets thématiques axés sur la demande pour relever les défis de la transition numérique</w:t>
            </w:r>
          </w:p>
        </w:tc>
      </w:tr>
      <w:tr w:rsidR="003B5F50" w14:paraId="50B4BFAB" w14:textId="77777777">
        <w:trPr>
          <w:trHeight w:val="1395"/>
        </w:trPr>
        <w:tc>
          <w:tcPr>
            <w:tcW w:w="1228" w:type="dxa"/>
            <w:shd w:val="clear" w:color="auto" w:fill="C6EFCE"/>
            <w:vAlign w:val="center"/>
            <w:hideMark/>
          </w:tcPr>
          <w:p w14:paraId="50B4BFA7" w14:textId="77777777" w:rsidR="003B5F50" w:rsidRDefault="000D2D85">
            <w:pPr>
              <w:pStyle w:val="P68B1DB1-Normal10"/>
              <w:spacing w:after="0" w:line="240" w:lineRule="auto"/>
              <w:jc w:val="center"/>
              <w:textAlignment w:val="baseline"/>
              <w:rPr>
                <w:noProof/>
              </w:rPr>
            </w:pPr>
            <w:r>
              <w:rPr>
                <w:noProof/>
              </w:rPr>
              <w:t>12</w:t>
            </w:r>
          </w:p>
        </w:tc>
        <w:tc>
          <w:tcPr>
            <w:tcW w:w="3777" w:type="dxa"/>
            <w:shd w:val="clear" w:color="auto" w:fill="C6EFCE"/>
            <w:vAlign w:val="center"/>
            <w:hideMark/>
          </w:tcPr>
          <w:p w14:paraId="50B4BFA8" w14:textId="77777777" w:rsidR="003B5F50" w:rsidRDefault="000D2D85">
            <w:pPr>
              <w:pStyle w:val="P68B1DB1-Normal14"/>
              <w:spacing w:after="0" w:line="240" w:lineRule="auto"/>
              <w:jc w:val="center"/>
              <w:textAlignment w:val="baseline"/>
              <w:rPr>
                <w:noProof/>
              </w:rPr>
            </w:pPr>
            <w:r>
              <w:rPr>
                <w:noProof/>
              </w:rPr>
              <w:t>10 - Attirer et retenir les talents - Investissement 4: Promouvoir l'internationalisation dans le milieu universitaire </w:t>
            </w:r>
          </w:p>
        </w:tc>
        <w:tc>
          <w:tcPr>
            <w:tcW w:w="1134" w:type="dxa"/>
            <w:shd w:val="clear" w:color="auto" w:fill="C6EFCE"/>
            <w:vAlign w:val="center"/>
            <w:hideMark/>
          </w:tcPr>
          <w:p w14:paraId="50B4BFA9"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FAA" w14:textId="77777777" w:rsidR="003B5F50" w:rsidRDefault="000D2D85">
            <w:pPr>
              <w:pStyle w:val="P68B1DB1-Normal14"/>
              <w:spacing w:after="0" w:line="240" w:lineRule="auto"/>
              <w:jc w:val="center"/>
              <w:textAlignment w:val="baseline"/>
              <w:rPr>
                <w:noProof/>
              </w:rPr>
            </w:pPr>
            <w:r>
              <w:rPr>
                <w:noProof/>
              </w:rPr>
              <w:t>Nombre de projets visant à internationaliser les établissements d’enseignement supérieur ou de recherche slovaques </w:t>
            </w:r>
          </w:p>
        </w:tc>
      </w:tr>
      <w:tr w:rsidR="003B5F50" w14:paraId="50B4BFB0" w14:textId="77777777">
        <w:trPr>
          <w:trHeight w:val="1395"/>
        </w:trPr>
        <w:tc>
          <w:tcPr>
            <w:tcW w:w="1228" w:type="dxa"/>
            <w:shd w:val="clear" w:color="auto" w:fill="C6EFCE"/>
            <w:vAlign w:val="center"/>
            <w:hideMark/>
          </w:tcPr>
          <w:p w14:paraId="50B4BFAC" w14:textId="77777777" w:rsidR="003B5F50" w:rsidRDefault="000D2D85">
            <w:pPr>
              <w:pStyle w:val="P68B1DB1-Normal10"/>
              <w:spacing w:after="0" w:line="240" w:lineRule="auto"/>
              <w:jc w:val="center"/>
              <w:textAlignment w:val="baseline"/>
              <w:rPr>
                <w:noProof/>
              </w:rPr>
            </w:pPr>
            <w:r>
              <w:rPr>
                <w:noProof/>
              </w:rPr>
              <w:t>13</w:t>
            </w:r>
          </w:p>
        </w:tc>
        <w:tc>
          <w:tcPr>
            <w:tcW w:w="3777" w:type="dxa"/>
            <w:shd w:val="clear" w:color="auto" w:fill="C6EFCE"/>
            <w:vAlign w:val="center"/>
            <w:hideMark/>
          </w:tcPr>
          <w:p w14:paraId="50B4BFAD" w14:textId="55F846F7" w:rsidR="003B5F50" w:rsidRDefault="000D2D85">
            <w:pPr>
              <w:pStyle w:val="P68B1DB1-Normal14"/>
              <w:spacing w:after="0" w:line="240" w:lineRule="auto"/>
              <w:jc w:val="center"/>
              <w:textAlignment w:val="baseline"/>
              <w:rPr>
                <w:noProof/>
              </w:rPr>
            </w:pPr>
            <w:r>
              <w:rPr>
                <w:noProof/>
              </w:rPr>
              <w:t>11 - Des soins de santé modernes et accessibles-Réforme 1 Optimisation du réseau hospitalier </w:t>
            </w:r>
          </w:p>
        </w:tc>
        <w:tc>
          <w:tcPr>
            <w:tcW w:w="1134" w:type="dxa"/>
            <w:shd w:val="clear" w:color="auto" w:fill="C6EFCE"/>
            <w:vAlign w:val="center"/>
            <w:hideMark/>
          </w:tcPr>
          <w:p w14:paraId="50B4BFAE"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FAF" w14:textId="0B80FABC" w:rsidR="003B5F50" w:rsidRDefault="000D2D85">
            <w:pPr>
              <w:pStyle w:val="P68B1DB1-Normal14"/>
              <w:spacing w:after="0" w:line="240" w:lineRule="auto"/>
              <w:jc w:val="center"/>
              <w:textAlignment w:val="baseline"/>
              <w:rPr>
                <w:noProof/>
              </w:rPr>
            </w:pPr>
            <w:r>
              <w:rPr>
                <w:noProof/>
              </w:rPr>
              <w:t>Part des hôpitaux reprofilés (autorisés dans le cadre des hôpitaux généraux et spécialisés) dans le nouveau réseau hospitalier. Hôpitaux reprofilés dans le cadre du nouveau réseau hospitalier. </w:t>
            </w:r>
          </w:p>
        </w:tc>
      </w:tr>
      <w:tr w:rsidR="003B5F50" w14:paraId="50B4BFB5" w14:textId="77777777">
        <w:trPr>
          <w:trHeight w:val="1395"/>
        </w:trPr>
        <w:tc>
          <w:tcPr>
            <w:tcW w:w="1228" w:type="dxa"/>
            <w:shd w:val="clear" w:color="auto" w:fill="C6EFCE"/>
            <w:vAlign w:val="center"/>
            <w:hideMark/>
          </w:tcPr>
          <w:p w14:paraId="50B4BFB1" w14:textId="77777777" w:rsidR="003B5F50" w:rsidRDefault="000D2D85">
            <w:pPr>
              <w:pStyle w:val="P68B1DB1-Normal48"/>
              <w:spacing w:after="0" w:line="240" w:lineRule="auto"/>
              <w:jc w:val="center"/>
              <w:textAlignment w:val="baseline"/>
              <w:rPr>
                <w:rFonts w:eastAsia="Times New Roman"/>
                <w:noProof/>
              </w:rPr>
            </w:pPr>
            <w:r>
              <w:rPr>
                <w:noProof/>
              </w:rPr>
              <w:t>14</w:t>
            </w:r>
          </w:p>
        </w:tc>
        <w:tc>
          <w:tcPr>
            <w:tcW w:w="3777" w:type="dxa"/>
            <w:shd w:val="clear" w:color="auto" w:fill="C6EFCE"/>
            <w:vAlign w:val="center"/>
            <w:hideMark/>
          </w:tcPr>
          <w:p w14:paraId="50B4BFB2" w14:textId="77777777" w:rsidR="003B5F50" w:rsidRDefault="000D2D85">
            <w:pPr>
              <w:pStyle w:val="P68B1DB1-Normal14"/>
              <w:spacing w:after="0" w:line="240" w:lineRule="auto"/>
              <w:jc w:val="center"/>
              <w:textAlignment w:val="baseline"/>
              <w:rPr>
                <w:noProof/>
              </w:rPr>
            </w:pPr>
            <w:r>
              <w:rPr>
                <w:noProof/>
              </w:rPr>
              <w:t>11 - Des soins de santé modernes et accessibles - Investissement 3 Numérisation dans le domaine de la santé </w:t>
            </w:r>
          </w:p>
        </w:tc>
        <w:tc>
          <w:tcPr>
            <w:tcW w:w="1134" w:type="dxa"/>
            <w:shd w:val="clear" w:color="auto" w:fill="C6EFCE"/>
            <w:vAlign w:val="center"/>
            <w:hideMark/>
          </w:tcPr>
          <w:p w14:paraId="50B4BFB3"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FB4" w14:textId="23DE2B6E" w:rsidR="003B5F50" w:rsidRDefault="000D2D85">
            <w:pPr>
              <w:pStyle w:val="P68B1DB1-Normal15"/>
              <w:spacing w:after="0" w:line="240" w:lineRule="auto"/>
              <w:jc w:val="center"/>
              <w:textAlignment w:val="baseline"/>
              <w:rPr>
                <w:noProof/>
              </w:rPr>
            </w:pPr>
            <w:r>
              <w:rPr>
                <w:noProof/>
              </w:rPr>
              <w:t>Plateforme centrale d’intégration (CIP) – matériel et logiciels – passation de marchés pour 19 hôpitaux publics gérés de manière centralisée</w:t>
            </w:r>
          </w:p>
        </w:tc>
      </w:tr>
      <w:tr w:rsidR="003B5F50" w14:paraId="50B4BFBA" w14:textId="77777777">
        <w:trPr>
          <w:trHeight w:val="1395"/>
        </w:trPr>
        <w:tc>
          <w:tcPr>
            <w:tcW w:w="1228" w:type="dxa"/>
            <w:shd w:val="clear" w:color="auto" w:fill="C6EFCE"/>
            <w:vAlign w:val="center"/>
            <w:hideMark/>
          </w:tcPr>
          <w:p w14:paraId="50B4BFB6" w14:textId="77777777" w:rsidR="003B5F50" w:rsidRDefault="000D2D85">
            <w:pPr>
              <w:pStyle w:val="P68B1DB1-Normal48"/>
              <w:spacing w:after="0" w:line="240" w:lineRule="auto"/>
              <w:jc w:val="center"/>
              <w:textAlignment w:val="baseline"/>
              <w:rPr>
                <w:rFonts w:eastAsia="Times New Roman"/>
                <w:noProof/>
              </w:rPr>
            </w:pPr>
            <w:r>
              <w:rPr>
                <w:noProof/>
              </w:rPr>
              <w:t>15</w:t>
            </w:r>
          </w:p>
        </w:tc>
        <w:tc>
          <w:tcPr>
            <w:tcW w:w="3777" w:type="dxa"/>
            <w:shd w:val="clear" w:color="auto" w:fill="C6EFCE"/>
            <w:vAlign w:val="center"/>
            <w:hideMark/>
          </w:tcPr>
          <w:p w14:paraId="50B4BFB7" w14:textId="77777777" w:rsidR="003B5F50" w:rsidRDefault="000D2D85">
            <w:pPr>
              <w:pStyle w:val="P68B1DB1-Normal14"/>
              <w:spacing w:after="0" w:line="240" w:lineRule="auto"/>
              <w:jc w:val="center"/>
              <w:textAlignment w:val="baseline"/>
              <w:rPr>
                <w:noProof/>
              </w:rPr>
            </w:pPr>
            <w:r>
              <w:rPr>
                <w:noProof/>
              </w:rPr>
              <w:t>12 - Soins de santé mentale humains, modernes et accessibles - Investissement 2: Création de centres de détention </w:t>
            </w:r>
          </w:p>
        </w:tc>
        <w:tc>
          <w:tcPr>
            <w:tcW w:w="1134" w:type="dxa"/>
            <w:shd w:val="clear" w:color="auto" w:fill="C6EFCE"/>
            <w:vAlign w:val="center"/>
            <w:hideMark/>
          </w:tcPr>
          <w:p w14:paraId="50B4BFB8"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FB9" w14:textId="77777777" w:rsidR="003B5F50" w:rsidRDefault="000D2D85">
            <w:pPr>
              <w:pStyle w:val="P68B1DB1-Normal14"/>
              <w:spacing w:after="0" w:line="240" w:lineRule="auto"/>
              <w:jc w:val="center"/>
              <w:textAlignment w:val="baseline"/>
              <w:rPr>
                <w:noProof/>
              </w:rPr>
            </w:pPr>
            <w:r>
              <w:rPr>
                <w:noProof/>
              </w:rPr>
              <w:t>Capacité des patients dans les centres de détention </w:t>
            </w:r>
          </w:p>
        </w:tc>
      </w:tr>
      <w:tr w:rsidR="003B5F50" w14:paraId="50B4BFBF" w14:textId="77777777">
        <w:trPr>
          <w:trHeight w:val="825"/>
        </w:trPr>
        <w:tc>
          <w:tcPr>
            <w:tcW w:w="1228" w:type="dxa"/>
            <w:shd w:val="clear" w:color="auto" w:fill="C6EFCE"/>
            <w:vAlign w:val="center"/>
            <w:hideMark/>
          </w:tcPr>
          <w:p w14:paraId="50B4BFBB" w14:textId="77777777" w:rsidR="003B5F50" w:rsidRDefault="000D2D85">
            <w:pPr>
              <w:pStyle w:val="P68B1DB1-Normal48"/>
              <w:spacing w:after="0" w:line="240" w:lineRule="auto"/>
              <w:jc w:val="center"/>
              <w:textAlignment w:val="baseline"/>
              <w:rPr>
                <w:rFonts w:eastAsia="Times New Roman"/>
                <w:noProof/>
              </w:rPr>
            </w:pPr>
            <w:r>
              <w:rPr>
                <w:noProof/>
              </w:rPr>
              <w:t>16</w:t>
            </w:r>
          </w:p>
        </w:tc>
        <w:tc>
          <w:tcPr>
            <w:tcW w:w="3777" w:type="dxa"/>
            <w:shd w:val="clear" w:color="auto" w:fill="C6EFCE"/>
            <w:vAlign w:val="center"/>
            <w:hideMark/>
          </w:tcPr>
          <w:p w14:paraId="50B4BFBC" w14:textId="77777777" w:rsidR="003B5F50" w:rsidRDefault="000D2D85">
            <w:pPr>
              <w:pStyle w:val="P68B1DB1-Normal14"/>
              <w:spacing w:after="0" w:line="240" w:lineRule="auto"/>
              <w:jc w:val="center"/>
              <w:textAlignment w:val="baseline"/>
              <w:rPr>
                <w:noProof/>
              </w:rPr>
            </w:pPr>
            <w:r>
              <w:rPr>
                <w:noProof/>
              </w:rPr>
              <w:t>12 - Soins de santé mentale humains, modernes et accessibles-Investissement 3: Construire des centres de soins de santé mentale communautaires</w:t>
            </w:r>
          </w:p>
        </w:tc>
        <w:tc>
          <w:tcPr>
            <w:tcW w:w="1134" w:type="dxa"/>
            <w:shd w:val="clear" w:color="auto" w:fill="C6EFCE"/>
            <w:vAlign w:val="center"/>
            <w:hideMark/>
          </w:tcPr>
          <w:p w14:paraId="50B4BFBD" w14:textId="77777777" w:rsidR="003B5F50" w:rsidRDefault="000D2D85">
            <w:pPr>
              <w:pStyle w:val="P68B1DB1-Normal14"/>
              <w:spacing w:after="0" w:line="240" w:lineRule="auto"/>
              <w:jc w:val="center"/>
              <w:textAlignment w:val="baseline"/>
              <w:rPr>
                <w:noProof/>
              </w:rPr>
            </w:pPr>
            <w:r>
              <w:rPr>
                <w:noProof/>
              </w:rPr>
              <w:t>Objectif </w:t>
            </w:r>
          </w:p>
        </w:tc>
        <w:tc>
          <w:tcPr>
            <w:tcW w:w="4110" w:type="dxa"/>
            <w:shd w:val="clear" w:color="auto" w:fill="C6EFCE"/>
            <w:vAlign w:val="center"/>
            <w:hideMark/>
          </w:tcPr>
          <w:p w14:paraId="50B4BFBE" w14:textId="4E0181E5" w:rsidR="003B5F50" w:rsidRDefault="000D2D85">
            <w:pPr>
              <w:pStyle w:val="P68B1DB1-Normal14"/>
              <w:spacing w:after="0" w:line="240" w:lineRule="auto"/>
              <w:jc w:val="center"/>
              <w:textAlignment w:val="baseline"/>
              <w:rPr>
                <w:noProof/>
              </w:rPr>
            </w:pPr>
            <w:r>
              <w:rPr>
                <w:noProof/>
              </w:rPr>
              <w:t>Nombre de centres communautaires de soins de santé mentale</w:t>
            </w:r>
          </w:p>
        </w:tc>
      </w:tr>
      <w:tr w:rsidR="003B5F50" w14:paraId="50B4BFC4" w14:textId="77777777">
        <w:trPr>
          <w:trHeight w:val="1395"/>
        </w:trPr>
        <w:tc>
          <w:tcPr>
            <w:tcW w:w="1228" w:type="dxa"/>
            <w:shd w:val="clear" w:color="auto" w:fill="C6EFCE"/>
            <w:vAlign w:val="center"/>
            <w:hideMark/>
          </w:tcPr>
          <w:p w14:paraId="50B4BFC0" w14:textId="77777777" w:rsidR="003B5F50" w:rsidRDefault="000D2D85">
            <w:pPr>
              <w:pStyle w:val="P68B1DB1-Normal48"/>
              <w:spacing w:after="0" w:line="240" w:lineRule="auto"/>
              <w:jc w:val="center"/>
              <w:textAlignment w:val="baseline"/>
              <w:rPr>
                <w:rFonts w:eastAsia="Times New Roman"/>
                <w:noProof/>
              </w:rPr>
            </w:pPr>
            <w:r>
              <w:rPr>
                <w:noProof/>
              </w:rPr>
              <w:t>17</w:t>
            </w:r>
          </w:p>
        </w:tc>
        <w:tc>
          <w:tcPr>
            <w:tcW w:w="3777" w:type="dxa"/>
            <w:shd w:val="clear" w:color="auto" w:fill="C6EFCE"/>
            <w:vAlign w:val="center"/>
            <w:hideMark/>
          </w:tcPr>
          <w:p w14:paraId="50B4BFC1" w14:textId="77777777" w:rsidR="003B5F50" w:rsidRDefault="000D2D85">
            <w:pPr>
              <w:pStyle w:val="P68B1DB1-Normal14"/>
              <w:spacing w:after="0" w:line="240" w:lineRule="auto"/>
              <w:jc w:val="center"/>
              <w:textAlignment w:val="baseline"/>
              <w:rPr>
                <w:noProof/>
              </w:rPr>
            </w:pPr>
            <w:r>
              <w:rPr>
                <w:noProof/>
              </w:rPr>
              <w:t>12 - Soins de santé mentale humains, modernes et accessibles-Investissement 7: Humanisation des soins psychiatriques institutionnels </w:t>
            </w:r>
          </w:p>
        </w:tc>
        <w:tc>
          <w:tcPr>
            <w:tcW w:w="1134" w:type="dxa"/>
            <w:shd w:val="clear" w:color="auto" w:fill="C6EFCE"/>
            <w:vAlign w:val="center"/>
            <w:hideMark/>
          </w:tcPr>
          <w:p w14:paraId="50B4BFC2"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FC3" w14:textId="77777777" w:rsidR="003B5F50" w:rsidRDefault="000D2D85">
            <w:pPr>
              <w:pStyle w:val="P68B1DB1-Normal14"/>
              <w:spacing w:after="0" w:line="240" w:lineRule="auto"/>
              <w:jc w:val="center"/>
              <w:textAlignment w:val="baseline"/>
              <w:rPr>
                <w:noProof/>
              </w:rPr>
            </w:pPr>
            <w:r>
              <w:rPr>
                <w:noProof/>
              </w:rPr>
              <w:t>Reconstruction des soins psychiatriques institutionnels</w:t>
            </w:r>
          </w:p>
        </w:tc>
      </w:tr>
      <w:tr w:rsidR="003B5F50" w14:paraId="50B4BFC9" w14:textId="77777777">
        <w:trPr>
          <w:trHeight w:val="1395"/>
        </w:trPr>
        <w:tc>
          <w:tcPr>
            <w:tcW w:w="1228" w:type="dxa"/>
            <w:shd w:val="clear" w:color="auto" w:fill="C6EFCE"/>
            <w:vAlign w:val="center"/>
            <w:hideMark/>
          </w:tcPr>
          <w:p w14:paraId="50B4BFC5" w14:textId="77777777" w:rsidR="003B5F50" w:rsidRDefault="000D2D85">
            <w:pPr>
              <w:pStyle w:val="P68B1DB1-Normal48"/>
              <w:spacing w:after="0" w:line="240" w:lineRule="auto"/>
              <w:jc w:val="center"/>
              <w:rPr>
                <w:rFonts w:eastAsia="Times New Roman"/>
                <w:noProof/>
              </w:rPr>
            </w:pPr>
            <w:r>
              <w:rPr>
                <w:noProof/>
              </w:rPr>
              <w:t>18</w:t>
            </w:r>
          </w:p>
        </w:tc>
        <w:tc>
          <w:tcPr>
            <w:tcW w:w="3777" w:type="dxa"/>
            <w:shd w:val="clear" w:color="auto" w:fill="C6EFCE"/>
            <w:vAlign w:val="center"/>
            <w:hideMark/>
          </w:tcPr>
          <w:p w14:paraId="50B4BFC6" w14:textId="77777777" w:rsidR="003B5F50" w:rsidRDefault="000D2D85">
            <w:pPr>
              <w:pStyle w:val="P68B1DB1-Normal14"/>
              <w:spacing w:after="0" w:line="240" w:lineRule="auto"/>
              <w:jc w:val="center"/>
              <w:rPr>
                <w:noProof/>
              </w:rPr>
            </w:pPr>
            <w:r>
              <w:rPr>
                <w:noProof/>
              </w:rPr>
              <w:t>13 – Soins socio-sanitaires de longue durée accessibles et de qualité – Réforme 1: Soins de longue durée disponibles et de qualité – Réforme de l’intégration et du financement des soins sociaux et de santé de longue durée</w:t>
            </w:r>
          </w:p>
        </w:tc>
        <w:tc>
          <w:tcPr>
            <w:tcW w:w="1134" w:type="dxa"/>
            <w:shd w:val="clear" w:color="auto" w:fill="C6EFCE"/>
            <w:vAlign w:val="center"/>
            <w:hideMark/>
          </w:tcPr>
          <w:p w14:paraId="50B4BFC7"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FC8" w14:textId="77777777" w:rsidR="003B5F50" w:rsidRDefault="000D2D85">
            <w:pPr>
              <w:pStyle w:val="P68B1DB1-Normal14"/>
              <w:spacing w:line="240" w:lineRule="auto"/>
              <w:jc w:val="center"/>
              <w:rPr>
                <w:noProof/>
              </w:rPr>
            </w:pPr>
            <w:r>
              <w:rPr>
                <w:noProof/>
              </w:rPr>
              <w:t>Le nouveau système de financement des services sociaux – introduction d’un budget personnel</w:t>
            </w:r>
          </w:p>
        </w:tc>
      </w:tr>
      <w:tr w:rsidR="003B5F50" w14:paraId="50B4BFCE" w14:textId="77777777">
        <w:trPr>
          <w:trHeight w:val="1260"/>
        </w:trPr>
        <w:tc>
          <w:tcPr>
            <w:tcW w:w="1228" w:type="dxa"/>
            <w:shd w:val="clear" w:color="auto" w:fill="C6EFCE"/>
            <w:vAlign w:val="center"/>
            <w:hideMark/>
          </w:tcPr>
          <w:p w14:paraId="50B4BFCA" w14:textId="77777777" w:rsidR="003B5F50" w:rsidRDefault="000D2D85">
            <w:pPr>
              <w:pStyle w:val="P68B1DB1-Normal48"/>
              <w:spacing w:after="0" w:line="240" w:lineRule="auto"/>
              <w:jc w:val="center"/>
              <w:textAlignment w:val="baseline"/>
              <w:rPr>
                <w:rFonts w:eastAsia="Times New Roman"/>
                <w:noProof/>
              </w:rPr>
            </w:pPr>
            <w:r>
              <w:rPr>
                <w:noProof/>
              </w:rPr>
              <w:t>19</w:t>
            </w:r>
          </w:p>
        </w:tc>
        <w:tc>
          <w:tcPr>
            <w:tcW w:w="3777" w:type="dxa"/>
            <w:shd w:val="clear" w:color="auto" w:fill="C6EFCE"/>
            <w:vAlign w:val="center"/>
            <w:hideMark/>
          </w:tcPr>
          <w:p w14:paraId="50B4BFCB" w14:textId="77777777" w:rsidR="003B5F50" w:rsidRDefault="000D2D85">
            <w:pPr>
              <w:pStyle w:val="P68B1DB1-Normal14"/>
              <w:spacing w:after="0" w:line="240" w:lineRule="auto"/>
              <w:jc w:val="center"/>
              <w:textAlignment w:val="baseline"/>
              <w:rPr>
                <w:noProof/>
              </w:rPr>
            </w:pPr>
            <w:r>
              <w:rPr>
                <w:noProof/>
              </w:rPr>
              <w:t>13 – Soins socio-sanitaires de longue durée accessibles et de qualité – Investissement 3: Extension et rétablissement des capacités de soins palliatifs</w:t>
            </w:r>
          </w:p>
        </w:tc>
        <w:tc>
          <w:tcPr>
            <w:tcW w:w="1134" w:type="dxa"/>
            <w:shd w:val="clear" w:color="auto" w:fill="C6EFCE"/>
            <w:vAlign w:val="center"/>
            <w:hideMark/>
          </w:tcPr>
          <w:p w14:paraId="50B4BFCC" w14:textId="77777777" w:rsidR="003B5F50" w:rsidRDefault="000D2D85">
            <w:pPr>
              <w:pStyle w:val="P68B1DB1-Normal14"/>
              <w:spacing w:after="0" w:line="240" w:lineRule="auto"/>
              <w:jc w:val="center"/>
              <w:textAlignment w:val="baseline"/>
              <w:rPr>
                <w:noProof/>
              </w:rPr>
            </w:pPr>
            <w:r>
              <w:rPr>
                <w:noProof/>
              </w:rPr>
              <w:t>Étape </w:t>
            </w:r>
          </w:p>
        </w:tc>
        <w:tc>
          <w:tcPr>
            <w:tcW w:w="4110" w:type="dxa"/>
            <w:shd w:val="clear" w:color="auto" w:fill="C6EFCE"/>
            <w:vAlign w:val="center"/>
            <w:hideMark/>
          </w:tcPr>
          <w:p w14:paraId="50B4BFCD" w14:textId="77777777" w:rsidR="003B5F50" w:rsidRDefault="000D2D85">
            <w:pPr>
              <w:pStyle w:val="P68B1DB1-Normal14"/>
              <w:spacing w:after="0" w:line="240" w:lineRule="auto"/>
              <w:jc w:val="center"/>
              <w:textAlignment w:val="baseline"/>
              <w:rPr>
                <w:noProof/>
              </w:rPr>
            </w:pPr>
            <w:r>
              <w:rPr>
                <w:noProof/>
              </w:rPr>
              <w:t>Expansion et renouvellement des capacités de soins palliatifs résidentiels</w:t>
            </w:r>
          </w:p>
        </w:tc>
      </w:tr>
      <w:tr w:rsidR="003B5F50" w14:paraId="50B4BFD3" w14:textId="77777777">
        <w:trPr>
          <w:trHeight w:val="1395"/>
        </w:trPr>
        <w:tc>
          <w:tcPr>
            <w:tcW w:w="1228" w:type="dxa"/>
            <w:shd w:val="clear" w:color="auto" w:fill="C6EFCE"/>
            <w:vAlign w:val="center"/>
            <w:hideMark/>
          </w:tcPr>
          <w:p w14:paraId="50B4BFCF" w14:textId="77777777" w:rsidR="003B5F50" w:rsidRDefault="000D2D85">
            <w:pPr>
              <w:pStyle w:val="P68B1DB1-Normal9"/>
              <w:spacing w:line="240" w:lineRule="auto"/>
              <w:jc w:val="center"/>
              <w:rPr>
                <w:noProof/>
              </w:rPr>
            </w:pPr>
            <w:r>
              <w:rPr>
                <w:noProof/>
              </w:rPr>
              <w:t>20</w:t>
            </w:r>
          </w:p>
        </w:tc>
        <w:tc>
          <w:tcPr>
            <w:tcW w:w="3777" w:type="dxa"/>
            <w:shd w:val="clear" w:color="auto" w:fill="C6EFCE"/>
            <w:vAlign w:val="center"/>
            <w:hideMark/>
          </w:tcPr>
          <w:p w14:paraId="50B4BFD0" w14:textId="45BD1BF2" w:rsidR="003B5F50" w:rsidRDefault="000D2D85">
            <w:pPr>
              <w:pStyle w:val="P68B1DB1-Normal14"/>
              <w:spacing w:line="240" w:lineRule="auto"/>
              <w:jc w:val="center"/>
              <w:rPr>
                <w:noProof/>
              </w:rPr>
            </w:pPr>
            <w:r>
              <w:rPr>
                <w:noProof/>
              </w:rPr>
              <w:t xml:space="preserve">15 – Réforme du système judiciaire – Investissement 1: Réorganisation des tribunaux – Construction/acquisition de nouveaux bâtiments </w:t>
            </w:r>
          </w:p>
        </w:tc>
        <w:tc>
          <w:tcPr>
            <w:tcW w:w="1134" w:type="dxa"/>
            <w:shd w:val="clear" w:color="auto" w:fill="C6EFCE"/>
            <w:vAlign w:val="center"/>
            <w:hideMark/>
          </w:tcPr>
          <w:p w14:paraId="50B4BFD1" w14:textId="77777777" w:rsidR="003B5F50" w:rsidRDefault="000D2D85">
            <w:pPr>
              <w:pStyle w:val="P68B1DB1-Normal14"/>
              <w:spacing w:line="240" w:lineRule="auto"/>
              <w:jc w:val="center"/>
              <w:rPr>
                <w:noProof/>
              </w:rPr>
            </w:pPr>
            <w:r>
              <w:rPr>
                <w:noProof/>
              </w:rPr>
              <w:t>Objectif</w:t>
            </w:r>
          </w:p>
        </w:tc>
        <w:tc>
          <w:tcPr>
            <w:tcW w:w="4110" w:type="dxa"/>
            <w:shd w:val="clear" w:color="auto" w:fill="C6EFCE"/>
            <w:vAlign w:val="center"/>
            <w:hideMark/>
          </w:tcPr>
          <w:p w14:paraId="50B4BFD2" w14:textId="4B6048BE" w:rsidR="003B5F50" w:rsidRDefault="000D2D85">
            <w:pPr>
              <w:pStyle w:val="P68B1DB1-Normal14"/>
              <w:spacing w:line="240" w:lineRule="auto"/>
              <w:jc w:val="center"/>
              <w:rPr>
                <w:noProof/>
              </w:rPr>
            </w:pPr>
            <w:r>
              <w:rPr>
                <w:noProof/>
              </w:rPr>
              <w:t xml:space="preserve">Surface des bâtiments judiciaires construits ou achetés (en m²) </w:t>
            </w:r>
          </w:p>
        </w:tc>
      </w:tr>
      <w:tr w:rsidR="003B5F50" w14:paraId="50B4BFD8" w14:textId="77777777">
        <w:trPr>
          <w:trHeight w:val="1395"/>
        </w:trPr>
        <w:tc>
          <w:tcPr>
            <w:tcW w:w="1228" w:type="dxa"/>
            <w:shd w:val="clear" w:color="auto" w:fill="C6EFCE"/>
            <w:vAlign w:val="center"/>
          </w:tcPr>
          <w:p w14:paraId="50B4BFD4" w14:textId="77777777" w:rsidR="003B5F50" w:rsidRDefault="000D2D85">
            <w:pPr>
              <w:pStyle w:val="P68B1DB1-Normal48"/>
              <w:spacing w:line="240" w:lineRule="auto"/>
              <w:jc w:val="center"/>
              <w:rPr>
                <w:noProof/>
              </w:rPr>
            </w:pPr>
            <w:r>
              <w:rPr>
                <w:noProof/>
              </w:rPr>
              <w:t>21 </w:t>
            </w:r>
          </w:p>
        </w:tc>
        <w:tc>
          <w:tcPr>
            <w:tcW w:w="3777" w:type="dxa"/>
            <w:shd w:val="clear" w:color="auto" w:fill="C6EFCE"/>
            <w:vAlign w:val="center"/>
          </w:tcPr>
          <w:p w14:paraId="50B4BFD5" w14:textId="77777777" w:rsidR="003B5F50" w:rsidRDefault="000D2D85">
            <w:pPr>
              <w:pStyle w:val="P68B1DB1-Normal14"/>
              <w:spacing w:line="240" w:lineRule="auto"/>
              <w:jc w:val="center"/>
              <w:rPr>
                <w:noProof/>
              </w:rPr>
            </w:pPr>
            <w:r>
              <w:rPr>
                <w:noProof/>
              </w:rPr>
              <w:t>15 - Réforme judiciaire - Investissement 2: Numérisation et capacités d’analyse </w:t>
            </w:r>
          </w:p>
        </w:tc>
        <w:tc>
          <w:tcPr>
            <w:tcW w:w="1134" w:type="dxa"/>
            <w:shd w:val="clear" w:color="auto" w:fill="C6EFCE"/>
            <w:vAlign w:val="center"/>
          </w:tcPr>
          <w:p w14:paraId="50B4BFD6" w14:textId="77777777" w:rsidR="003B5F50" w:rsidRDefault="000D2D85">
            <w:pPr>
              <w:pStyle w:val="P68B1DB1-Normal14"/>
              <w:spacing w:line="240" w:lineRule="auto"/>
              <w:jc w:val="center"/>
              <w:rPr>
                <w:noProof/>
              </w:rPr>
            </w:pPr>
            <w:r>
              <w:rPr>
                <w:noProof/>
              </w:rPr>
              <w:t>Étape </w:t>
            </w:r>
          </w:p>
        </w:tc>
        <w:tc>
          <w:tcPr>
            <w:tcW w:w="4110" w:type="dxa"/>
            <w:shd w:val="clear" w:color="auto" w:fill="C6EFCE"/>
            <w:vAlign w:val="center"/>
          </w:tcPr>
          <w:p w14:paraId="50B4BFD7" w14:textId="77777777" w:rsidR="003B5F50" w:rsidRDefault="000D2D85">
            <w:pPr>
              <w:pStyle w:val="P68B1DB1-Normal14"/>
              <w:spacing w:line="240" w:lineRule="auto"/>
              <w:jc w:val="center"/>
              <w:rPr>
                <w:noProof/>
              </w:rPr>
            </w:pPr>
            <w:r>
              <w:rPr>
                <w:noProof/>
              </w:rPr>
              <w:t>Création d'une plateforme d'appui analytique pour l'accès à la jurisprudence en justice </w:t>
            </w:r>
          </w:p>
        </w:tc>
      </w:tr>
      <w:tr w:rsidR="003B5F50" w14:paraId="50B4BFDD" w14:textId="77777777">
        <w:trPr>
          <w:trHeight w:val="1395"/>
        </w:trPr>
        <w:tc>
          <w:tcPr>
            <w:tcW w:w="1228" w:type="dxa"/>
            <w:shd w:val="clear" w:color="auto" w:fill="C6EFCE"/>
            <w:vAlign w:val="center"/>
            <w:hideMark/>
          </w:tcPr>
          <w:p w14:paraId="50B4BFD9" w14:textId="77777777" w:rsidR="003B5F50" w:rsidRDefault="000D2D85">
            <w:pPr>
              <w:pStyle w:val="P68B1DB1-Normal9"/>
              <w:spacing w:line="240" w:lineRule="auto"/>
              <w:jc w:val="center"/>
              <w:rPr>
                <w:noProof/>
              </w:rPr>
            </w:pPr>
            <w:r>
              <w:rPr>
                <w:noProof/>
              </w:rPr>
              <w:t>22</w:t>
            </w:r>
          </w:p>
        </w:tc>
        <w:tc>
          <w:tcPr>
            <w:tcW w:w="3777" w:type="dxa"/>
            <w:shd w:val="clear" w:color="auto" w:fill="C6EFCE"/>
            <w:vAlign w:val="center"/>
            <w:hideMark/>
          </w:tcPr>
          <w:p w14:paraId="50B4BFDA" w14:textId="156E2C5D" w:rsidR="003B5F50" w:rsidRDefault="000D2D85">
            <w:pPr>
              <w:pStyle w:val="P68B1DB1-Normal14"/>
              <w:spacing w:line="240" w:lineRule="auto"/>
              <w:jc w:val="center"/>
              <w:rPr>
                <w:noProof/>
              </w:rPr>
            </w:pPr>
            <w:r>
              <w:rPr>
                <w:noProof/>
              </w:rPr>
              <w:t xml:space="preserve">17 – Slovaquie numérique – Investissement 3: S'engager dans des projets multinationaux européens liés à l'économie numérique </w:t>
            </w:r>
          </w:p>
        </w:tc>
        <w:tc>
          <w:tcPr>
            <w:tcW w:w="1134" w:type="dxa"/>
            <w:shd w:val="clear" w:color="auto" w:fill="C6EFCE"/>
            <w:vAlign w:val="center"/>
            <w:hideMark/>
          </w:tcPr>
          <w:p w14:paraId="50B4BFDB"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FDC" w14:textId="652C47EF" w:rsidR="003B5F50" w:rsidRDefault="000D2D85">
            <w:pPr>
              <w:pStyle w:val="P68B1DB1-Normal14"/>
              <w:spacing w:line="240" w:lineRule="auto"/>
              <w:jc w:val="center"/>
              <w:rPr>
                <w:noProof/>
              </w:rPr>
            </w:pPr>
            <w:r>
              <w:rPr>
                <w:noProof/>
              </w:rPr>
              <w:t xml:space="preserve">Supercalculateur pour la République slovaque </w:t>
            </w:r>
          </w:p>
        </w:tc>
      </w:tr>
      <w:tr w:rsidR="003B5F50" w14:paraId="50B4BFE2" w14:textId="77777777">
        <w:trPr>
          <w:trHeight w:val="1395"/>
        </w:trPr>
        <w:tc>
          <w:tcPr>
            <w:tcW w:w="1228" w:type="dxa"/>
            <w:shd w:val="clear" w:color="auto" w:fill="C6EFCE"/>
            <w:vAlign w:val="center"/>
          </w:tcPr>
          <w:p w14:paraId="50B4BFDE" w14:textId="77777777" w:rsidR="003B5F50" w:rsidRDefault="000D2D85">
            <w:pPr>
              <w:pStyle w:val="P68B1DB1-Normal48"/>
              <w:spacing w:line="240" w:lineRule="auto"/>
              <w:jc w:val="center"/>
              <w:rPr>
                <w:noProof/>
              </w:rPr>
            </w:pPr>
            <w:r>
              <w:rPr>
                <w:noProof/>
              </w:rPr>
              <w:t>23</w:t>
            </w:r>
          </w:p>
        </w:tc>
        <w:tc>
          <w:tcPr>
            <w:tcW w:w="3777" w:type="dxa"/>
            <w:shd w:val="clear" w:color="auto" w:fill="C6EFCE"/>
            <w:vAlign w:val="center"/>
          </w:tcPr>
          <w:p w14:paraId="50B4BFDF" w14:textId="77777777" w:rsidR="003B5F50" w:rsidRDefault="000D2D85">
            <w:pPr>
              <w:pStyle w:val="P68B1DB1-Normal14"/>
              <w:spacing w:line="240" w:lineRule="auto"/>
              <w:jc w:val="center"/>
              <w:rPr>
                <w:noProof/>
              </w:rPr>
            </w:pPr>
            <w:r>
              <w:rPr>
                <w:noProof/>
              </w:rPr>
              <w:t>17 - Slovaquie numérique - Investissement 6: Mesures préventives, rapidité de détection et de résolution des incidents (ITVS – Technologies de l’information pour l’administration publique)</w:t>
            </w:r>
          </w:p>
        </w:tc>
        <w:tc>
          <w:tcPr>
            <w:tcW w:w="1134" w:type="dxa"/>
            <w:shd w:val="clear" w:color="auto" w:fill="C6EFCE"/>
            <w:vAlign w:val="center"/>
          </w:tcPr>
          <w:p w14:paraId="50B4BFE0" w14:textId="77777777" w:rsidR="003B5F50" w:rsidRDefault="000D2D85">
            <w:pPr>
              <w:pStyle w:val="P68B1DB1-Normal14"/>
              <w:spacing w:line="240" w:lineRule="auto"/>
              <w:jc w:val="center"/>
              <w:rPr>
                <w:noProof/>
              </w:rPr>
            </w:pPr>
            <w:r>
              <w:rPr>
                <w:noProof/>
              </w:rPr>
              <w:t>Étape </w:t>
            </w:r>
          </w:p>
        </w:tc>
        <w:tc>
          <w:tcPr>
            <w:tcW w:w="4110" w:type="dxa"/>
            <w:shd w:val="clear" w:color="auto" w:fill="C6EFCE"/>
            <w:vAlign w:val="center"/>
          </w:tcPr>
          <w:p w14:paraId="50B4BFE1" w14:textId="508C11EB" w:rsidR="003B5F50" w:rsidRDefault="000D2D85">
            <w:pPr>
              <w:pStyle w:val="P68B1DB1-Normal14"/>
              <w:spacing w:line="240" w:lineRule="auto"/>
              <w:jc w:val="center"/>
              <w:rPr>
                <w:noProof/>
              </w:rPr>
            </w:pPr>
            <w:r>
              <w:rPr>
                <w:noProof/>
              </w:rPr>
              <w:t xml:space="preserve">Audits de sécurité des systèmes et applications informatiques dans l’administration publique et reconstruction d’espaces sécurisés pour les infrastructures critiques </w:t>
            </w:r>
          </w:p>
        </w:tc>
      </w:tr>
      <w:tr w:rsidR="003B5F50" w14:paraId="50B4BFE7" w14:textId="77777777">
        <w:trPr>
          <w:trHeight w:val="1395"/>
        </w:trPr>
        <w:tc>
          <w:tcPr>
            <w:tcW w:w="1228" w:type="dxa"/>
            <w:shd w:val="clear" w:color="auto" w:fill="C6EFCE"/>
            <w:vAlign w:val="center"/>
            <w:hideMark/>
          </w:tcPr>
          <w:p w14:paraId="50B4BFE3" w14:textId="77777777" w:rsidR="003B5F50" w:rsidRDefault="000D2D85">
            <w:pPr>
              <w:pStyle w:val="P68B1DB1-Normal9"/>
              <w:spacing w:line="240" w:lineRule="auto"/>
              <w:jc w:val="center"/>
              <w:rPr>
                <w:noProof/>
              </w:rPr>
            </w:pPr>
            <w:r>
              <w:rPr>
                <w:noProof/>
              </w:rPr>
              <w:t>24</w:t>
            </w:r>
          </w:p>
        </w:tc>
        <w:tc>
          <w:tcPr>
            <w:tcW w:w="3777" w:type="dxa"/>
            <w:shd w:val="clear" w:color="auto" w:fill="C6EFCE"/>
            <w:vAlign w:val="center"/>
            <w:hideMark/>
          </w:tcPr>
          <w:p w14:paraId="50B4BFE4" w14:textId="77777777" w:rsidR="003B5F50" w:rsidRDefault="000D2D85">
            <w:pPr>
              <w:pStyle w:val="P68B1DB1-Normal14"/>
              <w:spacing w:line="240" w:lineRule="auto"/>
              <w:jc w:val="center"/>
              <w:rPr>
                <w:noProof/>
              </w:rPr>
            </w:pPr>
            <w:r>
              <w:rPr>
                <w:noProof/>
              </w:rPr>
              <w:t>19 – REPowerEU – Réforme 1 – Sous-mesure 4: Meilleur centre technologique disponible</w:t>
            </w:r>
          </w:p>
        </w:tc>
        <w:tc>
          <w:tcPr>
            <w:tcW w:w="1134" w:type="dxa"/>
            <w:shd w:val="clear" w:color="auto" w:fill="C6EFCE"/>
            <w:vAlign w:val="center"/>
            <w:hideMark/>
          </w:tcPr>
          <w:p w14:paraId="50B4BFE5" w14:textId="77777777" w:rsidR="003B5F50" w:rsidRDefault="000D2D85">
            <w:pPr>
              <w:pStyle w:val="P68B1DB1-Normal14"/>
              <w:spacing w:line="240" w:lineRule="auto"/>
              <w:jc w:val="center"/>
              <w:rPr>
                <w:noProof/>
              </w:rPr>
            </w:pPr>
            <w:r>
              <w:rPr>
                <w:noProof/>
              </w:rPr>
              <w:t>Objectif</w:t>
            </w:r>
          </w:p>
        </w:tc>
        <w:tc>
          <w:tcPr>
            <w:tcW w:w="4110" w:type="dxa"/>
            <w:shd w:val="clear" w:color="auto" w:fill="C6EFCE"/>
            <w:vAlign w:val="center"/>
            <w:hideMark/>
          </w:tcPr>
          <w:p w14:paraId="50B4BFE6" w14:textId="77777777" w:rsidR="003B5F50" w:rsidRDefault="000D2D85">
            <w:pPr>
              <w:pStyle w:val="P68B1DB1-Normal14"/>
              <w:spacing w:line="240" w:lineRule="auto"/>
              <w:jc w:val="center"/>
              <w:rPr>
                <w:noProof/>
              </w:rPr>
            </w:pPr>
            <w:r>
              <w:rPr>
                <w:noProof/>
                <w:szCs w:val="20"/>
              </w:rPr>
              <w:t>Mise en place</w:t>
            </w:r>
            <w:r>
              <w:rPr>
                <w:noProof/>
              </w:rPr>
              <w:t xml:space="preserve"> d’un centre des meilleures technologies disponibles (MTD) et fourniture de documents de référence MTD</w:t>
            </w:r>
          </w:p>
        </w:tc>
      </w:tr>
      <w:tr w:rsidR="003B5F50" w14:paraId="50B4BFEC" w14:textId="77777777">
        <w:trPr>
          <w:trHeight w:val="1395"/>
        </w:trPr>
        <w:tc>
          <w:tcPr>
            <w:tcW w:w="1228" w:type="dxa"/>
            <w:shd w:val="clear" w:color="auto" w:fill="C6EFCE"/>
            <w:vAlign w:val="center"/>
            <w:hideMark/>
          </w:tcPr>
          <w:p w14:paraId="50B4BFE8" w14:textId="77777777" w:rsidR="003B5F50" w:rsidRDefault="000D2D85">
            <w:pPr>
              <w:pStyle w:val="P68B1DB1-Normal48"/>
              <w:spacing w:line="240" w:lineRule="auto"/>
              <w:jc w:val="center"/>
              <w:rPr>
                <w:rFonts w:eastAsia="Times New Roman"/>
                <w:noProof/>
              </w:rPr>
            </w:pPr>
            <w:r>
              <w:rPr>
                <w:noProof/>
              </w:rPr>
              <w:t>25</w:t>
            </w:r>
          </w:p>
        </w:tc>
        <w:tc>
          <w:tcPr>
            <w:tcW w:w="3777" w:type="dxa"/>
            <w:shd w:val="clear" w:color="auto" w:fill="C6EFCE"/>
            <w:vAlign w:val="center"/>
            <w:hideMark/>
          </w:tcPr>
          <w:p w14:paraId="50B4BFE9" w14:textId="77777777" w:rsidR="003B5F50" w:rsidRDefault="000D2D85">
            <w:pPr>
              <w:pStyle w:val="P68B1DB1-Normal14"/>
              <w:spacing w:line="240" w:lineRule="auto"/>
              <w:jc w:val="center"/>
              <w:rPr>
                <w:noProof/>
              </w:rPr>
            </w:pPr>
            <w:r>
              <w:rPr>
                <w:noProof/>
              </w:rPr>
              <w:t>19 – REPowerEU – Réforme 1 – Sous-mesure 6: Développer et promouvoir la production de biométhane, d’engrais organiques et la bioéconomie circulaire</w:t>
            </w:r>
          </w:p>
        </w:tc>
        <w:tc>
          <w:tcPr>
            <w:tcW w:w="1134" w:type="dxa"/>
            <w:shd w:val="clear" w:color="auto" w:fill="C6EFCE"/>
            <w:vAlign w:val="center"/>
            <w:hideMark/>
          </w:tcPr>
          <w:p w14:paraId="50B4BFEA"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FEB" w14:textId="77777777" w:rsidR="003B5F50" w:rsidRDefault="000D2D85">
            <w:pPr>
              <w:pStyle w:val="P68B1DB1-Normal14"/>
              <w:spacing w:line="240" w:lineRule="auto"/>
              <w:jc w:val="center"/>
              <w:rPr>
                <w:noProof/>
              </w:rPr>
            </w:pPr>
            <w:r>
              <w:rPr>
                <w:noProof/>
              </w:rPr>
              <w:t>Développer et promouvoir la production de biométhane, d’engrais organiques et la bioéconomie circulaire</w:t>
            </w:r>
          </w:p>
        </w:tc>
      </w:tr>
      <w:tr w:rsidR="003B5F50" w14:paraId="50B4BFF1" w14:textId="77777777">
        <w:trPr>
          <w:trHeight w:val="1395"/>
        </w:trPr>
        <w:tc>
          <w:tcPr>
            <w:tcW w:w="1228" w:type="dxa"/>
            <w:shd w:val="clear" w:color="auto" w:fill="C6EFCE"/>
            <w:vAlign w:val="center"/>
            <w:hideMark/>
          </w:tcPr>
          <w:p w14:paraId="50B4BFED" w14:textId="77777777" w:rsidR="003B5F50" w:rsidRDefault="000D2D85">
            <w:pPr>
              <w:pStyle w:val="P68B1DB1-Normal48"/>
              <w:spacing w:line="240" w:lineRule="auto"/>
              <w:jc w:val="center"/>
              <w:rPr>
                <w:rFonts w:eastAsia="Times New Roman"/>
                <w:noProof/>
              </w:rPr>
            </w:pPr>
            <w:r>
              <w:rPr>
                <w:noProof/>
              </w:rPr>
              <w:t>26</w:t>
            </w:r>
          </w:p>
        </w:tc>
        <w:tc>
          <w:tcPr>
            <w:tcW w:w="3777" w:type="dxa"/>
            <w:shd w:val="clear" w:color="auto" w:fill="C6EFCE"/>
            <w:vAlign w:val="center"/>
            <w:hideMark/>
          </w:tcPr>
          <w:p w14:paraId="50B4BFEE" w14:textId="77777777" w:rsidR="003B5F50" w:rsidRDefault="000D2D85">
            <w:pPr>
              <w:pStyle w:val="P68B1DB1-Normal14"/>
              <w:spacing w:line="240" w:lineRule="auto"/>
              <w:jc w:val="center"/>
              <w:rPr>
                <w:noProof/>
              </w:rPr>
            </w:pPr>
            <w:r>
              <w:rPr>
                <w:noProof/>
              </w:rPr>
              <w:t>19 – REPowerEU – Réforme 2 – Sous-mesure 1: Développement de méthodologies et mise en place de 2 zones pilotes propices au développement de l’énergie éolienne</w:t>
            </w:r>
          </w:p>
        </w:tc>
        <w:tc>
          <w:tcPr>
            <w:tcW w:w="1134" w:type="dxa"/>
            <w:shd w:val="clear" w:color="auto" w:fill="C6EFCE"/>
            <w:vAlign w:val="center"/>
            <w:hideMark/>
          </w:tcPr>
          <w:p w14:paraId="50B4BFEF" w14:textId="77777777" w:rsidR="003B5F50" w:rsidRDefault="000D2D85">
            <w:pPr>
              <w:pStyle w:val="P68B1DB1-Normal14"/>
              <w:spacing w:line="240" w:lineRule="auto"/>
              <w:jc w:val="center"/>
              <w:rPr>
                <w:noProof/>
              </w:rPr>
            </w:pPr>
            <w:r>
              <w:rPr>
                <w:noProof/>
              </w:rPr>
              <w:t>Objectif</w:t>
            </w:r>
          </w:p>
        </w:tc>
        <w:tc>
          <w:tcPr>
            <w:tcW w:w="4110" w:type="dxa"/>
            <w:shd w:val="clear" w:color="auto" w:fill="C6EFCE"/>
            <w:vAlign w:val="center"/>
            <w:hideMark/>
          </w:tcPr>
          <w:p w14:paraId="50B4BFF0" w14:textId="77777777" w:rsidR="003B5F50" w:rsidRDefault="000D2D85">
            <w:pPr>
              <w:pStyle w:val="P68B1DB1-Normal14"/>
              <w:spacing w:line="240" w:lineRule="auto"/>
              <w:jc w:val="center"/>
              <w:rPr>
                <w:noProof/>
              </w:rPr>
            </w:pPr>
            <w:r>
              <w:rPr>
                <w:noProof/>
              </w:rPr>
              <w:t xml:space="preserve">Mise en place de zones pilotes propices au développement de l’énergie éolienne. Adoption et application de la méthodologie finale pour l'établissement des zones propices. </w:t>
            </w:r>
          </w:p>
        </w:tc>
      </w:tr>
      <w:tr w:rsidR="003B5F50" w14:paraId="50B4BFF6" w14:textId="77777777">
        <w:trPr>
          <w:trHeight w:val="1395"/>
        </w:trPr>
        <w:tc>
          <w:tcPr>
            <w:tcW w:w="1228" w:type="dxa"/>
            <w:shd w:val="clear" w:color="auto" w:fill="C6EFCE"/>
            <w:vAlign w:val="center"/>
            <w:hideMark/>
          </w:tcPr>
          <w:p w14:paraId="50B4BFF2" w14:textId="77777777" w:rsidR="003B5F50" w:rsidRDefault="000D2D85">
            <w:pPr>
              <w:pStyle w:val="P68B1DB1-Normal48"/>
              <w:spacing w:line="240" w:lineRule="auto"/>
              <w:jc w:val="center"/>
              <w:rPr>
                <w:rFonts w:eastAsia="Times New Roman"/>
                <w:noProof/>
              </w:rPr>
            </w:pPr>
            <w:r>
              <w:rPr>
                <w:noProof/>
              </w:rPr>
              <w:t>27</w:t>
            </w:r>
          </w:p>
        </w:tc>
        <w:tc>
          <w:tcPr>
            <w:tcW w:w="3777" w:type="dxa"/>
            <w:shd w:val="clear" w:color="auto" w:fill="C6EFCE"/>
            <w:vAlign w:val="center"/>
            <w:hideMark/>
          </w:tcPr>
          <w:p w14:paraId="50B4BFF3" w14:textId="77777777" w:rsidR="003B5F50" w:rsidRDefault="000D2D85">
            <w:pPr>
              <w:pStyle w:val="P68B1DB1-Normal14"/>
              <w:spacing w:line="240" w:lineRule="auto"/>
              <w:jc w:val="center"/>
              <w:rPr>
                <w:noProof/>
              </w:rPr>
            </w:pPr>
            <w:r>
              <w:rPr>
                <w:noProof/>
              </w:rPr>
              <w:t>19 – REPowerEU – Investissement 4: Soutien à la rénovation des ménages exposés au risque de précarité énergétique – programme de rénovation légère</w:t>
            </w:r>
          </w:p>
        </w:tc>
        <w:tc>
          <w:tcPr>
            <w:tcW w:w="1134" w:type="dxa"/>
            <w:shd w:val="clear" w:color="auto" w:fill="C6EFCE"/>
            <w:vAlign w:val="center"/>
            <w:hideMark/>
          </w:tcPr>
          <w:p w14:paraId="50B4BFF4" w14:textId="77777777" w:rsidR="003B5F50" w:rsidRDefault="000D2D85">
            <w:pPr>
              <w:pStyle w:val="P68B1DB1-Normal14"/>
              <w:spacing w:line="240" w:lineRule="auto"/>
              <w:jc w:val="center"/>
              <w:rPr>
                <w:noProof/>
              </w:rPr>
            </w:pPr>
            <w:r>
              <w:rPr>
                <w:noProof/>
              </w:rPr>
              <w:t>Objectif</w:t>
            </w:r>
          </w:p>
        </w:tc>
        <w:tc>
          <w:tcPr>
            <w:tcW w:w="4110" w:type="dxa"/>
            <w:shd w:val="clear" w:color="auto" w:fill="C6EFCE"/>
            <w:vAlign w:val="center"/>
            <w:hideMark/>
          </w:tcPr>
          <w:p w14:paraId="50B4BFF5" w14:textId="77777777" w:rsidR="003B5F50" w:rsidRDefault="000D2D85">
            <w:pPr>
              <w:pStyle w:val="P68B1DB1-Normal14"/>
              <w:spacing w:line="240" w:lineRule="auto"/>
              <w:jc w:val="center"/>
              <w:rPr>
                <w:noProof/>
              </w:rPr>
            </w:pPr>
            <w:r>
              <w:rPr>
                <w:noProof/>
              </w:rPr>
              <w:t>Nombre de maisons rénovées de personnes exposées au risque de précarité énergétique</w:t>
            </w:r>
          </w:p>
        </w:tc>
      </w:tr>
      <w:tr w:rsidR="003B5F50" w14:paraId="50B4BFFB" w14:textId="77777777">
        <w:trPr>
          <w:trHeight w:val="1395"/>
        </w:trPr>
        <w:tc>
          <w:tcPr>
            <w:tcW w:w="1228" w:type="dxa"/>
            <w:shd w:val="clear" w:color="auto" w:fill="C6EFCE"/>
            <w:vAlign w:val="center"/>
            <w:hideMark/>
          </w:tcPr>
          <w:p w14:paraId="50B4BFF7" w14:textId="77777777" w:rsidR="003B5F50" w:rsidRDefault="000D2D85">
            <w:pPr>
              <w:pStyle w:val="P68B1DB1-Normal48"/>
              <w:spacing w:line="240" w:lineRule="auto"/>
              <w:jc w:val="center"/>
              <w:rPr>
                <w:rFonts w:eastAsia="Times New Roman"/>
                <w:noProof/>
              </w:rPr>
            </w:pPr>
            <w:r>
              <w:rPr>
                <w:noProof/>
              </w:rPr>
              <w:t>28</w:t>
            </w:r>
          </w:p>
        </w:tc>
        <w:tc>
          <w:tcPr>
            <w:tcW w:w="3777" w:type="dxa"/>
            <w:shd w:val="clear" w:color="auto" w:fill="C6EFCE"/>
            <w:vAlign w:val="center"/>
            <w:hideMark/>
          </w:tcPr>
          <w:p w14:paraId="50B4BFF8" w14:textId="77777777" w:rsidR="003B5F50" w:rsidRDefault="000D2D85">
            <w:pPr>
              <w:pStyle w:val="P68B1DB1-Normal14"/>
              <w:spacing w:line="240" w:lineRule="auto"/>
              <w:jc w:val="center"/>
              <w:rPr>
                <w:noProof/>
              </w:rPr>
            </w:pPr>
            <w:r>
              <w:rPr>
                <w:noProof/>
              </w:rPr>
              <w:t>19 – REPowerEU – Investissement 7: matériel scolaire et formation des enseignants</w:t>
            </w:r>
          </w:p>
        </w:tc>
        <w:tc>
          <w:tcPr>
            <w:tcW w:w="1134" w:type="dxa"/>
            <w:shd w:val="clear" w:color="auto" w:fill="C6EFCE"/>
            <w:vAlign w:val="center"/>
            <w:hideMark/>
          </w:tcPr>
          <w:p w14:paraId="50B4BFF9" w14:textId="77777777" w:rsidR="003B5F50" w:rsidRDefault="000D2D85">
            <w:pPr>
              <w:pStyle w:val="P68B1DB1-Normal14"/>
              <w:spacing w:line="240" w:lineRule="auto"/>
              <w:jc w:val="center"/>
              <w:rPr>
                <w:noProof/>
              </w:rPr>
            </w:pPr>
            <w:r>
              <w:rPr>
                <w:noProof/>
              </w:rPr>
              <w:t>Étape</w:t>
            </w:r>
          </w:p>
        </w:tc>
        <w:tc>
          <w:tcPr>
            <w:tcW w:w="4110" w:type="dxa"/>
            <w:shd w:val="clear" w:color="auto" w:fill="C6EFCE"/>
            <w:vAlign w:val="center"/>
            <w:hideMark/>
          </w:tcPr>
          <w:p w14:paraId="50B4BFFA" w14:textId="77777777" w:rsidR="003B5F50" w:rsidRDefault="000D2D85">
            <w:pPr>
              <w:pStyle w:val="P68B1DB1-Normal43"/>
              <w:spacing w:line="240" w:lineRule="auto"/>
              <w:jc w:val="center"/>
              <w:rPr>
                <w:noProof/>
              </w:rPr>
            </w:pPr>
            <w:r>
              <w:rPr>
                <w:noProof/>
              </w:rPr>
              <w:t>Nouveaux modules de formation dans les programmes éducatifs des écoles secondaires professionnelles dispensés au cours de l’année scolaire 2025/26</w:t>
            </w:r>
          </w:p>
        </w:tc>
      </w:tr>
      <w:tr w:rsidR="003B5F50" w14:paraId="50B4C000" w14:textId="77777777">
        <w:trPr>
          <w:trHeight w:val="1395"/>
        </w:trPr>
        <w:tc>
          <w:tcPr>
            <w:tcW w:w="1228" w:type="dxa"/>
            <w:shd w:val="clear" w:color="auto" w:fill="C6EFCE"/>
            <w:vAlign w:val="center"/>
          </w:tcPr>
          <w:p w14:paraId="50B4BFFC" w14:textId="77777777" w:rsidR="003B5F50" w:rsidRDefault="000D2D85">
            <w:pPr>
              <w:pStyle w:val="P68B1DB1-Normal85"/>
              <w:spacing w:line="240" w:lineRule="auto"/>
              <w:jc w:val="center"/>
              <w:rPr>
                <w:noProof/>
                <w:sz w:val="20"/>
                <w:szCs w:val="20"/>
              </w:rPr>
            </w:pPr>
            <w:r>
              <w:rPr>
                <w:noProof/>
              </w:rPr>
              <w:t>  </w:t>
            </w:r>
          </w:p>
        </w:tc>
        <w:tc>
          <w:tcPr>
            <w:tcW w:w="3777" w:type="dxa"/>
            <w:shd w:val="clear" w:color="auto" w:fill="C6EFCE"/>
            <w:vAlign w:val="center"/>
          </w:tcPr>
          <w:p w14:paraId="50B4BFFD" w14:textId="77777777" w:rsidR="003B5F50" w:rsidRDefault="000D2D85">
            <w:pPr>
              <w:pStyle w:val="P68B1DB1-Normal14"/>
              <w:spacing w:line="240" w:lineRule="auto"/>
              <w:jc w:val="center"/>
              <w:rPr>
                <w:noProof/>
              </w:rPr>
            </w:pPr>
            <w:r>
              <w:rPr>
                <w:noProof/>
              </w:rPr>
              <w:t>  </w:t>
            </w:r>
          </w:p>
        </w:tc>
        <w:tc>
          <w:tcPr>
            <w:tcW w:w="1134" w:type="dxa"/>
            <w:shd w:val="clear" w:color="auto" w:fill="C6EFCE"/>
            <w:vAlign w:val="center"/>
          </w:tcPr>
          <w:p w14:paraId="50B4BFFE" w14:textId="77777777" w:rsidR="003B5F50" w:rsidRDefault="000D2D85">
            <w:pPr>
              <w:pStyle w:val="P68B1DB1-Normal14"/>
              <w:spacing w:line="240" w:lineRule="auto"/>
              <w:jc w:val="center"/>
              <w:rPr>
                <w:noProof/>
              </w:rPr>
            </w:pPr>
            <w:r>
              <w:rPr>
                <w:noProof/>
              </w:rPr>
              <w:t>Montant des acomptes provisionnels </w:t>
            </w:r>
          </w:p>
        </w:tc>
        <w:tc>
          <w:tcPr>
            <w:tcW w:w="4110" w:type="dxa"/>
            <w:shd w:val="clear" w:color="auto" w:fill="C6EFCE"/>
            <w:vAlign w:val="center"/>
          </w:tcPr>
          <w:p w14:paraId="50B4BFFF" w14:textId="77777777" w:rsidR="003B5F50" w:rsidRDefault="000D2D85">
            <w:pPr>
              <w:pStyle w:val="P68B1DB1-Normal14"/>
              <w:spacing w:line="240" w:lineRule="auto"/>
              <w:jc w:val="center"/>
              <w:rPr>
                <w:noProof/>
              </w:rPr>
            </w:pPr>
            <w:r>
              <w:rPr>
                <w:noProof/>
                <w:szCs w:val="20"/>
              </w:rPr>
              <w:t>735 378 736 EUR</w:t>
            </w:r>
          </w:p>
        </w:tc>
      </w:tr>
    </w:tbl>
    <w:p w14:paraId="50B4C001" w14:textId="77777777" w:rsidR="003B5F50" w:rsidRDefault="003B5F50">
      <w:pPr>
        <w:spacing w:after="0" w:line="240" w:lineRule="auto"/>
        <w:jc w:val="both"/>
        <w:textAlignment w:val="baseline"/>
        <w:rPr>
          <w:rFonts w:ascii="Times New Roman" w:hAnsi="Times New Roman"/>
          <w:noProof/>
        </w:rPr>
      </w:pPr>
    </w:p>
    <w:p w14:paraId="50B4C002" w14:textId="77777777" w:rsidR="003B5F50" w:rsidRDefault="003B5F50">
      <w:pPr>
        <w:spacing w:after="0" w:line="240" w:lineRule="auto"/>
        <w:jc w:val="both"/>
        <w:textAlignment w:val="baseline"/>
        <w:rPr>
          <w:rFonts w:ascii="Times New Roman" w:hAnsi="Times New Roman"/>
          <w:noProof/>
        </w:rPr>
      </w:pPr>
    </w:p>
    <w:p w14:paraId="50B4C003" w14:textId="77777777" w:rsidR="003B5F50" w:rsidRDefault="000D2D85">
      <w:pPr>
        <w:pStyle w:val="P68B1DB1-Normal20"/>
        <w:spacing w:after="0" w:line="240" w:lineRule="auto"/>
        <w:jc w:val="both"/>
        <w:textAlignment w:val="baseline"/>
        <w:rPr>
          <w:rFonts w:ascii="Segoe UI" w:eastAsia="Times New Roman" w:hAnsi="Segoe UI" w:cs="Segoe UI"/>
          <w:noProof/>
          <w:sz w:val="18"/>
          <w:szCs w:val="18"/>
        </w:rPr>
      </w:pPr>
      <w:r>
        <w:rPr>
          <w:noProof/>
        </w:rPr>
        <w:t> </w:t>
      </w:r>
    </w:p>
    <w:p w14:paraId="50B4C004" w14:textId="7369715B" w:rsidR="003B5F50" w:rsidRDefault="000D2D85">
      <w:pPr>
        <w:pStyle w:val="P68B1DB1-ListParagraph86"/>
        <w:numPr>
          <w:ilvl w:val="0"/>
          <w:numId w:val="51"/>
        </w:numPr>
        <w:spacing w:after="0" w:line="240" w:lineRule="auto"/>
        <w:jc w:val="both"/>
        <w:textAlignment w:val="baseline"/>
        <w:rPr>
          <w:rFonts w:eastAsia="Times New Roman" w:cs="Times New Roman"/>
          <w:noProof/>
          <w:szCs w:val="24"/>
        </w:rPr>
      </w:pPr>
      <w:r>
        <w:rPr>
          <w:noProof/>
        </w:rPr>
        <w:t xml:space="preserve">Neuvième tranche (soutien non remboursable): </w:t>
      </w:r>
    </w:p>
    <w:p w14:paraId="50B4C005" w14:textId="77777777" w:rsidR="003B5F50" w:rsidRDefault="000D2D85">
      <w:pPr>
        <w:pStyle w:val="P68B1DB1-Normal20"/>
        <w:spacing w:after="0" w:line="240" w:lineRule="auto"/>
        <w:jc w:val="both"/>
        <w:textAlignment w:val="baseline"/>
        <w:rPr>
          <w:rFonts w:ascii="Segoe UI" w:eastAsia="Times New Roman" w:hAnsi="Segoe UI" w:cs="Segoe UI"/>
          <w:noProof/>
          <w:sz w:val="18"/>
          <w:szCs w:val="18"/>
        </w:rPr>
      </w:pPr>
      <w:r>
        <w:rPr>
          <w:noProof/>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4"/>
        <w:gridCol w:w="3550"/>
        <w:gridCol w:w="1432"/>
        <w:gridCol w:w="4043"/>
      </w:tblGrid>
      <w:tr w:rsidR="003B5F50" w14:paraId="50B4C00A" w14:textId="77777777">
        <w:trPr>
          <w:trHeight w:val="903"/>
          <w:tblHeader/>
        </w:trPr>
        <w:tc>
          <w:tcPr>
            <w:tcW w:w="1224" w:type="dxa"/>
            <w:shd w:val="clear" w:color="auto" w:fill="BDD7EE"/>
            <w:vAlign w:val="center"/>
            <w:hideMark/>
          </w:tcPr>
          <w:p w14:paraId="50B4C006" w14:textId="77777777" w:rsidR="003B5F50" w:rsidRDefault="000D2D85">
            <w:pPr>
              <w:pStyle w:val="P68B1DB1-Normal84"/>
              <w:spacing w:after="0" w:line="240" w:lineRule="auto"/>
              <w:jc w:val="center"/>
              <w:textAlignment w:val="baseline"/>
              <w:rPr>
                <w:rFonts w:eastAsia="Times New Roman"/>
                <w:noProof/>
              </w:rPr>
            </w:pPr>
            <w:r>
              <w:rPr>
                <w:b/>
                <w:noProof/>
              </w:rPr>
              <w:t>Numéro séquentiel</w:t>
            </w:r>
            <w:r>
              <w:rPr>
                <w:noProof/>
              </w:rPr>
              <w:t> </w:t>
            </w:r>
          </w:p>
        </w:tc>
        <w:tc>
          <w:tcPr>
            <w:tcW w:w="3550" w:type="dxa"/>
            <w:shd w:val="clear" w:color="auto" w:fill="BDD7EE"/>
            <w:vAlign w:val="center"/>
            <w:hideMark/>
          </w:tcPr>
          <w:p w14:paraId="50B4C007" w14:textId="77777777" w:rsidR="003B5F50" w:rsidRDefault="000D2D85">
            <w:pPr>
              <w:pStyle w:val="P68B1DB1-Normal84"/>
              <w:spacing w:after="0" w:line="240" w:lineRule="auto"/>
              <w:jc w:val="center"/>
              <w:textAlignment w:val="baseline"/>
              <w:rPr>
                <w:rFonts w:eastAsia="Times New Roman"/>
                <w:noProof/>
              </w:rPr>
            </w:pPr>
            <w:r>
              <w:rPr>
                <w:b/>
                <w:noProof/>
              </w:rPr>
              <w:t>Mesure connexe (réforme ou investissement)</w:t>
            </w:r>
            <w:r>
              <w:rPr>
                <w:noProof/>
              </w:rPr>
              <w:t> </w:t>
            </w:r>
          </w:p>
        </w:tc>
        <w:tc>
          <w:tcPr>
            <w:tcW w:w="1432" w:type="dxa"/>
            <w:shd w:val="clear" w:color="auto" w:fill="BDD7EE"/>
            <w:vAlign w:val="center"/>
            <w:hideMark/>
          </w:tcPr>
          <w:p w14:paraId="50B4C008" w14:textId="77777777" w:rsidR="003B5F50" w:rsidRDefault="000D2D85">
            <w:pPr>
              <w:pStyle w:val="P68B1DB1-Normal84"/>
              <w:spacing w:after="0" w:line="240" w:lineRule="auto"/>
              <w:jc w:val="center"/>
              <w:textAlignment w:val="baseline"/>
              <w:rPr>
                <w:rFonts w:eastAsia="Times New Roman"/>
                <w:noProof/>
              </w:rPr>
            </w:pPr>
            <w:r>
              <w:rPr>
                <w:b/>
                <w:noProof/>
              </w:rPr>
              <w:t>Étape/cible</w:t>
            </w:r>
            <w:r>
              <w:rPr>
                <w:noProof/>
              </w:rPr>
              <w:t> </w:t>
            </w:r>
          </w:p>
        </w:tc>
        <w:tc>
          <w:tcPr>
            <w:tcW w:w="4043" w:type="dxa"/>
            <w:shd w:val="clear" w:color="auto" w:fill="BDD7EE"/>
            <w:vAlign w:val="center"/>
            <w:hideMark/>
          </w:tcPr>
          <w:p w14:paraId="50B4C009" w14:textId="77777777" w:rsidR="003B5F50" w:rsidRDefault="000D2D85">
            <w:pPr>
              <w:pStyle w:val="P68B1DB1-Normal84"/>
              <w:spacing w:after="0" w:line="240" w:lineRule="auto"/>
              <w:jc w:val="center"/>
              <w:textAlignment w:val="baseline"/>
              <w:rPr>
                <w:rFonts w:eastAsia="Times New Roman"/>
                <w:noProof/>
              </w:rPr>
            </w:pPr>
            <w:r>
              <w:rPr>
                <w:b/>
                <w:noProof/>
              </w:rPr>
              <w:t>Nom</w:t>
            </w:r>
            <w:r>
              <w:rPr>
                <w:noProof/>
              </w:rPr>
              <w:t> </w:t>
            </w:r>
          </w:p>
        </w:tc>
      </w:tr>
      <w:tr w:rsidR="003B5F50" w14:paraId="50B4C00F" w14:textId="77777777">
        <w:trPr>
          <w:trHeight w:val="1035"/>
        </w:trPr>
        <w:tc>
          <w:tcPr>
            <w:tcW w:w="1224" w:type="dxa"/>
            <w:shd w:val="clear" w:color="auto" w:fill="C6EFCE"/>
            <w:vAlign w:val="center"/>
            <w:hideMark/>
          </w:tcPr>
          <w:p w14:paraId="50B4C00B" w14:textId="77777777" w:rsidR="003B5F50" w:rsidRDefault="000D2D85">
            <w:pPr>
              <w:pStyle w:val="P68B1DB1-Normal48"/>
              <w:spacing w:after="0" w:line="240" w:lineRule="auto"/>
              <w:jc w:val="center"/>
              <w:textAlignment w:val="baseline"/>
              <w:rPr>
                <w:rFonts w:eastAsia="Times New Roman"/>
                <w:noProof/>
              </w:rPr>
            </w:pPr>
            <w:r>
              <w:rPr>
                <w:noProof/>
              </w:rPr>
              <w:t>1 </w:t>
            </w:r>
          </w:p>
        </w:tc>
        <w:tc>
          <w:tcPr>
            <w:tcW w:w="3550" w:type="dxa"/>
            <w:shd w:val="clear" w:color="auto" w:fill="C6EFCE"/>
            <w:vAlign w:val="center"/>
            <w:hideMark/>
          </w:tcPr>
          <w:p w14:paraId="50B4C00C" w14:textId="2B7D9F7D" w:rsidR="003B5F50" w:rsidRDefault="000D2D85">
            <w:pPr>
              <w:pStyle w:val="P68B1DB1-Normal14"/>
              <w:spacing w:after="0" w:line="240" w:lineRule="auto"/>
              <w:jc w:val="center"/>
              <w:textAlignment w:val="baseline"/>
              <w:rPr>
                <w:noProof/>
              </w:rPr>
            </w:pPr>
            <w:r>
              <w:rPr>
                <w:noProof/>
              </w:rPr>
              <w:t>1 - Sources d'énergie renouvelables et infrastructures énergétiques - Investissement 1: Construction de nouvelles sources d'électricité renouvelables </w:t>
            </w:r>
          </w:p>
        </w:tc>
        <w:tc>
          <w:tcPr>
            <w:tcW w:w="1432" w:type="dxa"/>
            <w:shd w:val="clear" w:color="auto" w:fill="C6EFCE"/>
            <w:vAlign w:val="center"/>
            <w:hideMark/>
          </w:tcPr>
          <w:p w14:paraId="50B4C00D"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0E" w14:textId="26937063" w:rsidR="003B5F50" w:rsidRDefault="000D2D85">
            <w:pPr>
              <w:pStyle w:val="P68B1DB1-Normal14"/>
              <w:spacing w:after="0" w:line="240" w:lineRule="auto"/>
              <w:jc w:val="center"/>
              <w:textAlignment w:val="baseline"/>
              <w:rPr>
                <w:noProof/>
              </w:rPr>
            </w:pPr>
            <w:r>
              <w:rPr>
                <w:noProof/>
              </w:rPr>
              <w:t>Nouvelle capacité de production d'énergie renouvelable  </w:t>
            </w:r>
          </w:p>
        </w:tc>
      </w:tr>
      <w:tr w:rsidR="003B5F50" w14:paraId="50B4C014" w14:textId="77777777">
        <w:trPr>
          <w:trHeight w:val="1035"/>
        </w:trPr>
        <w:tc>
          <w:tcPr>
            <w:tcW w:w="1224" w:type="dxa"/>
            <w:shd w:val="clear" w:color="auto" w:fill="C6EFCE"/>
            <w:vAlign w:val="center"/>
            <w:hideMark/>
          </w:tcPr>
          <w:p w14:paraId="50B4C010" w14:textId="77777777" w:rsidR="003B5F50" w:rsidRDefault="000D2D85">
            <w:pPr>
              <w:pStyle w:val="P68B1DB1-Normal48"/>
              <w:spacing w:after="0" w:line="240" w:lineRule="auto"/>
              <w:jc w:val="center"/>
              <w:textAlignment w:val="baseline"/>
              <w:rPr>
                <w:rFonts w:eastAsia="Times New Roman"/>
                <w:noProof/>
              </w:rPr>
            </w:pPr>
            <w:r>
              <w:rPr>
                <w:noProof/>
              </w:rPr>
              <w:t>2 </w:t>
            </w:r>
          </w:p>
        </w:tc>
        <w:tc>
          <w:tcPr>
            <w:tcW w:w="3550" w:type="dxa"/>
            <w:shd w:val="clear" w:color="auto" w:fill="C6EFCE"/>
            <w:vAlign w:val="center"/>
            <w:hideMark/>
          </w:tcPr>
          <w:p w14:paraId="50B4C011" w14:textId="77777777" w:rsidR="003B5F50" w:rsidRDefault="000D2D85">
            <w:pPr>
              <w:pStyle w:val="P68B1DB1-Normal14"/>
              <w:spacing w:after="0" w:line="240" w:lineRule="auto"/>
              <w:jc w:val="center"/>
              <w:textAlignment w:val="baseline"/>
              <w:rPr>
                <w:noProof/>
              </w:rPr>
            </w:pPr>
            <w:r>
              <w:rPr>
                <w:noProof/>
              </w:rPr>
              <w:t>1 - Sources d'énergie renouvelables et infrastructures énergétiques - Investissement 2: Modernisation des sources d'énergie renouvelables existantes (repowering) </w:t>
            </w:r>
          </w:p>
        </w:tc>
        <w:tc>
          <w:tcPr>
            <w:tcW w:w="1432" w:type="dxa"/>
            <w:shd w:val="clear" w:color="auto" w:fill="C6EFCE"/>
            <w:vAlign w:val="center"/>
            <w:hideMark/>
          </w:tcPr>
          <w:p w14:paraId="50B4C012"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13" w14:textId="5AB8DCA6" w:rsidR="003B5F50" w:rsidRDefault="000D2D85">
            <w:pPr>
              <w:pStyle w:val="P68B1DB1-Normal14"/>
              <w:spacing w:after="0" w:line="240" w:lineRule="auto"/>
              <w:jc w:val="center"/>
              <w:textAlignment w:val="baseline"/>
              <w:rPr>
                <w:noProof/>
              </w:rPr>
            </w:pPr>
            <w:r>
              <w:rPr>
                <w:noProof/>
              </w:rPr>
              <w:t>Modernisation de la capacité des sources d'énergie renouvelables </w:t>
            </w:r>
          </w:p>
        </w:tc>
      </w:tr>
      <w:tr w:rsidR="003B5F50" w14:paraId="50B4C019" w14:textId="77777777">
        <w:trPr>
          <w:trHeight w:val="1035"/>
        </w:trPr>
        <w:tc>
          <w:tcPr>
            <w:tcW w:w="1224" w:type="dxa"/>
            <w:shd w:val="clear" w:color="auto" w:fill="C6EFCE"/>
            <w:vAlign w:val="center"/>
            <w:hideMark/>
          </w:tcPr>
          <w:p w14:paraId="50B4C015" w14:textId="77777777" w:rsidR="003B5F50" w:rsidRDefault="000D2D85">
            <w:pPr>
              <w:pStyle w:val="P68B1DB1-Normal48"/>
              <w:spacing w:after="0" w:line="240" w:lineRule="auto"/>
              <w:jc w:val="center"/>
              <w:textAlignment w:val="baseline"/>
              <w:rPr>
                <w:rFonts w:eastAsia="Times New Roman"/>
                <w:noProof/>
              </w:rPr>
            </w:pPr>
            <w:r>
              <w:rPr>
                <w:noProof/>
              </w:rPr>
              <w:t>3 </w:t>
            </w:r>
          </w:p>
        </w:tc>
        <w:tc>
          <w:tcPr>
            <w:tcW w:w="3550" w:type="dxa"/>
            <w:shd w:val="clear" w:color="auto" w:fill="C6EFCE"/>
            <w:vAlign w:val="center"/>
            <w:hideMark/>
          </w:tcPr>
          <w:p w14:paraId="50B4C016" w14:textId="4045FA6F" w:rsidR="003B5F50" w:rsidRDefault="000D2D85">
            <w:pPr>
              <w:pStyle w:val="P68B1DB1-Normal14"/>
              <w:spacing w:after="0" w:line="240" w:lineRule="auto"/>
              <w:jc w:val="center"/>
              <w:textAlignment w:val="baseline"/>
              <w:rPr>
                <w:noProof/>
              </w:rPr>
            </w:pPr>
            <w:r>
              <w:rPr>
                <w:noProof/>
              </w:rPr>
              <w:t xml:space="preserve">1 - Sources d'énergie renouvelables et infrastructures énergétiques - Investissement 3: Accroître la flexibilité des systèmes électriques pour une plus grande intégration des énergies renouvelables </w:t>
            </w:r>
          </w:p>
        </w:tc>
        <w:tc>
          <w:tcPr>
            <w:tcW w:w="1432" w:type="dxa"/>
            <w:shd w:val="clear" w:color="auto" w:fill="C6EFCE"/>
            <w:vAlign w:val="center"/>
            <w:hideMark/>
          </w:tcPr>
          <w:p w14:paraId="50B4C017"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18" w14:textId="7D8EC90D" w:rsidR="003B5F50" w:rsidRDefault="000D2D85">
            <w:pPr>
              <w:pStyle w:val="P68B1DB1-Normal14"/>
              <w:spacing w:after="0" w:line="240" w:lineRule="auto"/>
              <w:jc w:val="center"/>
              <w:textAlignment w:val="baseline"/>
              <w:rPr>
                <w:noProof/>
              </w:rPr>
            </w:pPr>
            <w:r>
              <w:rPr>
                <w:noProof/>
              </w:rPr>
              <w:t xml:space="preserve">Augmentation cumulée de la capacité des installations augmentant la flexibilité des systèmes énergétiques </w:t>
            </w:r>
          </w:p>
        </w:tc>
      </w:tr>
      <w:tr w:rsidR="003B5F50" w14:paraId="50B4C01E" w14:textId="77777777">
        <w:trPr>
          <w:trHeight w:val="1035"/>
        </w:trPr>
        <w:tc>
          <w:tcPr>
            <w:tcW w:w="1224" w:type="dxa"/>
            <w:shd w:val="clear" w:color="auto" w:fill="C6EFCE"/>
            <w:vAlign w:val="center"/>
            <w:hideMark/>
          </w:tcPr>
          <w:p w14:paraId="50B4C01A" w14:textId="77777777" w:rsidR="003B5F50" w:rsidRDefault="000D2D85">
            <w:pPr>
              <w:pStyle w:val="P68B1DB1-Normal48"/>
              <w:spacing w:after="0" w:line="240" w:lineRule="auto"/>
              <w:jc w:val="center"/>
              <w:textAlignment w:val="baseline"/>
              <w:rPr>
                <w:rFonts w:eastAsia="Times New Roman"/>
                <w:noProof/>
              </w:rPr>
            </w:pPr>
            <w:r>
              <w:rPr>
                <w:noProof/>
              </w:rPr>
              <w:t>4 </w:t>
            </w:r>
          </w:p>
        </w:tc>
        <w:tc>
          <w:tcPr>
            <w:tcW w:w="3550" w:type="dxa"/>
            <w:shd w:val="clear" w:color="auto" w:fill="C6EFCE"/>
            <w:vAlign w:val="center"/>
            <w:hideMark/>
          </w:tcPr>
          <w:p w14:paraId="50B4C01B" w14:textId="1E5B8D3A" w:rsidR="003B5F50" w:rsidRDefault="000D2D85">
            <w:pPr>
              <w:pStyle w:val="P68B1DB1-Normal14"/>
              <w:spacing w:after="0" w:line="240" w:lineRule="auto"/>
              <w:jc w:val="center"/>
              <w:textAlignment w:val="baseline"/>
              <w:rPr>
                <w:noProof/>
              </w:rPr>
            </w:pPr>
            <w:r>
              <w:rPr>
                <w:noProof/>
              </w:rPr>
              <w:t xml:space="preserve">2 - Rénovation des bâtiments - Investissement 1: Accroître l'efficacité énergétique des maisons familiales </w:t>
            </w:r>
          </w:p>
        </w:tc>
        <w:tc>
          <w:tcPr>
            <w:tcW w:w="1432" w:type="dxa"/>
            <w:shd w:val="clear" w:color="auto" w:fill="C6EFCE"/>
            <w:vAlign w:val="center"/>
            <w:hideMark/>
          </w:tcPr>
          <w:p w14:paraId="50B4C01C"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1D" w14:textId="3FA86ACC" w:rsidR="003B5F50" w:rsidRDefault="000D2D85">
            <w:pPr>
              <w:pStyle w:val="P68B1DB1-Normal14"/>
              <w:spacing w:after="0" w:line="240" w:lineRule="auto"/>
              <w:jc w:val="center"/>
              <w:textAlignment w:val="baseline"/>
              <w:rPr>
                <w:noProof/>
              </w:rPr>
            </w:pPr>
            <w:r>
              <w:rPr>
                <w:noProof/>
              </w:rPr>
              <w:t xml:space="preserve">Nombre de maisons familiales rénovées réalisant au moins 30 % d’économies d’énergie primaire </w:t>
            </w:r>
          </w:p>
        </w:tc>
      </w:tr>
      <w:tr w:rsidR="003B5F50" w14:paraId="50B4C023" w14:textId="77777777">
        <w:trPr>
          <w:trHeight w:val="1035"/>
        </w:trPr>
        <w:tc>
          <w:tcPr>
            <w:tcW w:w="1224" w:type="dxa"/>
            <w:shd w:val="clear" w:color="auto" w:fill="C6EFCE"/>
            <w:vAlign w:val="center"/>
            <w:hideMark/>
          </w:tcPr>
          <w:p w14:paraId="50B4C01F" w14:textId="77777777" w:rsidR="003B5F50" w:rsidRDefault="000D2D85">
            <w:pPr>
              <w:pStyle w:val="P68B1DB1-Normal48"/>
              <w:spacing w:after="0" w:line="240" w:lineRule="auto"/>
              <w:jc w:val="center"/>
              <w:textAlignment w:val="baseline"/>
              <w:rPr>
                <w:rFonts w:eastAsia="Times New Roman"/>
                <w:noProof/>
              </w:rPr>
            </w:pPr>
            <w:r>
              <w:rPr>
                <w:noProof/>
              </w:rPr>
              <w:t>5 </w:t>
            </w:r>
          </w:p>
        </w:tc>
        <w:tc>
          <w:tcPr>
            <w:tcW w:w="3550" w:type="dxa"/>
            <w:shd w:val="clear" w:color="auto" w:fill="C6EFCE"/>
            <w:vAlign w:val="center"/>
            <w:hideMark/>
          </w:tcPr>
          <w:p w14:paraId="50B4C020" w14:textId="1CD150DA" w:rsidR="003B5F50" w:rsidRDefault="000D2D85">
            <w:pPr>
              <w:pStyle w:val="P68B1DB1-Normal14"/>
              <w:spacing w:after="0" w:line="240" w:lineRule="auto"/>
              <w:jc w:val="center"/>
              <w:textAlignment w:val="baseline"/>
              <w:rPr>
                <w:noProof/>
              </w:rPr>
            </w:pPr>
            <w:r>
              <w:rPr>
                <w:noProof/>
              </w:rPr>
              <w:t xml:space="preserve">2 - Rénovation des bâtiments - Investissement 2: Rénovation de bâtiments publics historiques et classés </w:t>
            </w:r>
          </w:p>
        </w:tc>
        <w:tc>
          <w:tcPr>
            <w:tcW w:w="1432" w:type="dxa"/>
            <w:shd w:val="clear" w:color="auto" w:fill="C6EFCE"/>
            <w:vAlign w:val="center"/>
            <w:hideMark/>
          </w:tcPr>
          <w:p w14:paraId="50B4C021"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22" w14:textId="77777777" w:rsidR="003B5F50" w:rsidRDefault="000D2D85">
            <w:pPr>
              <w:pStyle w:val="P68B1DB1-Normal14"/>
              <w:spacing w:after="0" w:line="240" w:lineRule="auto"/>
              <w:jc w:val="center"/>
              <w:textAlignment w:val="baseline"/>
              <w:rPr>
                <w:noProof/>
              </w:rPr>
            </w:pPr>
            <w:r>
              <w:rPr>
                <w:noProof/>
              </w:rPr>
              <w:t>Surface au sol des bâtiments publics historiques et classés rénovés réalisant, en moyenne, au moins 30 % des économies d’énergie primaire</w:t>
            </w:r>
          </w:p>
        </w:tc>
      </w:tr>
      <w:tr w:rsidR="003B5F50" w14:paraId="50B4C028" w14:textId="77777777">
        <w:trPr>
          <w:trHeight w:val="1035"/>
        </w:trPr>
        <w:tc>
          <w:tcPr>
            <w:tcW w:w="1224" w:type="dxa"/>
            <w:shd w:val="clear" w:color="auto" w:fill="C6EFCE"/>
            <w:vAlign w:val="center"/>
            <w:hideMark/>
          </w:tcPr>
          <w:p w14:paraId="50B4C024" w14:textId="77777777" w:rsidR="003B5F50" w:rsidRDefault="000D2D85">
            <w:pPr>
              <w:pStyle w:val="P68B1DB1-Normal48"/>
              <w:spacing w:after="0" w:line="240" w:lineRule="auto"/>
              <w:jc w:val="center"/>
              <w:textAlignment w:val="baseline"/>
              <w:rPr>
                <w:rFonts w:eastAsia="Times New Roman"/>
                <w:noProof/>
              </w:rPr>
            </w:pPr>
            <w:r>
              <w:rPr>
                <w:noProof/>
              </w:rPr>
              <w:t>6 </w:t>
            </w:r>
          </w:p>
        </w:tc>
        <w:tc>
          <w:tcPr>
            <w:tcW w:w="3550" w:type="dxa"/>
            <w:shd w:val="clear" w:color="auto" w:fill="C6EFCE"/>
            <w:vAlign w:val="center"/>
            <w:hideMark/>
          </w:tcPr>
          <w:p w14:paraId="50B4C025" w14:textId="77777777" w:rsidR="003B5F50" w:rsidRDefault="000D2D85">
            <w:pPr>
              <w:pStyle w:val="P68B1DB1-Normal14"/>
              <w:spacing w:after="0" w:line="240" w:lineRule="auto"/>
              <w:jc w:val="center"/>
              <w:textAlignment w:val="baseline"/>
              <w:rPr>
                <w:noProof/>
              </w:rPr>
            </w:pPr>
            <w:r>
              <w:rPr>
                <w:noProof/>
              </w:rPr>
              <w:t>3 - Transports durables - Réforme 2: Réforme du transport public de voyageurs </w:t>
            </w:r>
          </w:p>
        </w:tc>
        <w:tc>
          <w:tcPr>
            <w:tcW w:w="1432" w:type="dxa"/>
            <w:shd w:val="clear" w:color="auto" w:fill="C6EFCE"/>
            <w:vAlign w:val="center"/>
            <w:hideMark/>
          </w:tcPr>
          <w:p w14:paraId="50B4C026"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27" w14:textId="77777777" w:rsidR="003B5F50" w:rsidRDefault="000D2D85">
            <w:pPr>
              <w:pStyle w:val="P68B1DB1-Normal14"/>
              <w:spacing w:after="0" w:line="240" w:lineRule="auto"/>
              <w:jc w:val="center"/>
              <w:textAlignment w:val="baseline"/>
              <w:rPr>
                <w:noProof/>
              </w:rPr>
            </w:pPr>
            <w:r>
              <w:rPr>
                <w:noProof/>
              </w:rPr>
              <w:t>Nombre de régions autonomes dans lesquelles une intégration tarifaire est en place permettant de voyager par plusieurs modes de transport public ou par transporteurs par billet </w:t>
            </w:r>
          </w:p>
        </w:tc>
      </w:tr>
      <w:tr w:rsidR="003B5F50" w14:paraId="50B4C02D" w14:textId="77777777">
        <w:trPr>
          <w:trHeight w:val="1035"/>
        </w:trPr>
        <w:tc>
          <w:tcPr>
            <w:tcW w:w="1224" w:type="dxa"/>
            <w:shd w:val="clear" w:color="auto" w:fill="C6EFCE"/>
            <w:vAlign w:val="center"/>
            <w:hideMark/>
          </w:tcPr>
          <w:p w14:paraId="50B4C029" w14:textId="77777777" w:rsidR="003B5F50" w:rsidRDefault="000D2D85">
            <w:pPr>
              <w:pStyle w:val="P68B1DB1-Normal48"/>
              <w:spacing w:after="0" w:line="240" w:lineRule="auto"/>
              <w:jc w:val="center"/>
              <w:textAlignment w:val="baseline"/>
              <w:rPr>
                <w:rFonts w:eastAsia="Times New Roman"/>
                <w:noProof/>
              </w:rPr>
            </w:pPr>
            <w:r>
              <w:rPr>
                <w:noProof/>
              </w:rPr>
              <w:t>7 </w:t>
            </w:r>
          </w:p>
        </w:tc>
        <w:tc>
          <w:tcPr>
            <w:tcW w:w="3550" w:type="dxa"/>
            <w:shd w:val="clear" w:color="auto" w:fill="C6EFCE"/>
            <w:vAlign w:val="center"/>
            <w:hideMark/>
          </w:tcPr>
          <w:p w14:paraId="50B4C02A" w14:textId="77777777" w:rsidR="003B5F50" w:rsidRDefault="000D2D85">
            <w:pPr>
              <w:pStyle w:val="P68B1DB1-Normal14"/>
              <w:spacing w:after="0" w:line="240" w:lineRule="auto"/>
              <w:jc w:val="center"/>
              <w:textAlignment w:val="baseline"/>
              <w:rPr>
                <w:noProof/>
              </w:rPr>
            </w:pPr>
            <w:r>
              <w:rPr>
                <w:noProof/>
              </w:rPr>
              <w:t>3 - Transports durables - Investissement 1: Développement d'infrastructures de transport à faible intensité de carbone </w:t>
            </w:r>
          </w:p>
        </w:tc>
        <w:tc>
          <w:tcPr>
            <w:tcW w:w="1432" w:type="dxa"/>
            <w:shd w:val="clear" w:color="auto" w:fill="C6EFCE"/>
            <w:vAlign w:val="center"/>
            <w:hideMark/>
          </w:tcPr>
          <w:p w14:paraId="50B4C02B"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2C" w14:textId="77777777" w:rsidR="003B5F50" w:rsidRDefault="000D2D85">
            <w:pPr>
              <w:pStyle w:val="P68B1DB1-Normal14"/>
              <w:spacing w:after="0" w:line="240" w:lineRule="auto"/>
              <w:jc w:val="center"/>
              <w:textAlignment w:val="baseline"/>
              <w:rPr>
                <w:noProof/>
              </w:rPr>
            </w:pPr>
            <w:r>
              <w:rPr>
                <w:noProof/>
              </w:rPr>
              <w:t>Longueur des nouvelles infrastructures cyclables (km) </w:t>
            </w:r>
          </w:p>
        </w:tc>
      </w:tr>
      <w:tr w:rsidR="003B5F50" w14:paraId="50B4C032" w14:textId="77777777">
        <w:trPr>
          <w:trHeight w:val="1035"/>
        </w:trPr>
        <w:tc>
          <w:tcPr>
            <w:tcW w:w="1224" w:type="dxa"/>
            <w:shd w:val="clear" w:color="auto" w:fill="C6EFCE"/>
            <w:vAlign w:val="center"/>
            <w:hideMark/>
          </w:tcPr>
          <w:p w14:paraId="50B4C02E" w14:textId="77777777" w:rsidR="003B5F50" w:rsidRDefault="000D2D85">
            <w:pPr>
              <w:pStyle w:val="P68B1DB1-Normal48"/>
              <w:spacing w:after="0" w:line="240" w:lineRule="auto"/>
              <w:jc w:val="center"/>
              <w:textAlignment w:val="baseline"/>
              <w:rPr>
                <w:rFonts w:eastAsia="Times New Roman"/>
                <w:noProof/>
              </w:rPr>
            </w:pPr>
            <w:r>
              <w:rPr>
                <w:noProof/>
              </w:rPr>
              <w:t>8 </w:t>
            </w:r>
          </w:p>
        </w:tc>
        <w:tc>
          <w:tcPr>
            <w:tcW w:w="3550" w:type="dxa"/>
            <w:shd w:val="clear" w:color="auto" w:fill="C6EFCE"/>
            <w:vAlign w:val="center"/>
            <w:hideMark/>
          </w:tcPr>
          <w:p w14:paraId="50B4C02F" w14:textId="77777777" w:rsidR="003B5F50" w:rsidRDefault="000D2D85">
            <w:pPr>
              <w:pStyle w:val="P68B1DB1-Normal14"/>
              <w:spacing w:after="0" w:line="240" w:lineRule="auto"/>
              <w:jc w:val="center"/>
              <w:textAlignment w:val="baseline"/>
              <w:rPr>
                <w:noProof/>
              </w:rPr>
            </w:pPr>
            <w:r>
              <w:rPr>
                <w:noProof/>
              </w:rPr>
              <w:t>3 - Transports durables - Investissement 1: Développement d'infrastructures de transport à faible intensité de carbone </w:t>
            </w:r>
          </w:p>
        </w:tc>
        <w:tc>
          <w:tcPr>
            <w:tcW w:w="1432" w:type="dxa"/>
            <w:shd w:val="clear" w:color="auto" w:fill="C6EFCE"/>
            <w:vAlign w:val="center"/>
            <w:hideMark/>
          </w:tcPr>
          <w:p w14:paraId="50B4C030"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31" w14:textId="77777777" w:rsidR="003B5F50" w:rsidRDefault="000D2D85">
            <w:pPr>
              <w:pStyle w:val="P68B1DB1-Normal14"/>
              <w:spacing w:after="0" w:line="240" w:lineRule="auto"/>
              <w:jc w:val="center"/>
              <w:textAlignment w:val="baseline"/>
              <w:rPr>
                <w:noProof/>
              </w:rPr>
            </w:pPr>
            <w:r>
              <w:rPr>
                <w:noProof/>
              </w:rPr>
              <w:t>Longueur de l’infrastructure ferroviaire propre pour le transport de voyageurs reconstruite ou modernisée (en km pondérés) </w:t>
            </w:r>
          </w:p>
        </w:tc>
      </w:tr>
      <w:tr w:rsidR="003B5F50" w14:paraId="50B4C037" w14:textId="77777777">
        <w:trPr>
          <w:trHeight w:val="1035"/>
        </w:trPr>
        <w:tc>
          <w:tcPr>
            <w:tcW w:w="1224" w:type="dxa"/>
            <w:shd w:val="clear" w:color="auto" w:fill="C6EFCE"/>
            <w:vAlign w:val="center"/>
            <w:hideMark/>
          </w:tcPr>
          <w:p w14:paraId="50B4C033" w14:textId="77777777" w:rsidR="003B5F50" w:rsidRDefault="000D2D85">
            <w:pPr>
              <w:pStyle w:val="P68B1DB1-Normal48"/>
              <w:spacing w:after="0" w:line="240" w:lineRule="auto"/>
              <w:jc w:val="center"/>
              <w:textAlignment w:val="baseline"/>
              <w:rPr>
                <w:rFonts w:eastAsia="Times New Roman"/>
                <w:noProof/>
              </w:rPr>
            </w:pPr>
            <w:r>
              <w:rPr>
                <w:noProof/>
              </w:rPr>
              <w:t>9 </w:t>
            </w:r>
          </w:p>
        </w:tc>
        <w:tc>
          <w:tcPr>
            <w:tcW w:w="3550" w:type="dxa"/>
            <w:shd w:val="clear" w:color="auto" w:fill="C6EFCE"/>
            <w:vAlign w:val="center"/>
            <w:hideMark/>
          </w:tcPr>
          <w:p w14:paraId="50B4C034" w14:textId="77777777" w:rsidR="003B5F50" w:rsidRDefault="000D2D85">
            <w:pPr>
              <w:pStyle w:val="P68B1DB1-Normal14"/>
              <w:spacing w:after="0" w:line="240" w:lineRule="auto"/>
              <w:jc w:val="center"/>
              <w:textAlignment w:val="baseline"/>
              <w:rPr>
                <w:noProof/>
              </w:rPr>
            </w:pPr>
            <w:r>
              <w:rPr>
                <w:noProof/>
              </w:rPr>
              <w:t>3 - Transports durables - Investissement 1: Développement d'infrastructures de transport à faible intensité de carbone </w:t>
            </w:r>
          </w:p>
        </w:tc>
        <w:tc>
          <w:tcPr>
            <w:tcW w:w="1432" w:type="dxa"/>
            <w:shd w:val="clear" w:color="auto" w:fill="C6EFCE"/>
            <w:vAlign w:val="center"/>
            <w:hideMark/>
          </w:tcPr>
          <w:p w14:paraId="50B4C035"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36" w14:textId="77777777" w:rsidR="003B5F50" w:rsidRDefault="000D2D85">
            <w:pPr>
              <w:pStyle w:val="P68B1DB1-Normal14"/>
              <w:spacing w:after="0" w:line="240" w:lineRule="auto"/>
              <w:jc w:val="center"/>
              <w:textAlignment w:val="baseline"/>
              <w:rPr>
                <w:noProof/>
              </w:rPr>
            </w:pPr>
            <w:r>
              <w:rPr>
                <w:noProof/>
              </w:rPr>
              <w:t>Longueur des tronçons de lignes ferroviaires expédiés (km) </w:t>
            </w:r>
          </w:p>
        </w:tc>
      </w:tr>
      <w:tr w:rsidR="003B5F50" w14:paraId="50B4C03C" w14:textId="77777777">
        <w:trPr>
          <w:trHeight w:val="300"/>
        </w:trPr>
        <w:tc>
          <w:tcPr>
            <w:tcW w:w="1224" w:type="dxa"/>
            <w:shd w:val="clear" w:color="auto" w:fill="C6EFCE"/>
            <w:vAlign w:val="center"/>
          </w:tcPr>
          <w:p w14:paraId="50B4C038" w14:textId="77777777" w:rsidR="003B5F50" w:rsidRDefault="000D2D85">
            <w:pPr>
              <w:pStyle w:val="P68B1DB1-Normal48"/>
              <w:spacing w:after="0" w:line="240" w:lineRule="auto"/>
              <w:jc w:val="center"/>
              <w:textAlignment w:val="baseline"/>
              <w:rPr>
                <w:noProof/>
                <w:highlight w:val="yellow"/>
              </w:rPr>
            </w:pPr>
            <w:r>
              <w:rPr>
                <w:noProof/>
              </w:rPr>
              <w:t>10</w:t>
            </w:r>
          </w:p>
        </w:tc>
        <w:tc>
          <w:tcPr>
            <w:tcW w:w="3550" w:type="dxa"/>
            <w:shd w:val="clear" w:color="auto" w:fill="C6EFCE"/>
            <w:vAlign w:val="center"/>
          </w:tcPr>
          <w:p w14:paraId="50B4C039" w14:textId="77777777" w:rsidR="003B5F50" w:rsidRDefault="000D2D85">
            <w:pPr>
              <w:pStyle w:val="P68B1DB1-Normal14"/>
              <w:spacing w:after="0" w:line="240" w:lineRule="auto"/>
              <w:jc w:val="center"/>
              <w:textAlignment w:val="baseline"/>
              <w:rPr>
                <w:noProof/>
              </w:rPr>
            </w:pPr>
            <w:r>
              <w:rPr>
                <w:noProof/>
              </w:rPr>
              <w:t>3 - Transports durables - Investissement 2: Promouvoir un transport de passagers propre</w:t>
            </w:r>
          </w:p>
        </w:tc>
        <w:tc>
          <w:tcPr>
            <w:tcW w:w="1432" w:type="dxa"/>
            <w:shd w:val="clear" w:color="auto" w:fill="C6EFCE"/>
            <w:vAlign w:val="center"/>
          </w:tcPr>
          <w:p w14:paraId="50B4C03A"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tcPr>
          <w:p w14:paraId="50B4C03B" w14:textId="77777777" w:rsidR="003B5F50" w:rsidRDefault="000D2D85">
            <w:pPr>
              <w:pStyle w:val="P68B1DB1-Normal14"/>
              <w:spacing w:after="0" w:line="240" w:lineRule="auto"/>
              <w:jc w:val="center"/>
              <w:textAlignment w:val="baseline"/>
              <w:rPr>
                <w:noProof/>
              </w:rPr>
            </w:pPr>
            <w:r>
              <w:rPr>
                <w:noProof/>
              </w:rPr>
              <w:t>Nombre de matériel roulant propre destiné au transport de passagers acheté (pondéré)</w:t>
            </w:r>
          </w:p>
        </w:tc>
      </w:tr>
      <w:tr w:rsidR="003B5F50" w14:paraId="50B4C041" w14:textId="77777777">
        <w:trPr>
          <w:trHeight w:val="1035"/>
        </w:trPr>
        <w:tc>
          <w:tcPr>
            <w:tcW w:w="1224" w:type="dxa"/>
            <w:shd w:val="clear" w:color="auto" w:fill="C6EFCE"/>
            <w:vAlign w:val="center"/>
            <w:hideMark/>
          </w:tcPr>
          <w:p w14:paraId="50B4C03D" w14:textId="77777777" w:rsidR="003B5F50" w:rsidRDefault="000D2D85">
            <w:pPr>
              <w:pStyle w:val="P68B1DB1-Normal48"/>
              <w:spacing w:after="0" w:line="240" w:lineRule="auto"/>
              <w:jc w:val="center"/>
              <w:textAlignment w:val="baseline"/>
              <w:rPr>
                <w:rFonts w:eastAsia="Times New Roman"/>
                <w:noProof/>
                <w:highlight w:val="yellow"/>
              </w:rPr>
            </w:pPr>
            <w:r>
              <w:rPr>
                <w:noProof/>
              </w:rPr>
              <w:t>11</w:t>
            </w:r>
          </w:p>
        </w:tc>
        <w:tc>
          <w:tcPr>
            <w:tcW w:w="3550" w:type="dxa"/>
            <w:shd w:val="clear" w:color="auto" w:fill="C6EFCE"/>
            <w:vAlign w:val="center"/>
            <w:hideMark/>
          </w:tcPr>
          <w:p w14:paraId="50B4C03E" w14:textId="77777777" w:rsidR="003B5F50" w:rsidRDefault="000D2D85">
            <w:pPr>
              <w:pStyle w:val="P68B1DB1-Normal14"/>
              <w:spacing w:after="0" w:line="240" w:lineRule="auto"/>
              <w:jc w:val="center"/>
              <w:textAlignment w:val="baseline"/>
              <w:rPr>
                <w:noProof/>
              </w:rPr>
            </w:pPr>
            <w:r>
              <w:rPr>
                <w:noProof/>
              </w:rPr>
              <w:t>3 - Transports durables - Investissement 3: Développement du transport intermodal de marchandises </w:t>
            </w:r>
          </w:p>
        </w:tc>
        <w:tc>
          <w:tcPr>
            <w:tcW w:w="1432" w:type="dxa"/>
            <w:shd w:val="clear" w:color="auto" w:fill="C6EFCE"/>
            <w:vAlign w:val="center"/>
            <w:hideMark/>
          </w:tcPr>
          <w:p w14:paraId="50B4C03F"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40" w14:textId="10595E83" w:rsidR="003B5F50" w:rsidRDefault="000D2D85">
            <w:pPr>
              <w:pStyle w:val="P68B1DB1-Normal14"/>
              <w:spacing w:after="0" w:line="240" w:lineRule="auto"/>
              <w:jc w:val="center"/>
              <w:textAlignment w:val="baseline"/>
              <w:rPr>
                <w:noProof/>
              </w:rPr>
            </w:pPr>
            <w:r>
              <w:rPr>
                <w:noProof/>
              </w:rPr>
              <w:t>Nombre d'unités de transport intermodal achetées en unités équivalentes de vingt pieds  </w:t>
            </w:r>
          </w:p>
        </w:tc>
      </w:tr>
      <w:tr w:rsidR="003B5F50" w14:paraId="50B4C046" w14:textId="77777777">
        <w:trPr>
          <w:trHeight w:val="1035"/>
        </w:trPr>
        <w:tc>
          <w:tcPr>
            <w:tcW w:w="1224" w:type="dxa"/>
            <w:shd w:val="clear" w:color="auto" w:fill="C6EFCE"/>
            <w:vAlign w:val="center"/>
            <w:hideMark/>
          </w:tcPr>
          <w:p w14:paraId="50B4C042" w14:textId="77777777" w:rsidR="003B5F50" w:rsidRDefault="000D2D85">
            <w:pPr>
              <w:pStyle w:val="P68B1DB1-Normal48"/>
              <w:spacing w:after="0" w:line="240" w:lineRule="auto"/>
              <w:jc w:val="center"/>
              <w:textAlignment w:val="baseline"/>
              <w:rPr>
                <w:rFonts w:eastAsia="Times New Roman"/>
                <w:noProof/>
              </w:rPr>
            </w:pPr>
            <w:r>
              <w:rPr>
                <w:noProof/>
              </w:rPr>
              <w:t>12</w:t>
            </w:r>
          </w:p>
        </w:tc>
        <w:tc>
          <w:tcPr>
            <w:tcW w:w="3550" w:type="dxa"/>
            <w:shd w:val="clear" w:color="auto" w:fill="C6EFCE"/>
            <w:vAlign w:val="center"/>
            <w:hideMark/>
          </w:tcPr>
          <w:p w14:paraId="50B4C043" w14:textId="34EEAD7F" w:rsidR="003B5F50" w:rsidRDefault="000D2D85">
            <w:pPr>
              <w:pStyle w:val="P68B1DB1-Normal14"/>
              <w:spacing w:after="0" w:line="240" w:lineRule="auto"/>
              <w:jc w:val="center"/>
              <w:textAlignment w:val="baseline"/>
              <w:rPr>
                <w:noProof/>
              </w:rPr>
            </w:pPr>
            <w:r>
              <w:rPr>
                <w:noProof/>
              </w:rPr>
              <w:t xml:space="preserve">3 - Transports durables - Investissement 4: Soutenir le développement d'infrastructures pour les véhicules à carburants alternatifs </w:t>
            </w:r>
          </w:p>
        </w:tc>
        <w:tc>
          <w:tcPr>
            <w:tcW w:w="1432" w:type="dxa"/>
            <w:shd w:val="clear" w:color="auto" w:fill="C6EFCE"/>
            <w:vAlign w:val="center"/>
            <w:hideMark/>
          </w:tcPr>
          <w:p w14:paraId="50B4C044"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45" w14:textId="77777777" w:rsidR="003B5F50" w:rsidRDefault="000D2D85">
            <w:pPr>
              <w:pStyle w:val="P68B1DB1-Normal14"/>
              <w:spacing w:after="0" w:line="240" w:lineRule="auto"/>
              <w:jc w:val="center"/>
              <w:textAlignment w:val="baseline"/>
              <w:rPr>
                <w:noProof/>
              </w:rPr>
            </w:pPr>
            <w:r>
              <w:rPr>
                <w:noProof/>
              </w:rPr>
              <w:t>Nombre de points de recharge ou de points de ravitaillement en hydrogène en fonctionnement. </w:t>
            </w:r>
          </w:p>
        </w:tc>
      </w:tr>
      <w:tr w:rsidR="003B5F50" w14:paraId="50B4C04B" w14:textId="77777777">
        <w:trPr>
          <w:trHeight w:val="1035"/>
        </w:trPr>
        <w:tc>
          <w:tcPr>
            <w:tcW w:w="1224" w:type="dxa"/>
            <w:shd w:val="clear" w:color="auto" w:fill="C6EFCE"/>
            <w:vAlign w:val="center"/>
            <w:hideMark/>
          </w:tcPr>
          <w:p w14:paraId="50B4C047" w14:textId="77777777" w:rsidR="003B5F50" w:rsidRDefault="000D2D85">
            <w:pPr>
              <w:pStyle w:val="P68B1DB1-Normal48"/>
              <w:spacing w:after="0" w:line="240" w:lineRule="auto"/>
              <w:jc w:val="center"/>
              <w:textAlignment w:val="baseline"/>
              <w:rPr>
                <w:rFonts w:eastAsia="Times New Roman"/>
                <w:noProof/>
              </w:rPr>
            </w:pPr>
            <w:r>
              <w:rPr>
                <w:noProof/>
              </w:rPr>
              <w:t>13 </w:t>
            </w:r>
          </w:p>
        </w:tc>
        <w:tc>
          <w:tcPr>
            <w:tcW w:w="3550" w:type="dxa"/>
            <w:shd w:val="clear" w:color="auto" w:fill="C6EFCE"/>
            <w:vAlign w:val="center"/>
            <w:hideMark/>
          </w:tcPr>
          <w:p w14:paraId="50B4C048" w14:textId="069159EC" w:rsidR="003B5F50" w:rsidRDefault="000D2D85">
            <w:pPr>
              <w:pStyle w:val="P68B1DB1-Normal14"/>
              <w:spacing w:after="0" w:line="240" w:lineRule="auto"/>
              <w:jc w:val="center"/>
              <w:textAlignment w:val="baseline"/>
              <w:rPr>
                <w:noProof/>
              </w:rPr>
            </w:pPr>
            <w:r>
              <w:rPr>
                <w:noProof/>
              </w:rPr>
              <w:t>4 - Décarbonation de l'industrie - Investissement 1: Le fonctionnement du régime de décarbonation de l’industrie </w:t>
            </w:r>
          </w:p>
        </w:tc>
        <w:tc>
          <w:tcPr>
            <w:tcW w:w="1432" w:type="dxa"/>
            <w:shd w:val="clear" w:color="auto" w:fill="C6EFCE"/>
            <w:vAlign w:val="center"/>
            <w:hideMark/>
          </w:tcPr>
          <w:p w14:paraId="50B4C049" w14:textId="77777777" w:rsidR="003B5F50" w:rsidRDefault="000D2D85">
            <w:pPr>
              <w:pStyle w:val="P68B1DB1-Normal14"/>
              <w:spacing w:after="0" w:line="240" w:lineRule="auto"/>
              <w:jc w:val="center"/>
              <w:textAlignment w:val="baseline"/>
              <w:rPr>
                <w:noProof/>
              </w:rPr>
            </w:pPr>
            <w:r>
              <w:rPr>
                <w:noProof/>
              </w:rPr>
              <w:t>Étape </w:t>
            </w:r>
          </w:p>
        </w:tc>
        <w:tc>
          <w:tcPr>
            <w:tcW w:w="4043" w:type="dxa"/>
            <w:shd w:val="clear" w:color="auto" w:fill="C6EFCE"/>
            <w:vAlign w:val="center"/>
            <w:hideMark/>
          </w:tcPr>
          <w:p w14:paraId="50B4C04A" w14:textId="77777777" w:rsidR="003B5F50" w:rsidRDefault="000D2D85">
            <w:pPr>
              <w:pStyle w:val="P68B1DB1-Normal14"/>
              <w:spacing w:after="0" w:line="240" w:lineRule="auto"/>
              <w:jc w:val="center"/>
              <w:textAlignment w:val="baseline"/>
              <w:rPr>
                <w:noProof/>
              </w:rPr>
            </w:pPr>
            <w:r>
              <w:rPr>
                <w:noProof/>
              </w:rPr>
              <w:t>Achèvement de la mise en œuvre des projets de décarbonation de l’industrie cofinancés par la FRR </w:t>
            </w:r>
          </w:p>
        </w:tc>
      </w:tr>
      <w:tr w:rsidR="003B5F50" w14:paraId="50B4C050" w14:textId="77777777">
        <w:trPr>
          <w:trHeight w:val="1035"/>
        </w:trPr>
        <w:tc>
          <w:tcPr>
            <w:tcW w:w="1224" w:type="dxa"/>
            <w:shd w:val="clear" w:color="auto" w:fill="C6EFCE"/>
            <w:vAlign w:val="center"/>
            <w:hideMark/>
          </w:tcPr>
          <w:p w14:paraId="50B4C04C" w14:textId="77777777" w:rsidR="003B5F50" w:rsidRDefault="000D2D85">
            <w:pPr>
              <w:pStyle w:val="P68B1DB1-Normal48"/>
              <w:spacing w:after="0" w:line="240" w:lineRule="auto"/>
              <w:jc w:val="center"/>
              <w:textAlignment w:val="baseline"/>
              <w:rPr>
                <w:rFonts w:eastAsia="Times New Roman"/>
                <w:noProof/>
              </w:rPr>
            </w:pPr>
            <w:r>
              <w:rPr>
                <w:noProof/>
              </w:rPr>
              <w:t>14 </w:t>
            </w:r>
          </w:p>
        </w:tc>
        <w:tc>
          <w:tcPr>
            <w:tcW w:w="3550" w:type="dxa"/>
            <w:shd w:val="clear" w:color="auto" w:fill="C6EFCE"/>
            <w:vAlign w:val="center"/>
            <w:hideMark/>
          </w:tcPr>
          <w:p w14:paraId="50B4C04D" w14:textId="77777777" w:rsidR="003B5F50" w:rsidRDefault="000D2D85">
            <w:pPr>
              <w:pStyle w:val="P68B1DB1-Normal14"/>
              <w:spacing w:after="0" w:line="240" w:lineRule="auto"/>
              <w:jc w:val="center"/>
              <w:textAlignment w:val="baseline"/>
              <w:rPr>
                <w:noProof/>
              </w:rPr>
            </w:pPr>
            <w:r>
              <w:rPr>
                <w:noProof/>
              </w:rPr>
              <w:t>5 – S’adapter au changement climatique – Investissement 1: Adapter les régions au changement climatique, en mettant l'accent sur la conservation de la nature et le développement de la biodiversité </w:t>
            </w:r>
          </w:p>
        </w:tc>
        <w:tc>
          <w:tcPr>
            <w:tcW w:w="1432" w:type="dxa"/>
            <w:shd w:val="clear" w:color="auto" w:fill="C6EFCE"/>
            <w:vAlign w:val="center"/>
            <w:hideMark/>
          </w:tcPr>
          <w:p w14:paraId="50B4C04E"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4F" w14:textId="77777777" w:rsidR="003B5F50" w:rsidRDefault="000D2D85">
            <w:pPr>
              <w:pStyle w:val="P68B1DB1-Normal14"/>
              <w:spacing w:after="0" w:line="240" w:lineRule="auto"/>
              <w:jc w:val="center"/>
              <w:textAlignment w:val="baseline"/>
              <w:rPr>
                <w:noProof/>
              </w:rPr>
            </w:pPr>
            <w:r>
              <w:rPr>
                <w:noProof/>
              </w:rPr>
              <w:t>Réhabilitation des cours d'eau (en Km de cours d'eau réhabilités) </w:t>
            </w:r>
          </w:p>
        </w:tc>
      </w:tr>
      <w:tr w:rsidR="003B5F50" w14:paraId="50B4C055" w14:textId="77777777">
        <w:trPr>
          <w:trHeight w:val="1035"/>
        </w:trPr>
        <w:tc>
          <w:tcPr>
            <w:tcW w:w="1224" w:type="dxa"/>
            <w:shd w:val="clear" w:color="auto" w:fill="C6EFCE"/>
            <w:vAlign w:val="center"/>
            <w:hideMark/>
          </w:tcPr>
          <w:p w14:paraId="50B4C051" w14:textId="77777777" w:rsidR="003B5F50" w:rsidRDefault="000D2D85">
            <w:pPr>
              <w:pStyle w:val="P68B1DB1-Normal48"/>
              <w:spacing w:line="240" w:lineRule="auto"/>
              <w:jc w:val="center"/>
              <w:rPr>
                <w:noProof/>
              </w:rPr>
            </w:pPr>
            <w:r>
              <w:rPr>
                <w:noProof/>
              </w:rPr>
              <w:t>15</w:t>
            </w:r>
          </w:p>
        </w:tc>
        <w:tc>
          <w:tcPr>
            <w:tcW w:w="3550" w:type="dxa"/>
            <w:shd w:val="clear" w:color="auto" w:fill="C6EFCE"/>
            <w:vAlign w:val="center"/>
            <w:hideMark/>
          </w:tcPr>
          <w:p w14:paraId="50B4C052" w14:textId="7C6C1135" w:rsidR="003B5F50" w:rsidRDefault="000D2D85">
            <w:pPr>
              <w:pStyle w:val="P68B1DB1-Normal14"/>
              <w:spacing w:line="240" w:lineRule="auto"/>
              <w:jc w:val="center"/>
              <w:rPr>
                <w:noProof/>
              </w:rPr>
            </w:pPr>
            <w:r>
              <w:rPr>
                <w:noProof/>
              </w:rPr>
              <w:t xml:space="preserve">5 – Adaptation au changement climatique - Investissement 2: Construire des forêts résilientes au changement climatique </w:t>
            </w:r>
          </w:p>
        </w:tc>
        <w:tc>
          <w:tcPr>
            <w:tcW w:w="1432" w:type="dxa"/>
            <w:shd w:val="clear" w:color="auto" w:fill="C6EFCE"/>
            <w:vAlign w:val="center"/>
            <w:hideMark/>
          </w:tcPr>
          <w:p w14:paraId="50B4C053" w14:textId="77777777" w:rsidR="003B5F50" w:rsidRDefault="000D2D85">
            <w:pPr>
              <w:pStyle w:val="P68B1DB1-Normal14"/>
              <w:spacing w:line="240" w:lineRule="auto"/>
              <w:jc w:val="center"/>
              <w:rPr>
                <w:noProof/>
              </w:rPr>
            </w:pPr>
            <w:r>
              <w:rPr>
                <w:noProof/>
              </w:rPr>
              <w:t>Objectif</w:t>
            </w:r>
          </w:p>
        </w:tc>
        <w:tc>
          <w:tcPr>
            <w:tcW w:w="4043" w:type="dxa"/>
            <w:shd w:val="clear" w:color="auto" w:fill="C6EFCE"/>
            <w:vAlign w:val="center"/>
            <w:hideMark/>
          </w:tcPr>
          <w:p w14:paraId="50B4C054" w14:textId="358D2430" w:rsidR="003B5F50" w:rsidRDefault="000D2D85">
            <w:pPr>
              <w:pStyle w:val="P68B1DB1-Normal14"/>
              <w:spacing w:line="240" w:lineRule="auto"/>
              <w:jc w:val="center"/>
              <w:rPr>
                <w:noProof/>
              </w:rPr>
            </w:pPr>
            <w:r>
              <w:rPr>
                <w:noProof/>
              </w:rPr>
              <w:t xml:space="preserve">Activités de reboisement durable </w:t>
            </w:r>
          </w:p>
        </w:tc>
      </w:tr>
      <w:tr w:rsidR="003B5F50" w14:paraId="50B4C05B" w14:textId="77777777">
        <w:trPr>
          <w:trHeight w:val="493"/>
        </w:trPr>
        <w:tc>
          <w:tcPr>
            <w:tcW w:w="1224" w:type="dxa"/>
            <w:shd w:val="clear" w:color="auto" w:fill="C6EFCE"/>
            <w:vAlign w:val="center"/>
          </w:tcPr>
          <w:p w14:paraId="50B4C056" w14:textId="77777777" w:rsidR="003B5F50" w:rsidRDefault="000D2D85">
            <w:pPr>
              <w:pStyle w:val="P68B1DB1-Normal48"/>
              <w:spacing w:after="0" w:line="240" w:lineRule="auto"/>
              <w:jc w:val="center"/>
              <w:textAlignment w:val="baseline"/>
              <w:rPr>
                <w:rFonts w:eastAsia="Times New Roman"/>
                <w:noProof/>
              </w:rPr>
            </w:pPr>
            <w:r>
              <w:rPr>
                <w:noProof/>
              </w:rPr>
              <w:t>16</w:t>
            </w:r>
          </w:p>
        </w:tc>
        <w:tc>
          <w:tcPr>
            <w:tcW w:w="3550" w:type="dxa"/>
            <w:shd w:val="clear" w:color="auto" w:fill="C6EFCE"/>
            <w:vAlign w:val="center"/>
          </w:tcPr>
          <w:p w14:paraId="50B4C057" w14:textId="77777777" w:rsidR="003B5F50" w:rsidRDefault="000D2D85">
            <w:pPr>
              <w:pStyle w:val="P68B1DB1-Normal14"/>
              <w:spacing w:after="0" w:line="240" w:lineRule="auto"/>
              <w:jc w:val="center"/>
              <w:textAlignment w:val="baseline"/>
              <w:rPr>
                <w:noProof/>
              </w:rPr>
            </w:pPr>
            <w:r>
              <w:rPr>
                <w:noProof/>
              </w:rPr>
              <w:t>6 - Accessibilité, développement et qualité de l'éducation inclusive - Réforme 1: Prévoir des conditions pour la mise en œuvre de l'enseignement préprimaire obligatoire pour les enfants à partir de 5 ans et introduire un droit légal à une place à la maternelle ou dans d'autres établissements d'enseignement préprimaire à partir de 3 ans </w:t>
            </w:r>
          </w:p>
        </w:tc>
        <w:tc>
          <w:tcPr>
            <w:tcW w:w="1432" w:type="dxa"/>
            <w:shd w:val="clear" w:color="auto" w:fill="C6EFCE"/>
            <w:vAlign w:val="center"/>
          </w:tcPr>
          <w:p w14:paraId="50B4C058"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tcPr>
          <w:p w14:paraId="50B4C059" w14:textId="77777777" w:rsidR="003B5F50" w:rsidRDefault="003B5F50">
            <w:pPr>
              <w:spacing w:after="0" w:line="240" w:lineRule="auto"/>
              <w:textAlignment w:val="baseline"/>
              <w:rPr>
                <w:rFonts w:ascii="Times New Roman" w:hAnsi="Times New Roman"/>
                <w:noProof/>
                <w:color w:val="006100"/>
                <w:sz w:val="20"/>
              </w:rPr>
            </w:pPr>
          </w:p>
          <w:p w14:paraId="50B4C05A" w14:textId="77777777" w:rsidR="003B5F50" w:rsidRDefault="000D2D85">
            <w:pPr>
              <w:pStyle w:val="P68B1DB1-Normal42"/>
              <w:spacing w:after="0" w:line="240" w:lineRule="auto"/>
              <w:jc w:val="center"/>
              <w:textAlignment w:val="baseline"/>
              <w:rPr>
                <w:noProof/>
              </w:rPr>
            </w:pPr>
            <w:r>
              <w:rPr>
                <w:noProof/>
              </w:rPr>
              <w:t>Nombre de jardins d'enfants construits ou reconstruits</w:t>
            </w:r>
          </w:p>
        </w:tc>
      </w:tr>
      <w:tr w:rsidR="003B5F50" w14:paraId="50B4C060" w14:textId="77777777">
        <w:trPr>
          <w:trHeight w:val="1035"/>
        </w:trPr>
        <w:tc>
          <w:tcPr>
            <w:tcW w:w="1224" w:type="dxa"/>
            <w:shd w:val="clear" w:color="auto" w:fill="C6EFCE"/>
            <w:vAlign w:val="center"/>
            <w:hideMark/>
          </w:tcPr>
          <w:p w14:paraId="50B4C05C" w14:textId="77777777" w:rsidR="003B5F50" w:rsidRDefault="000D2D85">
            <w:pPr>
              <w:pStyle w:val="P68B1DB1-Normal48"/>
              <w:spacing w:after="0" w:line="240" w:lineRule="auto"/>
              <w:jc w:val="center"/>
              <w:textAlignment w:val="baseline"/>
              <w:rPr>
                <w:rFonts w:eastAsia="Times New Roman"/>
                <w:noProof/>
              </w:rPr>
            </w:pPr>
            <w:r>
              <w:rPr>
                <w:noProof/>
              </w:rPr>
              <w:t>17 </w:t>
            </w:r>
          </w:p>
        </w:tc>
        <w:tc>
          <w:tcPr>
            <w:tcW w:w="3550" w:type="dxa"/>
            <w:shd w:val="clear" w:color="auto" w:fill="C6EFCE"/>
            <w:vAlign w:val="center"/>
            <w:hideMark/>
          </w:tcPr>
          <w:p w14:paraId="50B4C05D" w14:textId="77777777" w:rsidR="003B5F50" w:rsidRDefault="000D2D85">
            <w:pPr>
              <w:pStyle w:val="P68B1DB1-Normal14"/>
              <w:spacing w:after="0" w:line="240" w:lineRule="auto"/>
              <w:jc w:val="center"/>
              <w:textAlignment w:val="baseline"/>
              <w:rPr>
                <w:noProof/>
              </w:rPr>
            </w:pPr>
            <w:r>
              <w:rPr>
                <w:noProof/>
              </w:rPr>
              <w:t>7 - L'éducation pour le XXIe siècle - Investissement 2: Achèvement des infrastructures scolaires </w:t>
            </w:r>
          </w:p>
        </w:tc>
        <w:tc>
          <w:tcPr>
            <w:tcW w:w="1432" w:type="dxa"/>
            <w:shd w:val="clear" w:color="auto" w:fill="C6EFCE"/>
            <w:vAlign w:val="center"/>
            <w:hideMark/>
          </w:tcPr>
          <w:p w14:paraId="50B4C05E"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5F" w14:textId="027B859B" w:rsidR="003B5F50" w:rsidRDefault="000D2D85">
            <w:pPr>
              <w:pStyle w:val="P68B1DB1-Normal14"/>
              <w:spacing w:after="0" w:line="240" w:lineRule="auto"/>
              <w:jc w:val="center"/>
              <w:textAlignment w:val="baseline"/>
              <w:rPr>
                <w:noProof/>
              </w:rPr>
            </w:pPr>
            <w:r>
              <w:rPr>
                <w:noProof/>
              </w:rPr>
              <w:t xml:space="preserve">Élimination des écoles à double équipe </w:t>
            </w:r>
          </w:p>
        </w:tc>
      </w:tr>
      <w:tr w:rsidR="003B5F50" w14:paraId="50B4C065" w14:textId="77777777">
        <w:trPr>
          <w:trHeight w:val="1035"/>
        </w:trPr>
        <w:tc>
          <w:tcPr>
            <w:tcW w:w="1224" w:type="dxa"/>
            <w:shd w:val="clear" w:color="auto" w:fill="C6EFCE"/>
            <w:vAlign w:val="center"/>
            <w:hideMark/>
          </w:tcPr>
          <w:p w14:paraId="50B4C061" w14:textId="77777777" w:rsidR="003B5F50" w:rsidRDefault="000D2D85">
            <w:pPr>
              <w:pStyle w:val="P68B1DB1-Normal48"/>
              <w:spacing w:after="0" w:line="240" w:lineRule="auto"/>
              <w:jc w:val="center"/>
              <w:textAlignment w:val="baseline"/>
              <w:rPr>
                <w:rFonts w:eastAsia="Times New Roman"/>
                <w:noProof/>
              </w:rPr>
            </w:pPr>
            <w:r>
              <w:rPr>
                <w:noProof/>
              </w:rPr>
              <w:t>18 </w:t>
            </w:r>
          </w:p>
        </w:tc>
        <w:tc>
          <w:tcPr>
            <w:tcW w:w="3550" w:type="dxa"/>
            <w:shd w:val="clear" w:color="auto" w:fill="C6EFCE"/>
            <w:vAlign w:val="center"/>
            <w:hideMark/>
          </w:tcPr>
          <w:p w14:paraId="50B4C062" w14:textId="77777777" w:rsidR="003B5F50" w:rsidRDefault="000D2D85">
            <w:pPr>
              <w:pStyle w:val="P68B1DB1-Normal14"/>
              <w:spacing w:after="0" w:line="240" w:lineRule="auto"/>
              <w:jc w:val="center"/>
              <w:textAlignment w:val="baseline"/>
              <w:rPr>
                <w:noProof/>
              </w:rPr>
            </w:pPr>
            <w:r>
              <w:rPr>
                <w:noProof/>
              </w:rPr>
              <w:t>8 - Augmentation des performances des établissements d'enseignement supérieur slovaques - Réforme 5: Concentration d'excellentes capacités d'enseignement et de recherche </w:t>
            </w:r>
          </w:p>
        </w:tc>
        <w:tc>
          <w:tcPr>
            <w:tcW w:w="1432" w:type="dxa"/>
            <w:shd w:val="clear" w:color="auto" w:fill="C6EFCE"/>
            <w:vAlign w:val="center"/>
            <w:hideMark/>
          </w:tcPr>
          <w:p w14:paraId="50B4C063" w14:textId="77777777" w:rsidR="003B5F50" w:rsidRDefault="000D2D85">
            <w:pPr>
              <w:pStyle w:val="P68B1DB1-Normal14"/>
              <w:spacing w:after="0" w:line="240" w:lineRule="auto"/>
              <w:jc w:val="center"/>
              <w:textAlignment w:val="baseline"/>
              <w:rPr>
                <w:noProof/>
              </w:rPr>
            </w:pPr>
            <w:r>
              <w:rPr>
                <w:noProof/>
              </w:rPr>
              <w:t>Étape </w:t>
            </w:r>
          </w:p>
        </w:tc>
        <w:tc>
          <w:tcPr>
            <w:tcW w:w="4043" w:type="dxa"/>
            <w:shd w:val="clear" w:color="auto" w:fill="C6EFCE"/>
            <w:vAlign w:val="center"/>
            <w:hideMark/>
          </w:tcPr>
          <w:p w14:paraId="50B4C064" w14:textId="77777777" w:rsidR="003B5F50" w:rsidRDefault="000D2D85">
            <w:pPr>
              <w:pStyle w:val="P68B1DB1-Normal14"/>
              <w:spacing w:after="0" w:line="240" w:lineRule="auto"/>
              <w:jc w:val="center"/>
              <w:textAlignment w:val="baseline"/>
              <w:rPr>
                <w:noProof/>
              </w:rPr>
            </w:pPr>
            <w:r>
              <w:rPr>
                <w:noProof/>
              </w:rPr>
              <w:t>Rassembler les universités par le biais de consortiums</w:t>
            </w:r>
          </w:p>
        </w:tc>
      </w:tr>
      <w:tr w:rsidR="003B5F50" w14:paraId="50B4C06A" w14:textId="77777777">
        <w:trPr>
          <w:trHeight w:val="1035"/>
        </w:trPr>
        <w:tc>
          <w:tcPr>
            <w:tcW w:w="1224" w:type="dxa"/>
            <w:shd w:val="clear" w:color="auto" w:fill="C6EFCE"/>
            <w:vAlign w:val="center"/>
            <w:hideMark/>
          </w:tcPr>
          <w:p w14:paraId="50B4C066" w14:textId="77777777" w:rsidR="003B5F50" w:rsidRDefault="000D2D85">
            <w:pPr>
              <w:pStyle w:val="P68B1DB1-Normal48"/>
              <w:spacing w:after="0" w:line="240" w:lineRule="auto"/>
              <w:jc w:val="center"/>
              <w:textAlignment w:val="baseline"/>
              <w:rPr>
                <w:rFonts w:eastAsia="Times New Roman"/>
                <w:noProof/>
              </w:rPr>
            </w:pPr>
            <w:r>
              <w:rPr>
                <w:noProof/>
              </w:rPr>
              <w:t>19 </w:t>
            </w:r>
          </w:p>
        </w:tc>
        <w:tc>
          <w:tcPr>
            <w:tcW w:w="3550" w:type="dxa"/>
            <w:shd w:val="clear" w:color="auto" w:fill="C6EFCE"/>
            <w:vAlign w:val="center"/>
            <w:hideMark/>
          </w:tcPr>
          <w:p w14:paraId="50B4C067" w14:textId="77777777" w:rsidR="003B5F50" w:rsidRDefault="000D2D85">
            <w:pPr>
              <w:pStyle w:val="P68B1DB1-Normal14"/>
              <w:spacing w:after="0" w:line="240" w:lineRule="auto"/>
              <w:jc w:val="center"/>
              <w:textAlignment w:val="baseline"/>
              <w:rPr>
                <w:noProof/>
              </w:rPr>
            </w:pPr>
            <w:r>
              <w:rPr>
                <w:noProof/>
              </w:rPr>
              <w:t>8 - Augmentation des performances des établissements d'enseignement supérieur slovaques - Investissement 1: soutien au développement stratégique des universités </w:t>
            </w:r>
          </w:p>
        </w:tc>
        <w:tc>
          <w:tcPr>
            <w:tcW w:w="1432" w:type="dxa"/>
            <w:shd w:val="clear" w:color="auto" w:fill="C6EFCE"/>
            <w:vAlign w:val="center"/>
            <w:hideMark/>
          </w:tcPr>
          <w:p w14:paraId="50B4C068"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69" w14:textId="77777777" w:rsidR="003B5F50" w:rsidRDefault="000D2D85">
            <w:pPr>
              <w:pStyle w:val="P68B1DB1-Normal14"/>
              <w:spacing w:after="0" w:line="240" w:lineRule="auto"/>
              <w:jc w:val="center"/>
              <w:textAlignment w:val="baseline"/>
              <w:rPr>
                <w:noProof/>
              </w:rPr>
            </w:pPr>
            <w:r>
              <w:rPr>
                <w:noProof/>
              </w:rPr>
              <w:t>Zone universitaire et dortoir reconstruits ou rénovés avec des économies d’énergie primaire supérieures à 30 % (en m2) </w:t>
            </w:r>
          </w:p>
        </w:tc>
      </w:tr>
      <w:tr w:rsidR="003B5F50" w14:paraId="50B4C06F" w14:textId="77777777">
        <w:trPr>
          <w:trHeight w:val="1035"/>
        </w:trPr>
        <w:tc>
          <w:tcPr>
            <w:tcW w:w="1224" w:type="dxa"/>
            <w:shd w:val="clear" w:color="auto" w:fill="C6EFCE"/>
            <w:vAlign w:val="center"/>
            <w:hideMark/>
          </w:tcPr>
          <w:p w14:paraId="50B4C06B" w14:textId="77777777" w:rsidR="003B5F50" w:rsidRDefault="000D2D85">
            <w:pPr>
              <w:pStyle w:val="P68B1DB1-Normal48"/>
              <w:spacing w:after="0" w:line="240" w:lineRule="auto"/>
              <w:jc w:val="center"/>
              <w:textAlignment w:val="baseline"/>
              <w:rPr>
                <w:rFonts w:eastAsia="Times New Roman"/>
                <w:noProof/>
              </w:rPr>
            </w:pPr>
            <w:r>
              <w:rPr>
                <w:noProof/>
              </w:rPr>
              <w:t>20</w:t>
            </w:r>
          </w:p>
        </w:tc>
        <w:tc>
          <w:tcPr>
            <w:tcW w:w="3550" w:type="dxa"/>
            <w:shd w:val="clear" w:color="auto" w:fill="C6EFCE"/>
            <w:vAlign w:val="center"/>
            <w:hideMark/>
          </w:tcPr>
          <w:p w14:paraId="50B4C06C" w14:textId="77777777" w:rsidR="003B5F50" w:rsidRDefault="000D2D85">
            <w:pPr>
              <w:pStyle w:val="P68B1DB1-Normal14"/>
              <w:spacing w:after="0" w:line="240" w:lineRule="auto"/>
              <w:jc w:val="center"/>
              <w:textAlignment w:val="baseline"/>
              <w:rPr>
                <w:noProof/>
              </w:rPr>
            </w:pPr>
            <w:r>
              <w:rPr>
                <w:noProof/>
              </w:rPr>
              <w:t>9 - Gouvernance plus efficace et renforcement du financement de la RDI - Investissement 6: Instruments financiers pour soutenir l'innovation </w:t>
            </w:r>
          </w:p>
        </w:tc>
        <w:tc>
          <w:tcPr>
            <w:tcW w:w="1432" w:type="dxa"/>
            <w:shd w:val="clear" w:color="auto" w:fill="C6EFCE"/>
            <w:vAlign w:val="center"/>
            <w:hideMark/>
          </w:tcPr>
          <w:p w14:paraId="50B4C06D"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6E" w14:textId="28931039" w:rsidR="003B5F50" w:rsidRDefault="000D2D85">
            <w:pPr>
              <w:pStyle w:val="P68B1DB1-Normal14"/>
              <w:spacing w:after="0" w:line="240" w:lineRule="auto"/>
              <w:jc w:val="center"/>
              <w:textAlignment w:val="baseline"/>
              <w:rPr>
                <w:noProof/>
              </w:rPr>
            </w:pPr>
            <w:r>
              <w:rPr>
                <w:noProof/>
              </w:rPr>
              <w:t xml:space="preserve">Nombre d’entreprises bénéficiant d’un soutien au moyen d’instruments financiers </w:t>
            </w:r>
          </w:p>
        </w:tc>
      </w:tr>
      <w:tr w:rsidR="003B5F50" w14:paraId="50B4C074" w14:textId="77777777">
        <w:trPr>
          <w:trHeight w:val="1035"/>
        </w:trPr>
        <w:tc>
          <w:tcPr>
            <w:tcW w:w="1224" w:type="dxa"/>
            <w:shd w:val="clear" w:color="auto" w:fill="C6EFCE"/>
            <w:vAlign w:val="center"/>
            <w:hideMark/>
          </w:tcPr>
          <w:p w14:paraId="50B4C070" w14:textId="77777777" w:rsidR="003B5F50" w:rsidRDefault="000D2D85">
            <w:pPr>
              <w:pStyle w:val="P68B1DB1-Normal48"/>
              <w:spacing w:after="0" w:line="240" w:lineRule="auto"/>
              <w:jc w:val="center"/>
              <w:textAlignment w:val="baseline"/>
              <w:rPr>
                <w:rFonts w:eastAsia="Times New Roman"/>
                <w:noProof/>
              </w:rPr>
            </w:pPr>
            <w:r>
              <w:rPr>
                <w:noProof/>
              </w:rPr>
              <w:t>21</w:t>
            </w:r>
          </w:p>
        </w:tc>
        <w:tc>
          <w:tcPr>
            <w:tcW w:w="3550" w:type="dxa"/>
            <w:shd w:val="clear" w:color="auto" w:fill="C6EFCE"/>
            <w:vAlign w:val="center"/>
            <w:hideMark/>
          </w:tcPr>
          <w:p w14:paraId="50B4C071" w14:textId="77777777" w:rsidR="003B5F50" w:rsidRDefault="000D2D85">
            <w:pPr>
              <w:pStyle w:val="P68B1DB1-Normal14"/>
              <w:spacing w:after="0" w:line="240" w:lineRule="auto"/>
              <w:jc w:val="center"/>
              <w:textAlignment w:val="baseline"/>
              <w:rPr>
                <w:noProof/>
              </w:rPr>
            </w:pPr>
            <w:r>
              <w:rPr>
                <w:noProof/>
              </w:rPr>
              <w:t>10 - Attirer et retenir les talents - Investissement 2: Renforcer les relations avec la diaspora</w:t>
            </w:r>
          </w:p>
        </w:tc>
        <w:tc>
          <w:tcPr>
            <w:tcW w:w="1432" w:type="dxa"/>
            <w:shd w:val="clear" w:color="auto" w:fill="C6EFCE"/>
            <w:vAlign w:val="center"/>
            <w:hideMark/>
          </w:tcPr>
          <w:p w14:paraId="50B4C072"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73" w14:textId="77777777" w:rsidR="003B5F50" w:rsidRDefault="000D2D85">
            <w:pPr>
              <w:pStyle w:val="P68B1DB1-Normal14"/>
              <w:spacing w:after="0" w:line="240" w:lineRule="auto"/>
              <w:jc w:val="center"/>
              <w:textAlignment w:val="baseline"/>
              <w:rPr>
                <w:noProof/>
              </w:rPr>
            </w:pPr>
            <w:r>
              <w:rPr>
                <w:noProof/>
              </w:rPr>
              <w:t>Nombre d'événements renforçant les relations avec la diaspora </w:t>
            </w:r>
          </w:p>
        </w:tc>
      </w:tr>
      <w:tr w:rsidR="003B5F50" w14:paraId="50B4C079" w14:textId="77777777">
        <w:trPr>
          <w:trHeight w:val="1035"/>
        </w:trPr>
        <w:tc>
          <w:tcPr>
            <w:tcW w:w="1224" w:type="dxa"/>
            <w:shd w:val="clear" w:color="auto" w:fill="C6EFCE"/>
            <w:vAlign w:val="center"/>
          </w:tcPr>
          <w:p w14:paraId="50B4C075" w14:textId="77777777" w:rsidR="003B5F50" w:rsidRDefault="000D2D85">
            <w:pPr>
              <w:pStyle w:val="P68B1DB1-Normal48"/>
              <w:spacing w:after="0" w:line="240" w:lineRule="auto"/>
              <w:jc w:val="center"/>
              <w:textAlignment w:val="baseline"/>
              <w:rPr>
                <w:rFonts w:eastAsia="Times New Roman"/>
                <w:noProof/>
              </w:rPr>
            </w:pPr>
            <w:r>
              <w:rPr>
                <w:noProof/>
              </w:rPr>
              <w:t>22</w:t>
            </w:r>
          </w:p>
        </w:tc>
        <w:tc>
          <w:tcPr>
            <w:tcW w:w="3550" w:type="dxa"/>
            <w:shd w:val="clear" w:color="auto" w:fill="C6EFCE"/>
            <w:vAlign w:val="center"/>
          </w:tcPr>
          <w:p w14:paraId="50B4C076" w14:textId="77777777" w:rsidR="003B5F50" w:rsidRDefault="000D2D85">
            <w:pPr>
              <w:pStyle w:val="P68B1DB1-Normal14"/>
              <w:spacing w:after="0" w:line="240" w:lineRule="auto"/>
              <w:jc w:val="center"/>
              <w:textAlignment w:val="baseline"/>
              <w:rPr>
                <w:noProof/>
              </w:rPr>
            </w:pPr>
            <w:r>
              <w:rPr>
                <w:noProof/>
              </w:rPr>
              <w:t>11 - Soins de santé modernes et accessibles- Investissement 2 Nouveau réseau hospitalier – construction, reconstruction et équipement </w:t>
            </w:r>
          </w:p>
        </w:tc>
        <w:tc>
          <w:tcPr>
            <w:tcW w:w="1432" w:type="dxa"/>
            <w:shd w:val="clear" w:color="auto" w:fill="C6EFCE"/>
            <w:vAlign w:val="center"/>
          </w:tcPr>
          <w:p w14:paraId="50B4C077"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tcPr>
          <w:p w14:paraId="50B4C078" w14:textId="77777777" w:rsidR="003B5F50" w:rsidRDefault="000D2D85">
            <w:pPr>
              <w:pStyle w:val="P68B1DB1-Normal14"/>
              <w:spacing w:after="0" w:line="240" w:lineRule="auto"/>
              <w:jc w:val="center"/>
              <w:textAlignment w:val="baseline"/>
              <w:rPr>
                <w:noProof/>
              </w:rPr>
            </w:pPr>
            <w:r>
              <w:rPr>
                <w:noProof/>
              </w:rPr>
              <w:t>Capacité de lit d'hôpital disponible au niveau de la coquille et de la construction de base</w:t>
            </w:r>
          </w:p>
        </w:tc>
      </w:tr>
      <w:tr w:rsidR="003B5F50" w14:paraId="50B4C07E" w14:textId="77777777">
        <w:trPr>
          <w:trHeight w:val="1035"/>
        </w:trPr>
        <w:tc>
          <w:tcPr>
            <w:tcW w:w="1224" w:type="dxa"/>
            <w:shd w:val="clear" w:color="auto" w:fill="C6EFCE"/>
            <w:vAlign w:val="center"/>
          </w:tcPr>
          <w:p w14:paraId="50B4C07A" w14:textId="77777777" w:rsidR="003B5F50" w:rsidRDefault="000D2D85">
            <w:pPr>
              <w:pStyle w:val="P68B1DB1-Normal48"/>
              <w:spacing w:after="0" w:line="240" w:lineRule="auto"/>
              <w:jc w:val="center"/>
              <w:textAlignment w:val="baseline"/>
              <w:rPr>
                <w:noProof/>
              </w:rPr>
            </w:pPr>
            <w:r>
              <w:rPr>
                <w:noProof/>
              </w:rPr>
              <w:t>23</w:t>
            </w:r>
          </w:p>
        </w:tc>
        <w:tc>
          <w:tcPr>
            <w:tcW w:w="3550" w:type="dxa"/>
            <w:shd w:val="clear" w:color="auto" w:fill="C6EFCE"/>
            <w:vAlign w:val="center"/>
          </w:tcPr>
          <w:p w14:paraId="50B4C07B" w14:textId="77777777" w:rsidR="003B5F50" w:rsidRDefault="000D2D85">
            <w:pPr>
              <w:pStyle w:val="P68B1DB1-Normal14"/>
              <w:spacing w:after="0" w:line="240" w:lineRule="auto"/>
              <w:jc w:val="center"/>
              <w:textAlignment w:val="baseline"/>
              <w:rPr>
                <w:noProof/>
              </w:rPr>
            </w:pPr>
            <w:r>
              <w:rPr>
                <w:noProof/>
              </w:rPr>
              <w:t>11 - Soins de santé modernes et accessibles- Investissement 2 Nouveau réseau hospitalier – construction, reconstruction et équipement </w:t>
            </w:r>
          </w:p>
        </w:tc>
        <w:tc>
          <w:tcPr>
            <w:tcW w:w="1432" w:type="dxa"/>
            <w:shd w:val="clear" w:color="auto" w:fill="C6EFCE"/>
            <w:vAlign w:val="center"/>
          </w:tcPr>
          <w:p w14:paraId="50B4C07C" w14:textId="77777777" w:rsidR="003B5F50" w:rsidRDefault="000D2D85">
            <w:pPr>
              <w:pStyle w:val="P68B1DB1-Normal14"/>
              <w:spacing w:after="0" w:line="240" w:lineRule="auto"/>
              <w:jc w:val="center"/>
              <w:textAlignment w:val="baseline"/>
              <w:rPr>
                <w:noProof/>
              </w:rPr>
            </w:pPr>
            <w:r>
              <w:rPr>
                <w:noProof/>
              </w:rPr>
              <w:t>Objectif</w:t>
            </w:r>
          </w:p>
        </w:tc>
        <w:tc>
          <w:tcPr>
            <w:tcW w:w="4043" w:type="dxa"/>
            <w:shd w:val="clear" w:color="auto" w:fill="C6EFCE"/>
            <w:vAlign w:val="center"/>
          </w:tcPr>
          <w:p w14:paraId="50B4C07D" w14:textId="77777777" w:rsidR="003B5F50" w:rsidRDefault="000D2D85">
            <w:pPr>
              <w:pStyle w:val="P68B1DB1-Normal14"/>
              <w:spacing w:after="0" w:line="240" w:lineRule="auto"/>
              <w:jc w:val="center"/>
              <w:textAlignment w:val="baseline"/>
              <w:rPr>
                <w:noProof/>
              </w:rPr>
            </w:pPr>
            <w:r>
              <w:rPr>
                <w:noProof/>
              </w:rPr>
              <w:t>Capacité de lit d'hôpital disponible dans les hôpitaux améliorés</w:t>
            </w:r>
          </w:p>
        </w:tc>
      </w:tr>
      <w:tr w:rsidR="003B5F50" w14:paraId="50B4C083" w14:textId="77777777">
        <w:trPr>
          <w:trHeight w:val="1035"/>
        </w:trPr>
        <w:tc>
          <w:tcPr>
            <w:tcW w:w="1224" w:type="dxa"/>
            <w:shd w:val="clear" w:color="auto" w:fill="C6EFCE"/>
            <w:vAlign w:val="center"/>
          </w:tcPr>
          <w:p w14:paraId="50B4C07F" w14:textId="77777777" w:rsidR="003B5F50" w:rsidRDefault="000D2D85">
            <w:pPr>
              <w:pStyle w:val="P68B1DB1-Normal48"/>
              <w:spacing w:after="0" w:line="240" w:lineRule="auto"/>
              <w:jc w:val="center"/>
              <w:textAlignment w:val="baseline"/>
              <w:rPr>
                <w:noProof/>
              </w:rPr>
            </w:pPr>
            <w:r>
              <w:rPr>
                <w:noProof/>
              </w:rPr>
              <w:t>24</w:t>
            </w:r>
          </w:p>
        </w:tc>
        <w:tc>
          <w:tcPr>
            <w:tcW w:w="3550" w:type="dxa"/>
            <w:shd w:val="clear" w:color="auto" w:fill="C6EFCE"/>
            <w:vAlign w:val="center"/>
          </w:tcPr>
          <w:p w14:paraId="50B4C080" w14:textId="7E9DF4B7" w:rsidR="003B5F50" w:rsidRDefault="000D2D85">
            <w:pPr>
              <w:pStyle w:val="P68B1DB1-Normal14"/>
              <w:spacing w:after="0" w:line="240" w:lineRule="auto"/>
              <w:jc w:val="center"/>
              <w:textAlignment w:val="baseline"/>
              <w:rPr>
                <w:noProof/>
              </w:rPr>
            </w:pPr>
            <w:r>
              <w:rPr>
                <w:noProof/>
              </w:rPr>
              <w:t xml:space="preserve">11 - Des soins de santé modernes et accessibles- Investissement 4 Construction de postes d'ambulance </w:t>
            </w:r>
          </w:p>
        </w:tc>
        <w:tc>
          <w:tcPr>
            <w:tcW w:w="1432" w:type="dxa"/>
            <w:shd w:val="clear" w:color="auto" w:fill="C6EFCE"/>
            <w:vAlign w:val="center"/>
          </w:tcPr>
          <w:p w14:paraId="50B4C081"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tcPr>
          <w:p w14:paraId="50B4C082" w14:textId="7009D95E" w:rsidR="003B5F50" w:rsidRDefault="000D2D85">
            <w:pPr>
              <w:pStyle w:val="P68B1DB1-Normal14"/>
              <w:spacing w:after="0" w:line="240" w:lineRule="auto"/>
              <w:jc w:val="center"/>
              <w:textAlignment w:val="baseline"/>
              <w:rPr>
                <w:noProof/>
              </w:rPr>
            </w:pPr>
            <w:r>
              <w:rPr>
                <w:noProof/>
              </w:rPr>
              <w:t>Nombre de postes d'ambulance construits</w:t>
            </w:r>
          </w:p>
        </w:tc>
      </w:tr>
      <w:tr w:rsidR="003B5F50" w14:paraId="50B4C088" w14:textId="77777777">
        <w:trPr>
          <w:trHeight w:val="1035"/>
        </w:trPr>
        <w:tc>
          <w:tcPr>
            <w:tcW w:w="1224" w:type="dxa"/>
            <w:shd w:val="clear" w:color="auto" w:fill="C6EFCE"/>
            <w:vAlign w:val="center"/>
            <w:hideMark/>
          </w:tcPr>
          <w:p w14:paraId="50B4C084" w14:textId="77777777" w:rsidR="003B5F50" w:rsidRDefault="000D2D85">
            <w:pPr>
              <w:pStyle w:val="P68B1DB1-Normal48"/>
              <w:spacing w:after="0" w:line="240" w:lineRule="auto"/>
              <w:jc w:val="center"/>
              <w:textAlignment w:val="baseline"/>
              <w:rPr>
                <w:rFonts w:eastAsia="Times New Roman"/>
                <w:noProof/>
              </w:rPr>
            </w:pPr>
            <w:r>
              <w:rPr>
                <w:noProof/>
              </w:rPr>
              <w:t>25</w:t>
            </w:r>
          </w:p>
        </w:tc>
        <w:tc>
          <w:tcPr>
            <w:tcW w:w="3550" w:type="dxa"/>
            <w:shd w:val="clear" w:color="auto" w:fill="C6EFCE"/>
            <w:vAlign w:val="center"/>
            <w:hideMark/>
          </w:tcPr>
          <w:p w14:paraId="50B4C085" w14:textId="789FE339" w:rsidR="003B5F50" w:rsidRDefault="000D2D85">
            <w:pPr>
              <w:pStyle w:val="P68B1DB1-Normal14"/>
              <w:spacing w:after="0" w:line="240" w:lineRule="auto"/>
              <w:jc w:val="center"/>
              <w:textAlignment w:val="baseline"/>
              <w:rPr>
                <w:noProof/>
              </w:rPr>
            </w:pPr>
            <w:r>
              <w:rPr>
                <w:noProof/>
              </w:rPr>
              <w:t xml:space="preserve">13 - Soins sociosanitaires de longue durée accessibles et de qualité - Investissement 1: Renforcement des capacités de prise en charge sociale de proximité </w:t>
            </w:r>
          </w:p>
        </w:tc>
        <w:tc>
          <w:tcPr>
            <w:tcW w:w="1432" w:type="dxa"/>
            <w:shd w:val="clear" w:color="auto" w:fill="C6EFCE"/>
            <w:vAlign w:val="center"/>
            <w:hideMark/>
          </w:tcPr>
          <w:p w14:paraId="50B4C086" w14:textId="77777777" w:rsidR="003B5F50" w:rsidRDefault="000D2D85">
            <w:pPr>
              <w:pStyle w:val="P68B1DB1-Normal14"/>
              <w:spacing w:after="0" w:line="240" w:lineRule="auto"/>
              <w:jc w:val="center"/>
              <w:textAlignment w:val="baseline"/>
              <w:rPr>
                <w:noProof/>
              </w:rPr>
            </w:pPr>
            <w:r>
              <w:rPr>
                <w:noProof/>
              </w:rPr>
              <w:t>Étape </w:t>
            </w:r>
          </w:p>
        </w:tc>
        <w:tc>
          <w:tcPr>
            <w:tcW w:w="4043" w:type="dxa"/>
            <w:shd w:val="clear" w:color="auto" w:fill="C6EFCE"/>
            <w:vAlign w:val="center"/>
            <w:hideMark/>
          </w:tcPr>
          <w:p w14:paraId="50B4C087" w14:textId="422ED2ED" w:rsidR="003B5F50" w:rsidRDefault="000D2D85">
            <w:pPr>
              <w:pStyle w:val="P68B1DB1-Normal14"/>
              <w:spacing w:after="0" w:line="240" w:lineRule="auto"/>
              <w:jc w:val="center"/>
              <w:textAlignment w:val="baseline"/>
              <w:rPr>
                <w:noProof/>
              </w:rPr>
            </w:pPr>
            <w:r>
              <w:rPr>
                <w:noProof/>
              </w:rPr>
              <w:t>Renforcement des capacités des services résidentiels communautaires et des installations sanitaires et sociales de faible capacité</w:t>
            </w:r>
          </w:p>
        </w:tc>
      </w:tr>
      <w:tr w:rsidR="003B5F50" w14:paraId="50B4C08D" w14:textId="77777777">
        <w:trPr>
          <w:trHeight w:val="1035"/>
        </w:trPr>
        <w:tc>
          <w:tcPr>
            <w:tcW w:w="1224" w:type="dxa"/>
            <w:shd w:val="clear" w:color="auto" w:fill="C6EFCE"/>
            <w:vAlign w:val="center"/>
            <w:hideMark/>
          </w:tcPr>
          <w:p w14:paraId="50B4C089" w14:textId="77777777" w:rsidR="003B5F50" w:rsidRDefault="000D2D85">
            <w:pPr>
              <w:pStyle w:val="P68B1DB1-Normal10"/>
              <w:spacing w:after="0" w:line="240" w:lineRule="auto"/>
              <w:jc w:val="center"/>
              <w:textAlignment w:val="baseline"/>
              <w:rPr>
                <w:noProof/>
              </w:rPr>
            </w:pPr>
            <w:r>
              <w:rPr>
                <w:noProof/>
              </w:rPr>
              <w:t>26</w:t>
            </w:r>
          </w:p>
        </w:tc>
        <w:tc>
          <w:tcPr>
            <w:tcW w:w="3550" w:type="dxa"/>
            <w:shd w:val="clear" w:color="auto" w:fill="C6EFCE"/>
            <w:vAlign w:val="center"/>
            <w:hideMark/>
          </w:tcPr>
          <w:p w14:paraId="50B4C08A" w14:textId="5E35612E" w:rsidR="003B5F50" w:rsidRDefault="000D2D85">
            <w:pPr>
              <w:pStyle w:val="P68B1DB1-Normal14"/>
              <w:spacing w:after="0" w:line="240" w:lineRule="auto"/>
              <w:jc w:val="center"/>
              <w:textAlignment w:val="baseline"/>
              <w:rPr>
                <w:noProof/>
              </w:rPr>
            </w:pPr>
            <w:r>
              <w:rPr>
                <w:noProof/>
              </w:rPr>
              <w:t xml:space="preserve">13 - Soins sociosanitaires de longue durée accessibles et de qualité - Investissement 1: Renforcement des capacités de prise en charge sociale de proximité </w:t>
            </w:r>
          </w:p>
        </w:tc>
        <w:tc>
          <w:tcPr>
            <w:tcW w:w="1432" w:type="dxa"/>
            <w:shd w:val="clear" w:color="auto" w:fill="C6EFCE"/>
            <w:vAlign w:val="center"/>
            <w:hideMark/>
          </w:tcPr>
          <w:p w14:paraId="50B4C08B" w14:textId="77777777" w:rsidR="003B5F50" w:rsidRDefault="000D2D85">
            <w:pPr>
              <w:pStyle w:val="P68B1DB1-Normal14"/>
              <w:spacing w:after="0" w:line="240" w:lineRule="auto"/>
              <w:jc w:val="center"/>
              <w:textAlignment w:val="baseline"/>
              <w:rPr>
                <w:noProof/>
              </w:rPr>
            </w:pPr>
            <w:r>
              <w:rPr>
                <w:noProof/>
              </w:rPr>
              <w:t>Étape </w:t>
            </w:r>
          </w:p>
        </w:tc>
        <w:tc>
          <w:tcPr>
            <w:tcW w:w="4043" w:type="dxa"/>
            <w:shd w:val="clear" w:color="auto" w:fill="C6EFCE"/>
            <w:vAlign w:val="center"/>
            <w:hideMark/>
          </w:tcPr>
          <w:p w14:paraId="50B4C08C" w14:textId="77777777" w:rsidR="003B5F50" w:rsidRDefault="000D2D85">
            <w:pPr>
              <w:pStyle w:val="P68B1DB1-Normal14"/>
              <w:spacing w:after="0" w:line="240" w:lineRule="auto"/>
              <w:jc w:val="center"/>
              <w:textAlignment w:val="baseline"/>
              <w:rPr>
                <w:noProof/>
              </w:rPr>
            </w:pPr>
            <w:r>
              <w:rPr>
                <w:noProof/>
              </w:rPr>
              <w:t>Élargissement des services ambulatoires</w:t>
            </w:r>
          </w:p>
        </w:tc>
      </w:tr>
      <w:tr w:rsidR="003B5F50" w14:paraId="50B4C092" w14:textId="77777777">
        <w:trPr>
          <w:trHeight w:val="1035"/>
        </w:trPr>
        <w:tc>
          <w:tcPr>
            <w:tcW w:w="1224" w:type="dxa"/>
            <w:shd w:val="clear" w:color="auto" w:fill="C6EFCE"/>
            <w:vAlign w:val="center"/>
            <w:hideMark/>
          </w:tcPr>
          <w:p w14:paraId="50B4C08E" w14:textId="77777777" w:rsidR="003B5F50" w:rsidRDefault="000D2D85">
            <w:pPr>
              <w:pStyle w:val="P68B1DB1-Normal10"/>
              <w:spacing w:after="0" w:line="240" w:lineRule="auto"/>
              <w:jc w:val="center"/>
              <w:textAlignment w:val="baseline"/>
              <w:rPr>
                <w:noProof/>
              </w:rPr>
            </w:pPr>
            <w:r>
              <w:rPr>
                <w:noProof/>
              </w:rPr>
              <w:t>27</w:t>
            </w:r>
          </w:p>
        </w:tc>
        <w:tc>
          <w:tcPr>
            <w:tcW w:w="3550" w:type="dxa"/>
            <w:shd w:val="clear" w:color="auto" w:fill="C6EFCE"/>
            <w:vAlign w:val="center"/>
            <w:hideMark/>
          </w:tcPr>
          <w:p w14:paraId="50B4C08F" w14:textId="77777777" w:rsidR="003B5F50" w:rsidRDefault="000D2D85">
            <w:pPr>
              <w:pStyle w:val="P68B1DB1-Normal14"/>
              <w:spacing w:after="0" w:line="240" w:lineRule="auto"/>
              <w:jc w:val="center"/>
              <w:textAlignment w:val="baseline"/>
              <w:rPr>
                <w:noProof/>
              </w:rPr>
            </w:pPr>
            <w:r>
              <w:rPr>
                <w:noProof/>
              </w:rPr>
              <w:t>13 - Soins sociosanitaires de longue durée accessibles et de qualité - Investissement 2: Extension et rétablissement des capacités de soins post-hospitaliers et infirmiers </w:t>
            </w:r>
          </w:p>
        </w:tc>
        <w:tc>
          <w:tcPr>
            <w:tcW w:w="1432" w:type="dxa"/>
            <w:shd w:val="clear" w:color="auto" w:fill="C6EFCE"/>
            <w:vAlign w:val="center"/>
            <w:hideMark/>
          </w:tcPr>
          <w:p w14:paraId="50B4C090" w14:textId="15FC5F78"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91" w14:textId="206446CE" w:rsidR="003B5F50" w:rsidRDefault="000D2D85">
            <w:pPr>
              <w:pStyle w:val="P68B1DB1-Normal14"/>
              <w:spacing w:after="0" w:line="240" w:lineRule="auto"/>
              <w:jc w:val="center"/>
              <w:textAlignment w:val="baseline"/>
              <w:rPr>
                <w:noProof/>
              </w:rPr>
            </w:pPr>
            <w:r>
              <w:rPr>
                <w:noProof/>
              </w:rPr>
              <w:t xml:space="preserve">Création de lits de suivi dans au moins 10 établissements </w:t>
            </w:r>
          </w:p>
        </w:tc>
      </w:tr>
      <w:tr w:rsidR="003B5F50" w14:paraId="50B4C098" w14:textId="77777777">
        <w:trPr>
          <w:trHeight w:val="1035"/>
        </w:trPr>
        <w:tc>
          <w:tcPr>
            <w:tcW w:w="1224" w:type="dxa"/>
            <w:shd w:val="clear" w:color="auto" w:fill="C6EFCE"/>
            <w:vAlign w:val="center"/>
            <w:hideMark/>
          </w:tcPr>
          <w:p w14:paraId="50B4C093" w14:textId="77777777" w:rsidR="003B5F50" w:rsidRDefault="000D2D85">
            <w:pPr>
              <w:pStyle w:val="P68B1DB1-Normal9"/>
              <w:spacing w:line="240" w:lineRule="auto"/>
              <w:jc w:val="center"/>
              <w:rPr>
                <w:noProof/>
              </w:rPr>
            </w:pPr>
            <w:r>
              <w:rPr>
                <w:noProof/>
              </w:rPr>
              <w:t>28</w:t>
            </w:r>
          </w:p>
        </w:tc>
        <w:tc>
          <w:tcPr>
            <w:tcW w:w="3550" w:type="dxa"/>
            <w:shd w:val="clear" w:color="auto" w:fill="C6EFCE"/>
            <w:vAlign w:val="center"/>
            <w:hideMark/>
          </w:tcPr>
          <w:p w14:paraId="50B4C094" w14:textId="1F55BE68" w:rsidR="003B5F50" w:rsidRDefault="000D2D85">
            <w:pPr>
              <w:pStyle w:val="P68B1DB1-Normal14"/>
              <w:spacing w:line="240" w:lineRule="auto"/>
              <w:jc w:val="center"/>
              <w:rPr>
                <w:noProof/>
              </w:rPr>
            </w:pPr>
            <w:r>
              <w:rPr>
                <w:noProof/>
              </w:rPr>
              <w:t xml:space="preserve">15 – Réforme du système judiciaire – Investissement 2: Instruments de soutien à la réforme de la carte judiciaire – Registre du commerce et système centralisé de gouvernance judiciaire </w:t>
            </w:r>
          </w:p>
        </w:tc>
        <w:tc>
          <w:tcPr>
            <w:tcW w:w="1432" w:type="dxa"/>
            <w:shd w:val="clear" w:color="auto" w:fill="C6EFCE"/>
            <w:vAlign w:val="center"/>
            <w:hideMark/>
          </w:tcPr>
          <w:p w14:paraId="50B4C095" w14:textId="77777777" w:rsidR="003B5F50" w:rsidRDefault="000D2D85">
            <w:pPr>
              <w:pStyle w:val="P68B1DB1-Normal14"/>
              <w:spacing w:line="240" w:lineRule="auto"/>
              <w:jc w:val="center"/>
              <w:rPr>
                <w:noProof/>
              </w:rPr>
            </w:pPr>
            <w:r>
              <w:rPr>
                <w:noProof/>
              </w:rPr>
              <w:t>Étape</w:t>
            </w:r>
          </w:p>
        </w:tc>
        <w:tc>
          <w:tcPr>
            <w:tcW w:w="4043" w:type="dxa"/>
            <w:shd w:val="clear" w:color="auto" w:fill="C6EFCE"/>
            <w:vAlign w:val="center"/>
            <w:hideMark/>
          </w:tcPr>
          <w:p w14:paraId="50B4C096" w14:textId="77777777" w:rsidR="003B5F50" w:rsidRDefault="000D2D85">
            <w:pPr>
              <w:pStyle w:val="P68B1DB1-Normal14"/>
              <w:spacing w:line="240" w:lineRule="auto"/>
              <w:jc w:val="center"/>
              <w:rPr>
                <w:noProof/>
              </w:rPr>
            </w:pPr>
            <w:r>
              <w:rPr>
                <w:noProof/>
              </w:rPr>
              <w:t>Développement et transmission d’un système informatique – Registre des entreprises</w:t>
            </w:r>
          </w:p>
          <w:p w14:paraId="50B4C097" w14:textId="77777777" w:rsidR="003B5F50" w:rsidRDefault="003B5F50">
            <w:pPr>
              <w:spacing w:line="240" w:lineRule="auto"/>
              <w:jc w:val="center"/>
              <w:rPr>
                <w:rFonts w:ascii="Times New Roman" w:hAnsi="Times New Roman"/>
                <w:noProof/>
                <w:color w:val="006100"/>
                <w:sz w:val="20"/>
              </w:rPr>
            </w:pPr>
          </w:p>
        </w:tc>
      </w:tr>
      <w:tr w:rsidR="003B5F50" w14:paraId="50B4C09D" w14:textId="77777777">
        <w:trPr>
          <w:trHeight w:val="1035"/>
        </w:trPr>
        <w:tc>
          <w:tcPr>
            <w:tcW w:w="1224" w:type="dxa"/>
            <w:shd w:val="clear" w:color="auto" w:fill="C6EFCE"/>
            <w:vAlign w:val="center"/>
          </w:tcPr>
          <w:p w14:paraId="50B4C099" w14:textId="77777777" w:rsidR="003B5F50" w:rsidRDefault="000D2D85">
            <w:pPr>
              <w:pStyle w:val="P68B1DB1-Normal48"/>
              <w:spacing w:after="0" w:line="240" w:lineRule="auto"/>
              <w:jc w:val="center"/>
              <w:textAlignment w:val="baseline"/>
              <w:rPr>
                <w:noProof/>
              </w:rPr>
            </w:pPr>
            <w:r>
              <w:rPr>
                <w:noProof/>
              </w:rPr>
              <w:t>29</w:t>
            </w:r>
          </w:p>
        </w:tc>
        <w:tc>
          <w:tcPr>
            <w:tcW w:w="3550" w:type="dxa"/>
            <w:shd w:val="clear" w:color="auto" w:fill="C6EFCE"/>
            <w:vAlign w:val="center"/>
          </w:tcPr>
          <w:p w14:paraId="50B4C09A" w14:textId="514CC2D4" w:rsidR="003B5F50" w:rsidRDefault="000D2D85">
            <w:pPr>
              <w:pStyle w:val="P68B1DB1-Normal14"/>
              <w:spacing w:after="0" w:line="240" w:lineRule="auto"/>
              <w:jc w:val="center"/>
              <w:textAlignment w:val="baseline"/>
              <w:rPr>
                <w:noProof/>
              </w:rPr>
            </w:pPr>
            <w:r>
              <w:rPr>
                <w:noProof/>
              </w:rPr>
              <w:t xml:space="preserve">15 – Réforme du système judiciaire – Investissement 1: réorganisation des tribunaux – rénovation des bâtiments </w:t>
            </w:r>
          </w:p>
        </w:tc>
        <w:tc>
          <w:tcPr>
            <w:tcW w:w="1432" w:type="dxa"/>
            <w:shd w:val="clear" w:color="auto" w:fill="C6EFCE"/>
            <w:vAlign w:val="center"/>
          </w:tcPr>
          <w:p w14:paraId="50B4C09B" w14:textId="77777777" w:rsidR="003B5F50" w:rsidRDefault="000D2D85">
            <w:pPr>
              <w:pStyle w:val="P68B1DB1-Normal14"/>
              <w:spacing w:after="0" w:line="240" w:lineRule="auto"/>
              <w:jc w:val="center"/>
              <w:textAlignment w:val="baseline"/>
              <w:rPr>
                <w:noProof/>
              </w:rPr>
            </w:pPr>
            <w:r>
              <w:rPr>
                <w:noProof/>
              </w:rPr>
              <w:t>Objectif</w:t>
            </w:r>
          </w:p>
        </w:tc>
        <w:tc>
          <w:tcPr>
            <w:tcW w:w="4043" w:type="dxa"/>
            <w:shd w:val="clear" w:color="auto" w:fill="C6EFCE"/>
            <w:vAlign w:val="center"/>
          </w:tcPr>
          <w:p w14:paraId="50B4C09C" w14:textId="59387103" w:rsidR="003B5F50" w:rsidRDefault="000D2D85">
            <w:pPr>
              <w:pStyle w:val="P68B1DB1-Normal14"/>
              <w:spacing w:after="0" w:line="240" w:lineRule="auto"/>
              <w:jc w:val="center"/>
              <w:textAlignment w:val="baseline"/>
              <w:rPr>
                <w:noProof/>
              </w:rPr>
            </w:pPr>
            <w:r>
              <w:rPr>
                <w:noProof/>
              </w:rPr>
              <w:t xml:space="preserve">Surface reconstruite des bâtiments de la cour (en m²) </w:t>
            </w:r>
          </w:p>
        </w:tc>
      </w:tr>
      <w:tr w:rsidR="003B5F50" w14:paraId="50B4C0A2" w14:textId="77777777">
        <w:trPr>
          <w:trHeight w:val="1035"/>
        </w:trPr>
        <w:tc>
          <w:tcPr>
            <w:tcW w:w="1224" w:type="dxa"/>
            <w:shd w:val="clear" w:color="auto" w:fill="C6EFCE"/>
            <w:vAlign w:val="center"/>
            <w:hideMark/>
          </w:tcPr>
          <w:p w14:paraId="50B4C09E" w14:textId="77777777" w:rsidR="003B5F50" w:rsidRDefault="000D2D85">
            <w:pPr>
              <w:pStyle w:val="P68B1DB1-Normal48"/>
              <w:spacing w:after="0" w:line="240" w:lineRule="auto"/>
              <w:jc w:val="center"/>
              <w:rPr>
                <w:rFonts w:eastAsia="Calibri"/>
                <w:noProof/>
              </w:rPr>
            </w:pPr>
            <w:r>
              <w:rPr>
                <w:noProof/>
              </w:rPr>
              <w:t>30</w:t>
            </w:r>
          </w:p>
        </w:tc>
        <w:tc>
          <w:tcPr>
            <w:tcW w:w="3550" w:type="dxa"/>
            <w:shd w:val="clear" w:color="auto" w:fill="C6EFCE"/>
            <w:vAlign w:val="center"/>
            <w:hideMark/>
          </w:tcPr>
          <w:p w14:paraId="50B4C09F" w14:textId="77777777" w:rsidR="003B5F50" w:rsidRDefault="000D2D85">
            <w:pPr>
              <w:pStyle w:val="P68B1DB1-Normal14"/>
              <w:spacing w:after="0" w:line="240" w:lineRule="auto"/>
              <w:jc w:val="center"/>
              <w:textAlignment w:val="baseline"/>
              <w:rPr>
                <w:noProof/>
              </w:rPr>
            </w:pPr>
            <w:r>
              <w:rPr>
                <w:noProof/>
              </w:rPr>
              <w:t>16 - Lutte contre la corruption et le blanchiment de capitaux- Investissement 2: Équipement et numérisation des forces de police – Système automatisé de détection des infractions routières </w:t>
            </w:r>
          </w:p>
        </w:tc>
        <w:tc>
          <w:tcPr>
            <w:tcW w:w="1432" w:type="dxa"/>
            <w:shd w:val="clear" w:color="auto" w:fill="C6EFCE"/>
            <w:vAlign w:val="center"/>
            <w:hideMark/>
          </w:tcPr>
          <w:p w14:paraId="50B4C0A0" w14:textId="77777777" w:rsidR="003B5F50" w:rsidRDefault="000D2D85">
            <w:pPr>
              <w:pStyle w:val="P68B1DB1-Normal14"/>
              <w:spacing w:after="0" w:line="240" w:lineRule="auto"/>
              <w:jc w:val="center"/>
              <w:textAlignment w:val="baseline"/>
              <w:rPr>
                <w:noProof/>
              </w:rPr>
            </w:pPr>
            <w:r>
              <w:rPr>
                <w:noProof/>
              </w:rPr>
              <w:t>Étape </w:t>
            </w:r>
          </w:p>
        </w:tc>
        <w:tc>
          <w:tcPr>
            <w:tcW w:w="4043" w:type="dxa"/>
            <w:shd w:val="clear" w:color="auto" w:fill="C6EFCE"/>
            <w:vAlign w:val="center"/>
            <w:hideMark/>
          </w:tcPr>
          <w:p w14:paraId="50B4C0A1" w14:textId="77777777" w:rsidR="003B5F50" w:rsidRDefault="000D2D85">
            <w:pPr>
              <w:pStyle w:val="P68B1DB1-Normal14"/>
              <w:spacing w:after="0" w:line="240" w:lineRule="auto"/>
              <w:jc w:val="center"/>
              <w:textAlignment w:val="baseline"/>
              <w:rPr>
                <w:noProof/>
              </w:rPr>
            </w:pPr>
            <w:r>
              <w:rPr>
                <w:noProof/>
              </w:rPr>
              <w:t>Mise à niveau du système de détection des infractions routières</w:t>
            </w:r>
          </w:p>
        </w:tc>
      </w:tr>
      <w:tr w:rsidR="003B5F50" w14:paraId="50B4C0A7" w14:textId="77777777">
        <w:trPr>
          <w:trHeight w:val="1035"/>
        </w:trPr>
        <w:tc>
          <w:tcPr>
            <w:tcW w:w="1224" w:type="dxa"/>
            <w:shd w:val="clear" w:color="auto" w:fill="C6EFCE"/>
            <w:vAlign w:val="center"/>
          </w:tcPr>
          <w:p w14:paraId="50B4C0A3" w14:textId="77777777" w:rsidR="003B5F50" w:rsidRDefault="000D2D85">
            <w:pPr>
              <w:pStyle w:val="P68B1DB1-Normal48"/>
              <w:spacing w:after="0" w:line="240" w:lineRule="auto"/>
              <w:jc w:val="center"/>
              <w:rPr>
                <w:noProof/>
              </w:rPr>
            </w:pPr>
            <w:r>
              <w:rPr>
                <w:noProof/>
              </w:rPr>
              <w:t>31</w:t>
            </w:r>
          </w:p>
        </w:tc>
        <w:tc>
          <w:tcPr>
            <w:tcW w:w="3550" w:type="dxa"/>
            <w:shd w:val="clear" w:color="auto" w:fill="C6EFCE"/>
            <w:vAlign w:val="center"/>
          </w:tcPr>
          <w:p w14:paraId="50B4C0A4" w14:textId="77777777" w:rsidR="003B5F50" w:rsidRDefault="000D2D85">
            <w:pPr>
              <w:pStyle w:val="P68B1DB1-Normal61"/>
              <w:spacing w:after="0" w:line="240" w:lineRule="auto"/>
              <w:jc w:val="center"/>
              <w:textAlignment w:val="baseline"/>
              <w:rPr>
                <w:rFonts w:ascii="Times New Roman" w:hAnsi="Times New Roman"/>
                <w:noProof/>
                <w:color w:val="006100"/>
              </w:rPr>
            </w:pPr>
            <w:r>
              <w:rPr>
                <w:rFonts w:ascii="Times New Roman" w:hAnsi="Times New Roman"/>
                <w:noProof/>
                <w:color w:val="006100"/>
              </w:rPr>
              <w:t xml:space="preserve">16 - Lutte contre la corruption et le blanchiment de capitaux- Investissement 2: Équiper et numériser les forces de police - </w:t>
            </w:r>
            <w:r>
              <w:rPr>
                <w:rFonts w:ascii="Times New Roman" w:hAnsi="Times New Roman" w:cs="Times New Roman"/>
                <w:noProof/>
                <w:color w:val="006000"/>
              </w:rPr>
              <w:t>Plateforme d'intelligence artificielle</w:t>
            </w:r>
          </w:p>
        </w:tc>
        <w:tc>
          <w:tcPr>
            <w:tcW w:w="1432" w:type="dxa"/>
            <w:shd w:val="clear" w:color="auto" w:fill="C6EFCE"/>
            <w:vAlign w:val="center"/>
          </w:tcPr>
          <w:p w14:paraId="50B4C0A5" w14:textId="77777777" w:rsidR="003B5F50" w:rsidRDefault="000D2D85">
            <w:pPr>
              <w:pStyle w:val="P68B1DB1-Normal14"/>
              <w:spacing w:after="0" w:line="240" w:lineRule="auto"/>
              <w:jc w:val="center"/>
              <w:textAlignment w:val="baseline"/>
              <w:rPr>
                <w:noProof/>
              </w:rPr>
            </w:pPr>
            <w:r>
              <w:rPr>
                <w:noProof/>
              </w:rPr>
              <w:t>Étape</w:t>
            </w:r>
          </w:p>
        </w:tc>
        <w:tc>
          <w:tcPr>
            <w:tcW w:w="4043" w:type="dxa"/>
            <w:shd w:val="clear" w:color="auto" w:fill="C6EFCE"/>
            <w:vAlign w:val="center"/>
          </w:tcPr>
          <w:p w14:paraId="50B4C0A6" w14:textId="77777777" w:rsidR="003B5F50" w:rsidRDefault="000D2D85">
            <w:pPr>
              <w:pStyle w:val="P68B1DB1-Normal61"/>
              <w:spacing w:after="0" w:line="240" w:lineRule="auto"/>
              <w:jc w:val="center"/>
              <w:textAlignment w:val="baseline"/>
              <w:rPr>
                <w:rFonts w:ascii="Times New Roman" w:hAnsi="Times New Roman"/>
                <w:noProof/>
                <w:color w:val="006100"/>
              </w:rPr>
            </w:pPr>
            <w:r>
              <w:rPr>
                <w:rFonts w:ascii="Times New Roman" w:hAnsi="Times New Roman"/>
                <w:noProof/>
                <w:color w:val="006100"/>
              </w:rPr>
              <w:t xml:space="preserve">Nouvelle </w:t>
            </w:r>
            <w:r>
              <w:rPr>
                <w:rFonts w:ascii="Times New Roman" w:hAnsi="Times New Roman" w:cs="Times New Roman"/>
                <w:noProof/>
                <w:color w:val="006000"/>
              </w:rPr>
              <w:t>plateforme d'intelligence artificielle</w:t>
            </w:r>
          </w:p>
        </w:tc>
      </w:tr>
      <w:tr w:rsidR="003B5F50" w14:paraId="50B4C0AC" w14:textId="77777777">
        <w:trPr>
          <w:trHeight w:val="1035"/>
        </w:trPr>
        <w:tc>
          <w:tcPr>
            <w:tcW w:w="1224" w:type="dxa"/>
            <w:shd w:val="clear" w:color="auto" w:fill="C6EFCE"/>
            <w:vAlign w:val="center"/>
            <w:hideMark/>
          </w:tcPr>
          <w:p w14:paraId="50B4C0A8" w14:textId="77777777" w:rsidR="003B5F50" w:rsidRDefault="000D2D85">
            <w:pPr>
              <w:pStyle w:val="P68B1DB1-Normal48"/>
              <w:spacing w:after="0" w:line="240" w:lineRule="auto"/>
              <w:jc w:val="center"/>
              <w:rPr>
                <w:rFonts w:eastAsia="Times New Roman"/>
                <w:noProof/>
              </w:rPr>
            </w:pPr>
            <w:r>
              <w:rPr>
                <w:noProof/>
              </w:rPr>
              <w:t>32</w:t>
            </w:r>
          </w:p>
        </w:tc>
        <w:tc>
          <w:tcPr>
            <w:tcW w:w="3550" w:type="dxa"/>
            <w:shd w:val="clear" w:color="auto" w:fill="C6EFCE"/>
            <w:vAlign w:val="center"/>
            <w:hideMark/>
          </w:tcPr>
          <w:p w14:paraId="50B4C0A9" w14:textId="77777777" w:rsidR="003B5F50" w:rsidRDefault="000D2D85">
            <w:pPr>
              <w:pStyle w:val="P68B1DB1-Normal14"/>
              <w:spacing w:after="0" w:line="240" w:lineRule="auto"/>
              <w:jc w:val="center"/>
              <w:textAlignment w:val="baseline"/>
              <w:rPr>
                <w:noProof/>
              </w:rPr>
            </w:pPr>
            <w:r>
              <w:rPr>
                <w:noProof/>
              </w:rPr>
              <w:t>16 - Lutte contre la corruption et le blanchiment de capitaux- Investissement 3: Modernisation du système d’incendie et de secours – mise en place d’un réseau de centres de sécurité intégrés </w:t>
            </w:r>
          </w:p>
        </w:tc>
        <w:tc>
          <w:tcPr>
            <w:tcW w:w="1432" w:type="dxa"/>
            <w:shd w:val="clear" w:color="auto" w:fill="C6EFCE"/>
            <w:vAlign w:val="center"/>
            <w:hideMark/>
          </w:tcPr>
          <w:p w14:paraId="50B4C0AA" w14:textId="77777777" w:rsidR="003B5F50" w:rsidRDefault="000D2D85">
            <w:pPr>
              <w:pStyle w:val="P68B1DB1-Normal14"/>
              <w:spacing w:after="0" w:line="240" w:lineRule="auto"/>
              <w:jc w:val="center"/>
              <w:textAlignment w:val="baseline"/>
              <w:rPr>
                <w:noProof/>
              </w:rPr>
            </w:pPr>
            <w:r>
              <w:rPr>
                <w:noProof/>
              </w:rPr>
              <w:t>Étape </w:t>
            </w:r>
          </w:p>
        </w:tc>
        <w:tc>
          <w:tcPr>
            <w:tcW w:w="4043" w:type="dxa"/>
            <w:shd w:val="clear" w:color="auto" w:fill="C6EFCE"/>
            <w:vAlign w:val="center"/>
            <w:hideMark/>
          </w:tcPr>
          <w:p w14:paraId="50B4C0AB" w14:textId="77777777" w:rsidR="003B5F50" w:rsidRDefault="000D2D85">
            <w:pPr>
              <w:pStyle w:val="P68B1DB1-Normal14"/>
              <w:spacing w:after="0" w:line="240" w:lineRule="auto"/>
              <w:jc w:val="center"/>
              <w:textAlignment w:val="baseline"/>
              <w:rPr>
                <w:noProof/>
              </w:rPr>
            </w:pPr>
            <w:r>
              <w:rPr>
                <w:noProof/>
              </w:rPr>
              <w:t>Mise en place d'un centre de sécurité intégré et d'un centre de sécurité intégré virtuel</w:t>
            </w:r>
          </w:p>
        </w:tc>
      </w:tr>
      <w:tr w:rsidR="003B5F50" w14:paraId="50B4C0B1" w14:textId="77777777">
        <w:trPr>
          <w:trHeight w:val="1035"/>
        </w:trPr>
        <w:tc>
          <w:tcPr>
            <w:tcW w:w="1224" w:type="dxa"/>
            <w:shd w:val="clear" w:color="auto" w:fill="C6EFCE"/>
            <w:vAlign w:val="center"/>
            <w:hideMark/>
          </w:tcPr>
          <w:p w14:paraId="50B4C0AD" w14:textId="77777777" w:rsidR="003B5F50" w:rsidRDefault="000D2D85">
            <w:pPr>
              <w:pStyle w:val="P68B1DB1-Normal14"/>
              <w:spacing w:after="0" w:line="240" w:lineRule="auto"/>
              <w:jc w:val="center"/>
              <w:textAlignment w:val="baseline"/>
              <w:rPr>
                <w:noProof/>
              </w:rPr>
            </w:pPr>
            <w:r>
              <w:rPr>
                <w:noProof/>
              </w:rPr>
              <w:t>33</w:t>
            </w:r>
          </w:p>
        </w:tc>
        <w:tc>
          <w:tcPr>
            <w:tcW w:w="3550" w:type="dxa"/>
            <w:shd w:val="clear" w:color="auto" w:fill="C6EFCE"/>
            <w:vAlign w:val="center"/>
            <w:hideMark/>
          </w:tcPr>
          <w:p w14:paraId="50B4C0AE" w14:textId="77777777" w:rsidR="003B5F50" w:rsidRDefault="000D2D85">
            <w:pPr>
              <w:pStyle w:val="P68B1DB1-Normal14"/>
              <w:spacing w:after="0" w:line="240" w:lineRule="auto"/>
              <w:jc w:val="center"/>
              <w:textAlignment w:val="baseline"/>
              <w:rPr>
                <w:noProof/>
              </w:rPr>
            </w:pPr>
            <w:r>
              <w:rPr>
                <w:noProof/>
              </w:rPr>
              <w:t>16 - Lutte contre la corruption et le blanchiment de capitaux- Investissement 3: Modernisation du système d’incendie et de secours – rénovation des bâtiments des casernes de pompiers </w:t>
            </w:r>
          </w:p>
        </w:tc>
        <w:tc>
          <w:tcPr>
            <w:tcW w:w="1432" w:type="dxa"/>
            <w:shd w:val="clear" w:color="auto" w:fill="C6EFCE"/>
            <w:vAlign w:val="center"/>
            <w:hideMark/>
          </w:tcPr>
          <w:p w14:paraId="50B4C0AF"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B0" w14:textId="77777777" w:rsidR="003B5F50" w:rsidRDefault="000D2D85">
            <w:pPr>
              <w:pStyle w:val="P68B1DB1-Normal14"/>
              <w:spacing w:after="0" w:line="240" w:lineRule="auto"/>
              <w:jc w:val="center"/>
              <w:textAlignment w:val="baseline"/>
              <w:rPr>
                <w:noProof/>
              </w:rPr>
            </w:pPr>
            <w:r>
              <w:rPr>
                <w:noProof/>
              </w:rPr>
              <w:t>Modernisation des postes de lutte contre l'incendie </w:t>
            </w:r>
          </w:p>
        </w:tc>
      </w:tr>
      <w:tr w:rsidR="003B5F50" w14:paraId="50B4C0B6" w14:textId="77777777">
        <w:trPr>
          <w:trHeight w:val="1035"/>
        </w:trPr>
        <w:tc>
          <w:tcPr>
            <w:tcW w:w="1224" w:type="dxa"/>
            <w:shd w:val="clear" w:color="auto" w:fill="C6EFCE"/>
            <w:vAlign w:val="center"/>
          </w:tcPr>
          <w:p w14:paraId="50B4C0B2" w14:textId="77777777" w:rsidR="003B5F50" w:rsidRDefault="000D2D85">
            <w:pPr>
              <w:pStyle w:val="P68B1DB1-Normal14"/>
              <w:spacing w:after="0" w:line="240" w:lineRule="auto"/>
              <w:jc w:val="center"/>
              <w:rPr>
                <w:noProof/>
              </w:rPr>
            </w:pPr>
            <w:r>
              <w:rPr>
                <w:noProof/>
              </w:rPr>
              <w:t>34</w:t>
            </w:r>
          </w:p>
        </w:tc>
        <w:tc>
          <w:tcPr>
            <w:tcW w:w="3550" w:type="dxa"/>
            <w:shd w:val="clear" w:color="auto" w:fill="C6EFCE"/>
            <w:vAlign w:val="center"/>
          </w:tcPr>
          <w:p w14:paraId="50B4C0B3" w14:textId="3C8D8C56" w:rsidR="003B5F50" w:rsidRDefault="000D2D85">
            <w:pPr>
              <w:pStyle w:val="P68B1DB1-Normal59"/>
              <w:spacing w:after="0" w:line="240" w:lineRule="auto"/>
              <w:jc w:val="center"/>
              <w:textAlignment w:val="baseline"/>
              <w:rPr>
                <w:noProof/>
                <w:color w:val="006100"/>
              </w:rPr>
            </w:pPr>
            <w:r>
              <w:rPr>
                <w:noProof/>
              </w:rPr>
              <w:t>16 - Lutte contre la corruption et le blanchiment de capitaux - Investissement 4: Renforcement des capacités administratives aux différents niveaux de gouvernement – Nouveau matériel pour l’administration publique</w:t>
            </w:r>
          </w:p>
        </w:tc>
        <w:tc>
          <w:tcPr>
            <w:tcW w:w="1432" w:type="dxa"/>
            <w:shd w:val="clear" w:color="auto" w:fill="C6EFCE"/>
            <w:vAlign w:val="center"/>
          </w:tcPr>
          <w:p w14:paraId="50B4C0B4" w14:textId="77777777" w:rsidR="003B5F50" w:rsidRDefault="000D2D85">
            <w:pPr>
              <w:pStyle w:val="P68B1DB1-Normal88"/>
              <w:spacing w:after="0" w:line="240" w:lineRule="auto"/>
              <w:jc w:val="center"/>
              <w:textAlignment w:val="baseline"/>
              <w:rPr>
                <w:noProof/>
              </w:rPr>
            </w:pPr>
            <w:r>
              <w:rPr>
                <w:noProof/>
              </w:rPr>
              <w:t>Étape</w:t>
            </w:r>
          </w:p>
        </w:tc>
        <w:tc>
          <w:tcPr>
            <w:tcW w:w="4043" w:type="dxa"/>
            <w:shd w:val="clear" w:color="auto" w:fill="C6EFCE"/>
            <w:vAlign w:val="center"/>
          </w:tcPr>
          <w:p w14:paraId="50B4C0B5" w14:textId="72ED8FE5" w:rsidR="003B5F50" w:rsidRDefault="000D2D85">
            <w:pPr>
              <w:pStyle w:val="P68B1DB1-Normal59"/>
              <w:spacing w:after="0" w:line="240" w:lineRule="auto"/>
              <w:jc w:val="center"/>
              <w:textAlignment w:val="baseline"/>
              <w:rPr>
                <w:noProof/>
                <w:color w:val="006100"/>
              </w:rPr>
            </w:pPr>
            <w:r>
              <w:rPr>
                <w:noProof/>
              </w:rPr>
              <w:t>Nouveau matériel pour l’administration publique (ministère de l’intérieur de la République slovaque)</w:t>
            </w:r>
          </w:p>
        </w:tc>
      </w:tr>
      <w:tr w:rsidR="003B5F50" w14:paraId="50B4C0BB" w14:textId="77777777">
        <w:trPr>
          <w:trHeight w:val="1035"/>
        </w:trPr>
        <w:tc>
          <w:tcPr>
            <w:tcW w:w="1224" w:type="dxa"/>
            <w:shd w:val="clear" w:color="auto" w:fill="C6EFCE"/>
            <w:vAlign w:val="center"/>
          </w:tcPr>
          <w:p w14:paraId="50B4C0B7" w14:textId="77777777" w:rsidR="003B5F50" w:rsidRDefault="000D2D85">
            <w:pPr>
              <w:pStyle w:val="P68B1DB1-Normal14"/>
              <w:spacing w:after="0" w:line="240" w:lineRule="auto"/>
              <w:jc w:val="center"/>
              <w:rPr>
                <w:noProof/>
              </w:rPr>
            </w:pPr>
            <w:r>
              <w:rPr>
                <w:noProof/>
              </w:rPr>
              <w:t>35</w:t>
            </w:r>
          </w:p>
        </w:tc>
        <w:tc>
          <w:tcPr>
            <w:tcW w:w="3550" w:type="dxa"/>
            <w:shd w:val="clear" w:color="auto" w:fill="C6EFCE"/>
            <w:vAlign w:val="center"/>
          </w:tcPr>
          <w:p w14:paraId="50B4C0B8" w14:textId="6007A906" w:rsidR="003B5F50" w:rsidRDefault="000D2D85">
            <w:pPr>
              <w:pStyle w:val="P68B1DB1-Normal89"/>
              <w:spacing w:after="0" w:line="240" w:lineRule="auto"/>
              <w:jc w:val="center"/>
              <w:textAlignment w:val="baseline"/>
              <w:rPr>
                <w:rFonts w:hint="default"/>
                <w:noProof/>
              </w:rPr>
            </w:pPr>
            <w:r>
              <w:rPr>
                <w:noProof/>
              </w:rPr>
              <w:t xml:space="preserve">16 - Lutte contre la corruption et le blanchiment de capitaux - Investissement 4: Renforcement des capacités administratives aux différents niveaux de gouvernement </w:t>
            </w:r>
            <w:r>
              <w:rPr>
                <w:noProof/>
              </w:rPr>
              <w:t>–</w:t>
            </w:r>
            <w:r>
              <w:rPr>
                <w:noProof/>
              </w:rPr>
              <w:t xml:space="preserve"> Nouveaux équipements informatiques pour l</w:t>
            </w:r>
            <w:r>
              <w:rPr>
                <w:noProof/>
              </w:rPr>
              <w:t>’</w:t>
            </w:r>
            <w:r>
              <w:rPr>
                <w:noProof/>
              </w:rPr>
              <w:t>administration publique</w:t>
            </w:r>
          </w:p>
        </w:tc>
        <w:tc>
          <w:tcPr>
            <w:tcW w:w="1432" w:type="dxa"/>
            <w:shd w:val="clear" w:color="auto" w:fill="C6EFCE"/>
            <w:vAlign w:val="center"/>
          </w:tcPr>
          <w:p w14:paraId="50B4C0B9" w14:textId="77777777" w:rsidR="003B5F50" w:rsidRDefault="000D2D85">
            <w:pPr>
              <w:pStyle w:val="P68B1DB1-Normal88"/>
              <w:spacing w:after="0" w:line="240" w:lineRule="auto"/>
              <w:jc w:val="center"/>
              <w:textAlignment w:val="baseline"/>
              <w:rPr>
                <w:noProof/>
              </w:rPr>
            </w:pPr>
            <w:r>
              <w:rPr>
                <w:noProof/>
              </w:rPr>
              <w:t>Étape</w:t>
            </w:r>
          </w:p>
        </w:tc>
        <w:tc>
          <w:tcPr>
            <w:tcW w:w="4043" w:type="dxa"/>
            <w:shd w:val="clear" w:color="auto" w:fill="C6EFCE"/>
            <w:vAlign w:val="center"/>
          </w:tcPr>
          <w:p w14:paraId="50B4C0BA" w14:textId="20EC33B5" w:rsidR="003B5F50" w:rsidRDefault="000D2D85">
            <w:pPr>
              <w:pStyle w:val="P68B1DB1-Normal90"/>
              <w:spacing w:after="0" w:line="240" w:lineRule="auto"/>
              <w:jc w:val="center"/>
              <w:textAlignment w:val="baseline"/>
              <w:rPr>
                <w:noProof/>
              </w:rPr>
            </w:pPr>
            <w:r>
              <w:rPr>
                <w:noProof/>
              </w:rPr>
              <w:t>Nouveaux équipements informatiques pour l'administration publique</w:t>
            </w:r>
          </w:p>
        </w:tc>
      </w:tr>
      <w:tr w:rsidR="003B5F50" w14:paraId="50B4C0C0" w14:textId="77777777">
        <w:trPr>
          <w:trHeight w:val="1035"/>
        </w:trPr>
        <w:tc>
          <w:tcPr>
            <w:tcW w:w="1224" w:type="dxa"/>
            <w:shd w:val="clear" w:color="auto" w:fill="C6EFCE"/>
            <w:vAlign w:val="center"/>
            <w:hideMark/>
          </w:tcPr>
          <w:p w14:paraId="50B4C0BC" w14:textId="77777777" w:rsidR="003B5F50" w:rsidRDefault="000D2D85">
            <w:pPr>
              <w:pStyle w:val="P68B1DB1-Normal14"/>
              <w:spacing w:after="0" w:line="240" w:lineRule="auto"/>
              <w:jc w:val="center"/>
              <w:rPr>
                <w:noProof/>
              </w:rPr>
            </w:pPr>
            <w:r>
              <w:rPr>
                <w:noProof/>
              </w:rPr>
              <w:t>36</w:t>
            </w:r>
          </w:p>
        </w:tc>
        <w:tc>
          <w:tcPr>
            <w:tcW w:w="3550" w:type="dxa"/>
            <w:shd w:val="clear" w:color="auto" w:fill="C6EFCE"/>
            <w:vAlign w:val="center"/>
            <w:hideMark/>
          </w:tcPr>
          <w:p w14:paraId="50B4C0BD" w14:textId="77777777" w:rsidR="003B5F50" w:rsidRDefault="000D2D85">
            <w:pPr>
              <w:pStyle w:val="P68B1DB1-Normal14"/>
              <w:spacing w:after="0" w:line="240" w:lineRule="auto"/>
              <w:jc w:val="center"/>
              <w:textAlignment w:val="baseline"/>
              <w:rPr>
                <w:noProof/>
              </w:rPr>
            </w:pPr>
            <w:r>
              <w:rPr>
                <w:noProof/>
              </w:rPr>
              <w:t>17 - Slovaquie numérique - Investissement 1: De meilleurs services pour les citoyens et les entreprises </w:t>
            </w:r>
          </w:p>
        </w:tc>
        <w:tc>
          <w:tcPr>
            <w:tcW w:w="1432" w:type="dxa"/>
            <w:shd w:val="clear" w:color="auto" w:fill="C6EFCE"/>
            <w:vAlign w:val="center"/>
            <w:hideMark/>
          </w:tcPr>
          <w:p w14:paraId="50B4C0BE"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BF" w14:textId="77777777" w:rsidR="003B5F50" w:rsidRDefault="000D2D85">
            <w:pPr>
              <w:pStyle w:val="P68B1DB1-Normal14"/>
              <w:spacing w:after="0" w:line="240" w:lineRule="auto"/>
              <w:jc w:val="center"/>
              <w:textAlignment w:val="baseline"/>
              <w:rPr>
                <w:noProof/>
              </w:rPr>
            </w:pPr>
            <w:r>
              <w:rPr>
                <w:noProof/>
              </w:rPr>
              <w:t xml:space="preserve">Nombre de </w:t>
            </w:r>
            <w:r>
              <w:rPr>
                <w:noProof/>
                <w:szCs w:val="20"/>
              </w:rPr>
              <w:t xml:space="preserve">situations de vie prioritaires lancées et mises à la disposition du public au moyen de </w:t>
            </w:r>
            <w:r>
              <w:rPr>
                <w:noProof/>
              </w:rPr>
              <w:t>solutions d’administration en ligne</w:t>
            </w:r>
          </w:p>
        </w:tc>
      </w:tr>
      <w:tr w:rsidR="003B5F50" w14:paraId="50B4C0C5" w14:textId="77777777">
        <w:trPr>
          <w:trHeight w:val="1035"/>
        </w:trPr>
        <w:tc>
          <w:tcPr>
            <w:tcW w:w="1224" w:type="dxa"/>
            <w:shd w:val="clear" w:color="auto" w:fill="C6EFCE"/>
            <w:vAlign w:val="center"/>
            <w:hideMark/>
          </w:tcPr>
          <w:p w14:paraId="50B4C0C1" w14:textId="77777777" w:rsidR="003B5F50" w:rsidRDefault="000D2D85">
            <w:pPr>
              <w:pStyle w:val="P68B1DB1-Normal14"/>
              <w:spacing w:after="0" w:line="240" w:lineRule="auto"/>
              <w:jc w:val="center"/>
              <w:textAlignment w:val="baseline"/>
              <w:rPr>
                <w:noProof/>
              </w:rPr>
            </w:pPr>
            <w:r>
              <w:rPr>
                <w:noProof/>
              </w:rPr>
              <w:t>37</w:t>
            </w:r>
          </w:p>
        </w:tc>
        <w:tc>
          <w:tcPr>
            <w:tcW w:w="3550" w:type="dxa"/>
            <w:shd w:val="clear" w:color="auto" w:fill="C6EFCE"/>
            <w:vAlign w:val="center"/>
            <w:hideMark/>
          </w:tcPr>
          <w:p w14:paraId="50B4C0C2" w14:textId="77777777" w:rsidR="003B5F50" w:rsidRDefault="000D2D85">
            <w:pPr>
              <w:pStyle w:val="P68B1DB1-Normal14"/>
              <w:spacing w:after="0" w:line="240" w:lineRule="auto"/>
              <w:jc w:val="center"/>
              <w:textAlignment w:val="baseline"/>
              <w:rPr>
                <w:noProof/>
              </w:rPr>
            </w:pPr>
            <w:r>
              <w:rPr>
                <w:noProof/>
              </w:rPr>
              <w:t>17 - Slovaquie numérique - Investissement 2: Transformation numérique de la prestation des services publics </w:t>
            </w:r>
          </w:p>
        </w:tc>
        <w:tc>
          <w:tcPr>
            <w:tcW w:w="1432" w:type="dxa"/>
            <w:shd w:val="clear" w:color="auto" w:fill="C6EFCE"/>
            <w:vAlign w:val="center"/>
            <w:hideMark/>
          </w:tcPr>
          <w:p w14:paraId="50B4C0C3"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C4" w14:textId="77777777" w:rsidR="003B5F50" w:rsidRDefault="000D2D85">
            <w:pPr>
              <w:pStyle w:val="P68B1DB1-Normal14"/>
              <w:spacing w:after="0" w:line="240" w:lineRule="auto"/>
              <w:jc w:val="center"/>
              <w:textAlignment w:val="baseline"/>
              <w:rPr>
                <w:noProof/>
              </w:rPr>
            </w:pPr>
            <w:r>
              <w:rPr>
                <w:noProof/>
              </w:rPr>
              <w:t>Transformation numérique des processus des sections de l’administration publique</w:t>
            </w:r>
          </w:p>
        </w:tc>
      </w:tr>
      <w:tr w:rsidR="003B5F50" w14:paraId="58740E58" w14:textId="77777777">
        <w:trPr>
          <w:trHeight w:val="1035"/>
        </w:trPr>
        <w:tc>
          <w:tcPr>
            <w:tcW w:w="1224" w:type="dxa"/>
            <w:shd w:val="clear" w:color="auto" w:fill="C6EFCE"/>
            <w:vAlign w:val="center"/>
          </w:tcPr>
          <w:p w14:paraId="66A11A3C" w14:textId="68170634" w:rsidR="003B5F50" w:rsidRDefault="000D2D85">
            <w:pPr>
              <w:pStyle w:val="P68B1DB1-Normal14"/>
              <w:spacing w:after="0" w:line="240" w:lineRule="auto"/>
              <w:jc w:val="center"/>
              <w:textAlignment w:val="baseline"/>
              <w:rPr>
                <w:noProof/>
              </w:rPr>
            </w:pPr>
            <w:r>
              <w:rPr>
                <w:noProof/>
              </w:rPr>
              <w:t>38</w:t>
            </w:r>
          </w:p>
        </w:tc>
        <w:tc>
          <w:tcPr>
            <w:tcW w:w="3550" w:type="dxa"/>
            <w:shd w:val="clear" w:color="auto" w:fill="C6EFCE"/>
            <w:vAlign w:val="center"/>
          </w:tcPr>
          <w:p w14:paraId="5A758559" w14:textId="3970D990" w:rsidR="003B5F50" w:rsidRDefault="000D2D85">
            <w:pPr>
              <w:pStyle w:val="P68B1DB1-Normal15"/>
              <w:spacing w:after="0" w:line="240" w:lineRule="auto"/>
              <w:jc w:val="center"/>
              <w:textAlignment w:val="baseline"/>
              <w:rPr>
                <w:noProof/>
              </w:rPr>
            </w:pPr>
            <w:r>
              <w:rPr>
                <w:noProof/>
              </w:rPr>
              <w:t>17 - Slovaquie numérique - Investissement 2: Transformation numérique de la prestation des services publics </w:t>
            </w:r>
          </w:p>
          <w:p w14:paraId="4D785373" w14:textId="16C767FA" w:rsidR="003B5F50" w:rsidRDefault="003B5F50">
            <w:pPr>
              <w:spacing w:after="0" w:line="240" w:lineRule="auto"/>
              <w:jc w:val="center"/>
              <w:textAlignment w:val="baseline"/>
              <w:rPr>
                <w:rFonts w:ascii="Times New Roman" w:hAnsi="Times New Roman"/>
                <w:noProof/>
                <w:color w:val="006100"/>
                <w:sz w:val="20"/>
                <w:szCs w:val="20"/>
              </w:rPr>
            </w:pPr>
          </w:p>
        </w:tc>
        <w:tc>
          <w:tcPr>
            <w:tcW w:w="1432" w:type="dxa"/>
            <w:shd w:val="clear" w:color="auto" w:fill="C6EFCE"/>
            <w:vAlign w:val="center"/>
          </w:tcPr>
          <w:p w14:paraId="1C2652F3" w14:textId="44BFB577" w:rsidR="003B5F50" w:rsidRDefault="000D2D85">
            <w:pPr>
              <w:pStyle w:val="P68B1DB1-Normal14"/>
              <w:spacing w:after="0" w:line="240" w:lineRule="auto"/>
              <w:jc w:val="center"/>
              <w:textAlignment w:val="baseline"/>
              <w:rPr>
                <w:noProof/>
              </w:rPr>
            </w:pPr>
            <w:r>
              <w:rPr>
                <w:noProof/>
              </w:rPr>
              <w:t>Étape</w:t>
            </w:r>
          </w:p>
        </w:tc>
        <w:tc>
          <w:tcPr>
            <w:tcW w:w="4043" w:type="dxa"/>
            <w:shd w:val="clear" w:color="auto" w:fill="C6EFCE"/>
            <w:vAlign w:val="center"/>
          </w:tcPr>
          <w:p w14:paraId="0548E489" w14:textId="09A17BE9" w:rsidR="003B5F50" w:rsidRDefault="000D2D85">
            <w:pPr>
              <w:pStyle w:val="P68B1DB1-Normal14"/>
              <w:spacing w:after="0" w:line="240" w:lineRule="auto"/>
              <w:jc w:val="center"/>
              <w:textAlignment w:val="baseline"/>
              <w:rPr>
                <w:noProof/>
              </w:rPr>
            </w:pPr>
            <w:r>
              <w:rPr>
                <w:noProof/>
              </w:rPr>
              <w:t>Règlement des paiements instantanés TARGET (TIPS) en Slovaquie</w:t>
            </w:r>
          </w:p>
        </w:tc>
      </w:tr>
      <w:tr w:rsidR="003B5F50" w14:paraId="05314D6E" w14:textId="77777777">
        <w:trPr>
          <w:trHeight w:val="1035"/>
        </w:trPr>
        <w:tc>
          <w:tcPr>
            <w:tcW w:w="1224" w:type="dxa"/>
            <w:shd w:val="clear" w:color="auto" w:fill="C6EFCE"/>
            <w:vAlign w:val="center"/>
          </w:tcPr>
          <w:p w14:paraId="265165F3" w14:textId="1B7A6BFE" w:rsidR="003B5F50" w:rsidRDefault="000D2D85">
            <w:pPr>
              <w:pStyle w:val="P68B1DB1-Normal14"/>
              <w:spacing w:after="0" w:line="240" w:lineRule="auto"/>
              <w:jc w:val="center"/>
              <w:rPr>
                <w:noProof/>
              </w:rPr>
            </w:pPr>
            <w:r>
              <w:rPr>
                <w:noProof/>
              </w:rPr>
              <w:t>39</w:t>
            </w:r>
          </w:p>
        </w:tc>
        <w:tc>
          <w:tcPr>
            <w:tcW w:w="3550" w:type="dxa"/>
            <w:shd w:val="clear" w:color="auto" w:fill="C6EFCE"/>
            <w:vAlign w:val="center"/>
          </w:tcPr>
          <w:p w14:paraId="131B5FC8" w14:textId="77777777" w:rsidR="003B5F50" w:rsidRDefault="000D2D85">
            <w:pPr>
              <w:pStyle w:val="P68B1DB1-Normal14"/>
              <w:spacing w:after="0" w:line="240" w:lineRule="auto"/>
              <w:jc w:val="center"/>
              <w:textAlignment w:val="baseline"/>
              <w:rPr>
                <w:noProof/>
              </w:rPr>
            </w:pPr>
            <w:r>
              <w:rPr>
                <w:noProof/>
              </w:rPr>
              <w:t>17 - Slovaquie numérique - Investissement 2: Transformation numérique de la prestation des services publics </w:t>
            </w:r>
          </w:p>
          <w:p w14:paraId="1BC0E083" w14:textId="77777777" w:rsidR="003B5F50" w:rsidRDefault="003B5F50">
            <w:pPr>
              <w:spacing w:after="0" w:line="240" w:lineRule="auto"/>
              <w:jc w:val="center"/>
              <w:textAlignment w:val="baseline"/>
              <w:rPr>
                <w:rFonts w:ascii="Times New Roman" w:hAnsi="Times New Roman"/>
                <w:noProof/>
                <w:color w:val="006100"/>
                <w:sz w:val="20"/>
              </w:rPr>
            </w:pPr>
          </w:p>
        </w:tc>
        <w:tc>
          <w:tcPr>
            <w:tcW w:w="1432" w:type="dxa"/>
            <w:shd w:val="clear" w:color="auto" w:fill="C6EFCE"/>
            <w:vAlign w:val="center"/>
          </w:tcPr>
          <w:p w14:paraId="5171D522" w14:textId="1C362FBC" w:rsidR="003B5F50" w:rsidRDefault="000D2D85">
            <w:pPr>
              <w:pStyle w:val="P68B1DB1-Normal14"/>
              <w:spacing w:after="0" w:line="240" w:lineRule="auto"/>
              <w:jc w:val="center"/>
              <w:textAlignment w:val="baseline"/>
              <w:rPr>
                <w:noProof/>
              </w:rPr>
            </w:pPr>
            <w:r>
              <w:rPr>
                <w:noProof/>
              </w:rPr>
              <w:t>Objectif</w:t>
            </w:r>
          </w:p>
        </w:tc>
        <w:tc>
          <w:tcPr>
            <w:tcW w:w="4043" w:type="dxa"/>
            <w:shd w:val="clear" w:color="auto" w:fill="C6EFCE"/>
            <w:vAlign w:val="center"/>
          </w:tcPr>
          <w:p w14:paraId="170A6780" w14:textId="65D1FBFD" w:rsidR="003B5F50" w:rsidRDefault="000D2D85">
            <w:pPr>
              <w:pStyle w:val="P68B1DB1-Normal14"/>
              <w:spacing w:after="0" w:line="240" w:lineRule="auto"/>
              <w:jc w:val="center"/>
              <w:textAlignment w:val="baseline"/>
              <w:rPr>
                <w:noProof/>
              </w:rPr>
            </w:pPr>
            <w:r>
              <w:rPr>
                <w:noProof/>
              </w:rPr>
              <w:t>Intégration des entités de l'administration publique dans le système économique central</w:t>
            </w:r>
          </w:p>
        </w:tc>
      </w:tr>
      <w:tr w:rsidR="003B5F50" w14:paraId="6BDC84B3" w14:textId="77777777">
        <w:trPr>
          <w:trHeight w:val="1035"/>
        </w:trPr>
        <w:tc>
          <w:tcPr>
            <w:tcW w:w="1224" w:type="dxa"/>
            <w:shd w:val="clear" w:color="auto" w:fill="C6EFCE"/>
            <w:vAlign w:val="center"/>
          </w:tcPr>
          <w:p w14:paraId="7D98F496" w14:textId="2BD01681" w:rsidR="003B5F50" w:rsidRDefault="000D2D85">
            <w:pPr>
              <w:pStyle w:val="P68B1DB1-Normal14"/>
              <w:spacing w:after="0" w:line="240" w:lineRule="auto"/>
              <w:jc w:val="center"/>
              <w:rPr>
                <w:noProof/>
              </w:rPr>
            </w:pPr>
            <w:r>
              <w:rPr>
                <w:noProof/>
              </w:rPr>
              <w:t>40</w:t>
            </w:r>
          </w:p>
        </w:tc>
        <w:tc>
          <w:tcPr>
            <w:tcW w:w="3550" w:type="dxa"/>
            <w:shd w:val="clear" w:color="auto" w:fill="C6EFCE"/>
            <w:vAlign w:val="center"/>
          </w:tcPr>
          <w:p w14:paraId="1AAD28BF" w14:textId="77777777" w:rsidR="003B5F50" w:rsidRDefault="000D2D85">
            <w:pPr>
              <w:pStyle w:val="P68B1DB1-Normal14"/>
              <w:spacing w:after="0" w:line="240" w:lineRule="auto"/>
              <w:jc w:val="center"/>
              <w:textAlignment w:val="baseline"/>
              <w:rPr>
                <w:noProof/>
              </w:rPr>
            </w:pPr>
            <w:r>
              <w:rPr>
                <w:noProof/>
              </w:rPr>
              <w:t>17 - Slovaquie numérique - Investissement 2: Transformation numérique de la prestation des services publics </w:t>
            </w:r>
          </w:p>
          <w:p w14:paraId="6FEC1AF2" w14:textId="77777777" w:rsidR="003B5F50" w:rsidRDefault="003B5F50">
            <w:pPr>
              <w:spacing w:after="0" w:line="240" w:lineRule="auto"/>
              <w:jc w:val="center"/>
              <w:textAlignment w:val="baseline"/>
              <w:rPr>
                <w:rFonts w:ascii="Times New Roman" w:hAnsi="Times New Roman"/>
                <w:noProof/>
                <w:color w:val="006100"/>
                <w:sz w:val="20"/>
              </w:rPr>
            </w:pPr>
          </w:p>
        </w:tc>
        <w:tc>
          <w:tcPr>
            <w:tcW w:w="1432" w:type="dxa"/>
            <w:shd w:val="clear" w:color="auto" w:fill="C6EFCE"/>
            <w:vAlign w:val="center"/>
          </w:tcPr>
          <w:p w14:paraId="4FD2AAE0" w14:textId="0F65922E" w:rsidR="003B5F50" w:rsidRDefault="000D2D85">
            <w:pPr>
              <w:pStyle w:val="P68B1DB1-Normal14"/>
              <w:spacing w:after="0" w:line="240" w:lineRule="auto"/>
              <w:jc w:val="center"/>
              <w:textAlignment w:val="baseline"/>
              <w:rPr>
                <w:noProof/>
              </w:rPr>
            </w:pPr>
            <w:r>
              <w:rPr>
                <w:noProof/>
              </w:rPr>
              <w:t>Étape</w:t>
            </w:r>
          </w:p>
        </w:tc>
        <w:tc>
          <w:tcPr>
            <w:tcW w:w="4043" w:type="dxa"/>
            <w:shd w:val="clear" w:color="auto" w:fill="C6EFCE"/>
            <w:vAlign w:val="center"/>
          </w:tcPr>
          <w:p w14:paraId="5FF2420B" w14:textId="685C4BCC" w:rsidR="003B5F50" w:rsidRDefault="000D2D85">
            <w:pPr>
              <w:pStyle w:val="P68B1DB1-Normal14"/>
              <w:spacing w:after="0" w:line="240" w:lineRule="auto"/>
              <w:jc w:val="center"/>
              <w:textAlignment w:val="baseline"/>
              <w:rPr>
                <w:noProof/>
              </w:rPr>
            </w:pPr>
            <w:r>
              <w:rPr>
                <w:noProof/>
              </w:rPr>
              <w:t>Règlement des paiements instantanés TARGET (TIPS) en Slovaquie</w:t>
            </w:r>
          </w:p>
        </w:tc>
      </w:tr>
      <w:tr w:rsidR="003B5F50" w14:paraId="50B4C0CA" w14:textId="77777777">
        <w:trPr>
          <w:trHeight w:val="1035"/>
        </w:trPr>
        <w:tc>
          <w:tcPr>
            <w:tcW w:w="1224" w:type="dxa"/>
            <w:shd w:val="clear" w:color="auto" w:fill="C6EFCE"/>
            <w:vAlign w:val="center"/>
          </w:tcPr>
          <w:p w14:paraId="50B4C0C6" w14:textId="7A0A705A" w:rsidR="003B5F50" w:rsidRDefault="000D2D85">
            <w:pPr>
              <w:pStyle w:val="P68B1DB1-Normal14"/>
              <w:spacing w:after="0" w:line="240" w:lineRule="auto"/>
              <w:jc w:val="center"/>
              <w:rPr>
                <w:noProof/>
              </w:rPr>
            </w:pPr>
            <w:r>
              <w:rPr>
                <w:noProof/>
              </w:rPr>
              <w:t>41</w:t>
            </w:r>
          </w:p>
        </w:tc>
        <w:tc>
          <w:tcPr>
            <w:tcW w:w="3550" w:type="dxa"/>
            <w:shd w:val="clear" w:color="auto" w:fill="C6EFCE"/>
            <w:vAlign w:val="center"/>
          </w:tcPr>
          <w:p w14:paraId="50B4C0C7" w14:textId="77777777" w:rsidR="003B5F50" w:rsidRDefault="000D2D85">
            <w:pPr>
              <w:pStyle w:val="P68B1DB1-Normal14"/>
              <w:spacing w:after="0" w:line="240" w:lineRule="auto"/>
              <w:jc w:val="center"/>
              <w:textAlignment w:val="baseline"/>
              <w:rPr>
                <w:noProof/>
              </w:rPr>
            </w:pPr>
            <w:r>
              <w:rPr>
                <w:noProof/>
              </w:rPr>
              <w:t>17 - Slovaquie numérique - Investissement 3: S'engager dans des projets multinationaux européens liés à l'économie numérique </w:t>
            </w:r>
          </w:p>
        </w:tc>
        <w:tc>
          <w:tcPr>
            <w:tcW w:w="1432" w:type="dxa"/>
            <w:shd w:val="clear" w:color="auto" w:fill="C6EFCE"/>
            <w:vAlign w:val="center"/>
          </w:tcPr>
          <w:p w14:paraId="50B4C0C8"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tcPr>
          <w:p w14:paraId="50B4C0C9" w14:textId="77777777" w:rsidR="003B5F50" w:rsidRDefault="000D2D85">
            <w:pPr>
              <w:pStyle w:val="P68B1DB1-Normal14"/>
              <w:spacing w:after="0" w:line="240" w:lineRule="auto"/>
              <w:jc w:val="center"/>
              <w:textAlignment w:val="baseline"/>
              <w:rPr>
                <w:noProof/>
              </w:rPr>
            </w:pPr>
            <w:r>
              <w:rPr>
                <w:noProof/>
              </w:rPr>
              <w:t>Déboursement de 8 711 034,58 EUR</w:t>
            </w:r>
          </w:p>
        </w:tc>
      </w:tr>
      <w:tr w:rsidR="003B5F50" w14:paraId="50B4C0CF" w14:textId="77777777">
        <w:trPr>
          <w:trHeight w:val="1035"/>
        </w:trPr>
        <w:tc>
          <w:tcPr>
            <w:tcW w:w="1224" w:type="dxa"/>
            <w:shd w:val="clear" w:color="auto" w:fill="C6EFCE"/>
            <w:vAlign w:val="center"/>
            <w:hideMark/>
          </w:tcPr>
          <w:p w14:paraId="50B4C0CB" w14:textId="3F40E5D7" w:rsidR="003B5F50" w:rsidRDefault="000D2D85">
            <w:pPr>
              <w:pStyle w:val="P68B1DB1-Normal14"/>
              <w:spacing w:after="0" w:line="240" w:lineRule="auto"/>
              <w:jc w:val="center"/>
              <w:rPr>
                <w:noProof/>
              </w:rPr>
            </w:pPr>
            <w:r>
              <w:rPr>
                <w:noProof/>
              </w:rPr>
              <w:t>42</w:t>
            </w:r>
          </w:p>
        </w:tc>
        <w:tc>
          <w:tcPr>
            <w:tcW w:w="3550" w:type="dxa"/>
            <w:shd w:val="clear" w:color="auto" w:fill="C6EFCE"/>
            <w:vAlign w:val="center"/>
            <w:hideMark/>
          </w:tcPr>
          <w:p w14:paraId="50B4C0CC" w14:textId="77777777" w:rsidR="003B5F50" w:rsidRDefault="000D2D85">
            <w:pPr>
              <w:pStyle w:val="P68B1DB1-Normal14"/>
              <w:spacing w:after="0" w:line="240" w:lineRule="auto"/>
              <w:jc w:val="center"/>
              <w:textAlignment w:val="baseline"/>
              <w:rPr>
                <w:noProof/>
              </w:rPr>
            </w:pPr>
            <w:r>
              <w:rPr>
                <w:noProof/>
              </w:rPr>
              <w:t>17 - Slovaquie numérique - Investissement 4: Soutien à des projets visant le développement de technologies et d’infrastructures numériques</w:t>
            </w:r>
          </w:p>
        </w:tc>
        <w:tc>
          <w:tcPr>
            <w:tcW w:w="1432" w:type="dxa"/>
            <w:shd w:val="clear" w:color="auto" w:fill="C6EFCE"/>
            <w:vAlign w:val="center"/>
            <w:hideMark/>
          </w:tcPr>
          <w:p w14:paraId="50B4C0CD"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CE" w14:textId="34537C99" w:rsidR="003B5F50" w:rsidRDefault="000D2D85">
            <w:pPr>
              <w:pStyle w:val="P68B1DB1-Normal14"/>
              <w:spacing w:after="0" w:line="240" w:lineRule="auto"/>
              <w:jc w:val="center"/>
              <w:textAlignment w:val="baseline"/>
              <w:rPr>
                <w:noProof/>
              </w:rPr>
            </w:pPr>
            <w:r>
              <w:rPr>
                <w:noProof/>
              </w:rPr>
              <w:t>Décaissement de 7 104 859,47 EUR </w:t>
            </w:r>
          </w:p>
        </w:tc>
      </w:tr>
      <w:tr w:rsidR="003B5F50" w14:paraId="50B4C0D4" w14:textId="77777777">
        <w:trPr>
          <w:trHeight w:val="1035"/>
        </w:trPr>
        <w:tc>
          <w:tcPr>
            <w:tcW w:w="1224" w:type="dxa"/>
            <w:shd w:val="clear" w:color="auto" w:fill="C6EFCE"/>
            <w:vAlign w:val="center"/>
          </w:tcPr>
          <w:p w14:paraId="50B4C0D0" w14:textId="37C055B6" w:rsidR="003B5F50" w:rsidRDefault="000D2D85">
            <w:pPr>
              <w:pStyle w:val="P68B1DB1-Normal48"/>
              <w:spacing w:after="0" w:line="240" w:lineRule="auto"/>
              <w:jc w:val="center"/>
              <w:rPr>
                <w:noProof/>
              </w:rPr>
            </w:pPr>
            <w:r>
              <w:rPr>
                <w:noProof/>
              </w:rPr>
              <w:t>43</w:t>
            </w:r>
          </w:p>
        </w:tc>
        <w:tc>
          <w:tcPr>
            <w:tcW w:w="3550" w:type="dxa"/>
            <w:shd w:val="clear" w:color="auto" w:fill="C6EFCE"/>
            <w:vAlign w:val="center"/>
          </w:tcPr>
          <w:p w14:paraId="50B4C0D1" w14:textId="77777777" w:rsidR="003B5F50" w:rsidRDefault="000D2D85">
            <w:pPr>
              <w:pStyle w:val="P68B1DB1-Normal14"/>
              <w:spacing w:after="0" w:line="240" w:lineRule="auto"/>
              <w:jc w:val="center"/>
              <w:textAlignment w:val="baseline"/>
              <w:rPr>
                <w:noProof/>
              </w:rPr>
            </w:pPr>
            <w:r>
              <w:rPr>
                <w:noProof/>
              </w:rPr>
              <w:t>17 - Slovaquie numérique - Investissement 4: Soutien à des projets visant le développement de technologies et d’infrastructures numériques</w:t>
            </w:r>
          </w:p>
        </w:tc>
        <w:tc>
          <w:tcPr>
            <w:tcW w:w="1432" w:type="dxa"/>
            <w:shd w:val="clear" w:color="auto" w:fill="C6EFCE"/>
            <w:vAlign w:val="center"/>
          </w:tcPr>
          <w:p w14:paraId="50B4C0D2"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tcPr>
          <w:p w14:paraId="50B4C0D3" w14:textId="4DDB7182" w:rsidR="003B5F50" w:rsidRDefault="000D2D85">
            <w:pPr>
              <w:pStyle w:val="P68B1DB1-Normal14"/>
              <w:spacing w:after="0" w:line="240" w:lineRule="auto"/>
              <w:jc w:val="center"/>
              <w:textAlignment w:val="baseline"/>
              <w:rPr>
                <w:noProof/>
              </w:rPr>
            </w:pPr>
            <w:r>
              <w:rPr>
                <w:noProof/>
              </w:rPr>
              <w:t>Nombre de projets de développement des technologies numériques </w:t>
            </w:r>
          </w:p>
        </w:tc>
      </w:tr>
      <w:tr w:rsidR="003B5F50" w14:paraId="50B4C0D9" w14:textId="77777777">
        <w:trPr>
          <w:trHeight w:val="1035"/>
        </w:trPr>
        <w:tc>
          <w:tcPr>
            <w:tcW w:w="1224" w:type="dxa"/>
            <w:shd w:val="clear" w:color="auto" w:fill="C6EFCE"/>
            <w:vAlign w:val="center"/>
            <w:hideMark/>
          </w:tcPr>
          <w:p w14:paraId="50B4C0D5" w14:textId="6ECF8F04" w:rsidR="003B5F50" w:rsidRDefault="000D2D85">
            <w:pPr>
              <w:pStyle w:val="P68B1DB1-Normal14"/>
              <w:spacing w:after="0" w:line="240" w:lineRule="auto"/>
              <w:jc w:val="center"/>
              <w:rPr>
                <w:noProof/>
              </w:rPr>
            </w:pPr>
            <w:r>
              <w:rPr>
                <w:noProof/>
              </w:rPr>
              <w:t>44</w:t>
            </w:r>
          </w:p>
        </w:tc>
        <w:tc>
          <w:tcPr>
            <w:tcW w:w="3550" w:type="dxa"/>
            <w:shd w:val="clear" w:color="auto" w:fill="C6EFCE"/>
            <w:vAlign w:val="center"/>
            <w:hideMark/>
          </w:tcPr>
          <w:p w14:paraId="50B4C0D6" w14:textId="77777777" w:rsidR="003B5F50" w:rsidRDefault="000D2D85">
            <w:pPr>
              <w:pStyle w:val="P68B1DB1-Normal14"/>
              <w:spacing w:after="0" w:line="240" w:lineRule="auto"/>
              <w:jc w:val="center"/>
              <w:textAlignment w:val="baseline"/>
              <w:rPr>
                <w:noProof/>
              </w:rPr>
            </w:pPr>
            <w:r>
              <w:rPr>
                <w:noProof/>
              </w:rPr>
              <w:t>17 - Slovaquie numérique - Réforme 5: Formation et compétences en matière de cybersécurité (ITVS – Technologies de l’information pour l’administration publique)</w:t>
            </w:r>
          </w:p>
        </w:tc>
        <w:tc>
          <w:tcPr>
            <w:tcW w:w="1432" w:type="dxa"/>
            <w:shd w:val="clear" w:color="auto" w:fill="C6EFCE"/>
            <w:vAlign w:val="center"/>
            <w:hideMark/>
          </w:tcPr>
          <w:p w14:paraId="50B4C0D7"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D8" w14:textId="3777FD14" w:rsidR="003B5F50" w:rsidRDefault="000D2D85">
            <w:pPr>
              <w:pStyle w:val="P68B1DB1-Normal14"/>
              <w:spacing w:after="0" w:line="240" w:lineRule="auto"/>
              <w:jc w:val="center"/>
              <w:textAlignment w:val="baseline"/>
              <w:rPr>
                <w:noProof/>
              </w:rPr>
            </w:pPr>
            <w:r>
              <w:rPr>
                <w:noProof/>
              </w:rPr>
              <w:t xml:space="preserve">Nombre de membres du personnel informatique de l’administration publique formés à la cybersécurité </w:t>
            </w:r>
          </w:p>
        </w:tc>
      </w:tr>
      <w:tr w:rsidR="003B5F50" w14:paraId="50B4C0DE" w14:textId="77777777">
        <w:trPr>
          <w:trHeight w:val="1035"/>
        </w:trPr>
        <w:tc>
          <w:tcPr>
            <w:tcW w:w="1224" w:type="dxa"/>
            <w:shd w:val="clear" w:color="auto" w:fill="C6EFCE"/>
            <w:vAlign w:val="center"/>
            <w:hideMark/>
          </w:tcPr>
          <w:p w14:paraId="50B4C0DA" w14:textId="2BAE6EE9" w:rsidR="003B5F50" w:rsidRDefault="000D2D85">
            <w:pPr>
              <w:pStyle w:val="P68B1DB1-Normal14"/>
              <w:spacing w:after="0" w:line="240" w:lineRule="auto"/>
              <w:jc w:val="center"/>
              <w:rPr>
                <w:noProof/>
              </w:rPr>
            </w:pPr>
            <w:r>
              <w:rPr>
                <w:noProof/>
              </w:rPr>
              <w:t>45</w:t>
            </w:r>
          </w:p>
        </w:tc>
        <w:tc>
          <w:tcPr>
            <w:tcW w:w="3550" w:type="dxa"/>
            <w:shd w:val="clear" w:color="auto" w:fill="C6EFCE"/>
            <w:vAlign w:val="center"/>
            <w:hideMark/>
          </w:tcPr>
          <w:p w14:paraId="50B4C0DB" w14:textId="77777777" w:rsidR="003B5F50" w:rsidRDefault="000D2D85">
            <w:pPr>
              <w:pStyle w:val="P68B1DB1-Normal14"/>
              <w:spacing w:after="0" w:line="240" w:lineRule="auto"/>
              <w:jc w:val="center"/>
              <w:textAlignment w:val="baseline"/>
              <w:rPr>
                <w:noProof/>
              </w:rPr>
            </w:pPr>
            <w:r>
              <w:rPr>
                <w:noProof/>
              </w:rPr>
              <w:t>17 - Slovaquie numérique-Investissement 7: Compétences numériques des personnes âgées ou défavorisées</w:t>
            </w:r>
          </w:p>
        </w:tc>
        <w:tc>
          <w:tcPr>
            <w:tcW w:w="1432" w:type="dxa"/>
            <w:shd w:val="clear" w:color="auto" w:fill="C6EFCE"/>
            <w:vAlign w:val="center"/>
            <w:hideMark/>
          </w:tcPr>
          <w:p w14:paraId="50B4C0DC" w14:textId="77777777" w:rsidR="003B5F50" w:rsidRDefault="000D2D85">
            <w:pPr>
              <w:pStyle w:val="P68B1DB1-Normal14"/>
              <w:spacing w:after="0" w:line="240" w:lineRule="auto"/>
              <w:jc w:val="center"/>
              <w:textAlignment w:val="baseline"/>
              <w:rPr>
                <w:noProof/>
              </w:rPr>
            </w:pPr>
            <w:r>
              <w:rPr>
                <w:noProof/>
              </w:rPr>
              <w:t>Objectif </w:t>
            </w:r>
          </w:p>
        </w:tc>
        <w:tc>
          <w:tcPr>
            <w:tcW w:w="4043" w:type="dxa"/>
            <w:shd w:val="clear" w:color="auto" w:fill="C6EFCE"/>
            <w:vAlign w:val="center"/>
            <w:hideMark/>
          </w:tcPr>
          <w:p w14:paraId="50B4C0DD" w14:textId="77777777" w:rsidR="003B5F50" w:rsidRDefault="000D2D85">
            <w:pPr>
              <w:pStyle w:val="P68B1DB1-Normal14"/>
              <w:spacing w:after="0" w:line="240" w:lineRule="auto"/>
              <w:jc w:val="center"/>
              <w:textAlignment w:val="baseline"/>
              <w:rPr>
                <w:noProof/>
              </w:rPr>
            </w:pPr>
            <w:r>
              <w:rPr>
                <w:noProof/>
              </w:rPr>
              <w:t>Nombre de personnes âgées et de personnes défavorisées formées aux compétences numériques de base </w:t>
            </w:r>
          </w:p>
        </w:tc>
      </w:tr>
      <w:tr w:rsidR="003B5F50" w14:paraId="50B4C0E3" w14:textId="77777777">
        <w:trPr>
          <w:trHeight w:val="1035"/>
        </w:trPr>
        <w:tc>
          <w:tcPr>
            <w:tcW w:w="1224" w:type="dxa"/>
            <w:shd w:val="clear" w:color="auto" w:fill="C6EFCE"/>
            <w:vAlign w:val="center"/>
            <w:hideMark/>
          </w:tcPr>
          <w:p w14:paraId="50B4C0DF" w14:textId="5DE1AE32" w:rsidR="003B5F50" w:rsidRDefault="000D2D85">
            <w:pPr>
              <w:pStyle w:val="P68B1DB1-Normal14"/>
              <w:spacing w:after="0" w:line="240" w:lineRule="auto"/>
              <w:jc w:val="center"/>
              <w:rPr>
                <w:noProof/>
              </w:rPr>
            </w:pPr>
            <w:r>
              <w:rPr>
                <w:noProof/>
              </w:rPr>
              <w:t>46</w:t>
            </w:r>
          </w:p>
        </w:tc>
        <w:tc>
          <w:tcPr>
            <w:tcW w:w="3550" w:type="dxa"/>
            <w:shd w:val="clear" w:color="auto" w:fill="C6EFCE"/>
            <w:vAlign w:val="center"/>
            <w:hideMark/>
          </w:tcPr>
          <w:p w14:paraId="50B4C0E0" w14:textId="77777777" w:rsidR="003B5F50" w:rsidRDefault="000D2D85">
            <w:pPr>
              <w:pStyle w:val="P68B1DB1-Normal14"/>
              <w:spacing w:after="0" w:line="240" w:lineRule="auto"/>
              <w:jc w:val="center"/>
              <w:textAlignment w:val="baseline"/>
              <w:rPr>
                <w:noProof/>
              </w:rPr>
            </w:pPr>
            <w:r>
              <w:rPr>
                <w:noProof/>
              </w:rPr>
              <w:t>18 - Des finances publiques saines, viables et compétitives - Réforme 3: Réforme de la gestion des investissements publics </w:t>
            </w:r>
          </w:p>
        </w:tc>
        <w:tc>
          <w:tcPr>
            <w:tcW w:w="1432" w:type="dxa"/>
            <w:shd w:val="clear" w:color="auto" w:fill="C6EFCE"/>
            <w:vAlign w:val="center"/>
            <w:hideMark/>
          </w:tcPr>
          <w:p w14:paraId="50B4C0E1" w14:textId="77777777" w:rsidR="003B5F50" w:rsidRDefault="000D2D85">
            <w:pPr>
              <w:pStyle w:val="P68B1DB1-Normal14"/>
              <w:spacing w:after="0" w:line="240" w:lineRule="auto"/>
              <w:jc w:val="center"/>
              <w:textAlignment w:val="baseline"/>
              <w:rPr>
                <w:noProof/>
              </w:rPr>
            </w:pPr>
            <w:r>
              <w:rPr>
                <w:noProof/>
              </w:rPr>
              <w:t>Étape </w:t>
            </w:r>
          </w:p>
        </w:tc>
        <w:tc>
          <w:tcPr>
            <w:tcW w:w="4043" w:type="dxa"/>
            <w:shd w:val="clear" w:color="auto" w:fill="C6EFCE"/>
            <w:vAlign w:val="center"/>
            <w:hideMark/>
          </w:tcPr>
          <w:p w14:paraId="50B4C0E2" w14:textId="77777777" w:rsidR="003B5F50" w:rsidRDefault="000D2D85">
            <w:pPr>
              <w:pStyle w:val="P68B1DB1-Normal14"/>
              <w:spacing w:after="0" w:line="240" w:lineRule="auto"/>
              <w:jc w:val="center"/>
              <w:textAlignment w:val="baseline"/>
              <w:rPr>
                <w:noProof/>
              </w:rPr>
            </w:pPr>
            <w:r>
              <w:rPr>
                <w:noProof/>
              </w:rPr>
              <w:t>Application de la méthodologie pour les procédures de préparation et de hiérarchisation des investissements </w:t>
            </w:r>
          </w:p>
        </w:tc>
      </w:tr>
      <w:tr w:rsidR="003B5F50" w14:paraId="50B4C0E8" w14:textId="77777777">
        <w:trPr>
          <w:trHeight w:val="1035"/>
        </w:trPr>
        <w:tc>
          <w:tcPr>
            <w:tcW w:w="1224" w:type="dxa"/>
            <w:shd w:val="clear" w:color="auto" w:fill="C6EFCE"/>
            <w:vAlign w:val="center"/>
            <w:hideMark/>
          </w:tcPr>
          <w:p w14:paraId="50B4C0E4" w14:textId="35E48DEE" w:rsidR="003B5F50" w:rsidRDefault="000D2D85">
            <w:pPr>
              <w:pStyle w:val="P68B1DB1-Normal14"/>
              <w:spacing w:after="0" w:line="240" w:lineRule="auto"/>
              <w:jc w:val="center"/>
              <w:rPr>
                <w:noProof/>
              </w:rPr>
            </w:pPr>
            <w:r>
              <w:rPr>
                <w:noProof/>
              </w:rPr>
              <w:t>47</w:t>
            </w:r>
          </w:p>
        </w:tc>
        <w:tc>
          <w:tcPr>
            <w:tcW w:w="3550" w:type="dxa"/>
            <w:shd w:val="clear" w:color="auto" w:fill="C6EFCE"/>
            <w:vAlign w:val="center"/>
            <w:hideMark/>
          </w:tcPr>
          <w:p w14:paraId="50B4C0E5" w14:textId="77777777" w:rsidR="003B5F50" w:rsidRDefault="000D2D85">
            <w:pPr>
              <w:pStyle w:val="P68B1DB1-Normal14"/>
              <w:spacing w:line="240" w:lineRule="auto"/>
              <w:jc w:val="center"/>
              <w:rPr>
                <w:noProof/>
              </w:rPr>
            </w:pPr>
            <w:r>
              <w:rPr>
                <w:noProof/>
              </w:rPr>
              <w:t>19 – REPowerEU – Réforme 1 – Sous-mesure 1: Modifications législatives et procédurales visant à accélérer la délivrance des permis environnementaux</w:t>
            </w:r>
          </w:p>
        </w:tc>
        <w:tc>
          <w:tcPr>
            <w:tcW w:w="1432" w:type="dxa"/>
            <w:shd w:val="clear" w:color="auto" w:fill="C6EFCE"/>
            <w:vAlign w:val="center"/>
            <w:hideMark/>
          </w:tcPr>
          <w:p w14:paraId="50B4C0E6" w14:textId="77777777" w:rsidR="003B5F50" w:rsidRDefault="000D2D85">
            <w:pPr>
              <w:pStyle w:val="P68B1DB1-Normal14"/>
              <w:spacing w:line="240" w:lineRule="auto"/>
              <w:jc w:val="center"/>
              <w:rPr>
                <w:noProof/>
              </w:rPr>
            </w:pPr>
            <w:r>
              <w:rPr>
                <w:noProof/>
              </w:rPr>
              <w:t>Objectif</w:t>
            </w:r>
          </w:p>
        </w:tc>
        <w:tc>
          <w:tcPr>
            <w:tcW w:w="4043" w:type="dxa"/>
            <w:shd w:val="clear" w:color="auto" w:fill="C6EFCE"/>
            <w:vAlign w:val="center"/>
            <w:hideMark/>
          </w:tcPr>
          <w:p w14:paraId="50B4C0E7" w14:textId="77777777" w:rsidR="003B5F50" w:rsidRDefault="000D2D85">
            <w:pPr>
              <w:pStyle w:val="P68B1DB1-Normal14"/>
              <w:spacing w:line="240" w:lineRule="auto"/>
              <w:jc w:val="center"/>
              <w:rPr>
                <w:noProof/>
              </w:rPr>
            </w:pPr>
            <w:r>
              <w:rPr>
                <w:noProof/>
              </w:rPr>
              <w:t>Assistance technique pour accélérer et améliorer la qualité des procédures d'autorisation environnementale</w:t>
            </w:r>
          </w:p>
        </w:tc>
      </w:tr>
      <w:tr w:rsidR="003B5F50" w14:paraId="50B4C0ED" w14:textId="77777777">
        <w:trPr>
          <w:trHeight w:val="1035"/>
        </w:trPr>
        <w:tc>
          <w:tcPr>
            <w:tcW w:w="1224" w:type="dxa"/>
            <w:shd w:val="clear" w:color="auto" w:fill="C6EFCE"/>
            <w:vAlign w:val="center"/>
            <w:hideMark/>
          </w:tcPr>
          <w:p w14:paraId="50B4C0E9" w14:textId="1C25AE2B" w:rsidR="003B5F50" w:rsidRDefault="000D2D85">
            <w:pPr>
              <w:pStyle w:val="P68B1DB1-Normal14"/>
              <w:spacing w:after="0" w:line="240" w:lineRule="auto"/>
              <w:jc w:val="center"/>
              <w:rPr>
                <w:noProof/>
              </w:rPr>
            </w:pPr>
            <w:r>
              <w:rPr>
                <w:noProof/>
              </w:rPr>
              <w:t>48</w:t>
            </w:r>
          </w:p>
        </w:tc>
        <w:tc>
          <w:tcPr>
            <w:tcW w:w="3550" w:type="dxa"/>
            <w:shd w:val="clear" w:color="auto" w:fill="C6EFCE"/>
            <w:vAlign w:val="center"/>
            <w:hideMark/>
          </w:tcPr>
          <w:p w14:paraId="50B4C0EA" w14:textId="77777777" w:rsidR="003B5F50" w:rsidRDefault="000D2D85">
            <w:pPr>
              <w:pStyle w:val="P68B1DB1-Normal14"/>
              <w:spacing w:line="240" w:lineRule="auto"/>
              <w:jc w:val="center"/>
              <w:rPr>
                <w:noProof/>
              </w:rPr>
            </w:pPr>
            <w:r>
              <w:rPr>
                <w:noProof/>
              </w:rPr>
              <w:t>19 – REPowerEU – Réforme 1 – Sous-mesure 2: Améliorer l'utilisation de l'énergie géothermique</w:t>
            </w:r>
          </w:p>
        </w:tc>
        <w:tc>
          <w:tcPr>
            <w:tcW w:w="1432" w:type="dxa"/>
            <w:shd w:val="clear" w:color="auto" w:fill="C6EFCE"/>
            <w:vAlign w:val="center"/>
            <w:hideMark/>
          </w:tcPr>
          <w:p w14:paraId="50B4C0EB" w14:textId="77777777" w:rsidR="003B5F50" w:rsidRDefault="000D2D85">
            <w:pPr>
              <w:pStyle w:val="P68B1DB1-Normal14"/>
              <w:spacing w:line="240" w:lineRule="auto"/>
              <w:jc w:val="center"/>
              <w:rPr>
                <w:noProof/>
              </w:rPr>
            </w:pPr>
            <w:r>
              <w:rPr>
                <w:noProof/>
              </w:rPr>
              <w:t>Objectif</w:t>
            </w:r>
          </w:p>
        </w:tc>
        <w:tc>
          <w:tcPr>
            <w:tcW w:w="4043" w:type="dxa"/>
            <w:shd w:val="clear" w:color="auto" w:fill="C6EFCE"/>
            <w:vAlign w:val="center"/>
            <w:hideMark/>
          </w:tcPr>
          <w:p w14:paraId="50B4C0EC" w14:textId="77777777" w:rsidR="003B5F50" w:rsidRDefault="000D2D85">
            <w:pPr>
              <w:pStyle w:val="P68B1DB1-Normal14"/>
              <w:spacing w:line="240" w:lineRule="auto"/>
              <w:jc w:val="center"/>
              <w:rPr>
                <w:noProof/>
              </w:rPr>
            </w:pPr>
            <w:r>
              <w:rPr>
                <w:noProof/>
              </w:rPr>
              <w:t xml:space="preserve">Passeportisation des </w:t>
            </w:r>
            <w:r>
              <w:rPr>
                <w:noProof/>
                <w:szCs w:val="20"/>
              </w:rPr>
              <w:t>puits géothermiques</w:t>
            </w:r>
          </w:p>
        </w:tc>
      </w:tr>
      <w:tr w:rsidR="003B5F50" w14:paraId="50B4C0F2" w14:textId="77777777">
        <w:trPr>
          <w:trHeight w:val="1035"/>
        </w:trPr>
        <w:tc>
          <w:tcPr>
            <w:tcW w:w="1224" w:type="dxa"/>
            <w:shd w:val="clear" w:color="auto" w:fill="C6EFCE"/>
            <w:vAlign w:val="center"/>
          </w:tcPr>
          <w:p w14:paraId="50B4C0EE" w14:textId="5C1FC097" w:rsidR="003B5F50" w:rsidRDefault="000D2D85">
            <w:pPr>
              <w:pStyle w:val="P68B1DB1-Normal14"/>
              <w:spacing w:after="0" w:line="240" w:lineRule="auto"/>
              <w:jc w:val="center"/>
              <w:rPr>
                <w:noProof/>
              </w:rPr>
            </w:pPr>
            <w:r>
              <w:rPr>
                <w:noProof/>
              </w:rPr>
              <w:t>49</w:t>
            </w:r>
          </w:p>
        </w:tc>
        <w:tc>
          <w:tcPr>
            <w:tcW w:w="3550" w:type="dxa"/>
            <w:shd w:val="clear" w:color="auto" w:fill="C6EFCE"/>
            <w:vAlign w:val="center"/>
          </w:tcPr>
          <w:p w14:paraId="50B4C0EF" w14:textId="77777777" w:rsidR="003B5F50" w:rsidRDefault="000D2D85">
            <w:pPr>
              <w:pStyle w:val="P68B1DB1-Normal14"/>
              <w:spacing w:line="240" w:lineRule="auto"/>
              <w:jc w:val="center"/>
              <w:rPr>
                <w:noProof/>
              </w:rPr>
            </w:pPr>
            <w:r>
              <w:rPr>
                <w:noProof/>
              </w:rPr>
              <w:t>19 – REPowerEU – Investissement 1.3: Modernisation et numérisation du réseau de transport et des réseaux de distribution régionaux – modernisation des réseaux de distribution</w:t>
            </w:r>
          </w:p>
        </w:tc>
        <w:tc>
          <w:tcPr>
            <w:tcW w:w="1432" w:type="dxa"/>
            <w:shd w:val="clear" w:color="auto" w:fill="C6EFCE"/>
            <w:vAlign w:val="center"/>
          </w:tcPr>
          <w:p w14:paraId="50B4C0F0" w14:textId="77777777" w:rsidR="003B5F50" w:rsidRDefault="000D2D85">
            <w:pPr>
              <w:pStyle w:val="P68B1DB1-Normal14"/>
              <w:spacing w:line="240" w:lineRule="auto"/>
              <w:jc w:val="center"/>
              <w:rPr>
                <w:noProof/>
              </w:rPr>
            </w:pPr>
            <w:r>
              <w:rPr>
                <w:noProof/>
              </w:rPr>
              <w:t>Objectif</w:t>
            </w:r>
          </w:p>
        </w:tc>
        <w:tc>
          <w:tcPr>
            <w:tcW w:w="4043" w:type="dxa"/>
            <w:shd w:val="clear" w:color="auto" w:fill="C6EFCE"/>
            <w:vAlign w:val="center"/>
          </w:tcPr>
          <w:p w14:paraId="50B4C0F1" w14:textId="77777777" w:rsidR="003B5F50" w:rsidRDefault="000D2D85">
            <w:pPr>
              <w:pStyle w:val="P68B1DB1-Normal14"/>
              <w:spacing w:line="240" w:lineRule="auto"/>
              <w:jc w:val="center"/>
              <w:rPr>
                <w:noProof/>
              </w:rPr>
            </w:pPr>
            <w:r>
              <w:rPr>
                <w:noProof/>
              </w:rPr>
              <w:t>Achèvement des investissements dans la modernisation des réseaux de distribution en République slovaque</w:t>
            </w:r>
          </w:p>
        </w:tc>
      </w:tr>
      <w:tr w:rsidR="003B5F50" w14:paraId="50B4C0F7" w14:textId="77777777">
        <w:trPr>
          <w:trHeight w:val="1035"/>
        </w:trPr>
        <w:tc>
          <w:tcPr>
            <w:tcW w:w="1224" w:type="dxa"/>
            <w:shd w:val="clear" w:color="auto" w:fill="C6EFCE"/>
            <w:vAlign w:val="center"/>
            <w:hideMark/>
          </w:tcPr>
          <w:p w14:paraId="50B4C0F3" w14:textId="413EEB8D" w:rsidR="003B5F50" w:rsidRDefault="000D2D85">
            <w:pPr>
              <w:pStyle w:val="P68B1DB1-Normal14"/>
              <w:spacing w:after="0" w:line="240" w:lineRule="auto"/>
              <w:jc w:val="center"/>
              <w:rPr>
                <w:noProof/>
              </w:rPr>
            </w:pPr>
            <w:r>
              <w:rPr>
                <w:noProof/>
              </w:rPr>
              <w:t>50</w:t>
            </w:r>
          </w:p>
        </w:tc>
        <w:tc>
          <w:tcPr>
            <w:tcW w:w="3550" w:type="dxa"/>
            <w:shd w:val="clear" w:color="auto" w:fill="C6EFCE"/>
            <w:vAlign w:val="center"/>
            <w:hideMark/>
          </w:tcPr>
          <w:p w14:paraId="50B4C0F4" w14:textId="77777777" w:rsidR="003B5F50" w:rsidRDefault="000D2D85">
            <w:pPr>
              <w:pStyle w:val="P68B1DB1-Normal14"/>
              <w:spacing w:line="240" w:lineRule="auto"/>
              <w:jc w:val="center"/>
              <w:rPr>
                <w:noProof/>
              </w:rPr>
            </w:pPr>
            <w:r>
              <w:rPr>
                <w:noProof/>
              </w:rPr>
              <w:t>19 – REPowerEU – Réforme 3: Création d'une base de données et d'un système d'échange de données sur la performance énergétique des bâtiments</w:t>
            </w:r>
          </w:p>
        </w:tc>
        <w:tc>
          <w:tcPr>
            <w:tcW w:w="1432" w:type="dxa"/>
            <w:shd w:val="clear" w:color="auto" w:fill="C6EFCE"/>
            <w:vAlign w:val="center"/>
            <w:hideMark/>
          </w:tcPr>
          <w:p w14:paraId="50B4C0F5" w14:textId="77777777" w:rsidR="003B5F50" w:rsidRDefault="000D2D85">
            <w:pPr>
              <w:pStyle w:val="P68B1DB1-Normal14"/>
              <w:spacing w:line="240" w:lineRule="auto"/>
              <w:jc w:val="center"/>
              <w:rPr>
                <w:noProof/>
              </w:rPr>
            </w:pPr>
            <w:r>
              <w:rPr>
                <w:noProof/>
              </w:rPr>
              <w:t>Objectif</w:t>
            </w:r>
          </w:p>
        </w:tc>
        <w:tc>
          <w:tcPr>
            <w:tcW w:w="4043" w:type="dxa"/>
            <w:shd w:val="clear" w:color="auto" w:fill="C6EFCE"/>
            <w:vAlign w:val="center"/>
            <w:hideMark/>
          </w:tcPr>
          <w:p w14:paraId="50B4C0F6" w14:textId="77777777" w:rsidR="003B5F50" w:rsidRDefault="000D2D85">
            <w:pPr>
              <w:pStyle w:val="P68B1DB1-Normal14"/>
              <w:spacing w:line="240" w:lineRule="auto"/>
              <w:jc w:val="center"/>
              <w:rPr>
                <w:noProof/>
              </w:rPr>
            </w:pPr>
            <w:r>
              <w:rPr>
                <w:noProof/>
              </w:rPr>
              <w:t>Collecte de données sur les certificats énergétiques et les passeports de rénovation des bâtiments publics</w:t>
            </w:r>
          </w:p>
        </w:tc>
      </w:tr>
      <w:tr w:rsidR="003B5F50" w14:paraId="50B4C0FC" w14:textId="77777777">
        <w:trPr>
          <w:trHeight w:val="1035"/>
        </w:trPr>
        <w:tc>
          <w:tcPr>
            <w:tcW w:w="1224" w:type="dxa"/>
            <w:shd w:val="clear" w:color="auto" w:fill="C6EFCE"/>
            <w:vAlign w:val="center"/>
            <w:hideMark/>
          </w:tcPr>
          <w:p w14:paraId="50B4C0F8" w14:textId="25DF5A97" w:rsidR="003B5F50" w:rsidRDefault="000D2D85">
            <w:pPr>
              <w:pStyle w:val="P68B1DB1-Normal14"/>
              <w:spacing w:after="0" w:line="240" w:lineRule="auto"/>
              <w:jc w:val="center"/>
              <w:rPr>
                <w:noProof/>
              </w:rPr>
            </w:pPr>
            <w:r>
              <w:rPr>
                <w:noProof/>
              </w:rPr>
              <w:t>51</w:t>
            </w:r>
          </w:p>
        </w:tc>
        <w:tc>
          <w:tcPr>
            <w:tcW w:w="3550" w:type="dxa"/>
            <w:shd w:val="clear" w:color="auto" w:fill="C6EFCE"/>
            <w:vAlign w:val="center"/>
            <w:hideMark/>
          </w:tcPr>
          <w:p w14:paraId="50B4C0F9" w14:textId="77777777" w:rsidR="003B5F50" w:rsidRDefault="000D2D85">
            <w:pPr>
              <w:pStyle w:val="P68B1DB1-Normal14"/>
              <w:spacing w:line="240" w:lineRule="auto"/>
              <w:jc w:val="center"/>
              <w:rPr>
                <w:noProof/>
              </w:rPr>
            </w:pPr>
            <w:r>
              <w:rPr>
                <w:noProof/>
              </w:rPr>
              <w:t>19 – REPowerEU – Réforme 4: Gestion des bâtiments du gouvernement central</w:t>
            </w:r>
          </w:p>
        </w:tc>
        <w:tc>
          <w:tcPr>
            <w:tcW w:w="1432" w:type="dxa"/>
            <w:shd w:val="clear" w:color="auto" w:fill="C6EFCE"/>
            <w:vAlign w:val="center"/>
            <w:hideMark/>
          </w:tcPr>
          <w:p w14:paraId="50B4C0FA" w14:textId="77777777" w:rsidR="003B5F50" w:rsidRDefault="000D2D85">
            <w:pPr>
              <w:pStyle w:val="P68B1DB1-Normal14"/>
              <w:spacing w:line="240" w:lineRule="auto"/>
              <w:jc w:val="center"/>
              <w:rPr>
                <w:noProof/>
              </w:rPr>
            </w:pPr>
            <w:r>
              <w:rPr>
                <w:noProof/>
              </w:rPr>
              <w:t>Étape</w:t>
            </w:r>
          </w:p>
        </w:tc>
        <w:tc>
          <w:tcPr>
            <w:tcW w:w="4043" w:type="dxa"/>
            <w:shd w:val="clear" w:color="auto" w:fill="C6EFCE"/>
            <w:vAlign w:val="center"/>
            <w:hideMark/>
          </w:tcPr>
          <w:p w14:paraId="50B4C0FB" w14:textId="77777777" w:rsidR="003B5F50" w:rsidRDefault="000D2D85">
            <w:pPr>
              <w:pStyle w:val="P68B1DB1-Normal14"/>
              <w:spacing w:line="240" w:lineRule="auto"/>
              <w:jc w:val="center"/>
              <w:rPr>
                <w:noProof/>
              </w:rPr>
            </w:pPr>
            <w:r>
              <w:rPr>
                <w:noProof/>
              </w:rPr>
              <w:t>Création d'un organe central de coordination pour les bâtiments administratifs du gouvernement central</w:t>
            </w:r>
          </w:p>
        </w:tc>
      </w:tr>
      <w:tr w:rsidR="003B5F50" w14:paraId="50B4C101" w14:textId="77777777">
        <w:trPr>
          <w:trHeight w:val="1035"/>
        </w:trPr>
        <w:tc>
          <w:tcPr>
            <w:tcW w:w="1224" w:type="dxa"/>
            <w:shd w:val="clear" w:color="auto" w:fill="C6EFCE"/>
            <w:vAlign w:val="center"/>
          </w:tcPr>
          <w:p w14:paraId="50B4C0FD" w14:textId="41FDCA6F" w:rsidR="003B5F50" w:rsidRDefault="000D2D85">
            <w:pPr>
              <w:pStyle w:val="P68B1DB1-Normal14"/>
              <w:spacing w:after="0" w:line="240" w:lineRule="auto"/>
              <w:jc w:val="center"/>
              <w:rPr>
                <w:noProof/>
              </w:rPr>
            </w:pPr>
            <w:r>
              <w:rPr>
                <w:noProof/>
              </w:rPr>
              <w:t>52</w:t>
            </w:r>
          </w:p>
        </w:tc>
        <w:tc>
          <w:tcPr>
            <w:tcW w:w="3550" w:type="dxa"/>
            <w:shd w:val="clear" w:color="auto" w:fill="C6EFCE"/>
            <w:vAlign w:val="center"/>
          </w:tcPr>
          <w:p w14:paraId="50B4C0FE" w14:textId="77777777" w:rsidR="003B5F50" w:rsidRDefault="000D2D85">
            <w:pPr>
              <w:pStyle w:val="P68B1DB1-Normal14"/>
              <w:spacing w:line="240" w:lineRule="auto"/>
              <w:jc w:val="center"/>
              <w:rPr>
                <w:noProof/>
              </w:rPr>
            </w:pPr>
            <w:r>
              <w:rPr>
                <w:noProof/>
              </w:rPr>
              <w:t>19 – REPowerEU – Investissement 2: Accroître l'efficacité énergétique des bâtiments publics</w:t>
            </w:r>
          </w:p>
        </w:tc>
        <w:tc>
          <w:tcPr>
            <w:tcW w:w="1432" w:type="dxa"/>
            <w:shd w:val="clear" w:color="auto" w:fill="C6EFCE"/>
            <w:vAlign w:val="center"/>
          </w:tcPr>
          <w:p w14:paraId="50B4C0FF" w14:textId="77777777" w:rsidR="003B5F50" w:rsidRDefault="000D2D85">
            <w:pPr>
              <w:pStyle w:val="P68B1DB1-Normal14"/>
              <w:spacing w:line="240" w:lineRule="auto"/>
              <w:jc w:val="center"/>
              <w:rPr>
                <w:noProof/>
              </w:rPr>
            </w:pPr>
            <w:r>
              <w:rPr>
                <w:noProof/>
              </w:rPr>
              <w:t>Objectif</w:t>
            </w:r>
          </w:p>
        </w:tc>
        <w:tc>
          <w:tcPr>
            <w:tcW w:w="4043" w:type="dxa"/>
            <w:shd w:val="clear" w:color="auto" w:fill="C6EFCE"/>
            <w:vAlign w:val="center"/>
          </w:tcPr>
          <w:p w14:paraId="50B4C100" w14:textId="77777777" w:rsidR="003B5F50" w:rsidRDefault="000D2D85">
            <w:pPr>
              <w:pStyle w:val="P68B1DB1-Normal14"/>
              <w:spacing w:line="240" w:lineRule="auto"/>
              <w:jc w:val="center"/>
              <w:rPr>
                <w:noProof/>
              </w:rPr>
            </w:pPr>
            <w:r>
              <w:rPr>
                <w:noProof/>
              </w:rPr>
              <w:t>Surface au sol totale des bâtiments avec mesures d’efficacité énergétique installées</w:t>
            </w:r>
          </w:p>
        </w:tc>
      </w:tr>
      <w:tr w:rsidR="003B5F50" w14:paraId="50B4C106" w14:textId="77777777">
        <w:trPr>
          <w:trHeight w:val="1035"/>
        </w:trPr>
        <w:tc>
          <w:tcPr>
            <w:tcW w:w="1224" w:type="dxa"/>
            <w:shd w:val="clear" w:color="auto" w:fill="C6EFCE"/>
            <w:vAlign w:val="center"/>
            <w:hideMark/>
          </w:tcPr>
          <w:p w14:paraId="50B4C102" w14:textId="404BD732" w:rsidR="003B5F50" w:rsidRDefault="000D2D85">
            <w:pPr>
              <w:pStyle w:val="P68B1DB1-Normal14"/>
              <w:spacing w:after="0" w:line="240" w:lineRule="auto"/>
              <w:jc w:val="center"/>
              <w:rPr>
                <w:noProof/>
              </w:rPr>
            </w:pPr>
            <w:r>
              <w:rPr>
                <w:noProof/>
              </w:rPr>
              <w:t>53</w:t>
            </w:r>
          </w:p>
        </w:tc>
        <w:tc>
          <w:tcPr>
            <w:tcW w:w="3550" w:type="dxa"/>
            <w:shd w:val="clear" w:color="auto" w:fill="C6EFCE"/>
            <w:vAlign w:val="center"/>
            <w:hideMark/>
          </w:tcPr>
          <w:p w14:paraId="50B4C103" w14:textId="77777777" w:rsidR="003B5F50" w:rsidRDefault="000D2D85">
            <w:pPr>
              <w:pStyle w:val="P68B1DB1-Normal14"/>
              <w:spacing w:line="240" w:lineRule="auto"/>
              <w:jc w:val="center"/>
              <w:rPr>
                <w:noProof/>
              </w:rPr>
            </w:pPr>
            <w:r>
              <w:rPr>
                <w:noProof/>
              </w:rPr>
              <w:t>19 – REPowerEU – Investissement 3: Rénovation de bâtiments publics historiques et classés - SCALE UP mesure SK-C[C2]-I[I2] </w:t>
            </w:r>
          </w:p>
        </w:tc>
        <w:tc>
          <w:tcPr>
            <w:tcW w:w="1432" w:type="dxa"/>
            <w:shd w:val="clear" w:color="auto" w:fill="C6EFCE"/>
            <w:vAlign w:val="center"/>
            <w:hideMark/>
          </w:tcPr>
          <w:p w14:paraId="50B4C104" w14:textId="77777777" w:rsidR="003B5F50" w:rsidRDefault="000D2D85">
            <w:pPr>
              <w:pStyle w:val="P68B1DB1-Normal14"/>
              <w:spacing w:line="240" w:lineRule="auto"/>
              <w:jc w:val="center"/>
              <w:rPr>
                <w:noProof/>
              </w:rPr>
            </w:pPr>
            <w:r>
              <w:rPr>
                <w:noProof/>
              </w:rPr>
              <w:t>Objectif</w:t>
            </w:r>
          </w:p>
        </w:tc>
        <w:tc>
          <w:tcPr>
            <w:tcW w:w="4043" w:type="dxa"/>
            <w:shd w:val="clear" w:color="auto" w:fill="C6EFCE"/>
            <w:vAlign w:val="center"/>
            <w:hideMark/>
          </w:tcPr>
          <w:p w14:paraId="50B4C105" w14:textId="77777777" w:rsidR="003B5F50" w:rsidRDefault="000D2D85">
            <w:pPr>
              <w:pStyle w:val="P68B1DB1-Normal14"/>
              <w:spacing w:line="240" w:lineRule="auto"/>
              <w:jc w:val="center"/>
              <w:rPr>
                <w:noProof/>
              </w:rPr>
            </w:pPr>
            <w:r>
              <w:rPr>
                <w:noProof/>
              </w:rPr>
              <w:t>Rénovation de bâtiments publics historiques et classés</w:t>
            </w:r>
          </w:p>
        </w:tc>
      </w:tr>
      <w:tr w:rsidR="003B5F50" w14:paraId="50B4C10B" w14:textId="77777777">
        <w:trPr>
          <w:trHeight w:val="1035"/>
        </w:trPr>
        <w:tc>
          <w:tcPr>
            <w:tcW w:w="1224" w:type="dxa"/>
            <w:shd w:val="clear" w:color="auto" w:fill="C6EFCE"/>
            <w:vAlign w:val="center"/>
          </w:tcPr>
          <w:p w14:paraId="50B4C107" w14:textId="388B6EF5" w:rsidR="003B5F50" w:rsidRDefault="000D2D85">
            <w:pPr>
              <w:pStyle w:val="P68B1DB1-Normal14"/>
              <w:spacing w:after="0" w:line="240" w:lineRule="auto"/>
              <w:jc w:val="center"/>
              <w:rPr>
                <w:noProof/>
              </w:rPr>
            </w:pPr>
            <w:r>
              <w:rPr>
                <w:noProof/>
              </w:rPr>
              <w:t>54</w:t>
            </w:r>
          </w:p>
        </w:tc>
        <w:tc>
          <w:tcPr>
            <w:tcW w:w="3550" w:type="dxa"/>
            <w:shd w:val="clear" w:color="auto" w:fill="C6EFCE"/>
            <w:vAlign w:val="center"/>
          </w:tcPr>
          <w:p w14:paraId="50B4C108" w14:textId="77777777" w:rsidR="003B5F50" w:rsidRDefault="000D2D85">
            <w:pPr>
              <w:pStyle w:val="P68B1DB1-Normal14"/>
              <w:spacing w:line="240" w:lineRule="auto"/>
              <w:jc w:val="center"/>
              <w:rPr>
                <w:noProof/>
              </w:rPr>
            </w:pPr>
            <w:r>
              <w:rPr>
                <w:noProof/>
              </w:rPr>
              <w:t>19 – REPowerEU – Investissement 4: Soutien à la rénovation des ménages exposés au risque de précarité énergétique – programme de rénovation légère</w:t>
            </w:r>
          </w:p>
        </w:tc>
        <w:tc>
          <w:tcPr>
            <w:tcW w:w="1432" w:type="dxa"/>
            <w:shd w:val="clear" w:color="auto" w:fill="C6EFCE"/>
            <w:vAlign w:val="center"/>
          </w:tcPr>
          <w:p w14:paraId="50B4C109" w14:textId="77777777" w:rsidR="003B5F50" w:rsidRDefault="000D2D85">
            <w:pPr>
              <w:pStyle w:val="P68B1DB1-Normal14"/>
              <w:spacing w:line="240" w:lineRule="auto"/>
              <w:jc w:val="center"/>
              <w:rPr>
                <w:noProof/>
              </w:rPr>
            </w:pPr>
            <w:r>
              <w:rPr>
                <w:noProof/>
              </w:rPr>
              <w:t>Objectif</w:t>
            </w:r>
          </w:p>
        </w:tc>
        <w:tc>
          <w:tcPr>
            <w:tcW w:w="4043" w:type="dxa"/>
            <w:shd w:val="clear" w:color="auto" w:fill="C6EFCE"/>
            <w:vAlign w:val="center"/>
          </w:tcPr>
          <w:p w14:paraId="50B4C10A" w14:textId="77777777" w:rsidR="003B5F50" w:rsidRDefault="000D2D85">
            <w:pPr>
              <w:pStyle w:val="P68B1DB1-Normal14"/>
              <w:spacing w:line="240" w:lineRule="auto"/>
              <w:jc w:val="center"/>
              <w:rPr>
                <w:noProof/>
              </w:rPr>
            </w:pPr>
            <w:r>
              <w:rPr>
                <w:noProof/>
              </w:rPr>
              <w:t>Nombre de consultations effectuées</w:t>
            </w:r>
          </w:p>
        </w:tc>
      </w:tr>
      <w:tr w:rsidR="003B5F50" w14:paraId="50B4C110" w14:textId="77777777">
        <w:trPr>
          <w:trHeight w:val="1035"/>
        </w:trPr>
        <w:tc>
          <w:tcPr>
            <w:tcW w:w="1224" w:type="dxa"/>
            <w:shd w:val="clear" w:color="auto" w:fill="C6EFCE"/>
            <w:vAlign w:val="center"/>
            <w:hideMark/>
          </w:tcPr>
          <w:p w14:paraId="50B4C10C" w14:textId="582C8604" w:rsidR="003B5F50" w:rsidRDefault="000D2D85">
            <w:pPr>
              <w:pStyle w:val="P68B1DB1-Normal14"/>
              <w:spacing w:after="0" w:line="240" w:lineRule="auto"/>
              <w:jc w:val="center"/>
              <w:rPr>
                <w:noProof/>
              </w:rPr>
            </w:pPr>
            <w:r>
              <w:rPr>
                <w:noProof/>
              </w:rPr>
              <w:t>55</w:t>
            </w:r>
          </w:p>
        </w:tc>
        <w:tc>
          <w:tcPr>
            <w:tcW w:w="3550" w:type="dxa"/>
            <w:shd w:val="clear" w:color="auto" w:fill="C6EFCE"/>
            <w:vAlign w:val="center"/>
            <w:hideMark/>
          </w:tcPr>
          <w:p w14:paraId="50B4C10D" w14:textId="77777777" w:rsidR="003B5F50" w:rsidRDefault="000D2D85">
            <w:pPr>
              <w:pStyle w:val="P68B1DB1-Normal14"/>
              <w:spacing w:line="240" w:lineRule="auto"/>
              <w:jc w:val="center"/>
              <w:rPr>
                <w:noProof/>
              </w:rPr>
            </w:pPr>
            <w:r>
              <w:rPr>
                <w:noProof/>
              </w:rPr>
              <w:t>19 – REPowerEU – Investissement 5: Développement d’infrastructures de transport à faible intensité de carbone – mesure SCALE UP SK-C[C3]-I[I1.a]</w:t>
            </w:r>
          </w:p>
        </w:tc>
        <w:tc>
          <w:tcPr>
            <w:tcW w:w="1432" w:type="dxa"/>
            <w:shd w:val="clear" w:color="auto" w:fill="C6EFCE"/>
            <w:vAlign w:val="center"/>
            <w:hideMark/>
          </w:tcPr>
          <w:p w14:paraId="50B4C10E" w14:textId="77777777" w:rsidR="003B5F50" w:rsidRDefault="000D2D85">
            <w:pPr>
              <w:pStyle w:val="P68B1DB1-Normal14"/>
              <w:spacing w:line="240" w:lineRule="auto"/>
              <w:jc w:val="center"/>
              <w:rPr>
                <w:noProof/>
              </w:rPr>
            </w:pPr>
            <w:r>
              <w:rPr>
                <w:noProof/>
              </w:rPr>
              <w:t>Objectif</w:t>
            </w:r>
          </w:p>
        </w:tc>
        <w:tc>
          <w:tcPr>
            <w:tcW w:w="4043" w:type="dxa"/>
            <w:shd w:val="clear" w:color="auto" w:fill="C6EFCE"/>
            <w:vAlign w:val="center"/>
            <w:hideMark/>
          </w:tcPr>
          <w:p w14:paraId="50B4C10F" w14:textId="77777777" w:rsidR="003B5F50" w:rsidRDefault="000D2D85">
            <w:pPr>
              <w:pStyle w:val="P68B1DB1-Normal14"/>
              <w:spacing w:line="240" w:lineRule="auto"/>
              <w:jc w:val="center"/>
              <w:rPr>
                <w:noProof/>
              </w:rPr>
            </w:pPr>
            <w:r>
              <w:rPr>
                <w:noProof/>
              </w:rPr>
              <w:t>Longueur des infrastructures ferroviaires reconstruites ou modernisées pour le transport propre de voyageurs (en km pondérés)</w:t>
            </w:r>
          </w:p>
        </w:tc>
      </w:tr>
      <w:tr w:rsidR="003B5F50" w14:paraId="50B4C115" w14:textId="77777777">
        <w:trPr>
          <w:trHeight w:val="1035"/>
        </w:trPr>
        <w:tc>
          <w:tcPr>
            <w:tcW w:w="1224" w:type="dxa"/>
            <w:shd w:val="clear" w:color="auto" w:fill="C6EFCE"/>
            <w:vAlign w:val="center"/>
            <w:hideMark/>
          </w:tcPr>
          <w:p w14:paraId="50B4C111" w14:textId="3F1E3F90" w:rsidR="003B5F50" w:rsidRDefault="000D2D85">
            <w:pPr>
              <w:pStyle w:val="P68B1DB1-Normal14"/>
              <w:spacing w:after="0" w:line="240" w:lineRule="auto"/>
              <w:jc w:val="center"/>
              <w:rPr>
                <w:noProof/>
              </w:rPr>
            </w:pPr>
            <w:r>
              <w:rPr>
                <w:noProof/>
              </w:rPr>
              <w:t>56</w:t>
            </w:r>
          </w:p>
        </w:tc>
        <w:tc>
          <w:tcPr>
            <w:tcW w:w="3550" w:type="dxa"/>
            <w:shd w:val="clear" w:color="auto" w:fill="C6EFCE"/>
            <w:vAlign w:val="center"/>
            <w:hideMark/>
          </w:tcPr>
          <w:p w14:paraId="50B4C112" w14:textId="77777777" w:rsidR="003B5F50" w:rsidRDefault="000D2D85">
            <w:pPr>
              <w:pStyle w:val="P68B1DB1-Normal14"/>
              <w:spacing w:line="240" w:lineRule="auto"/>
              <w:jc w:val="center"/>
              <w:rPr>
                <w:noProof/>
              </w:rPr>
            </w:pPr>
            <w:r>
              <w:rPr>
                <w:noProof/>
              </w:rPr>
              <w:t>19 – REPowerEU – Investissement 6: Promouvoir un transport de passagers respectueux de l'environnement - SCALE UP mesure SK-C[C3]-I[I2] </w:t>
            </w:r>
          </w:p>
        </w:tc>
        <w:tc>
          <w:tcPr>
            <w:tcW w:w="1432" w:type="dxa"/>
            <w:shd w:val="clear" w:color="auto" w:fill="C6EFCE"/>
            <w:vAlign w:val="center"/>
            <w:hideMark/>
          </w:tcPr>
          <w:p w14:paraId="50B4C113" w14:textId="77777777" w:rsidR="003B5F50" w:rsidRDefault="000D2D85">
            <w:pPr>
              <w:pStyle w:val="P68B1DB1-Normal14"/>
              <w:spacing w:line="240" w:lineRule="auto"/>
              <w:jc w:val="center"/>
              <w:rPr>
                <w:noProof/>
              </w:rPr>
            </w:pPr>
            <w:r>
              <w:rPr>
                <w:noProof/>
              </w:rPr>
              <w:t>Objectif</w:t>
            </w:r>
          </w:p>
        </w:tc>
        <w:tc>
          <w:tcPr>
            <w:tcW w:w="4043" w:type="dxa"/>
            <w:shd w:val="clear" w:color="auto" w:fill="C6EFCE"/>
            <w:vAlign w:val="center"/>
            <w:hideMark/>
          </w:tcPr>
          <w:p w14:paraId="50B4C114" w14:textId="77777777" w:rsidR="003B5F50" w:rsidRDefault="000D2D85">
            <w:pPr>
              <w:pStyle w:val="P68B1DB1-Normal14"/>
              <w:spacing w:line="240" w:lineRule="auto"/>
              <w:jc w:val="center"/>
              <w:rPr>
                <w:noProof/>
              </w:rPr>
            </w:pPr>
            <w:r>
              <w:rPr>
                <w:noProof/>
              </w:rPr>
              <w:t>Nombre de matériel roulant propre destiné au transport de passagers acheté (pondéré)</w:t>
            </w:r>
          </w:p>
        </w:tc>
      </w:tr>
      <w:tr w:rsidR="003B5F50" w14:paraId="50B4C11F" w14:textId="77777777">
        <w:trPr>
          <w:trHeight w:val="315"/>
        </w:trPr>
        <w:tc>
          <w:tcPr>
            <w:tcW w:w="1224" w:type="dxa"/>
            <w:shd w:val="clear" w:color="auto" w:fill="C6EFCE"/>
            <w:vAlign w:val="center"/>
            <w:hideMark/>
          </w:tcPr>
          <w:p w14:paraId="50B4C11B" w14:textId="77777777" w:rsidR="003B5F50" w:rsidRDefault="000D2D85">
            <w:pPr>
              <w:pStyle w:val="P68B1DB1-Normal14"/>
              <w:spacing w:after="0" w:line="240" w:lineRule="auto"/>
              <w:jc w:val="center"/>
              <w:textAlignment w:val="baseline"/>
              <w:rPr>
                <w:noProof/>
              </w:rPr>
            </w:pPr>
            <w:r>
              <w:rPr>
                <w:noProof/>
              </w:rPr>
              <w:t>  </w:t>
            </w:r>
          </w:p>
        </w:tc>
        <w:tc>
          <w:tcPr>
            <w:tcW w:w="3550" w:type="dxa"/>
            <w:shd w:val="clear" w:color="auto" w:fill="C6EFCE"/>
            <w:vAlign w:val="center"/>
            <w:hideMark/>
          </w:tcPr>
          <w:p w14:paraId="50B4C11C" w14:textId="77777777" w:rsidR="003B5F50" w:rsidRDefault="000D2D85">
            <w:pPr>
              <w:pStyle w:val="P68B1DB1-Normal14"/>
              <w:spacing w:after="0" w:line="240" w:lineRule="auto"/>
              <w:jc w:val="center"/>
              <w:textAlignment w:val="baseline"/>
              <w:rPr>
                <w:noProof/>
              </w:rPr>
            </w:pPr>
            <w:r>
              <w:rPr>
                <w:noProof/>
              </w:rPr>
              <w:t>  </w:t>
            </w:r>
          </w:p>
        </w:tc>
        <w:tc>
          <w:tcPr>
            <w:tcW w:w="1432" w:type="dxa"/>
            <w:shd w:val="clear" w:color="auto" w:fill="C6EFCE"/>
            <w:vAlign w:val="center"/>
            <w:hideMark/>
          </w:tcPr>
          <w:p w14:paraId="50B4C11D" w14:textId="77777777" w:rsidR="003B5F50" w:rsidRDefault="000D2D85">
            <w:pPr>
              <w:pStyle w:val="P68B1DB1-Normal14"/>
              <w:spacing w:after="0" w:line="240" w:lineRule="auto"/>
              <w:jc w:val="center"/>
              <w:textAlignment w:val="baseline"/>
              <w:rPr>
                <w:noProof/>
              </w:rPr>
            </w:pPr>
            <w:r>
              <w:rPr>
                <w:noProof/>
              </w:rPr>
              <w:t>Montant des acomptes provisionnels </w:t>
            </w:r>
          </w:p>
        </w:tc>
        <w:tc>
          <w:tcPr>
            <w:tcW w:w="4043" w:type="dxa"/>
            <w:shd w:val="clear" w:color="auto" w:fill="C6EFCE"/>
            <w:vAlign w:val="center"/>
            <w:hideMark/>
          </w:tcPr>
          <w:p w14:paraId="50B4C11E" w14:textId="77777777" w:rsidR="003B5F50" w:rsidRDefault="000D2D85">
            <w:pPr>
              <w:pStyle w:val="P68B1DB1-Normal14"/>
              <w:spacing w:after="0" w:line="240" w:lineRule="auto"/>
              <w:jc w:val="center"/>
              <w:textAlignment w:val="baseline"/>
              <w:rPr>
                <w:noProof/>
                <w:szCs w:val="20"/>
              </w:rPr>
            </w:pPr>
            <w:r>
              <w:rPr>
                <w:noProof/>
                <w:szCs w:val="20"/>
              </w:rPr>
              <w:t>646 695 062 EUR</w:t>
            </w:r>
          </w:p>
        </w:tc>
      </w:tr>
    </w:tbl>
    <w:p w14:paraId="50B4C120" w14:textId="77777777" w:rsidR="003B5F50" w:rsidRDefault="000D2D85">
      <w:pPr>
        <w:pStyle w:val="P68B1DB1-Normal14"/>
        <w:spacing w:after="0" w:line="240" w:lineRule="auto"/>
        <w:ind w:left="-855"/>
        <w:textAlignment w:val="baseline"/>
        <w:rPr>
          <w:noProof/>
        </w:rPr>
      </w:pPr>
      <w:r>
        <w:rPr>
          <w:noProof/>
        </w:rPr>
        <w:t> </w:t>
      </w:r>
    </w:p>
    <w:p w14:paraId="50B4C121" w14:textId="77777777" w:rsidR="003B5F50" w:rsidRDefault="003B5F50">
      <w:pPr>
        <w:spacing w:before="360" w:after="120" w:line="240" w:lineRule="auto"/>
        <w:jc w:val="both"/>
        <w:outlineLvl w:val="0"/>
        <w:rPr>
          <w:rFonts w:ascii="Times New Roman" w:hAnsi="Times New Roman"/>
          <w:noProof/>
        </w:rPr>
        <w:sectPr w:rsidR="003B5F50" w:rsidSect="003E3DD3">
          <w:headerReference w:type="even" r:id="rId241"/>
          <w:headerReference w:type="default" r:id="rId242"/>
          <w:footerReference w:type="even" r:id="rId243"/>
          <w:footerReference w:type="default" r:id="rId244"/>
          <w:headerReference w:type="first" r:id="rId245"/>
          <w:footerReference w:type="first" r:id="rId246"/>
          <w:pgSz w:w="11907" w:h="16839" w:code="9"/>
          <w:pgMar w:top="1134" w:right="1134" w:bottom="1134" w:left="1134" w:header="567" w:footer="567" w:gutter="0"/>
          <w:cols w:space="720"/>
          <w:docGrid w:linePitch="360"/>
        </w:sectPr>
      </w:pPr>
    </w:p>
    <w:p w14:paraId="50B4C122" w14:textId="77777777" w:rsidR="003B5F50" w:rsidRDefault="000D2D85">
      <w:pPr>
        <w:pStyle w:val="P68B1DB1-Normal39"/>
        <w:rPr>
          <w:noProof/>
        </w:rPr>
      </w:pPr>
      <w:r>
        <w:rPr>
          <w:noProof/>
        </w:rPr>
        <w:t xml:space="preserve">SECTION 3: DISPOSITIONS SUPPLÉMENTAIRES </w:t>
      </w:r>
    </w:p>
    <w:p w14:paraId="50B4C123" w14:textId="77777777" w:rsidR="003B5F50" w:rsidRDefault="000D2D85">
      <w:pPr>
        <w:pStyle w:val="P68B1DB1-NormalLeft91"/>
        <w:rPr>
          <w:noProof/>
        </w:rPr>
      </w:pPr>
      <w:r>
        <w:rPr>
          <w:noProof/>
        </w:rPr>
        <w:t>1. Modalités de suivi et de mise en œuvre du plan pour la reprise et la résilience</w:t>
      </w:r>
    </w:p>
    <w:p w14:paraId="50B4C124" w14:textId="77777777" w:rsidR="003B5F50" w:rsidRDefault="000D2D85">
      <w:pPr>
        <w:pStyle w:val="P68B1DB1-Normal36"/>
        <w:spacing w:before="120" w:after="120" w:line="240" w:lineRule="auto"/>
        <w:jc w:val="both"/>
        <w:rPr>
          <w:noProof/>
        </w:rPr>
      </w:pPr>
      <w:r>
        <w:rPr>
          <w:noProof/>
        </w:rPr>
        <w:t xml:space="preserve">Le suivi et la mise en œuvre du plan pour la reprise et la résilience de la Slovaquie s’effectuent conformément aux dispositions suivantes: </w:t>
      </w:r>
    </w:p>
    <w:p w14:paraId="50B4C125" w14:textId="77777777" w:rsidR="003B5F50" w:rsidRDefault="000D2D85">
      <w:pPr>
        <w:pStyle w:val="P68B1DB1-Normal36"/>
        <w:spacing w:before="120" w:after="120" w:line="240" w:lineRule="auto"/>
        <w:jc w:val="both"/>
        <w:rPr>
          <w:noProof/>
        </w:rPr>
      </w:pPr>
      <w:r>
        <w:rPr>
          <w:noProof/>
        </w:rPr>
        <w:t>Afin de garantir des missions, des compétences et des pouvoirs bien définis, la République slovaque a adopté une loi spécifique sur la facilité pour la reprise et la résilience et a modifié certaines lois (ci-après la «loi FRR»). La loi régit, entre autres, la sélection du destinataire final, les responsabilités des parties concernées, la manière dont les corrections financières doivent être effectuées et les irrégularités traitées, les conflits d'intérêts et le traitement des données à caractère personnel. Elle introduit également des mesures visant à protéger les intérêts financiers de l'Union européenne au niveau de chaque entité participant à la mise en œuvre. Il réglemente le suivi de la réalisation des jalons et cibles et le système de collecte de données couvrant les bénéficiaires effectifs.</w:t>
      </w:r>
    </w:p>
    <w:p w14:paraId="50B4C126" w14:textId="77777777" w:rsidR="003B5F50" w:rsidRDefault="000D2D85">
      <w:pPr>
        <w:pStyle w:val="P68B1DB1-Normal36"/>
        <w:spacing w:before="120" w:after="120" w:line="240" w:lineRule="auto"/>
        <w:jc w:val="both"/>
        <w:rPr>
          <w:noProof/>
        </w:rPr>
      </w:pPr>
      <w:r>
        <w:rPr>
          <w:noProof/>
        </w:rPr>
        <w:t>L’autorité nationale de mise en œuvre et de coordination (NIKA) est le guichet unique pour la mise en œuvre du plan slovaque pour la reprise et la résilience. Il coordonne et oriente la mise en œuvre et effectue des contrôles auprès des organismes de mise en œuvre, des intermédiaires et des destinataires finaux. Il est chargé de suivre et d’évaluer la mise en œuvre du plan et la réalisation des jalons et cibles, ainsi que de fournir à la Commission les données collectées sur demande.</w:t>
      </w:r>
    </w:p>
    <w:p w14:paraId="50B4C127" w14:textId="77777777" w:rsidR="003B5F50" w:rsidRDefault="003B5F50">
      <w:pPr>
        <w:spacing w:before="120" w:after="120" w:line="240" w:lineRule="auto"/>
        <w:jc w:val="both"/>
        <w:rPr>
          <w:rFonts w:ascii="Times New Roman" w:eastAsia="MS Mincho" w:hAnsi="Times New Roman" w:cs="Arial"/>
          <w:noProof/>
          <w:szCs w:val="22"/>
        </w:rPr>
      </w:pPr>
    </w:p>
    <w:p w14:paraId="50B4C128" w14:textId="77777777" w:rsidR="003B5F50" w:rsidRDefault="000D2D85">
      <w:pPr>
        <w:pStyle w:val="P68B1DB1-NormalLeft91"/>
        <w:rPr>
          <w:noProof/>
        </w:rPr>
      </w:pPr>
      <w:r>
        <w:rPr>
          <w:noProof/>
        </w:rPr>
        <w:t>2. Modalités permettant à la Commission d'accéder pleinement aux données sous-jacentes</w:t>
      </w:r>
    </w:p>
    <w:p w14:paraId="50B4C129" w14:textId="77777777" w:rsidR="003B5F50" w:rsidRDefault="000D2D85">
      <w:pPr>
        <w:pStyle w:val="P68B1DB1-Normal36"/>
        <w:spacing w:before="120" w:after="120" w:line="240" w:lineRule="auto"/>
        <w:jc w:val="both"/>
        <w:rPr>
          <w:noProof/>
        </w:rPr>
      </w:pPr>
      <w:r>
        <w:rPr>
          <w:noProof/>
        </w:rPr>
        <w:t>L’autorité nationale de mise en œuvre et de coordination (NIKA), en tant qu’organe central de coordination du plan pour la reprise et la résilience de la Slovaquie et de sa mise en œuvre, est responsable de la coordination et du suivi globaux du plan. En particulier, il agit en tant qu’organe de coordination pour le suivi des progrès accomplis en ce qui concerne les jalons et cibles, pour le suivi et, le cas échéant, pour la mise en œuvre des activités de contrôle et d’audit, ainsi que pour la soumission des demandes de paiement à la Commission. Il coordonne la communication des jalons et cibles, des indicateurs pertinents, mais aussi des informations financières qualitatives et d’autres données, par exemple sur les bénéficiaires finaux. À cette fin, un système de répertoire pour le suivi de la mise en œuvre de la facilité est en place et opérationnel, qui est progressivement remplacé par le système informatique appelé ISPO.</w:t>
      </w:r>
    </w:p>
    <w:p w14:paraId="50B4C12A" w14:textId="77777777" w:rsidR="003B5F50" w:rsidRDefault="000D2D85">
      <w:pPr>
        <w:pStyle w:val="P68B1DB1-Normal36"/>
        <w:spacing w:before="120" w:after="120" w:line="240" w:lineRule="auto"/>
        <w:jc w:val="both"/>
        <w:rPr>
          <w:noProof/>
        </w:rPr>
      </w:pPr>
      <w:r>
        <w:rPr>
          <w:noProof/>
        </w:rPr>
        <w:t>Conformément à l’article 24, paragraphe 2, du règlement (UE) 2021/241, lorsque les jalons et cibles pertinents convenus à la section 2.1 de la présente annexe sont atteints, la Slovaquie présente à la Commission une demande dûment justifiée de paiement de la contribution financière. La Slovaquie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p w14:paraId="50B4C12B" w14:textId="77777777" w:rsidR="003B5F50" w:rsidRDefault="003B5F50">
      <w:pPr>
        <w:rPr>
          <w:noProof/>
        </w:rPr>
      </w:pPr>
    </w:p>
    <w:p w14:paraId="50B4C12C" w14:textId="77777777" w:rsidR="003B5F50" w:rsidRDefault="003B5F50">
      <w:pPr>
        <w:rPr>
          <w:noProof/>
        </w:rPr>
      </w:pPr>
    </w:p>
    <w:p w14:paraId="50B4C12D" w14:textId="77777777" w:rsidR="003B5F50" w:rsidRDefault="003B5F50">
      <w:pPr>
        <w:spacing w:before="120" w:after="120" w:line="240" w:lineRule="auto"/>
        <w:jc w:val="both"/>
        <w:rPr>
          <w:noProof/>
        </w:rPr>
      </w:pPr>
    </w:p>
    <w:sectPr w:rsidR="003B5F50">
      <w:headerReference w:type="even" r:id="rId247"/>
      <w:headerReference w:type="default" r:id="rId248"/>
      <w:footerReference w:type="even" r:id="rId249"/>
      <w:footerReference w:type="default" r:id="rId250"/>
      <w:headerReference w:type="first" r:id="rId251"/>
      <w:footerReference w:type="first" r:id="rId252"/>
      <w:pgSz w:w="12240" w:h="15840"/>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30096" w14:textId="77777777" w:rsidR="003B5F50" w:rsidRDefault="000D2D85">
      <w:r>
        <w:separator/>
      </w:r>
    </w:p>
  </w:endnote>
  <w:endnote w:type="continuationSeparator" w:id="0">
    <w:p w14:paraId="658869A0" w14:textId="77777777" w:rsidR="003B5F50" w:rsidRDefault="000D2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C1A6B" w14:textId="06C08856" w:rsidR="00945344" w:rsidRPr="00945344" w:rsidRDefault="00945344" w:rsidP="00945344">
    <w:pPr>
      <w:pStyle w:val="FooterCoverPage"/>
      <w:rPr>
        <w:rFonts w:ascii="Arial" w:hAnsi="Arial" w:cs="Arial" w:hint="eastAsia"/>
        <w:b/>
        <w:sz w:val="48"/>
      </w:rPr>
    </w:pPr>
    <w:r w:rsidRPr="00945344">
      <w:rPr>
        <w:rFonts w:ascii="Arial" w:hAnsi="Arial" w:cs="Arial"/>
        <w:b/>
        <w:sz w:val="48"/>
      </w:rPr>
      <w:t>FR</w:t>
    </w:r>
    <w:r w:rsidRPr="00945344">
      <w:rPr>
        <w:rFonts w:ascii="Arial" w:hAnsi="Arial" w:cs="Arial"/>
        <w:b/>
        <w:sz w:val="48"/>
      </w:rPr>
      <w:tab/>
    </w:r>
    <w:r w:rsidRPr="00945344">
      <w:rPr>
        <w:rFonts w:ascii="Arial" w:hAnsi="Arial" w:cs="Arial"/>
        <w:b/>
        <w:sz w:val="48"/>
      </w:rPr>
      <w:tab/>
    </w:r>
    <w:r w:rsidRPr="00945344">
      <w:tab/>
    </w:r>
    <w:r w:rsidRPr="0094534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C5332" w14:textId="764E0CA8" w:rsidR="00945344" w:rsidRPr="00945344" w:rsidRDefault="00945344" w:rsidP="00945344">
    <w:pPr>
      <w:pStyle w:val="FooterCoverPage"/>
      <w:rPr>
        <w:rFonts w:ascii="Arial" w:hAnsi="Arial" w:cs="Arial" w:hint="eastAsia"/>
        <w:b/>
        <w:sz w:val="48"/>
      </w:rPr>
    </w:pPr>
    <w:r w:rsidRPr="00945344">
      <w:rPr>
        <w:rFonts w:ascii="Arial" w:hAnsi="Arial" w:cs="Arial"/>
        <w:b/>
        <w:sz w:val="48"/>
      </w:rPr>
      <w:t>FR</w:t>
    </w:r>
    <w:r w:rsidRPr="00945344">
      <w:rPr>
        <w:rFonts w:ascii="Arial" w:hAnsi="Arial" w:cs="Arial"/>
        <w:b/>
        <w:sz w:val="48"/>
      </w:rPr>
      <w:tab/>
    </w:r>
    <w:r w:rsidRPr="00945344">
      <w:rPr>
        <w:rFonts w:ascii="Arial" w:hAnsi="Arial" w:cs="Arial"/>
        <w:b/>
        <w:sz w:val="48"/>
      </w:rPr>
      <w:tab/>
    </w:r>
    <w:r w:rsidRPr="00945344">
      <w:tab/>
    </w:r>
    <w:r w:rsidRPr="0094534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90BA3" w14:textId="77777777" w:rsidR="00945344" w:rsidRPr="00945344" w:rsidRDefault="00945344" w:rsidP="00945344">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A" w14:textId="77777777" w:rsidR="003B5F50" w:rsidRDefault="003B5F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0312592"/>
      <w:docPartObj>
        <w:docPartGallery w:val="Page Numbers (Bottom of Page)"/>
        <w:docPartUnique/>
      </w:docPartObj>
    </w:sdtPr>
    <w:sdtEndPr>
      <w:rPr>
        <w:noProof/>
      </w:rPr>
    </w:sdtEndPr>
    <w:sdtContent>
      <w:p w14:paraId="4BF55B2B" w14:textId="4E456176" w:rsidR="003B5F50" w:rsidRDefault="000D2D85">
        <w:pPr>
          <w:pStyle w:val="P68B1DB1-Footer92"/>
          <w:jc w:val="center"/>
        </w:pPr>
        <w:r>
          <w:fldChar w:fldCharType="begin"/>
        </w:r>
        <w:r>
          <w:instrText xml:space="preserve"> PAGE   \* MERGEFORMAT </w:instrText>
        </w:r>
        <w:r>
          <w:fldChar w:fldCharType="separate"/>
        </w:r>
        <w:r w:rsidR="00945344">
          <w:rPr>
            <w:noProof/>
          </w:rPr>
          <w:t>5</w:t>
        </w:r>
        <w:r>
          <w:fldChar w:fldCharType="end"/>
        </w:r>
      </w:p>
    </w:sdtContent>
  </w:sdt>
  <w:p w14:paraId="1EB75358" w14:textId="77777777" w:rsidR="003B5F50" w:rsidRDefault="003B5F50">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C" w14:textId="77777777" w:rsidR="003B5F50" w:rsidRDefault="003B5F5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F" w14:textId="77777777" w:rsidR="003B5F50" w:rsidRDefault="003B5F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7781923"/>
      <w:docPartObj>
        <w:docPartGallery w:val="Page Numbers (Bottom of Page)"/>
        <w:docPartUnique/>
      </w:docPartObj>
    </w:sdtPr>
    <w:sdtEndPr>
      <w:rPr>
        <w:noProof/>
      </w:rPr>
    </w:sdtEndPr>
    <w:sdtContent>
      <w:p w14:paraId="6D02DC1B" w14:textId="0AF851BF" w:rsidR="003B5F50" w:rsidRDefault="000D2D85">
        <w:pPr>
          <w:pStyle w:val="P68B1DB1-Footer92"/>
          <w:jc w:val="center"/>
        </w:pPr>
        <w:r>
          <w:fldChar w:fldCharType="begin"/>
        </w:r>
        <w:r>
          <w:instrText xml:space="preserve"> PAGE   \* MERGEFORMAT </w:instrText>
        </w:r>
        <w:r>
          <w:fldChar w:fldCharType="separate"/>
        </w:r>
        <w:r w:rsidR="00945344">
          <w:rPr>
            <w:noProof/>
          </w:rPr>
          <w:t>6</w:t>
        </w:r>
        <w:r>
          <w:fldChar w:fldCharType="end"/>
        </w:r>
      </w:p>
    </w:sdtContent>
  </w:sdt>
  <w:p w14:paraId="50B4C16C" w14:textId="77777777" w:rsidR="003B5F50" w:rsidRDefault="003B5F50">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6E" w14:textId="77777777" w:rsidR="003B5F50" w:rsidRDefault="003B5F50">
    <w:pPr>
      <w:pStyle w:val="FooterLandscap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71" w14:textId="77777777" w:rsidR="003B5F50" w:rsidRDefault="003B5F5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827997"/>
      <w:docPartObj>
        <w:docPartGallery w:val="Page Numbers (Bottom of Page)"/>
        <w:docPartUnique/>
      </w:docPartObj>
    </w:sdtPr>
    <w:sdtEndPr>
      <w:rPr>
        <w:noProof/>
      </w:rPr>
    </w:sdtEndPr>
    <w:sdtContent>
      <w:p w14:paraId="3DBC9F36" w14:textId="4A9A5242"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17E" w14:textId="77777777" w:rsidR="003B5F50" w:rsidRDefault="003B5F50">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0" w14:textId="77777777" w:rsidR="003B5F50" w:rsidRDefault="003B5F5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3" w14:textId="77777777" w:rsidR="003B5F50" w:rsidRDefault="003B5F5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794460"/>
      <w:docPartObj>
        <w:docPartGallery w:val="Page Numbers (Bottom of Page)"/>
        <w:docPartUnique/>
      </w:docPartObj>
    </w:sdtPr>
    <w:sdtEndPr>
      <w:rPr>
        <w:noProof/>
      </w:rPr>
    </w:sdtEndPr>
    <w:sdtContent>
      <w:p w14:paraId="093AD07A" w14:textId="4F36F875"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190" w14:textId="77777777" w:rsidR="003B5F50" w:rsidRDefault="003B5F50">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2" w14:textId="77777777" w:rsidR="003B5F50" w:rsidRDefault="003B5F50">
    <w:pPr>
      <w:pStyle w:val="FooterLandscap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5" w14:textId="77777777" w:rsidR="003B5F50" w:rsidRDefault="003B5F5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103941"/>
      <w:docPartObj>
        <w:docPartGallery w:val="Page Numbers (Bottom of Page)"/>
        <w:docPartUnique/>
      </w:docPartObj>
    </w:sdtPr>
    <w:sdtEndPr>
      <w:rPr>
        <w:noProof/>
      </w:rPr>
    </w:sdtEndPr>
    <w:sdtContent>
      <w:p w14:paraId="3C7CE66C" w14:textId="324BC11D"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1A2" w14:textId="77777777" w:rsidR="003B5F50" w:rsidRDefault="003B5F50">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4" w14:textId="77777777" w:rsidR="003B5F50" w:rsidRDefault="003B5F50">
    <w:pPr>
      <w:pStyle w:val="FooterLandscape"/>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7" w14:textId="77777777" w:rsidR="003B5F50" w:rsidRDefault="003B5F5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094709"/>
      <w:docPartObj>
        <w:docPartGallery w:val="Page Numbers (Bottom of Page)"/>
        <w:docPartUnique/>
      </w:docPartObj>
    </w:sdtPr>
    <w:sdtEndPr>
      <w:rPr>
        <w:noProof/>
      </w:rPr>
    </w:sdtEndPr>
    <w:sdtContent>
      <w:p w14:paraId="23DCFB73" w14:textId="2B17039A"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1B4" w14:textId="77777777" w:rsidR="003B5F50" w:rsidRDefault="003B5F5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6" w14:textId="77777777" w:rsidR="003B5F50" w:rsidRDefault="003B5F50">
    <w:pPr>
      <w:pStyle w:val="FooterLandscape"/>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9" w14:textId="77777777" w:rsidR="003B5F50" w:rsidRDefault="003B5F5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809082"/>
      <w:docPartObj>
        <w:docPartGallery w:val="Page Numbers (Bottom of Page)"/>
        <w:docPartUnique/>
      </w:docPartObj>
    </w:sdtPr>
    <w:sdtEndPr>
      <w:rPr>
        <w:noProof/>
      </w:rPr>
    </w:sdtEndPr>
    <w:sdtContent>
      <w:p w14:paraId="5C4C4CEA" w14:textId="424EC0E6"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1C6" w14:textId="77777777" w:rsidR="003B5F50" w:rsidRDefault="003B5F50">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8" w14:textId="77777777" w:rsidR="003B5F50" w:rsidRDefault="003B5F50">
    <w:pPr>
      <w:pStyle w:val="FooterLandscape"/>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B" w14:textId="77777777" w:rsidR="003B5F50" w:rsidRDefault="003B5F5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052084"/>
      <w:docPartObj>
        <w:docPartGallery w:val="Page Numbers (Bottom of Page)"/>
        <w:docPartUnique/>
      </w:docPartObj>
    </w:sdtPr>
    <w:sdtEndPr>
      <w:rPr>
        <w:noProof/>
      </w:rPr>
    </w:sdtEndPr>
    <w:sdtContent>
      <w:p w14:paraId="42AB54D8" w14:textId="24A21773"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1D8" w14:textId="77777777" w:rsidR="003B5F50" w:rsidRDefault="003B5F50">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A" w14:textId="77777777" w:rsidR="003B5F50" w:rsidRDefault="003B5F5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D" w14:textId="77777777" w:rsidR="003B5F50" w:rsidRDefault="003B5F5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738849"/>
      <w:docPartObj>
        <w:docPartGallery w:val="Page Numbers (Bottom of Page)"/>
        <w:docPartUnique/>
      </w:docPartObj>
    </w:sdtPr>
    <w:sdtEndPr>
      <w:rPr>
        <w:noProof/>
      </w:rPr>
    </w:sdtEndPr>
    <w:sdtContent>
      <w:p w14:paraId="2DBAC37A" w14:textId="146978C6"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1EA" w14:textId="77777777" w:rsidR="003B5F50" w:rsidRDefault="003B5F50">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C" w14:textId="77777777" w:rsidR="003B5F50" w:rsidRDefault="003B5F5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F" w14:textId="77777777" w:rsidR="003B5F50" w:rsidRDefault="003B5F5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2594518"/>
      <w:docPartObj>
        <w:docPartGallery w:val="Page Numbers (Bottom of Page)"/>
        <w:docPartUnique/>
      </w:docPartObj>
    </w:sdtPr>
    <w:sdtEndPr>
      <w:rPr>
        <w:noProof/>
      </w:rPr>
    </w:sdtEndPr>
    <w:sdtContent>
      <w:p w14:paraId="2DECBD43" w14:textId="03F7EE37"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1FC" w14:textId="77777777" w:rsidR="003B5F50" w:rsidRDefault="003B5F50">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FE" w14:textId="77777777" w:rsidR="003B5F50" w:rsidRDefault="003B5F5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01" w14:textId="77777777" w:rsidR="003B5F50" w:rsidRDefault="003B5F5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835769"/>
      <w:docPartObj>
        <w:docPartGallery w:val="Page Numbers (Bottom of Page)"/>
        <w:docPartUnique/>
      </w:docPartObj>
    </w:sdtPr>
    <w:sdtEndPr>
      <w:rPr>
        <w:noProof/>
      </w:rPr>
    </w:sdtEndPr>
    <w:sdtContent>
      <w:p w14:paraId="6CB374FE" w14:textId="5AA5256C"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0E" w14:textId="77777777" w:rsidR="003B5F50" w:rsidRDefault="003B5F50">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0" w14:textId="77777777" w:rsidR="003B5F50" w:rsidRDefault="003B5F5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3" w14:textId="77777777" w:rsidR="003B5F50" w:rsidRDefault="003B5F5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096036"/>
      <w:docPartObj>
        <w:docPartGallery w:val="Page Numbers (Bottom of Page)"/>
        <w:docPartUnique/>
      </w:docPartObj>
    </w:sdtPr>
    <w:sdtEndPr>
      <w:rPr>
        <w:noProof/>
      </w:rPr>
    </w:sdtEndPr>
    <w:sdtContent>
      <w:p w14:paraId="1F39DCC9" w14:textId="554F2210"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20" w14:textId="77777777" w:rsidR="003B5F50" w:rsidRDefault="003B5F50">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2" w14:textId="77777777" w:rsidR="003B5F50" w:rsidRDefault="003B5F5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5" w14:textId="77777777" w:rsidR="003B5F50" w:rsidRDefault="003B5F5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018552"/>
      <w:docPartObj>
        <w:docPartGallery w:val="Page Numbers (Bottom of Page)"/>
        <w:docPartUnique/>
      </w:docPartObj>
    </w:sdtPr>
    <w:sdtEndPr>
      <w:rPr>
        <w:noProof/>
      </w:rPr>
    </w:sdtEndPr>
    <w:sdtContent>
      <w:p w14:paraId="3B46C5FE" w14:textId="2BA66D22"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32" w14:textId="77777777" w:rsidR="003B5F50" w:rsidRDefault="003B5F50">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4" w14:textId="77777777" w:rsidR="003B5F50" w:rsidRDefault="003B5F5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7" w14:textId="77777777" w:rsidR="003B5F50" w:rsidRDefault="003B5F5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827492"/>
      <w:docPartObj>
        <w:docPartGallery w:val="Page Numbers (Bottom of Page)"/>
        <w:docPartUnique/>
      </w:docPartObj>
    </w:sdtPr>
    <w:sdtEndPr>
      <w:rPr>
        <w:noProof/>
      </w:rPr>
    </w:sdtEndPr>
    <w:sdtContent>
      <w:p w14:paraId="6F94ECC1" w14:textId="5B2E28E0"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44" w14:textId="77777777" w:rsidR="003B5F50" w:rsidRDefault="003B5F50">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6" w14:textId="77777777" w:rsidR="003B5F50" w:rsidRDefault="003B5F5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9" w14:textId="77777777" w:rsidR="003B5F50" w:rsidRDefault="003B5F5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918948"/>
      <w:docPartObj>
        <w:docPartGallery w:val="Page Numbers (Bottom of Page)"/>
        <w:docPartUnique/>
      </w:docPartObj>
    </w:sdtPr>
    <w:sdtEndPr>
      <w:rPr>
        <w:noProof/>
      </w:rPr>
    </w:sdtEndPr>
    <w:sdtContent>
      <w:p w14:paraId="061A9169" w14:textId="4EFDED10"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56" w14:textId="77777777" w:rsidR="003B5F50" w:rsidRDefault="003B5F50">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8" w14:textId="77777777" w:rsidR="003B5F50" w:rsidRDefault="003B5F5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B" w14:textId="77777777" w:rsidR="003B5F50" w:rsidRDefault="003B5F5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914748"/>
      <w:docPartObj>
        <w:docPartGallery w:val="Page Numbers (Bottom of Page)"/>
        <w:docPartUnique/>
      </w:docPartObj>
    </w:sdtPr>
    <w:sdtEndPr>
      <w:rPr>
        <w:noProof/>
      </w:rPr>
    </w:sdtEndPr>
    <w:sdtContent>
      <w:p w14:paraId="39AB3703" w14:textId="31BB6F1C"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68" w14:textId="77777777" w:rsidR="003B5F50" w:rsidRDefault="003B5F50">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A" w14:textId="77777777" w:rsidR="003B5F50" w:rsidRDefault="003B5F5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D" w14:textId="77777777" w:rsidR="003B5F50" w:rsidRDefault="003B5F5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404270"/>
      <w:docPartObj>
        <w:docPartGallery w:val="Page Numbers (Bottom of Page)"/>
        <w:docPartUnique/>
      </w:docPartObj>
    </w:sdtPr>
    <w:sdtEndPr>
      <w:rPr>
        <w:noProof/>
      </w:rPr>
    </w:sdtEndPr>
    <w:sdtContent>
      <w:p w14:paraId="49B7FC81" w14:textId="2A493577"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7A" w14:textId="77777777" w:rsidR="003B5F50" w:rsidRDefault="003B5F50">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C" w14:textId="77777777" w:rsidR="003B5F50" w:rsidRDefault="003B5F5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F" w14:textId="77777777" w:rsidR="003B5F50" w:rsidRDefault="003B5F5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327573"/>
      <w:docPartObj>
        <w:docPartGallery w:val="Page Numbers (Bottom of Page)"/>
        <w:docPartUnique/>
      </w:docPartObj>
    </w:sdtPr>
    <w:sdtEndPr>
      <w:rPr>
        <w:noProof/>
      </w:rPr>
    </w:sdtEndPr>
    <w:sdtContent>
      <w:p w14:paraId="2D293282" w14:textId="729A6229"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8C" w14:textId="77777777" w:rsidR="003B5F50" w:rsidRDefault="003B5F50">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8E" w14:textId="77777777" w:rsidR="003B5F50" w:rsidRDefault="003B5F5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91" w14:textId="77777777" w:rsidR="003B5F50" w:rsidRDefault="003B5F5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074313"/>
      <w:docPartObj>
        <w:docPartGallery w:val="Page Numbers (Bottom of Page)"/>
        <w:docPartUnique/>
      </w:docPartObj>
    </w:sdtPr>
    <w:sdtEndPr>
      <w:rPr>
        <w:noProof/>
      </w:rPr>
    </w:sdtEndPr>
    <w:sdtContent>
      <w:p w14:paraId="610A0BAF" w14:textId="3411B3AC"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9E" w14:textId="77777777" w:rsidR="003B5F50" w:rsidRDefault="003B5F50">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0" w14:textId="77777777" w:rsidR="003B5F50" w:rsidRDefault="003B5F5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3" w14:textId="77777777" w:rsidR="003B5F50" w:rsidRDefault="003B5F5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7191125"/>
      <w:docPartObj>
        <w:docPartGallery w:val="Page Numbers (Bottom of Page)"/>
        <w:docPartUnique/>
      </w:docPartObj>
    </w:sdtPr>
    <w:sdtEndPr>
      <w:rPr>
        <w:noProof/>
      </w:rPr>
    </w:sdtEndPr>
    <w:sdtContent>
      <w:p w14:paraId="56731898" w14:textId="38F31323"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B0" w14:textId="77777777" w:rsidR="003B5F50" w:rsidRDefault="003B5F50">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2" w14:textId="77777777" w:rsidR="003B5F50" w:rsidRDefault="003B5F5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5" w14:textId="77777777" w:rsidR="003B5F50" w:rsidRDefault="003B5F5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507561"/>
      <w:docPartObj>
        <w:docPartGallery w:val="Page Numbers (Bottom of Page)"/>
        <w:docPartUnique/>
      </w:docPartObj>
    </w:sdtPr>
    <w:sdtEndPr>
      <w:rPr>
        <w:noProof/>
      </w:rPr>
    </w:sdtEndPr>
    <w:sdtContent>
      <w:p w14:paraId="70356899" w14:textId="3FBDD114"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C2" w14:textId="77777777" w:rsidR="003B5F50" w:rsidRDefault="003B5F50">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4" w14:textId="77777777" w:rsidR="003B5F50" w:rsidRDefault="003B5F5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7" w14:textId="77777777" w:rsidR="003B5F50" w:rsidRDefault="003B5F5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665416"/>
      <w:docPartObj>
        <w:docPartGallery w:val="Page Numbers (Bottom of Page)"/>
        <w:docPartUnique/>
      </w:docPartObj>
    </w:sdtPr>
    <w:sdtEndPr>
      <w:rPr>
        <w:noProof/>
      </w:rPr>
    </w:sdtEndPr>
    <w:sdtContent>
      <w:p w14:paraId="186B2786" w14:textId="6863DF30"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D4" w14:textId="77777777" w:rsidR="003B5F50" w:rsidRDefault="003B5F50">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6" w14:textId="77777777" w:rsidR="003B5F50" w:rsidRDefault="003B5F5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9" w14:textId="77777777" w:rsidR="003B5F50" w:rsidRDefault="003B5F5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3670283"/>
      <w:docPartObj>
        <w:docPartGallery w:val="Page Numbers (Bottom of Page)"/>
        <w:docPartUnique/>
      </w:docPartObj>
    </w:sdtPr>
    <w:sdtEndPr>
      <w:rPr>
        <w:noProof/>
      </w:rPr>
    </w:sdtEndPr>
    <w:sdtContent>
      <w:p w14:paraId="4305AFBE" w14:textId="234998A9"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E6" w14:textId="77777777" w:rsidR="003B5F50" w:rsidRDefault="003B5F50">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8" w14:textId="77777777" w:rsidR="003B5F50" w:rsidRDefault="003B5F5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B" w14:textId="77777777" w:rsidR="003B5F50" w:rsidRDefault="003B5F5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9590261"/>
      <w:docPartObj>
        <w:docPartGallery w:val="Page Numbers (Bottom of Page)"/>
        <w:docPartUnique/>
      </w:docPartObj>
    </w:sdtPr>
    <w:sdtEndPr>
      <w:rPr>
        <w:noProof/>
      </w:rPr>
    </w:sdtEndPr>
    <w:sdtContent>
      <w:p w14:paraId="65A05A73" w14:textId="7A447D8A"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2F8" w14:textId="77777777" w:rsidR="003B5F50" w:rsidRDefault="003B5F50">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A" w14:textId="77777777" w:rsidR="003B5F50" w:rsidRDefault="003B5F50">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D" w14:textId="77777777" w:rsidR="003B5F50" w:rsidRDefault="003B5F50">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138203"/>
      <w:docPartObj>
        <w:docPartGallery w:val="Page Numbers (Bottom of Page)"/>
        <w:docPartUnique/>
      </w:docPartObj>
    </w:sdtPr>
    <w:sdtEndPr>
      <w:rPr>
        <w:noProof/>
      </w:rPr>
    </w:sdtEndPr>
    <w:sdtContent>
      <w:p w14:paraId="069312D4" w14:textId="0E7ABE41"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0A" w14:textId="77777777" w:rsidR="003B5F50" w:rsidRDefault="003B5F50">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C" w14:textId="77777777" w:rsidR="003B5F50" w:rsidRDefault="003B5F50">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F" w14:textId="77777777" w:rsidR="003B5F50" w:rsidRDefault="003B5F50">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974572"/>
      <w:docPartObj>
        <w:docPartGallery w:val="Page Numbers (Bottom of Page)"/>
        <w:docPartUnique/>
      </w:docPartObj>
    </w:sdtPr>
    <w:sdtEndPr>
      <w:rPr>
        <w:noProof/>
      </w:rPr>
    </w:sdtEndPr>
    <w:sdtContent>
      <w:p w14:paraId="4F3A6F71" w14:textId="667F7D9C"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1C" w14:textId="77777777" w:rsidR="003B5F50" w:rsidRDefault="003B5F50">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1E" w14:textId="77777777" w:rsidR="003B5F50" w:rsidRDefault="003B5F50">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21" w14:textId="77777777" w:rsidR="003B5F50" w:rsidRDefault="003B5F50">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3967848"/>
      <w:docPartObj>
        <w:docPartGallery w:val="Page Numbers (Bottom of Page)"/>
        <w:docPartUnique/>
      </w:docPartObj>
    </w:sdtPr>
    <w:sdtEndPr>
      <w:rPr>
        <w:noProof/>
      </w:rPr>
    </w:sdtEndPr>
    <w:sdtContent>
      <w:p w14:paraId="64701844" w14:textId="5FE46889"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2E" w14:textId="77777777" w:rsidR="003B5F50" w:rsidRDefault="003B5F50">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0" w14:textId="77777777" w:rsidR="003B5F50" w:rsidRDefault="003B5F50">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3" w14:textId="77777777" w:rsidR="003B5F50" w:rsidRDefault="003B5F50">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134655"/>
      <w:docPartObj>
        <w:docPartGallery w:val="Page Numbers (Bottom of Page)"/>
        <w:docPartUnique/>
      </w:docPartObj>
    </w:sdtPr>
    <w:sdtEndPr>
      <w:rPr>
        <w:noProof/>
      </w:rPr>
    </w:sdtEndPr>
    <w:sdtContent>
      <w:p w14:paraId="51F6F703" w14:textId="7D10041F"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40" w14:textId="77777777" w:rsidR="003B5F50" w:rsidRDefault="003B5F50">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2" w14:textId="77777777" w:rsidR="003B5F50" w:rsidRDefault="003B5F50">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5" w14:textId="77777777" w:rsidR="003B5F50" w:rsidRDefault="003B5F50">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779345"/>
      <w:docPartObj>
        <w:docPartGallery w:val="Page Numbers (Bottom of Page)"/>
        <w:docPartUnique/>
      </w:docPartObj>
    </w:sdtPr>
    <w:sdtEndPr>
      <w:rPr>
        <w:noProof/>
      </w:rPr>
    </w:sdtEndPr>
    <w:sdtContent>
      <w:p w14:paraId="7835A912" w14:textId="4AFDC316"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52" w14:textId="77777777" w:rsidR="003B5F50" w:rsidRDefault="003B5F50">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4" w14:textId="77777777" w:rsidR="003B5F50" w:rsidRDefault="003B5F50">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7" w14:textId="77777777" w:rsidR="003B5F50" w:rsidRDefault="003B5F50">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532232"/>
      <w:docPartObj>
        <w:docPartGallery w:val="Page Numbers (Bottom of Page)"/>
        <w:docPartUnique/>
      </w:docPartObj>
    </w:sdtPr>
    <w:sdtEndPr>
      <w:rPr>
        <w:noProof/>
      </w:rPr>
    </w:sdtEndPr>
    <w:sdtContent>
      <w:p w14:paraId="3B2AAEF3" w14:textId="7C993C7F"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64" w14:textId="77777777" w:rsidR="003B5F50" w:rsidRDefault="003B5F50">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6" w14:textId="77777777" w:rsidR="003B5F50" w:rsidRDefault="003B5F50">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9" w14:textId="77777777" w:rsidR="003B5F50" w:rsidRDefault="003B5F50">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0812462"/>
      <w:docPartObj>
        <w:docPartGallery w:val="Page Numbers (Bottom of Page)"/>
        <w:docPartUnique/>
      </w:docPartObj>
    </w:sdtPr>
    <w:sdtEndPr>
      <w:rPr>
        <w:noProof/>
      </w:rPr>
    </w:sdtEndPr>
    <w:sdtContent>
      <w:p w14:paraId="4FE1A556" w14:textId="3431C4E1"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76" w14:textId="77777777" w:rsidR="003B5F50" w:rsidRDefault="003B5F50">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8" w14:textId="77777777" w:rsidR="003B5F50" w:rsidRDefault="003B5F50">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B" w14:textId="77777777" w:rsidR="003B5F50" w:rsidRDefault="003B5F50">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1012436"/>
      <w:docPartObj>
        <w:docPartGallery w:val="Page Numbers (Bottom of Page)"/>
        <w:docPartUnique/>
      </w:docPartObj>
    </w:sdtPr>
    <w:sdtEndPr>
      <w:rPr>
        <w:noProof/>
      </w:rPr>
    </w:sdtEndPr>
    <w:sdtContent>
      <w:p w14:paraId="60C0781C" w14:textId="055784E0"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88" w14:textId="77777777" w:rsidR="003B5F50" w:rsidRDefault="003B5F50">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A" w14:textId="77777777" w:rsidR="003B5F50" w:rsidRDefault="003B5F50">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D" w14:textId="77777777" w:rsidR="003B5F50" w:rsidRDefault="003B5F50">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08130"/>
      <w:docPartObj>
        <w:docPartGallery w:val="Page Numbers (Bottom of Page)"/>
        <w:docPartUnique/>
      </w:docPartObj>
    </w:sdtPr>
    <w:sdtEndPr>
      <w:rPr>
        <w:noProof/>
      </w:rPr>
    </w:sdtEndPr>
    <w:sdtContent>
      <w:p w14:paraId="47991251" w14:textId="0C09F4D2"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9A" w14:textId="77777777" w:rsidR="003B5F50" w:rsidRDefault="003B5F50">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C" w14:textId="77777777" w:rsidR="003B5F50" w:rsidRDefault="003B5F50">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F" w14:textId="77777777" w:rsidR="003B5F50" w:rsidRDefault="003B5F50">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914797"/>
      <w:docPartObj>
        <w:docPartGallery w:val="Page Numbers (Bottom of Page)"/>
        <w:docPartUnique/>
      </w:docPartObj>
    </w:sdtPr>
    <w:sdtEndPr>
      <w:rPr>
        <w:noProof/>
      </w:rPr>
    </w:sdtEndPr>
    <w:sdtContent>
      <w:p w14:paraId="351BF4F2" w14:textId="4FF8248A"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AC" w14:textId="77777777" w:rsidR="003B5F50" w:rsidRDefault="003B5F50">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AE" w14:textId="77777777" w:rsidR="003B5F50" w:rsidRDefault="003B5F50">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B1" w14:textId="77777777" w:rsidR="003B5F50" w:rsidRDefault="003B5F50">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512747"/>
      <w:docPartObj>
        <w:docPartGallery w:val="Page Numbers (Bottom of Page)"/>
        <w:docPartUnique/>
      </w:docPartObj>
    </w:sdtPr>
    <w:sdtEndPr>
      <w:rPr>
        <w:noProof/>
      </w:rPr>
    </w:sdtEndPr>
    <w:sdtContent>
      <w:p w14:paraId="48D219B1" w14:textId="77EDD881"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BE" w14:textId="77777777" w:rsidR="003B5F50" w:rsidRDefault="003B5F50">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0" w14:textId="77777777" w:rsidR="003B5F50" w:rsidRDefault="003B5F50">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3" w14:textId="77777777" w:rsidR="003B5F50" w:rsidRDefault="003B5F50">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334501"/>
      <w:docPartObj>
        <w:docPartGallery w:val="Page Numbers (Bottom of Page)"/>
        <w:docPartUnique/>
      </w:docPartObj>
    </w:sdtPr>
    <w:sdtEndPr>
      <w:rPr>
        <w:noProof/>
      </w:rPr>
    </w:sdtEndPr>
    <w:sdtContent>
      <w:p w14:paraId="480811B7" w14:textId="580C0C63"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D0" w14:textId="77777777" w:rsidR="003B5F50" w:rsidRDefault="003B5F50">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D2" w14:textId="77777777" w:rsidR="003B5F50" w:rsidRDefault="003B5F50">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EB" w14:textId="77777777" w:rsidR="003B5F50" w:rsidRDefault="003B5F50">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8104070"/>
      <w:docPartObj>
        <w:docPartGallery w:val="Page Numbers (Bottom of Page)"/>
        <w:docPartUnique/>
      </w:docPartObj>
    </w:sdtPr>
    <w:sdtEndPr>
      <w:rPr>
        <w:noProof/>
      </w:rPr>
    </w:sdtEndPr>
    <w:sdtContent>
      <w:p w14:paraId="6E70EC2C" w14:textId="589109B6"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3F8" w14:textId="77777777" w:rsidR="003B5F50" w:rsidRDefault="003B5F50">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A" w14:textId="77777777" w:rsidR="003B5F50" w:rsidRDefault="003B5F50">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852530"/>
      <w:docPartObj>
        <w:docPartGallery w:val="Page Numbers (Bottom of Page)"/>
        <w:docPartUnique/>
      </w:docPartObj>
    </w:sdtPr>
    <w:sdtEndPr>
      <w:rPr>
        <w:noProof/>
      </w:rPr>
    </w:sdtEndPr>
    <w:sdtContent>
      <w:p w14:paraId="47CDB948" w14:textId="77777777"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3A49D028" w14:textId="77777777" w:rsidR="003B5F50" w:rsidRDefault="003B5F50">
    <w:pPr>
      <w:pStyle w:val="FooterCouncil"/>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D" w14:textId="77777777" w:rsidR="003B5F50" w:rsidRDefault="003B5F50">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168321"/>
      <w:docPartObj>
        <w:docPartGallery w:val="Page Numbers (Bottom of Page)"/>
        <w:docPartUnique/>
      </w:docPartObj>
    </w:sdtPr>
    <w:sdtEndPr>
      <w:rPr>
        <w:noProof/>
      </w:rPr>
    </w:sdtEndPr>
    <w:sdtContent>
      <w:p w14:paraId="7226049D" w14:textId="0319A3AE"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50B4C40A" w14:textId="77777777" w:rsidR="003B5F50" w:rsidRDefault="003B5F50">
    <w:pPr>
      <w:pStyle w:val="FooterCouncil"/>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C" w14:textId="77777777" w:rsidR="003B5F50" w:rsidRDefault="003B5F50">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E" w14:textId="77777777" w:rsidR="003B5F50" w:rsidRDefault="003B5F50">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169671"/>
      <w:docPartObj>
        <w:docPartGallery w:val="Page Numbers (Bottom of Page)"/>
        <w:docPartUnique/>
      </w:docPartObj>
    </w:sdtPr>
    <w:sdtEndPr>
      <w:rPr>
        <w:noProof/>
      </w:rPr>
    </w:sdtEndPr>
    <w:sdtContent>
      <w:p w14:paraId="13CD2137" w14:textId="449A8B6F" w:rsidR="003B5F50" w:rsidRDefault="000D2D85">
        <w:pPr>
          <w:pStyle w:val="P68B1DB1-Footer92"/>
          <w:jc w:val="center"/>
        </w:pPr>
        <w:r>
          <w:fldChar w:fldCharType="begin"/>
        </w:r>
        <w:r>
          <w:instrText xml:space="preserve"> PAGE   \* MERGEFORMAT </w:instrText>
        </w:r>
        <w:r>
          <w:fldChar w:fldCharType="separate"/>
        </w:r>
        <w:r>
          <w:t>2</w:t>
        </w:r>
        <w:r>
          <w:fldChar w:fldCharType="end"/>
        </w:r>
      </w:p>
    </w:sdtContent>
  </w:sdt>
  <w:p w14:paraId="6E94B964" w14:textId="77777777" w:rsidR="003B5F50" w:rsidRDefault="003B5F50">
    <w:pPr>
      <w:pStyle w:val="FooterCouncil"/>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10" w14:textId="77777777" w:rsidR="003B5F50" w:rsidRDefault="003B5F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1B761" w14:textId="77777777" w:rsidR="003B5F50" w:rsidRDefault="000D2D85">
      <w:pPr>
        <w:spacing w:after="0" w:line="240" w:lineRule="auto"/>
      </w:pPr>
      <w:r>
        <w:separator/>
      </w:r>
    </w:p>
  </w:footnote>
  <w:footnote w:type="continuationSeparator" w:id="0">
    <w:p w14:paraId="79B893CA" w14:textId="77777777" w:rsidR="003B5F50" w:rsidRDefault="000D2D85">
      <w:pPr>
        <w:spacing w:after="0" w:line="240" w:lineRule="auto"/>
      </w:pPr>
      <w:r>
        <w:continuationSeparator/>
      </w:r>
    </w:p>
  </w:footnote>
  <w:footnote w:type="continuationNotice" w:id="1">
    <w:p w14:paraId="6A38407A" w14:textId="77777777" w:rsidR="003B5F50" w:rsidRDefault="003B5F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0FB15" w14:textId="77777777" w:rsidR="00945344" w:rsidRPr="00945344" w:rsidRDefault="00945344" w:rsidP="00945344">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CAD2" w14:textId="77777777" w:rsidR="00945344" w:rsidRPr="00945344" w:rsidRDefault="00945344" w:rsidP="00945344">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33E53" w14:textId="77777777" w:rsidR="00945344" w:rsidRPr="00945344" w:rsidRDefault="00945344" w:rsidP="00945344">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9" w14:textId="77777777" w:rsidR="003B5F50" w:rsidRDefault="003B5F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FA13A" w14:textId="77777777" w:rsidR="003B5F50" w:rsidRDefault="000D2D85">
    <w:pPr>
      <w:pStyle w:val="HeaderCouncilLarge"/>
    </w:pPr>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B" w14:textId="77777777" w:rsidR="003B5F50" w:rsidRDefault="003B5F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D" w14:textId="77777777" w:rsidR="003B5F50" w:rsidRDefault="003B5F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E" w14:textId="77777777" w:rsidR="003B5F50" w:rsidRDefault="000D2D85">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6D" w14:textId="77777777" w:rsidR="003B5F50" w:rsidRDefault="003B5F50">
    <w:pPr>
      <w:pStyle w:val="HeaderLandscap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6F" w14:textId="77777777" w:rsidR="003B5F50" w:rsidRDefault="003B5F5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70" w14:textId="77777777" w:rsidR="003B5F50" w:rsidRDefault="000D2D85">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7F" w14:textId="77777777" w:rsidR="003B5F50" w:rsidRDefault="003B5F5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1" w14:textId="77777777" w:rsidR="003B5F50" w:rsidRDefault="003B5F5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2" w14:textId="77777777" w:rsidR="003B5F50" w:rsidRDefault="000D2D85">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1" w14:textId="77777777" w:rsidR="003B5F50" w:rsidRDefault="003B5F50">
    <w:pPr>
      <w:pStyle w:val="HeaderLandscap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3" w14:textId="77777777" w:rsidR="003B5F50" w:rsidRDefault="003B5F5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4" w14:textId="77777777" w:rsidR="003B5F50" w:rsidRDefault="000D2D85">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3" w14:textId="77777777" w:rsidR="003B5F50" w:rsidRDefault="003B5F50">
    <w:pPr>
      <w:pStyle w:val="HeaderLandscap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5" w14:textId="77777777" w:rsidR="003B5F50" w:rsidRDefault="003B5F5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6" w14:textId="77777777" w:rsidR="003B5F50" w:rsidRDefault="000D2D85">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5" w14:textId="77777777" w:rsidR="003B5F50" w:rsidRDefault="003B5F50">
    <w:pPr>
      <w:pStyle w:val="HeaderLandscape"/>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7" w14:textId="77777777" w:rsidR="003B5F50" w:rsidRDefault="003B5F5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8" w14:textId="77777777" w:rsidR="003B5F50" w:rsidRDefault="000D2D85">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7" w14:textId="77777777" w:rsidR="003B5F50" w:rsidRDefault="003B5F50">
    <w:pPr>
      <w:pStyle w:val="HeaderLandscape"/>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9" w14:textId="77777777" w:rsidR="003B5F50" w:rsidRDefault="003B5F5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A" w14:textId="77777777" w:rsidR="003B5F50" w:rsidRDefault="000D2D85">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9" w14:textId="77777777" w:rsidR="003B5F50" w:rsidRDefault="003B5F5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B" w14:textId="77777777" w:rsidR="003B5F50" w:rsidRDefault="003B5F5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C" w14:textId="77777777" w:rsidR="003B5F50" w:rsidRDefault="000D2D85">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B" w14:textId="77777777" w:rsidR="003B5F50" w:rsidRDefault="003B5F5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D" w14:textId="77777777" w:rsidR="003B5F50" w:rsidRDefault="003B5F5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E" w14:textId="77777777" w:rsidR="003B5F50" w:rsidRDefault="000D2D85">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FD" w14:textId="77777777" w:rsidR="003B5F50" w:rsidRDefault="003B5F5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FF" w14:textId="77777777" w:rsidR="003B5F50" w:rsidRDefault="003B5F5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00" w14:textId="77777777" w:rsidR="003B5F50" w:rsidRDefault="000D2D85">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0F" w14:textId="77777777" w:rsidR="003B5F50" w:rsidRDefault="003B5F5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1" w14:textId="77777777" w:rsidR="003B5F50" w:rsidRDefault="003B5F5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2" w14:textId="77777777" w:rsidR="003B5F50" w:rsidRDefault="000D2D85">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1" w14:textId="77777777" w:rsidR="003B5F50" w:rsidRDefault="003B5F5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3" w14:textId="77777777" w:rsidR="003B5F50" w:rsidRDefault="003B5F5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4" w14:textId="77777777" w:rsidR="003B5F50" w:rsidRDefault="000D2D85">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3" w14:textId="77777777" w:rsidR="003B5F50" w:rsidRDefault="003B5F5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5" w14:textId="77777777" w:rsidR="003B5F50" w:rsidRDefault="003B5F5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6" w14:textId="77777777" w:rsidR="003B5F50" w:rsidRDefault="000D2D85">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5" w14:textId="77777777" w:rsidR="003B5F50" w:rsidRDefault="003B5F5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7" w14:textId="77777777" w:rsidR="003B5F50" w:rsidRDefault="003B5F5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8" w14:textId="77777777" w:rsidR="003B5F50" w:rsidRDefault="000D2D85">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7" w14:textId="77777777" w:rsidR="003B5F50" w:rsidRDefault="003B5F5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9" w14:textId="77777777" w:rsidR="003B5F50" w:rsidRDefault="003B5F5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A" w14:textId="77777777" w:rsidR="003B5F50" w:rsidRDefault="000D2D85">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9" w14:textId="77777777" w:rsidR="003B5F50" w:rsidRDefault="003B5F5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B" w14:textId="77777777" w:rsidR="003B5F50" w:rsidRDefault="003B5F5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C" w14:textId="77777777" w:rsidR="003B5F50" w:rsidRDefault="000D2D85">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B" w14:textId="77777777" w:rsidR="003B5F50" w:rsidRDefault="003B5F5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D" w14:textId="77777777" w:rsidR="003B5F50" w:rsidRDefault="003B5F5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E" w14:textId="77777777" w:rsidR="003B5F50" w:rsidRDefault="000D2D85">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8D" w14:textId="77777777" w:rsidR="003B5F50" w:rsidRDefault="003B5F5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8F" w14:textId="77777777" w:rsidR="003B5F50" w:rsidRDefault="003B5F5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90" w14:textId="77777777" w:rsidR="003B5F50" w:rsidRDefault="000D2D85">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9F" w14:textId="77777777" w:rsidR="003B5F50" w:rsidRDefault="003B5F5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1" w14:textId="77777777" w:rsidR="003B5F50" w:rsidRDefault="003B5F5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2" w14:textId="77777777" w:rsidR="003B5F50" w:rsidRDefault="000D2D85">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1" w14:textId="77777777" w:rsidR="003B5F50" w:rsidRDefault="003B5F5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3" w14:textId="77777777" w:rsidR="003B5F50" w:rsidRDefault="003B5F5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4" w14:textId="77777777" w:rsidR="003B5F50" w:rsidRDefault="000D2D85">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3" w14:textId="77777777" w:rsidR="003B5F50" w:rsidRDefault="003B5F5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5" w14:textId="77777777" w:rsidR="003B5F50" w:rsidRDefault="003B5F5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6" w14:textId="77777777" w:rsidR="003B5F50" w:rsidRDefault="000D2D85">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5" w14:textId="77777777" w:rsidR="003B5F50" w:rsidRDefault="003B5F5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7" w14:textId="77777777" w:rsidR="003B5F50" w:rsidRDefault="003B5F5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8" w14:textId="77777777" w:rsidR="003B5F50" w:rsidRDefault="000D2D85">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7" w14:textId="77777777" w:rsidR="003B5F50" w:rsidRDefault="003B5F5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9" w14:textId="77777777" w:rsidR="003B5F50" w:rsidRDefault="003B5F5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A" w14:textId="77777777" w:rsidR="003B5F50" w:rsidRDefault="000D2D85">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9" w14:textId="77777777" w:rsidR="003B5F50" w:rsidRDefault="003B5F50">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B" w14:textId="77777777" w:rsidR="003B5F50" w:rsidRDefault="003B5F50">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C" w14:textId="77777777" w:rsidR="003B5F50" w:rsidRDefault="000D2D85">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B" w14:textId="77777777" w:rsidR="003B5F50" w:rsidRDefault="003B5F50">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D" w14:textId="77777777" w:rsidR="003B5F50" w:rsidRDefault="003B5F50">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E" w14:textId="77777777" w:rsidR="003B5F50" w:rsidRDefault="000D2D85">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1D" w14:textId="77777777" w:rsidR="003B5F50" w:rsidRDefault="003B5F50">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1F" w14:textId="77777777" w:rsidR="003B5F50" w:rsidRDefault="003B5F50">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20" w14:textId="77777777" w:rsidR="003B5F50" w:rsidRDefault="000D2D85">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2F" w14:textId="77777777" w:rsidR="003B5F50" w:rsidRDefault="003B5F50">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1" w14:textId="77777777" w:rsidR="003B5F50" w:rsidRDefault="003B5F5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2" w14:textId="77777777" w:rsidR="003B5F50" w:rsidRDefault="000D2D85">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1" w14:textId="77777777" w:rsidR="003B5F50" w:rsidRDefault="003B5F50">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3" w14:textId="77777777" w:rsidR="003B5F50" w:rsidRDefault="003B5F50">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4" w14:textId="77777777" w:rsidR="003B5F50" w:rsidRDefault="000D2D85">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3" w14:textId="77777777" w:rsidR="003B5F50" w:rsidRDefault="003B5F50">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5" w14:textId="77777777" w:rsidR="003B5F50" w:rsidRDefault="003B5F50">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6" w14:textId="77777777" w:rsidR="003B5F50" w:rsidRDefault="000D2D85">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5" w14:textId="77777777" w:rsidR="003B5F50" w:rsidRDefault="003B5F50">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7" w14:textId="77777777" w:rsidR="003B5F50" w:rsidRDefault="003B5F50">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8" w14:textId="77777777" w:rsidR="003B5F50" w:rsidRDefault="000D2D85">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7" w14:textId="77777777" w:rsidR="003B5F50" w:rsidRDefault="003B5F50">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9" w14:textId="77777777" w:rsidR="003B5F50" w:rsidRDefault="003B5F50">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A" w14:textId="77777777" w:rsidR="003B5F50" w:rsidRDefault="000D2D85">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9" w14:textId="77777777" w:rsidR="003B5F50" w:rsidRDefault="003B5F50">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B" w14:textId="77777777" w:rsidR="003B5F50" w:rsidRDefault="003B5F50">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C" w14:textId="77777777" w:rsidR="003B5F50" w:rsidRDefault="000D2D85">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B" w14:textId="77777777" w:rsidR="003B5F50" w:rsidRDefault="003B5F50">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D" w14:textId="77777777" w:rsidR="003B5F50" w:rsidRDefault="003B5F50">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E" w14:textId="77777777" w:rsidR="003B5F50" w:rsidRDefault="000D2D85">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AD" w14:textId="77777777" w:rsidR="003B5F50" w:rsidRDefault="003B5F50">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AF" w14:textId="77777777" w:rsidR="003B5F50" w:rsidRDefault="003B5F50">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B0" w14:textId="77777777" w:rsidR="003B5F50" w:rsidRDefault="000D2D85">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BF" w14:textId="77777777" w:rsidR="003B5F50" w:rsidRDefault="003B5F50">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1" w14:textId="77777777" w:rsidR="003B5F50" w:rsidRDefault="003B5F50">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2" w14:textId="77777777" w:rsidR="003B5F50" w:rsidRDefault="000D2D85">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D1" w14:textId="77777777" w:rsidR="003B5F50" w:rsidRDefault="003B5F50">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E9" w14:textId="77777777" w:rsidR="003B5F50" w:rsidRDefault="003B5F50">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EA" w14:textId="77777777" w:rsidR="003B5F50" w:rsidRDefault="000D2D85">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9" w14:textId="77777777" w:rsidR="003B5F50" w:rsidRDefault="003B5F50">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7F68D" w14:textId="77777777" w:rsidR="003B5F50" w:rsidRDefault="000D2D85">
    <w:r>
      <w:t>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B" w14:textId="77777777" w:rsidR="003B5F50" w:rsidRDefault="003B5F50">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C" w14:textId="77777777" w:rsidR="003B5F50" w:rsidRDefault="000D2D85">
    <w:r>
      <w:t> </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B" w14:textId="77777777" w:rsidR="003B5F50" w:rsidRDefault="003B5F50">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D" w14:textId="77777777" w:rsidR="003B5F50" w:rsidRDefault="003B5F50">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E6CCC" w14:textId="77777777" w:rsidR="003B5F50" w:rsidRDefault="000D2D85">
    <w:r>
      <w:t> </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F" w14:textId="77777777" w:rsidR="003B5F50" w:rsidRDefault="003B5F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5413E96"/>
    <w:multiLevelType w:val="hybridMultilevel"/>
    <w:tmpl w:val="A15CF8C8"/>
    <w:lvl w:ilvl="0" w:tplc="69A2FF08">
      <w:start w:val="17"/>
      <w:numFmt w:val="bullet"/>
      <w:lvlText w:val="-"/>
      <w:lvlJc w:val="left"/>
      <w:pPr>
        <w:ind w:left="1210" w:hanging="360"/>
      </w:pPr>
      <w:rPr>
        <w:rFonts w:ascii="Times New Roman" w:eastAsia="Times New Roman" w:hAnsi="Times New Roman" w:cs="Times New Roman" w:hint="default"/>
      </w:rPr>
    </w:lvl>
    <w:lvl w:ilvl="1" w:tplc="080C0003">
      <w:start w:val="1"/>
      <w:numFmt w:val="bullet"/>
      <w:lvlText w:val="o"/>
      <w:lvlJc w:val="left"/>
      <w:pPr>
        <w:ind w:left="1930" w:hanging="360"/>
      </w:pPr>
      <w:rPr>
        <w:rFonts w:ascii="Courier New" w:hAnsi="Courier New" w:cs="Courier New" w:hint="default"/>
      </w:rPr>
    </w:lvl>
    <w:lvl w:ilvl="2" w:tplc="080C0005" w:tentative="1">
      <w:start w:val="1"/>
      <w:numFmt w:val="bullet"/>
      <w:lvlText w:val=""/>
      <w:lvlJc w:val="left"/>
      <w:pPr>
        <w:ind w:left="2650" w:hanging="360"/>
      </w:pPr>
      <w:rPr>
        <w:rFonts w:ascii="Wingdings" w:hAnsi="Wingdings" w:hint="default"/>
      </w:rPr>
    </w:lvl>
    <w:lvl w:ilvl="3" w:tplc="080C0001" w:tentative="1">
      <w:start w:val="1"/>
      <w:numFmt w:val="bullet"/>
      <w:lvlText w:val=""/>
      <w:lvlJc w:val="left"/>
      <w:pPr>
        <w:ind w:left="3370" w:hanging="360"/>
      </w:pPr>
      <w:rPr>
        <w:rFonts w:ascii="Symbol" w:hAnsi="Symbol" w:hint="default"/>
      </w:rPr>
    </w:lvl>
    <w:lvl w:ilvl="4" w:tplc="080C0003" w:tentative="1">
      <w:start w:val="1"/>
      <w:numFmt w:val="bullet"/>
      <w:lvlText w:val="o"/>
      <w:lvlJc w:val="left"/>
      <w:pPr>
        <w:ind w:left="4090" w:hanging="360"/>
      </w:pPr>
      <w:rPr>
        <w:rFonts w:ascii="Courier New" w:hAnsi="Courier New" w:cs="Courier New" w:hint="default"/>
      </w:rPr>
    </w:lvl>
    <w:lvl w:ilvl="5" w:tplc="080C0005" w:tentative="1">
      <w:start w:val="1"/>
      <w:numFmt w:val="bullet"/>
      <w:lvlText w:val=""/>
      <w:lvlJc w:val="left"/>
      <w:pPr>
        <w:ind w:left="4810" w:hanging="360"/>
      </w:pPr>
      <w:rPr>
        <w:rFonts w:ascii="Wingdings" w:hAnsi="Wingdings" w:hint="default"/>
      </w:rPr>
    </w:lvl>
    <w:lvl w:ilvl="6" w:tplc="080C0001" w:tentative="1">
      <w:start w:val="1"/>
      <w:numFmt w:val="bullet"/>
      <w:lvlText w:val=""/>
      <w:lvlJc w:val="left"/>
      <w:pPr>
        <w:ind w:left="5530" w:hanging="360"/>
      </w:pPr>
      <w:rPr>
        <w:rFonts w:ascii="Symbol" w:hAnsi="Symbol" w:hint="default"/>
      </w:rPr>
    </w:lvl>
    <w:lvl w:ilvl="7" w:tplc="080C0003" w:tentative="1">
      <w:start w:val="1"/>
      <w:numFmt w:val="bullet"/>
      <w:lvlText w:val="o"/>
      <w:lvlJc w:val="left"/>
      <w:pPr>
        <w:ind w:left="6250" w:hanging="360"/>
      </w:pPr>
      <w:rPr>
        <w:rFonts w:ascii="Courier New" w:hAnsi="Courier New" w:cs="Courier New" w:hint="default"/>
      </w:rPr>
    </w:lvl>
    <w:lvl w:ilvl="8" w:tplc="080C0005" w:tentative="1">
      <w:start w:val="1"/>
      <w:numFmt w:val="bullet"/>
      <w:lvlText w:val=""/>
      <w:lvlJc w:val="left"/>
      <w:pPr>
        <w:ind w:left="6970" w:hanging="360"/>
      </w:pPr>
      <w:rPr>
        <w:rFonts w:ascii="Wingdings" w:hAnsi="Wingdings" w:hint="default"/>
      </w:rPr>
    </w:lvl>
  </w:abstractNum>
  <w:abstractNum w:abstractNumId="9" w15:restartNumberingAfterBreak="0">
    <w:nsid w:val="12088B0D"/>
    <w:multiLevelType w:val="hybridMultilevel"/>
    <w:tmpl w:val="105E3D28"/>
    <w:lvl w:ilvl="0" w:tplc="70DE9722">
      <w:start w:val="1"/>
      <w:numFmt w:val="bullet"/>
      <w:lvlText w:val="-"/>
      <w:lvlJc w:val="left"/>
      <w:pPr>
        <w:ind w:left="720" w:hanging="360"/>
      </w:pPr>
      <w:rPr>
        <w:rFonts w:ascii="Aptos" w:hAnsi="Aptos" w:hint="default"/>
      </w:rPr>
    </w:lvl>
    <w:lvl w:ilvl="1" w:tplc="78060006">
      <w:start w:val="1"/>
      <w:numFmt w:val="bullet"/>
      <w:lvlText w:val="o"/>
      <w:lvlJc w:val="left"/>
      <w:pPr>
        <w:ind w:left="1440" w:hanging="360"/>
      </w:pPr>
      <w:rPr>
        <w:rFonts w:ascii="Courier New" w:hAnsi="Courier New" w:hint="default"/>
      </w:rPr>
    </w:lvl>
    <w:lvl w:ilvl="2" w:tplc="4852DF50">
      <w:start w:val="1"/>
      <w:numFmt w:val="bullet"/>
      <w:lvlText w:val=""/>
      <w:lvlJc w:val="left"/>
      <w:pPr>
        <w:ind w:left="2160" w:hanging="360"/>
      </w:pPr>
      <w:rPr>
        <w:rFonts w:ascii="Wingdings" w:hAnsi="Wingdings" w:hint="default"/>
      </w:rPr>
    </w:lvl>
    <w:lvl w:ilvl="3" w:tplc="B714F7CA">
      <w:start w:val="1"/>
      <w:numFmt w:val="bullet"/>
      <w:lvlText w:val=""/>
      <w:lvlJc w:val="left"/>
      <w:pPr>
        <w:ind w:left="2880" w:hanging="360"/>
      </w:pPr>
      <w:rPr>
        <w:rFonts w:ascii="Symbol" w:hAnsi="Symbol" w:hint="default"/>
      </w:rPr>
    </w:lvl>
    <w:lvl w:ilvl="4" w:tplc="99D4093C">
      <w:start w:val="1"/>
      <w:numFmt w:val="bullet"/>
      <w:lvlText w:val="o"/>
      <w:lvlJc w:val="left"/>
      <w:pPr>
        <w:ind w:left="3600" w:hanging="360"/>
      </w:pPr>
      <w:rPr>
        <w:rFonts w:ascii="Courier New" w:hAnsi="Courier New" w:hint="default"/>
      </w:rPr>
    </w:lvl>
    <w:lvl w:ilvl="5" w:tplc="C6207786">
      <w:start w:val="1"/>
      <w:numFmt w:val="bullet"/>
      <w:lvlText w:val=""/>
      <w:lvlJc w:val="left"/>
      <w:pPr>
        <w:ind w:left="4320" w:hanging="360"/>
      </w:pPr>
      <w:rPr>
        <w:rFonts w:ascii="Wingdings" w:hAnsi="Wingdings" w:hint="default"/>
      </w:rPr>
    </w:lvl>
    <w:lvl w:ilvl="6" w:tplc="BCF6A248">
      <w:start w:val="1"/>
      <w:numFmt w:val="bullet"/>
      <w:lvlText w:val=""/>
      <w:lvlJc w:val="left"/>
      <w:pPr>
        <w:ind w:left="5040" w:hanging="360"/>
      </w:pPr>
      <w:rPr>
        <w:rFonts w:ascii="Symbol" w:hAnsi="Symbol" w:hint="default"/>
      </w:rPr>
    </w:lvl>
    <w:lvl w:ilvl="7" w:tplc="1616D106">
      <w:start w:val="1"/>
      <w:numFmt w:val="bullet"/>
      <w:lvlText w:val="o"/>
      <w:lvlJc w:val="left"/>
      <w:pPr>
        <w:ind w:left="5760" w:hanging="360"/>
      </w:pPr>
      <w:rPr>
        <w:rFonts w:ascii="Courier New" w:hAnsi="Courier New" w:hint="default"/>
      </w:rPr>
    </w:lvl>
    <w:lvl w:ilvl="8" w:tplc="68CCE6CA">
      <w:start w:val="1"/>
      <w:numFmt w:val="bullet"/>
      <w:lvlText w:val=""/>
      <w:lvlJc w:val="left"/>
      <w:pPr>
        <w:ind w:left="6480" w:hanging="360"/>
      </w:pPr>
      <w:rPr>
        <w:rFonts w:ascii="Wingdings" w:hAnsi="Wingdings" w:hint="default"/>
      </w:rPr>
    </w:lvl>
  </w:abstractNum>
  <w:abstractNum w:abstractNumId="10" w15:restartNumberingAfterBreak="0">
    <w:nsid w:val="13611520"/>
    <w:multiLevelType w:val="multilevel"/>
    <w:tmpl w:val="37122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42A46A6"/>
    <w:multiLevelType w:val="multilevel"/>
    <w:tmpl w:val="2B640CA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49F4B36"/>
    <w:multiLevelType w:val="hybridMultilevel"/>
    <w:tmpl w:val="4CC82E6A"/>
    <w:lvl w:ilvl="0" w:tplc="0D26D28C">
      <w:start w:val="1"/>
      <w:numFmt w:val="bullet"/>
      <w:lvlText w:val=""/>
      <w:lvlJc w:val="left"/>
      <w:pPr>
        <w:ind w:left="720" w:hanging="360"/>
      </w:pPr>
      <w:rPr>
        <w:rFonts w:ascii="Symbol" w:hAnsi="Symbol" w:hint="default"/>
      </w:rPr>
    </w:lvl>
    <w:lvl w:ilvl="1" w:tplc="F2C2AAEA" w:tentative="1">
      <w:start w:val="1"/>
      <w:numFmt w:val="bullet"/>
      <w:lvlText w:val="o"/>
      <w:lvlJc w:val="left"/>
      <w:pPr>
        <w:ind w:left="1440" w:hanging="360"/>
      </w:pPr>
      <w:rPr>
        <w:rFonts w:ascii="Courier New" w:hAnsi="Courier New" w:hint="default"/>
      </w:rPr>
    </w:lvl>
    <w:lvl w:ilvl="2" w:tplc="6882DFCE" w:tentative="1">
      <w:start w:val="1"/>
      <w:numFmt w:val="bullet"/>
      <w:lvlText w:val=""/>
      <w:lvlJc w:val="left"/>
      <w:pPr>
        <w:ind w:left="2160" w:hanging="360"/>
      </w:pPr>
      <w:rPr>
        <w:rFonts w:ascii="Wingdings" w:hAnsi="Wingdings" w:hint="default"/>
      </w:rPr>
    </w:lvl>
    <w:lvl w:ilvl="3" w:tplc="98B84A9C" w:tentative="1">
      <w:start w:val="1"/>
      <w:numFmt w:val="bullet"/>
      <w:lvlText w:val=""/>
      <w:lvlJc w:val="left"/>
      <w:pPr>
        <w:ind w:left="2880" w:hanging="360"/>
      </w:pPr>
      <w:rPr>
        <w:rFonts w:ascii="Symbol" w:hAnsi="Symbol" w:hint="default"/>
      </w:rPr>
    </w:lvl>
    <w:lvl w:ilvl="4" w:tplc="BDC0105A" w:tentative="1">
      <w:start w:val="1"/>
      <w:numFmt w:val="bullet"/>
      <w:lvlText w:val="o"/>
      <w:lvlJc w:val="left"/>
      <w:pPr>
        <w:ind w:left="3600" w:hanging="360"/>
      </w:pPr>
      <w:rPr>
        <w:rFonts w:ascii="Courier New" w:hAnsi="Courier New" w:hint="default"/>
      </w:rPr>
    </w:lvl>
    <w:lvl w:ilvl="5" w:tplc="BCDCCF42" w:tentative="1">
      <w:start w:val="1"/>
      <w:numFmt w:val="bullet"/>
      <w:lvlText w:val=""/>
      <w:lvlJc w:val="left"/>
      <w:pPr>
        <w:ind w:left="4320" w:hanging="360"/>
      </w:pPr>
      <w:rPr>
        <w:rFonts w:ascii="Wingdings" w:hAnsi="Wingdings" w:hint="default"/>
      </w:rPr>
    </w:lvl>
    <w:lvl w:ilvl="6" w:tplc="AAEA60CC" w:tentative="1">
      <w:start w:val="1"/>
      <w:numFmt w:val="bullet"/>
      <w:lvlText w:val=""/>
      <w:lvlJc w:val="left"/>
      <w:pPr>
        <w:ind w:left="5040" w:hanging="360"/>
      </w:pPr>
      <w:rPr>
        <w:rFonts w:ascii="Symbol" w:hAnsi="Symbol" w:hint="default"/>
      </w:rPr>
    </w:lvl>
    <w:lvl w:ilvl="7" w:tplc="D520B1D2" w:tentative="1">
      <w:start w:val="1"/>
      <w:numFmt w:val="bullet"/>
      <w:lvlText w:val="o"/>
      <w:lvlJc w:val="left"/>
      <w:pPr>
        <w:ind w:left="5760" w:hanging="360"/>
      </w:pPr>
      <w:rPr>
        <w:rFonts w:ascii="Courier New" w:hAnsi="Courier New" w:hint="default"/>
      </w:rPr>
    </w:lvl>
    <w:lvl w:ilvl="8" w:tplc="31F88610" w:tentative="1">
      <w:start w:val="1"/>
      <w:numFmt w:val="bullet"/>
      <w:lvlText w:val=""/>
      <w:lvlJc w:val="left"/>
      <w:pPr>
        <w:ind w:left="6480" w:hanging="360"/>
      </w:pPr>
      <w:rPr>
        <w:rFonts w:ascii="Wingdings" w:hAnsi="Wingdings" w:hint="default"/>
      </w:rPr>
    </w:lvl>
  </w:abstractNum>
  <w:abstractNum w:abstractNumId="13" w15:restartNumberingAfterBreak="0">
    <w:nsid w:val="198070B8"/>
    <w:multiLevelType w:val="hybridMultilevel"/>
    <w:tmpl w:val="D508194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1A31FF46"/>
    <w:multiLevelType w:val="hybridMultilevel"/>
    <w:tmpl w:val="F154B170"/>
    <w:lvl w:ilvl="0" w:tplc="90B4E148">
      <w:start w:val="1"/>
      <w:numFmt w:val="bullet"/>
      <w:lvlText w:val="·"/>
      <w:lvlJc w:val="left"/>
      <w:pPr>
        <w:ind w:left="720" w:hanging="360"/>
      </w:pPr>
      <w:rPr>
        <w:rFonts w:ascii="Symbol" w:hAnsi="Symbol" w:hint="default"/>
      </w:rPr>
    </w:lvl>
    <w:lvl w:ilvl="1" w:tplc="294CA6EA">
      <w:start w:val="1"/>
      <w:numFmt w:val="bullet"/>
      <w:lvlText w:val="o"/>
      <w:lvlJc w:val="left"/>
      <w:pPr>
        <w:ind w:left="1440" w:hanging="360"/>
      </w:pPr>
      <w:rPr>
        <w:rFonts w:ascii="Courier New" w:hAnsi="Courier New" w:hint="default"/>
      </w:rPr>
    </w:lvl>
    <w:lvl w:ilvl="2" w:tplc="C8761220">
      <w:start w:val="1"/>
      <w:numFmt w:val="bullet"/>
      <w:lvlText w:val=""/>
      <w:lvlJc w:val="left"/>
      <w:pPr>
        <w:ind w:left="2160" w:hanging="360"/>
      </w:pPr>
      <w:rPr>
        <w:rFonts w:ascii="Wingdings" w:hAnsi="Wingdings" w:hint="default"/>
      </w:rPr>
    </w:lvl>
    <w:lvl w:ilvl="3" w:tplc="B404742C">
      <w:start w:val="1"/>
      <w:numFmt w:val="bullet"/>
      <w:lvlText w:val=""/>
      <w:lvlJc w:val="left"/>
      <w:pPr>
        <w:ind w:left="2880" w:hanging="360"/>
      </w:pPr>
      <w:rPr>
        <w:rFonts w:ascii="Symbol" w:hAnsi="Symbol" w:hint="default"/>
      </w:rPr>
    </w:lvl>
    <w:lvl w:ilvl="4" w:tplc="317CA9BE">
      <w:start w:val="1"/>
      <w:numFmt w:val="bullet"/>
      <w:lvlText w:val="o"/>
      <w:lvlJc w:val="left"/>
      <w:pPr>
        <w:ind w:left="3600" w:hanging="360"/>
      </w:pPr>
      <w:rPr>
        <w:rFonts w:ascii="Courier New" w:hAnsi="Courier New" w:hint="default"/>
      </w:rPr>
    </w:lvl>
    <w:lvl w:ilvl="5" w:tplc="6B949F3C">
      <w:start w:val="1"/>
      <w:numFmt w:val="bullet"/>
      <w:lvlText w:val=""/>
      <w:lvlJc w:val="left"/>
      <w:pPr>
        <w:ind w:left="4320" w:hanging="360"/>
      </w:pPr>
      <w:rPr>
        <w:rFonts w:ascii="Wingdings" w:hAnsi="Wingdings" w:hint="default"/>
      </w:rPr>
    </w:lvl>
    <w:lvl w:ilvl="6" w:tplc="3984F9C0">
      <w:start w:val="1"/>
      <w:numFmt w:val="bullet"/>
      <w:lvlText w:val=""/>
      <w:lvlJc w:val="left"/>
      <w:pPr>
        <w:ind w:left="5040" w:hanging="360"/>
      </w:pPr>
      <w:rPr>
        <w:rFonts w:ascii="Symbol" w:hAnsi="Symbol" w:hint="default"/>
      </w:rPr>
    </w:lvl>
    <w:lvl w:ilvl="7" w:tplc="D74AF048">
      <w:start w:val="1"/>
      <w:numFmt w:val="bullet"/>
      <w:lvlText w:val="o"/>
      <w:lvlJc w:val="left"/>
      <w:pPr>
        <w:ind w:left="5760" w:hanging="360"/>
      </w:pPr>
      <w:rPr>
        <w:rFonts w:ascii="Courier New" w:hAnsi="Courier New" w:hint="default"/>
      </w:rPr>
    </w:lvl>
    <w:lvl w:ilvl="8" w:tplc="C3AE735A">
      <w:start w:val="1"/>
      <w:numFmt w:val="bullet"/>
      <w:lvlText w:val=""/>
      <w:lvlJc w:val="left"/>
      <w:pPr>
        <w:ind w:left="6480" w:hanging="360"/>
      </w:pPr>
      <w:rPr>
        <w:rFonts w:ascii="Wingdings" w:hAnsi="Wingdings" w:hint="default"/>
      </w:rPr>
    </w:lvl>
  </w:abstractNum>
  <w:abstractNum w:abstractNumId="15"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1F529962"/>
    <w:multiLevelType w:val="hybridMultilevel"/>
    <w:tmpl w:val="134CBD8A"/>
    <w:lvl w:ilvl="0" w:tplc="FA3C90D8">
      <w:start w:val="1"/>
      <w:numFmt w:val="bullet"/>
      <w:lvlText w:val="-"/>
      <w:lvlJc w:val="left"/>
      <w:pPr>
        <w:ind w:left="720" w:hanging="360"/>
      </w:pPr>
      <w:rPr>
        <w:rFonts w:ascii="Aptos" w:hAnsi="Aptos" w:hint="default"/>
      </w:rPr>
    </w:lvl>
    <w:lvl w:ilvl="1" w:tplc="466C003C">
      <w:start w:val="1"/>
      <w:numFmt w:val="bullet"/>
      <w:lvlText w:val="o"/>
      <w:lvlJc w:val="left"/>
      <w:pPr>
        <w:ind w:left="1440" w:hanging="360"/>
      </w:pPr>
      <w:rPr>
        <w:rFonts w:ascii="Courier New" w:hAnsi="Courier New" w:hint="default"/>
      </w:rPr>
    </w:lvl>
    <w:lvl w:ilvl="2" w:tplc="34C83332">
      <w:start w:val="1"/>
      <w:numFmt w:val="bullet"/>
      <w:lvlText w:val=""/>
      <w:lvlJc w:val="left"/>
      <w:pPr>
        <w:ind w:left="2160" w:hanging="360"/>
      </w:pPr>
      <w:rPr>
        <w:rFonts w:ascii="Wingdings" w:hAnsi="Wingdings" w:hint="default"/>
      </w:rPr>
    </w:lvl>
    <w:lvl w:ilvl="3" w:tplc="8F508B7A">
      <w:start w:val="1"/>
      <w:numFmt w:val="bullet"/>
      <w:lvlText w:val=""/>
      <w:lvlJc w:val="left"/>
      <w:pPr>
        <w:ind w:left="2880" w:hanging="360"/>
      </w:pPr>
      <w:rPr>
        <w:rFonts w:ascii="Symbol" w:hAnsi="Symbol" w:hint="default"/>
      </w:rPr>
    </w:lvl>
    <w:lvl w:ilvl="4" w:tplc="658C491A">
      <w:start w:val="1"/>
      <w:numFmt w:val="bullet"/>
      <w:lvlText w:val="o"/>
      <w:lvlJc w:val="left"/>
      <w:pPr>
        <w:ind w:left="3600" w:hanging="360"/>
      </w:pPr>
      <w:rPr>
        <w:rFonts w:ascii="Courier New" w:hAnsi="Courier New" w:hint="default"/>
      </w:rPr>
    </w:lvl>
    <w:lvl w:ilvl="5" w:tplc="FEACB7FA">
      <w:start w:val="1"/>
      <w:numFmt w:val="bullet"/>
      <w:lvlText w:val=""/>
      <w:lvlJc w:val="left"/>
      <w:pPr>
        <w:ind w:left="4320" w:hanging="360"/>
      </w:pPr>
      <w:rPr>
        <w:rFonts w:ascii="Wingdings" w:hAnsi="Wingdings" w:hint="default"/>
      </w:rPr>
    </w:lvl>
    <w:lvl w:ilvl="6" w:tplc="6F4E65A8">
      <w:start w:val="1"/>
      <w:numFmt w:val="bullet"/>
      <w:lvlText w:val=""/>
      <w:lvlJc w:val="left"/>
      <w:pPr>
        <w:ind w:left="5040" w:hanging="360"/>
      </w:pPr>
      <w:rPr>
        <w:rFonts w:ascii="Symbol" w:hAnsi="Symbol" w:hint="default"/>
      </w:rPr>
    </w:lvl>
    <w:lvl w:ilvl="7" w:tplc="49C09F66">
      <w:start w:val="1"/>
      <w:numFmt w:val="bullet"/>
      <w:lvlText w:val="o"/>
      <w:lvlJc w:val="left"/>
      <w:pPr>
        <w:ind w:left="5760" w:hanging="360"/>
      </w:pPr>
      <w:rPr>
        <w:rFonts w:ascii="Courier New" w:hAnsi="Courier New" w:hint="default"/>
      </w:rPr>
    </w:lvl>
    <w:lvl w:ilvl="8" w:tplc="758A9A2E">
      <w:start w:val="1"/>
      <w:numFmt w:val="bullet"/>
      <w:lvlText w:val=""/>
      <w:lvlJc w:val="left"/>
      <w:pPr>
        <w:ind w:left="6480" w:hanging="360"/>
      </w:pPr>
      <w:rPr>
        <w:rFonts w:ascii="Wingdings" w:hAnsi="Wingdings" w:hint="default"/>
      </w:rPr>
    </w:lvl>
  </w:abstractNum>
  <w:abstractNum w:abstractNumId="17" w15:restartNumberingAfterBreak="0">
    <w:nsid w:val="22BCAF4B"/>
    <w:multiLevelType w:val="hybridMultilevel"/>
    <w:tmpl w:val="FFFFFFFF"/>
    <w:lvl w:ilvl="0" w:tplc="8A12581A">
      <w:start w:val="1"/>
      <w:numFmt w:val="bullet"/>
      <w:lvlText w:val=""/>
      <w:lvlJc w:val="left"/>
      <w:pPr>
        <w:ind w:left="360" w:hanging="360"/>
      </w:pPr>
      <w:rPr>
        <w:rFonts w:ascii="Symbol" w:hAnsi="Symbol" w:hint="default"/>
      </w:rPr>
    </w:lvl>
    <w:lvl w:ilvl="1" w:tplc="3FC49EA0">
      <w:start w:val="1"/>
      <w:numFmt w:val="bullet"/>
      <w:lvlText w:val="o"/>
      <w:lvlJc w:val="left"/>
      <w:pPr>
        <w:ind w:left="1440" w:hanging="360"/>
      </w:pPr>
      <w:rPr>
        <w:rFonts w:ascii="Courier New" w:hAnsi="Courier New" w:hint="default"/>
      </w:rPr>
    </w:lvl>
    <w:lvl w:ilvl="2" w:tplc="D8C20C14">
      <w:start w:val="1"/>
      <w:numFmt w:val="bullet"/>
      <w:lvlText w:val=""/>
      <w:lvlJc w:val="left"/>
      <w:pPr>
        <w:ind w:left="2160" w:hanging="360"/>
      </w:pPr>
      <w:rPr>
        <w:rFonts w:ascii="Wingdings" w:hAnsi="Wingdings" w:hint="default"/>
      </w:rPr>
    </w:lvl>
    <w:lvl w:ilvl="3" w:tplc="AB50CFAA">
      <w:start w:val="1"/>
      <w:numFmt w:val="bullet"/>
      <w:lvlText w:val=""/>
      <w:lvlJc w:val="left"/>
      <w:pPr>
        <w:ind w:left="2880" w:hanging="360"/>
      </w:pPr>
      <w:rPr>
        <w:rFonts w:ascii="Symbol" w:hAnsi="Symbol" w:hint="default"/>
      </w:rPr>
    </w:lvl>
    <w:lvl w:ilvl="4" w:tplc="43744978">
      <w:start w:val="1"/>
      <w:numFmt w:val="bullet"/>
      <w:lvlText w:val="o"/>
      <w:lvlJc w:val="left"/>
      <w:pPr>
        <w:ind w:left="3600" w:hanging="360"/>
      </w:pPr>
      <w:rPr>
        <w:rFonts w:ascii="Courier New" w:hAnsi="Courier New" w:hint="default"/>
      </w:rPr>
    </w:lvl>
    <w:lvl w:ilvl="5" w:tplc="E6CA9A2A">
      <w:start w:val="1"/>
      <w:numFmt w:val="bullet"/>
      <w:lvlText w:val=""/>
      <w:lvlJc w:val="left"/>
      <w:pPr>
        <w:ind w:left="4320" w:hanging="360"/>
      </w:pPr>
      <w:rPr>
        <w:rFonts w:ascii="Wingdings" w:hAnsi="Wingdings" w:hint="default"/>
      </w:rPr>
    </w:lvl>
    <w:lvl w:ilvl="6" w:tplc="CA1E902A">
      <w:start w:val="1"/>
      <w:numFmt w:val="bullet"/>
      <w:lvlText w:val=""/>
      <w:lvlJc w:val="left"/>
      <w:pPr>
        <w:ind w:left="5040" w:hanging="360"/>
      </w:pPr>
      <w:rPr>
        <w:rFonts w:ascii="Symbol" w:hAnsi="Symbol" w:hint="default"/>
      </w:rPr>
    </w:lvl>
    <w:lvl w:ilvl="7" w:tplc="2E20C646">
      <w:start w:val="1"/>
      <w:numFmt w:val="bullet"/>
      <w:lvlText w:val="o"/>
      <w:lvlJc w:val="left"/>
      <w:pPr>
        <w:ind w:left="5760" w:hanging="360"/>
      </w:pPr>
      <w:rPr>
        <w:rFonts w:ascii="Courier New" w:hAnsi="Courier New" w:hint="default"/>
      </w:rPr>
    </w:lvl>
    <w:lvl w:ilvl="8" w:tplc="F36406D2">
      <w:start w:val="1"/>
      <w:numFmt w:val="bullet"/>
      <w:lvlText w:val=""/>
      <w:lvlJc w:val="left"/>
      <w:pPr>
        <w:ind w:left="6480" w:hanging="360"/>
      </w:pPr>
      <w:rPr>
        <w:rFonts w:ascii="Wingdings" w:hAnsi="Wingdings" w:hint="default"/>
      </w:rPr>
    </w:lvl>
  </w:abstractNum>
  <w:abstractNum w:abstractNumId="18" w15:restartNumberingAfterBreak="0">
    <w:nsid w:val="22E44180"/>
    <w:multiLevelType w:val="multilevel"/>
    <w:tmpl w:val="DFC88CEC"/>
    <w:name w:val="NumPar"/>
    <w:lvl w:ilvl="0">
      <w:start w:val="1"/>
      <w:numFmt w:val="decimal"/>
      <w:lvlRestart w:val="0"/>
      <w:pStyle w:val="NumPar1"/>
      <w:lvlText w:val="%1."/>
      <w:lvlJc w:val="left"/>
      <w:pPr>
        <w:tabs>
          <w:tab w:val="num" w:pos="2550"/>
        </w:tabs>
        <w:ind w:left="2550" w:hanging="850"/>
      </w:pPr>
    </w:lvl>
    <w:lvl w:ilvl="1">
      <w:start w:val="1"/>
      <w:numFmt w:val="decimal"/>
      <w:pStyle w:val="NumPar2"/>
      <w:lvlText w:val="%1.%2."/>
      <w:lvlJc w:val="left"/>
      <w:pPr>
        <w:tabs>
          <w:tab w:val="num" w:pos="2550"/>
        </w:tabs>
        <w:ind w:left="2550" w:hanging="850"/>
      </w:pPr>
    </w:lvl>
    <w:lvl w:ilvl="2">
      <w:start w:val="1"/>
      <w:numFmt w:val="decimal"/>
      <w:pStyle w:val="NumPar3"/>
      <w:lvlText w:val="%1.%2.%3."/>
      <w:lvlJc w:val="left"/>
      <w:pPr>
        <w:tabs>
          <w:tab w:val="num" w:pos="2550"/>
        </w:tabs>
        <w:ind w:left="2550" w:hanging="850"/>
      </w:pPr>
    </w:lvl>
    <w:lvl w:ilvl="3">
      <w:start w:val="1"/>
      <w:numFmt w:val="decimal"/>
      <w:pStyle w:val="NumPar4"/>
      <w:lvlText w:val="%1.%2.%3.%4."/>
      <w:lvlJc w:val="left"/>
      <w:pPr>
        <w:tabs>
          <w:tab w:val="num" w:pos="2550"/>
        </w:tabs>
        <w:ind w:left="2550" w:hanging="850"/>
      </w:pPr>
    </w:lvl>
    <w:lvl w:ilvl="4">
      <w:start w:val="1"/>
      <w:numFmt w:val="lowerLetter"/>
      <w:lvlText w:val="(%5)"/>
      <w:lvlJc w:val="left"/>
      <w:pPr>
        <w:ind w:left="3500" w:hanging="360"/>
      </w:pPr>
    </w:lvl>
    <w:lvl w:ilvl="5">
      <w:start w:val="1"/>
      <w:numFmt w:val="lowerRoman"/>
      <w:lvlText w:val="(%6)"/>
      <w:lvlJc w:val="left"/>
      <w:pPr>
        <w:ind w:left="3860" w:hanging="360"/>
      </w:pPr>
    </w:lvl>
    <w:lvl w:ilvl="6">
      <w:start w:val="1"/>
      <w:numFmt w:val="decimal"/>
      <w:lvlText w:val="%7."/>
      <w:lvlJc w:val="left"/>
      <w:pPr>
        <w:ind w:left="4220" w:hanging="360"/>
      </w:pPr>
    </w:lvl>
    <w:lvl w:ilvl="7">
      <w:start w:val="1"/>
      <w:numFmt w:val="lowerLetter"/>
      <w:lvlText w:val="%8."/>
      <w:lvlJc w:val="left"/>
      <w:pPr>
        <w:ind w:left="4580" w:hanging="360"/>
      </w:pPr>
    </w:lvl>
    <w:lvl w:ilvl="8">
      <w:start w:val="1"/>
      <w:numFmt w:val="lowerRoman"/>
      <w:lvlText w:val="%9."/>
      <w:lvlJc w:val="left"/>
      <w:pPr>
        <w:ind w:left="4940" w:hanging="360"/>
      </w:pPr>
    </w:lvl>
  </w:abstractNum>
  <w:abstractNum w:abstractNumId="19" w15:restartNumberingAfterBreak="0">
    <w:nsid w:val="24CE2AD2"/>
    <w:multiLevelType w:val="multilevel"/>
    <w:tmpl w:val="F78414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976551C"/>
    <w:multiLevelType w:val="hybridMultilevel"/>
    <w:tmpl w:val="B0ECF862"/>
    <w:lvl w:ilvl="0" w:tplc="188AB77E">
      <w:start w:val="1"/>
      <w:numFmt w:val="bullet"/>
      <w:lvlText w:val="-"/>
      <w:lvlJc w:val="left"/>
      <w:pPr>
        <w:ind w:left="360" w:hanging="360"/>
      </w:pPr>
      <w:rPr>
        <w:rFonts w:ascii="Calibri" w:hAnsi="Calibri" w:hint="default"/>
      </w:rPr>
    </w:lvl>
    <w:lvl w:ilvl="1" w:tplc="0CEC3C24" w:tentative="1">
      <w:start w:val="1"/>
      <w:numFmt w:val="bullet"/>
      <w:lvlText w:val="o"/>
      <w:lvlJc w:val="left"/>
      <w:pPr>
        <w:ind w:left="1080" w:hanging="360"/>
      </w:pPr>
      <w:rPr>
        <w:rFonts w:ascii="Courier New" w:hAnsi="Courier New" w:hint="default"/>
      </w:rPr>
    </w:lvl>
    <w:lvl w:ilvl="2" w:tplc="98D84558" w:tentative="1">
      <w:start w:val="1"/>
      <w:numFmt w:val="bullet"/>
      <w:lvlText w:val=""/>
      <w:lvlJc w:val="left"/>
      <w:pPr>
        <w:ind w:left="1800" w:hanging="360"/>
      </w:pPr>
      <w:rPr>
        <w:rFonts w:ascii="Wingdings" w:hAnsi="Wingdings" w:hint="default"/>
      </w:rPr>
    </w:lvl>
    <w:lvl w:ilvl="3" w:tplc="B0202E8A" w:tentative="1">
      <w:start w:val="1"/>
      <w:numFmt w:val="bullet"/>
      <w:lvlText w:val=""/>
      <w:lvlJc w:val="left"/>
      <w:pPr>
        <w:ind w:left="2520" w:hanging="360"/>
      </w:pPr>
      <w:rPr>
        <w:rFonts w:ascii="Symbol" w:hAnsi="Symbol" w:hint="default"/>
      </w:rPr>
    </w:lvl>
    <w:lvl w:ilvl="4" w:tplc="EADC7EC6" w:tentative="1">
      <w:start w:val="1"/>
      <w:numFmt w:val="bullet"/>
      <w:lvlText w:val="o"/>
      <w:lvlJc w:val="left"/>
      <w:pPr>
        <w:ind w:left="3240" w:hanging="360"/>
      </w:pPr>
      <w:rPr>
        <w:rFonts w:ascii="Courier New" w:hAnsi="Courier New" w:hint="default"/>
      </w:rPr>
    </w:lvl>
    <w:lvl w:ilvl="5" w:tplc="FA14960C" w:tentative="1">
      <w:start w:val="1"/>
      <w:numFmt w:val="bullet"/>
      <w:lvlText w:val=""/>
      <w:lvlJc w:val="left"/>
      <w:pPr>
        <w:ind w:left="3960" w:hanging="360"/>
      </w:pPr>
      <w:rPr>
        <w:rFonts w:ascii="Wingdings" w:hAnsi="Wingdings" w:hint="default"/>
      </w:rPr>
    </w:lvl>
    <w:lvl w:ilvl="6" w:tplc="CD32AC96" w:tentative="1">
      <w:start w:val="1"/>
      <w:numFmt w:val="bullet"/>
      <w:lvlText w:val=""/>
      <w:lvlJc w:val="left"/>
      <w:pPr>
        <w:ind w:left="4680" w:hanging="360"/>
      </w:pPr>
      <w:rPr>
        <w:rFonts w:ascii="Symbol" w:hAnsi="Symbol" w:hint="default"/>
      </w:rPr>
    </w:lvl>
    <w:lvl w:ilvl="7" w:tplc="A166742E" w:tentative="1">
      <w:start w:val="1"/>
      <w:numFmt w:val="bullet"/>
      <w:lvlText w:val="o"/>
      <w:lvlJc w:val="left"/>
      <w:pPr>
        <w:ind w:left="5400" w:hanging="360"/>
      </w:pPr>
      <w:rPr>
        <w:rFonts w:ascii="Courier New" w:hAnsi="Courier New" w:hint="default"/>
      </w:rPr>
    </w:lvl>
    <w:lvl w:ilvl="8" w:tplc="7CB6B87E" w:tentative="1">
      <w:start w:val="1"/>
      <w:numFmt w:val="bullet"/>
      <w:lvlText w:val=""/>
      <w:lvlJc w:val="left"/>
      <w:pPr>
        <w:ind w:left="6120" w:hanging="360"/>
      </w:pPr>
      <w:rPr>
        <w:rFonts w:ascii="Wingdings" w:hAnsi="Wingdings" w:hint="default"/>
      </w:rPr>
    </w:lvl>
  </w:abstractNum>
  <w:abstractNum w:abstractNumId="21" w15:restartNumberingAfterBreak="0">
    <w:nsid w:val="2A373B8B"/>
    <w:multiLevelType w:val="multilevel"/>
    <w:tmpl w:val="FB72E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4" w15:restartNumberingAfterBreak="0">
    <w:nsid w:val="2DFB40FF"/>
    <w:multiLevelType w:val="hybridMultilevel"/>
    <w:tmpl w:val="62AA81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2481770"/>
    <w:multiLevelType w:val="hybridMultilevel"/>
    <w:tmpl w:val="301C24D6"/>
    <w:lvl w:ilvl="0" w:tplc="A0B24A7C">
      <w:start w:val="1"/>
      <w:numFmt w:val="bullet"/>
      <w:lvlText w:val="-"/>
      <w:lvlJc w:val="left"/>
      <w:pPr>
        <w:ind w:left="720" w:hanging="360"/>
      </w:pPr>
      <w:rPr>
        <w:rFonts w:ascii="Aptos" w:hAnsi="Aptos" w:hint="default"/>
      </w:rPr>
    </w:lvl>
    <w:lvl w:ilvl="1" w:tplc="D78CB722">
      <w:start w:val="1"/>
      <w:numFmt w:val="bullet"/>
      <w:lvlText w:val="o"/>
      <w:lvlJc w:val="left"/>
      <w:pPr>
        <w:ind w:left="1440" w:hanging="360"/>
      </w:pPr>
      <w:rPr>
        <w:rFonts w:ascii="Courier New" w:hAnsi="Courier New" w:hint="default"/>
      </w:rPr>
    </w:lvl>
    <w:lvl w:ilvl="2" w:tplc="011A8E3E">
      <w:start w:val="1"/>
      <w:numFmt w:val="bullet"/>
      <w:lvlText w:val=""/>
      <w:lvlJc w:val="left"/>
      <w:pPr>
        <w:ind w:left="2160" w:hanging="360"/>
      </w:pPr>
      <w:rPr>
        <w:rFonts w:ascii="Wingdings" w:hAnsi="Wingdings" w:hint="default"/>
      </w:rPr>
    </w:lvl>
    <w:lvl w:ilvl="3" w:tplc="589CC1BE">
      <w:start w:val="1"/>
      <w:numFmt w:val="bullet"/>
      <w:lvlText w:val=""/>
      <w:lvlJc w:val="left"/>
      <w:pPr>
        <w:ind w:left="2880" w:hanging="360"/>
      </w:pPr>
      <w:rPr>
        <w:rFonts w:ascii="Symbol" w:hAnsi="Symbol" w:hint="default"/>
      </w:rPr>
    </w:lvl>
    <w:lvl w:ilvl="4" w:tplc="3F8C56EC">
      <w:start w:val="1"/>
      <w:numFmt w:val="bullet"/>
      <w:lvlText w:val="o"/>
      <w:lvlJc w:val="left"/>
      <w:pPr>
        <w:ind w:left="3600" w:hanging="360"/>
      </w:pPr>
      <w:rPr>
        <w:rFonts w:ascii="Courier New" w:hAnsi="Courier New" w:hint="default"/>
      </w:rPr>
    </w:lvl>
    <w:lvl w:ilvl="5" w:tplc="28464800">
      <w:start w:val="1"/>
      <w:numFmt w:val="bullet"/>
      <w:lvlText w:val=""/>
      <w:lvlJc w:val="left"/>
      <w:pPr>
        <w:ind w:left="4320" w:hanging="360"/>
      </w:pPr>
      <w:rPr>
        <w:rFonts w:ascii="Wingdings" w:hAnsi="Wingdings" w:hint="default"/>
      </w:rPr>
    </w:lvl>
    <w:lvl w:ilvl="6" w:tplc="87ECD71A">
      <w:start w:val="1"/>
      <w:numFmt w:val="bullet"/>
      <w:lvlText w:val=""/>
      <w:lvlJc w:val="left"/>
      <w:pPr>
        <w:ind w:left="5040" w:hanging="360"/>
      </w:pPr>
      <w:rPr>
        <w:rFonts w:ascii="Symbol" w:hAnsi="Symbol" w:hint="default"/>
      </w:rPr>
    </w:lvl>
    <w:lvl w:ilvl="7" w:tplc="A740C1F0">
      <w:start w:val="1"/>
      <w:numFmt w:val="bullet"/>
      <w:lvlText w:val="o"/>
      <w:lvlJc w:val="left"/>
      <w:pPr>
        <w:ind w:left="5760" w:hanging="360"/>
      </w:pPr>
      <w:rPr>
        <w:rFonts w:ascii="Courier New" w:hAnsi="Courier New" w:hint="default"/>
      </w:rPr>
    </w:lvl>
    <w:lvl w:ilvl="8" w:tplc="8D6267DC">
      <w:start w:val="1"/>
      <w:numFmt w:val="bullet"/>
      <w:lvlText w:val=""/>
      <w:lvlJc w:val="left"/>
      <w:pPr>
        <w:ind w:left="6480" w:hanging="360"/>
      </w:pPr>
      <w:rPr>
        <w:rFonts w:ascii="Wingdings" w:hAnsi="Wingdings" w:hint="default"/>
      </w:rPr>
    </w:lvl>
  </w:abstractNum>
  <w:abstractNum w:abstractNumId="26" w15:restartNumberingAfterBreak="0">
    <w:nsid w:val="340E4336"/>
    <w:multiLevelType w:val="hybridMultilevel"/>
    <w:tmpl w:val="6F185818"/>
    <w:lvl w:ilvl="0" w:tplc="2B107D88">
      <w:start w:val="1"/>
      <w:numFmt w:val="lowerLetter"/>
      <w:lvlText w:val="%1)"/>
      <w:lvlJc w:val="left"/>
      <w:pPr>
        <w:ind w:left="720" w:hanging="360"/>
      </w:pPr>
      <w:rPr>
        <w:rFonts w:ascii="Times New Roman" w:eastAsia="MS Mincho" w:hAnsi="Times New Roman" w:cs="Arial"/>
        <w:color w:val="196B24" w:themeColor="accent3"/>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8227DBF"/>
    <w:multiLevelType w:val="multilevel"/>
    <w:tmpl w:val="DDF6E3B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3E250F3"/>
    <w:multiLevelType w:val="hybridMultilevel"/>
    <w:tmpl w:val="CC6A7E66"/>
    <w:lvl w:ilvl="0" w:tplc="F2F89BE0">
      <w:start w:val="1"/>
      <w:numFmt w:val="bullet"/>
      <w:lvlText w:val=""/>
      <w:lvlJc w:val="left"/>
      <w:pPr>
        <w:ind w:left="363" w:hanging="360"/>
      </w:pPr>
      <w:rPr>
        <w:rFonts w:ascii="Symbol" w:hAnsi="Symbol" w:hint="default"/>
      </w:rPr>
    </w:lvl>
    <w:lvl w:ilvl="1" w:tplc="68981A7C">
      <w:start w:val="1"/>
      <w:numFmt w:val="bullet"/>
      <w:lvlText w:val="o"/>
      <w:lvlJc w:val="left"/>
      <w:pPr>
        <w:ind w:left="1083" w:hanging="360"/>
      </w:pPr>
      <w:rPr>
        <w:rFonts w:ascii="Courier New" w:hAnsi="Courier New" w:hint="default"/>
      </w:rPr>
    </w:lvl>
    <w:lvl w:ilvl="2" w:tplc="511C3264" w:tentative="1">
      <w:start w:val="1"/>
      <w:numFmt w:val="bullet"/>
      <w:lvlText w:val=""/>
      <w:lvlJc w:val="left"/>
      <w:pPr>
        <w:ind w:left="1803" w:hanging="360"/>
      </w:pPr>
      <w:rPr>
        <w:rFonts w:ascii="Wingdings" w:hAnsi="Wingdings" w:hint="default"/>
      </w:rPr>
    </w:lvl>
    <w:lvl w:ilvl="3" w:tplc="9DA41666" w:tentative="1">
      <w:start w:val="1"/>
      <w:numFmt w:val="bullet"/>
      <w:lvlText w:val=""/>
      <w:lvlJc w:val="left"/>
      <w:pPr>
        <w:ind w:left="2523" w:hanging="360"/>
      </w:pPr>
      <w:rPr>
        <w:rFonts w:ascii="Symbol" w:hAnsi="Symbol" w:hint="default"/>
      </w:rPr>
    </w:lvl>
    <w:lvl w:ilvl="4" w:tplc="8D00B848" w:tentative="1">
      <w:start w:val="1"/>
      <w:numFmt w:val="bullet"/>
      <w:lvlText w:val="o"/>
      <w:lvlJc w:val="left"/>
      <w:pPr>
        <w:ind w:left="3243" w:hanging="360"/>
      </w:pPr>
      <w:rPr>
        <w:rFonts w:ascii="Courier New" w:hAnsi="Courier New" w:hint="default"/>
      </w:rPr>
    </w:lvl>
    <w:lvl w:ilvl="5" w:tplc="438262A0" w:tentative="1">
      <w:start w:val="1"/>
      <w:numFmt w:val="bullet"/>
      <w:lvlText w:val=""/>
      <w:lvlJc w:val="left"/>
      <w:pPr>
        <w:ind w:left="3963" w:hanging="360"/>
      </w:pPr>
      <w:rPr>
        <w:rFonts w:ascii="Wingdings" w:hAnsi="Wingdings" w:hint="default"/>
      </w:rPr>
    </w:lvl>
    <w:lvl w:ilvl="6" w:tplc="F99ED49C" w:tentative="1">
      <w:start w:val="1"/>
      <w:numFmt w:val="bullet"/>
      <w:lvlText w:val=""/>
      <w:lvlJc w:val="left"/>
      <w:pPr>
        <w:ind w:left="4683" w:hanging="360"/>
      </w:pPr>
      <w:rPr>
        <w:rFonts w:ascii="Symbol" w:hAnsi="Symbol" w:hint="default"/>
      </w:rPr>
    </w:lvl>
    <w:lvl w:ilvl="7" w:tplc="F58C947A" w:tentative="1">
      <w:start w:val="1"/>
      <w:numFmt w:val="bullet"/>
      <w:lvlText w:val="o"/>
      <w:lvlJc w:val="left"/>
      <w:pPr>
        <w:ind w:left="5403" w:hanging="360"/>
      </w:pPr>
      <w:rPr>
        <w:rFonts w:ascii="Courier New" w:hAnsi="Courier New" w:hint="default"/>
      </w:rPr>
    </w:lvl>
    <w:lvl w:ilvl="8" w:tplc="93849418" w:tentative="1">
      <w:start w:val="1"/>
      <w:numFmt w:val="bullet"/>
      <w:lvlText w:val=""/>
      <w:lvlJc w:val="left"/>
      <w:pPr>
        <w:ind w:left="6123" w:hanging="360"/>
      </w:pPr>
      <w:rPr>
        <w:rFonts w:ascii="Wingdings" w:hAnsi="Wingdings" w:hint="default"/>
      </w:rPr>
    </w:lvl>
  </w:abstractNum>
  <w:abstractNum w:abstractNumId="32" w15:restartNumberingAfterBreak="0">
    <w:nsid w:val="541F6ABF"/>
    <w:multiLevelType w:val="hybridMultilevel"/>
    <w:tmpl w:val="13644728"/>
    <w:lvl w:ilvl="0" w:tplc="FD5AEA78">
      <w:start w:val="3"/>
      <w:numFmt w:val="bullet"/>
      <w:lvlText w:val="-"/>
      <w:lvlJc w:val="left"/>
      <w:pPr>
        <w:ind w:left="1210" w:hanging="360"/>
      </w:pPr>
      <w:rPr>
        <w:rFonts w:ascii="Times New Roman" w:hAnsi="Times New Roman" w:hint="default"/>
      </w:rPr>
    </w:lvl>
    <w:lvl w:ilvl="1" w:tplc="A656A1C0" w:tentative="1">
      <w:start w:val="1"/>
      <w:numFmt w:val="bullet"/>
      <w:lvlText w:val="o"/>
      <w:lvlJc w:val="left"/>
      <w:pPr>
        <w:ind w:left="1930" w:hanging="360"/>
      </w:pPr>
      <w:rPr>
        <w:rFonts w:ascii="Courier New" w:hAnsi="Courier New" w:hint="default"/>
      </w:rPr>
    </w:lvl>
    <w:lvl w:ilvl="2" w:tplc="C8EE1062" w:tentative="1">
      <w:start w:val="1"/>
      <w:numFmt w:val="bullet"/>
      <w:lvlText w:val=""/>
      <w:lvlJc w:val="left"/>
      <w:pPr>
        <w:ind w:left="2650" w:hanging="360"/>
      </w:pPr>
      <w:rPr>
        <w:rFonts w:ascii="Wingdings" w:hAnsi="Wingdings" w:hint="default"/>
      </w:rPr>
    </w:lvl>
    <w:lvl w:ilvl="3" w:tplc="C7628038" w:tentative="1">
      <w:start w:val="1"/>
      <w:numFmt w:val="bullet"/>
      <w:lvlText w:val=""/>
      <w:lvlJc w:val="left"/>
      <w:pPr>
        <w:ind w:left="3370" w:hanging="360"/>
      </w:pPr>
      <w:rPr>
        <w:rFonts w:ascii="Symbol" w:hAnsi="Symbol" w:hint="default"/>
      </w:rPr>
    </w:lvl>
    <w:lvl w:ilvl="4" w:tplc="55A4FF20" w:tentative="1">
      <w:start w:val="1"/>
      <w:numFmt w:val="bullet"/>
      <w:lvlText w:val="o"/>
      <w:lvlJc w:val="left"/>
      <w:pPr>
        <w:ind w:left="4090" w:hanging="360"/>
      </w:pPr>
      <w:rPr>
        <w:rFonts w:ascii="Courier New" w:hAnsi="Courier New" w:hint="default"/>
      </w:rPr>
    </w:lvl>
    <w:lvl w:ilvl="5" w:tplc="15A0FAA0" w:tentative="1">
      <w:start w:val="1"/>
      <w:numFmt w:val="bullet"/>
      <w:lvlText w:val=""/>
      <w:lvlJc w:val="left"/>
      <w:pPr>
        <w:ind w:left="4810" w:hanging="360"/>
      </w:pPr>
      <w:rPr>
        <w:rFonts w:ascii="Wingdings" w:hAnsi="Wingdings" w:hint="default"/>
      </w:rPr>
    </w:lvl>
    <w:lvl w:ilvl="6" w:tplc="8480AF86" w:tentative="1">
      <w:start w:val="1"/>
      <w:numFmt w:val="bullet"/>
      <w:lvlText w:val=""/>
      <w:lvlJc w:val="left"/>
      <w:pPr>
        <w:ind w:left="5530" w:hanging="360"/>
      </w:pPr>
      <w:rPr>
        <w:rFonts w:ascii="Symbol" w:hAnsi="Symbol" w:hint="default"/>
      </w:rPr>
    </w:lvl>
    <w:lvl w:ilvl="7" w:tplc="1C02EB5C" w:tentative="1">
      <w:start w:val="1"/>
      <w:numFmt w:val="bullet"/>
      <w:lvlText w:val="o"/>
      <w:lvlJc w:val="left"/>
      <w:pPr>
        <w:ind w:left="6250" w:hanging="360"/>
      </w:pPr>
      <w:rPr>
        <w:rFonts w:ascii="Courier New" w:hAnsi="Courier New" w:hint="default"/>
      </w:rPr>
    </w:lvl>
    <w:lvl w:ilvl="8" w:tplc="C40C8856" w:tentative="1">
      <w:start w:val="1"/>
      <w:numFmt w:val="bullet"/>
      <w:lvlText w:val=""/>
      <w:lvlJc w:val="left"/>
      <w:pPr>
        <w:ind w:left="6970" w:hanging="360"/>
      </w:pPr>
      <w:rPr>
        <w:rFonts w:ascii="Wingdings" w:hAnsi="Wingdings" w:hint="default"/>
      </w:rPr>
    </w:lvl>
  </w:abstractNum>
  <w:abstractNum w:abstractNumId="3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4" w15:restartNumberingAfterBreak="0">
    <w:nsid w:val="59E6164A"/>
    <w:multiLevelType w:val="hybridMultilevel"/>
    <w:tmpl w:val="774E5854"/>
    <w:lvl w:ilvl="0" w:tplc="12A48E54">
      <w:start w:val="1"/>
      <w:numFmt w:val="bullet"/>
      <w:lvlText w:val="·"/>
      <w:lvlJc w:val="left"/>
      <w:pPr>
        <w:ind w:left="720" w:hanging="360"/>
      </w:pPr>
      <w:rPr>
        <w:rFonts w:ascii="Symbol" w:hAnsi="Symbol" w:hint="default"/>
      </w:rPr>
    </w:lvl>
    <w:lvl w:ilvl="1" w:tplc="BB16C39E">
      <w:start w:val="1"/>
      <w:numFmt w:val="bullet"/>
      <w:lvlText w:val="o"/>
      <w:lvlJc w:val="left"/>
      <w:pPr>
        <w:ind w:left="1440" w:hanging="360"/>
      </w:pPr>
      <w:rPr>
        <w:rFonts w:ascii="Courier New" w:hAnsi="Courier New" w:hint="default"/>
      </w:rPr>
    </w:lvl>
    <w:lvl w:ilvl="2" w:tplc="3DB60304">
      <w:start w:val="1"/>
      <w:numFmt w:val="bullet"/>
      <w:lvlText w:val=""/>
      <w:lvlJc w:val="left"/>
      <w:pPr>
        <w:ind w:left="2160" w:hanging="360"/>
      </w:pPr>
      <w:rPr>
        <w:rFonts w:ascii="Wingdings" w:hAnsi="Wingdings" w:hint="default"/>
      </w:rPr>
    </w:lvl>
    <w:lvl w:ilvl="3" w:tplc="FC866250">
      <w:start w:val="1"/>
      <w:numFmt w:val="bullet"/>
      <w:lvlText w:val=""/>
      <w:lvlJc w:val="left"/>
      <w:pPr>
        <w:ind w:left="2880" w:hanging="360"/>
      </w:pPr>
      <w:rPr>
        <w:rFonts w:ascii="Symbol" w:hAnsi="Symbol" w:hint="default"/>
      </w:rPr>
    </w:lvl>
    <w:lvl w:ilvl="4" w:tplc="FB348414">
      <w:start w:val="1"/>
      <w:numFmt w:val="bullet"/>
      <w:lvlText w:val="o"/>
      <w:lvlJc w:val="left"/>
      <w:pPr>
        <w:ind w:left="3600" w:hanging="360"/>
      </w:pPr>
      <w:rPr>
        <w:rFonts w:ascii="Courier New" w:hAnsi="Courier New" w:hint="default"/>
      </w:rPr>
    </w:lvl>
    <w:lvl w:ilvl="5" w:tplc="97226D14">
      <w:start w:val="1"/>
      <w:numFmt w:val="bullet"/>
      <w:lvlText w:val=""/>
      <w:lvlJc w:val="left"/>
      <w:pPr>
        <w:ind w:left="4320" w:hanging="360"/>
      </w:pPr>
      <w:rPr>
        <w:rFonts w:ascii="Wingdings" w:hAnsi="Wingdings" w:hint="default"/>
      </w:rPr>
    </w:lvl>
    <w:lvl w:ilvl="6" w:tplc="367E1066">
      <w:start w:val="1"/>
      <w:numFmt w:val="bullet"/>
      <w:lvlText w:val=""/>
      <w:lvlJc w:val="left"/>
      <w:pPr>
        <w:ind w:left="5040" w:hanging="360"/>
      </w:pPr>
      <w:rPr>
        <w:rFonts w:ascii="Symbol" w:hAnsi="Symbol" w:hint="default"/>
      </w:rPr>
    </w:lvl>
    <w:lvl w:ilvl="7" w:tplc="898661A4">
      <w:start w:val="1"/>
      <w:numFmt w:val="bullet"/>
      <w:lvlText w:val="o"/>
      <w:lvlJc w:val="left"/>
      <w:pPr>
        <w:ind w:left="5760" w:hanging="360"/>
      </w:pPr>
      <w:rPr>
        <w:rFonts w:ascii="Courier New" w:hAnsi="Courier New" w:hint="default"/>
      </w:rPr>
    </w:lvl>
    <w:lvl w:ilvl="8" w:tplc="48AEACB4">
      <w:start w:val="1"/>
      <w:numFmt w:val="bullet"/>
      <w:lvlText w:val=""/>
      <w:lvlJc w:val="left"/>
      <w:pPr>
        <w:ind w:left="6480" w:hanging="360"/>
      </w:pPr>
      <w:rPr>
        <w:rFonts w:ascii="Wingdings" w:hAnsi="Wingdings" w:hint="default"/>
      </w:rPr>
    </w:lvl>
  </w:abstractNum>
  <w:abstractNum w:abstractNumId="35" w15:restartNumberingAfterBreak="0">
    <w:nsid w:val="5A972246"/>
    <w:multiLevelType w:val="hybridMultilevel"/>
    <w:tmpl w:val="F10C1576"/>
    <w:lvl w:ilvl="0" w:tplc="DF684EB4">
      <w:start w:val="1"/>
      <w:numFmt w:val="bullet"/>
      <w:lvlText w:val=""/>
      <w:lvlJc w:val="left"/>
      <w:pPr>
        <w:ind w:left="720" w:hanging="360"/>
      </w:pPr>
      <w:rPr>
        <w:rFonts w:ascii="Symbol" w:hAnsi="Symbol" w:hint="default"/>
      </w:rPr>
    </w:lvl>
    <w:lvl w:ilvl="1" w:tplc="A190A52E" w:tentative="1">
      <w:start w:val="1"/>
      <w:numFmt w:val="bullet"/>
      <w:lvlText w:val="o"/>
      <w:lvlJc w:val="left"/>
      <w:pPr>
        <w:ind w:left="1440" w:hanging="360"/>
      </w:pPr>
      <w:rPr>
        <w:rFonts w:ascii="Courier New" w:hAnsi="Courier New" w:hint="default"/>
      </w:rPr>
    </w:lvl>
    <w:lvl w:ilvl="2" w:tplc="4588BF08" w:tentative="1">
      <w:start w:val="1"/>
      <w:numFmt w:val="bullet"/>
      <w:lvlText w:val=""/>
      <w:lvlJc w:val="left"/>
      <w:pPr>
        <w:ind w:left="2160" w:hanging="360"/>
      </w:pPr>
      <w:rPr>
        <w:rFonts w:ascii="Wingdings" w:hAnsi="Wingdings" w:hint="default"/>
      </w:rPr>
    </w:lvl>
    <w:lvl w:ilvl="3" w:tplc="1518C04E" w:tentative="1">
      <w:start w:val="1"/>
      <w:numFmt w:val="bullet"/>
      <w:lvlText w:val=""/>
      <w:lvlJc w:val="left"/>
      <w:pPr>
        <w:ind w:left="2880" w:hanging="360"/>
      </w:pPr>
      <w:rPr>
        <w:rFonts w:ascii="Symbol" w:hAnsi="Symbol" w:hint="default"/>
      </w:rPr>
    </w:lvl>
    <w:lvl w:ilvl="4" w:tplc="0F3CEDFA" w:tentative="1">
      <w:start w:val="1"/>
      <w:numFmt w:val="bullet"/>
      <w:lvlText w:val="o"/>
      <w:lvlJc w:val="left"/>
      <w:pPr>
        <w:ind w:left="3600" w:hanging="360"/>
      </w:pPr>
      <w:rPr>
        <w:rFonts w:ascii="Courier New" w:hAnsi="Courier New" w:hint="default"/>
      </w:rPr>
    </w:lvl>
    <w:lvl w:ilvl="5" w:tplc="39F83D3C" w:tentative="1">
      <w:start w:val="1"/>
      <w:numFmt w:val="bullet"/>
      <w:lvlText w:val=""/>
      <w:lvlJc w:val="left"/>
      <w:pPr>
        <w:ind w:left="4320" w:hanging="360"/>
      </w:pPr>
      <w:rPr>
        <w:rFonts w:ascii="Wingdings" w:hAnsi="Wingdings" w:hint="default"/>
      </w:rPr>
    </w:lvl>
    <w:lvl w:ilvl="6" w:tplc="85662E30" w:tentative="1">
      <w:start w:val="1"/>
      <w:numFmt w:val="bullet"/>
      <w:lvlText w:val=""/>
      <w:lvlJc w:val="left"/>
      <w:pPr>
        <w:ind w:left="5040" w:hanging="360"/>
      </w:pPr>
      <w:rPr>
        <w:rFonts w:ascii="Symbol" w:hAnsi="Symbol" w:hint="default"/>
      </w:rPr>
    </w:lvl>
    <w:lvl w:ilvl="7" w:tplc="5BE4C6A8" w:tentative="1">
      <w:start w:val="1"/>
      <w:numFmt w:val="bullet"/>
      <w:lvlText w:val="o"/>
      <w:lvlJc w:val="left"/>
      <w:pPr>
        <w:ind w:left="5760" w:hanging="360"/>
      </w:pPr>
      <w:rPr>
        <w:rFonts w:ascii="Courier New" w:hAnsi="Courier New" w:hint="default"/>
      </w:rPr>
    </w:lvl>
    <w:lvl w:ilvl="8" w:tplc="A6EAEE06" w:tentative="1">
      <w:start w:val="1"/>
      <w:numFmt w:val="bullet"/>
      <w:lvlText w:val=""/>
      <w:lvlJc w:val="left"/>
      <w:pPr>
        <w:ind w:left="6480" w:hanging="360"/>
      </w:pPr>
      <w:rPr>
        <w:rFonts w:ascii="Wingdings" w:hAnsi="Wingdings"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CC3AE21"/>
    <w:multiLevelType w:val="hybridMultilevel"/>
    <w:tmpl w:val="84FC3170"/>
    <w:lvl w:ilvl="0" w:tplc="07C2E130">
      <w:start w:val="1"/>
      <w:numFmt w:val="bullet"/>
      <w:lvlText w:val=""/>
      <w:lvlJc w:val="left"/>
      <w:pPr>
        <w:ind w:left="360" w:hanging="360"/>
      </w:pPr>
      <w:rPr>
        <w:rFonts w:ascii="Symbol" w:hAnsi="Symbol" w:hint="default"/>
      </w:rPr>
    </w:lvl>
    <w:lvl w:ilvl="1" w:tplc="765C3A9C">
      <w:start w:val="1"/>
      <w:numFmt w:val="bullet"/>
      <w:lvlText w:val="o"/>
      <w:lvlJc w:val="left"/>
      <w:pPr>
        <w:ind w:left="1080" w:hanging="360"/>
      </w:pPr>
      <w:rPr>
        <w:rFonts w:ascii="Courier New" w:hAnsi="Courier New" w:hint="default"/>
      </w:rPr>
    </w:lvl>
    <w:lvl w:ilvl="2" w:tplc="C900A6C8">
      <w:start w:val="1"/>
      <w:numFmt w:val="bullet"/>
      <w:lvlText w:val=""/>
      <w:lvlJc w:val="left"/>
      <w:pPr>
        <w:ind w:left="1800" w:hanging="360"/>
      </w:pPr>
      <w:rPr>
        <w:rFonts w:ascii="Wingdings" w:hAnsi="Wingdings" w:hint="default"/>
      </w:rPr>
    </w:lvl>
    <w:lvl w:ilvl="3" w:tplc="BCCC7650">
      <w:start w:val="1"/>
      <w:numFmt w:val="bullet"/>
      <w:lvlText w:val=""/>
      <w:lvlJc w:val="left"/>
      <w:pPr>
        <w:ind w:left="2520" w:hanging="360"/>
      </w:pPr>
      <w:rPr>
        <w:rFonts w:ascii="Symbol" w:hAnsi="Symbol" w:hint="default"/>
      </w:rPr>
    </w:lvl>
    <w:lvl w:ilvl="4" w:tplc="3B28D146">
      <w:start w:val="1"/>
      <w:numFmt w:val="bullet"/>
      <w:lvlText w:val="o"/>
      <w:lvlJc w:val="left"/>
      <w:pPr>
        <w:ind w:left="3240" w:hanging="360"/>
      </w:pPr>
      <w:rPr>
        <w:rFonts w:ascii="Courier New" w:hAnsi="Courier New" w:hint="default"/>
      </w:rPr>
    </w:lvl>
    <w:lvl w:ilvl="5" w:tplc="FF5E4C70">
      <w:start w:val="1"/>
      <w:numFmt w:val="bullet"/>
      <w:lvlText w:val=""/>
      <w:lvlJc w:val="left"/>
      <w:pPr>
        <w:ind w:left="3960" w:hanging="360"/>
      </w:pPr>
      <w:rPr>
        <w:rFonts w:ascii="Wingdings" w:hAnsi="Wingdings" w:hint="default"/>
      </w:rPr>
    </w:lvl>
    <w:lvl w:ilvl="6" w:tplc="FD508D4A">
      <w:start w:val="1"/>
      <w:numFmt w:val="bullet"/>
      <w:lvlText w:val=""/>
      <w:lvlJc w:val="left"/>
      <w:pPr>
        <w:ind w:left="4680" w:hanging="360"/>
      </w:pPr>
      <w:rPr>
        <w:rFonts w:ascii="Symbol" w:hAnsi="Symbol" w:hint="default"/>
      </w:rPr>
    </w:lvl>
    <w:lvl w:ilvl="7" w:tplc="C2AAAD16">
      <w:start w:val="1"/>
      <w:numFmt w:val="bullet"/>
      <w:lvlText w:val="o"/>
      <w:lvlJc w:val="left"/>
      <w:pPr>
        <w:ind w:left="5400" w:hanging="360"/>
      </w:pPr>
      <w:rPr>
        <w:rFonts w:ascii="Courier New" w:hAnsi="Courier New" w:hint="default"/>
      </w:rPr>
    </w:lvl>
    <w:lvl w:ilvl="8" w:tplc="9CB2EC42">
      <w:start w:val="1"/>
      <w:numFmt w:val="bullet"/>
      <w:lvlText w:val=""/>
      <w:lvlJc w:val="left"/>
      <w:pPr>
        <w:ind w:left="6120" w:hanging="360"/>
      </w:pPr>
      <w:rPr>
        <w:rFonts w:ascii="Wingdings" w:hAnsi="Wingdings" w:hint="default"/>
      </w:rPr>
    </w:lvl>
  </w:abstractNum>
  <w:abstractNum w:abstractNumId="40" w15:restartNumberingAfterBreak="0">
    <w:nsid w:val="63190579"/>
    <w:multiLevelType w:val="multilevel"/>
    <w:tmpl w:val="652A7D9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3840903"/>
    <w:multiLevelType w:val="hybridMultilevel"/>
    <w:tmpl w:val="E9EA4938"/>
    <w:lvl w:ilvl="0" w:tplc="6876FE28">
      <w:start w:val="1"/>
      <w:numFmt w:val="bullet"/>
      <w:lvlText w:val="·"/>
      <w:lvlJc w:val="left"/>
      <w:pPr>
        <w:ind w:left="720" w:hanging="360"/>
      </w:pPr>
      <w:rPr>
        <w:rFonts w:ascii="Symbol" w:hAnsi="Symbol" w:hint="default"/>
      </w:rPr>
    </w:lvl>
    <w:lvl w:ilvl="1" w:tplc="F7FE912C">
      <w:start w:val="1"/>
      <w:numFmt w:val="bullet"/>
      <w:lvlText w:val="o"/>
      <w:lvlJc w:val="left"/>
      <w:pPr>
        <w:ind w:left="1440" w:hanging="360"/>
      </w:pPr>
      <w:rPr>
        <w:rFonts w:ascii="Courier New" w:hAnsi="Courier New" w:hint="default"/>
      </w:rPr>
    </w:lvl>
    <w:lvl w:ilvl="2" w:tplc="B908DB5C">
      <w:start w:val="1"/>
      <w:numFmt w:val="bullet"/>
      <w:lvlText w:val=""/>
      <w:lvlJc w:val="left"/>
      <w:pPr>
        <w:ind w:left="2160" w:hanging="360"/>
      </w:pPr>
      <w:rPr>
        <w:rFonts w:ascii="Wingdings" w:hAnsi="Wingdings" w:hint="default"/>
      </w:rPr>
    </w:lvl>
    <w:lvl w:ilvl="3" w:tplc="06A647CE">
      <w:start w:val="1"/>
      <w:numFmt w:val="bullet"/>
      <w:lvlText w:val=""/>
      <w:lvlJc w:val="left"/>
      <w:pPr>
        <w:ind w:left="2880" w:hanging="360"/>
      </w:pPr>
      <w:rPr>
        <w:rFonts w:ascii="Symbol" w:hAnsi="Symbol" w:hint="default"/>
      </w:rPr>
    </w:lvl>
    <w:lvl w:ilvl="4" w:tplc="36D4DA56">
      <w:start w:val="1"/>
      <w:numFmt w:val="bullet"/>
      <w:lvlText w:val="o"/>
      <w:lvlJc w:val="left"/>
      <w:pPr>
        <w:ind w:left="3600" w:hanging="360"/>
      </w:pPr>
      <w:rPr>
        <w:rFonts w:ascii="Courier New" w:hAnsi="Courier New" w:hint="default"/>
      </w:rPr>
    </w:lvl>
    <w:lvl w:ilvl="5" w:tplc="B2306344">
      <w:start w:val="1"/>
      <w:numFmt w:val="bullet"/>
      <w:lvlText w:val=""/>
      <w:lvlJc w:val="left"/>
      <w:pPr>
        <w:ind w:left="4320" w:hanging="360"/>
      </w:pPr>
      <w:rPr>
        <w:rFonts w:ascii="Wingdings" w:hAnsi="Wingdings" w:hint="default"/>
      </w:rPr>
    </w:lvl>
    <w:lvl w:ilvl="6" w:tplc="BF686ABC">
      <w:start w:val="1"/>
      <w:numFmt w:val="bullet"/>
      <w:lvlText w:val=""/>
      <w:lvlJc w:val="left"/>
      <w:pPr>
        <w:ind w:left="5040" w:hanging="360"/>
      </w:pPr>
      <w:rPr>
        <w:rFonts w:ascii="Symbol" w:hAnsi="Symbol" w:hint="default"/>
      </w:rPr>
    </w:lvl>
    <w:lvl w:ilvl="7" w:tplc="3390898E">
      <w:start w:val="1"/>
      <w:numFmt w:val="bullet"/>
      <w:lvlText w:val="o"/>
      <w:lvlJc w:val="left"/>
      <w:pPr>
        <w:ind w:left="5760" w:hanging="360"/>
      </w:pPr>
      <w:rPr>
        <w:rFonts w:ascii="Courier New" w:hAnsi="Courier New" w:hint="default"/>
      </w:rPr>
    </w:lvl>
    <w:lvl w:ilvl="8" w:tplc="9FD8A56C">
      <w:start w:val="1"/>
      <w:numFmt w:val="bullet"/>
      <w:lvlText w:val=""/>
      <w:lvlJc w:val="left"/>
      <w:pPr>
        <w:ind w:left="6480" w:hanging="360"/>
      </w:pPr>
      <w:rPr>
        <w:rFonts w:ascii="Wingdings" w:hAnsi="Wingdings" w:hint="default"/>
      </w:rPr>
    </w:lvl>
  </w:abstractNum>
  <w:abstractNum w:abstractNumId="42" w15:restartNumberingAfterBreak="0">
    <w:nsid w:val="673811E3"/>
    <w:multiLevelType w:val="hybridMultilevel"/>
    <w:tmpl w:val="EC96D990"/>
    <w:lvl w:ilvl="0" w:tplc="ACA249AC">
      <w:start w:val="1"/>
      <w:numFmt w:val="bullet"/>
      <w:lvlText w:val=""/>
      <w:lvlJc w:val="left"/>
      <w:pPr>
        <w:ind w:left="360" w:hanging="360"/>
      </w:pPr>
      <w:rPr>
        <w:rFonts w:ascii="Symbol" w:hAnsi="Symbol" w:hint="default"/>
      </w:rPr>
    </w:lvl>
    <w:lvl w:ilvl="1" w:tplc="DE528916" w:tentative="1">
      <w:start w:val="1"/>
      <w:numFmt w:val="bullet"/>
      <w:lvlText w:val="o"/>
      <w:lvlJc w:val="left"/>
      <w:pPr>
        <w:ind w:left="1080" w:hanging="360"/>
      </w:pPr>
      <w:rPr>
        <w:rFonts w:ascii="Courier New" w:hAnsi="Courier New" w:hint="default"/>
      </w:rPr>
    </w:lvl>
    <w:lvl w:ilvl="2" w:tplc="A288C566" w:tentative="1">
      <w:start w:val="1"/>
      <w:numFmt w:val="bullet"/>
      <w:lvlText w:val=""/>
      <w:lvlJc w:val="left"/>
      <w:pPr>
        <w:ind w:left="1800" w:hanging="360"/>
      </w:pPr>
      <w:rPr>
        <w:rFonts w:ascii="Wingdings" w:hAnsi="Wingdings" w:hint="default"/>
      </w:rPr>
    </w:lvl>
    <w:lvl w:ilvl="3" w:tplc="90C413DE" w:tentative="1">
      <w:start w:val="1"/>
      <w:numFmt w:val="bullet"/>
      <w:lvlText w:val=""/>
      <w:lvlJc w:val="left"/>
      <w:pPr>
        <w:ind w:left="2520" w:hanging="360"/>
      </w:pPr>
      <w:rPr>
        <w:rFonts w:ascii="Symbol" w:hAnsi="Symbol" w:hint="default"/>
      </w:rPr>
    </w:lvl>
    <w:lvl w:ilvl="4" w:tplc="ACF6F816" w:tentative="1">
      <w:start w:val="1"/>
      <w:numFmt w:val="bullet"/>
      <w:lvlText w:val="o"/>
      <w:lvlJc w:val="left"/>
      <w:pPr>
        <w:ind w:left="3240" w:hanging="360"/>
      </w:pPr>
      <w:rPr>
        <w:rFonts w:ascii="Courier New" w:hAnsi="Courier New" w:hint="default"/>
      </w:rPr>
    </w:lvl>
    <w:lvl w:ilvl="5" w:tplc="150816FA" w:tentative="1">
      <w:start w:val="1"/>
      <w:numFmt w:val="bullet"/>
      <w:lvlText w:val=""/>
      <w:lvlJc w:val="left"/>
      <w:pPr>
        <w:ind w:left="3960" w:hanging="360"/>
      </w:pPr>
      <w:rPr>
        <w:rFonts w:ascii="Wingdings" w:hAnsi="Wingdings" w:hint="default"/>
      </w:rPr>
    </w:lvl>
    <w:lvl w:ilvl="6" w:tplc="C2A02AE8" w:tentative="1">
      <w:start w:val="1"/>
      <w:numFmt w:val="bullet"/>
      <w:lvlText w:val=""/>
      <w:lvlJc w:val="left"/>
      <w:pPr>
        <w:ind w:left="4680" w:hanging="360"/>
      </w:pPr>
      <w:rPr>
        <w:rFonts w:ascii="Symbol" w:hAnsi="Symbol" w:hint="default"/>
      </w:rPr>
    </w:lvl>
    <w:lvl w:ilvl="7" w:tplc="5CDCC168" w:tentative="1">
      <w:start w:val="1"/>
      <w:numFmt w:val="bullet"/>
      <w:lvlText w:val="o"/>
      <w:lvlJc w:val="left"/>
      <w:pPr>
        <w:ind w:left="5400" w:hanging="360"/>
      </w:pPr>
      <w:rPr>
        <w:rFonts w:ascii="Courier New" w:hAnsi="Courier New" w:hint="default"/>
      </w:rPr>
    </w:lvl>
    <w:lvl w:ilvl="8" w:tplc="2D1CEE32" w:tentative="1">
      <w:start w:val="1"/>
      <w:numFmt w:val="bullet"/>
      <w:lvlText w:val=""/>
      <w:lvlJc w:val="left"/>
      <w:pPr>
        <w:ind w:left="6120" w:hanging="360"/>
      </w:pPr>
      <w:rPr>
        <w:rFonts w:ascii="Wingdings" w:hAnsi="Wingdings" w:hint="default"/>
      </w:rPr>
    </w:lvl>
  </w:abstractNum>
  <w:abstractNum w:abstractNumId="4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4" w15:restartNumberingAfterBreak="0">
    <w:nsid w:val="6F2F39A1"/>
    <w:multiLevelType w:val="hybridMultilevel"/>
    <w:tmpl w:val="4434D3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2AC0103"/>
    <w:multiLevelType w:val="hybridMultilevel"/>
    <w:tmpl w:val="DCA079CE"/>
    <w:lvl w:ilvl="0" w:tplc="AE3E1BF0">
      <w:start w:val="1"/>
      <w:numFmt w:val="bullet"/>
      <w:lvlText w:val=""/>
      <w:lvlJc w:val="left"/>
      <w:pPr>
        <w:ind w:left="773" w:hanging="360"/>
      </w:pPr>
      <w:rPr>
        <w:rFonts w:ascii="Symbol" w:hAnsi="Symbol" w:hint="default"/>
      </w:rPr>
    </w:lvl>
    <w:lvl w:ilvl="1" w:tplc="1E2E3228" w:tentative="1">
      <w:start w:val="1"/>
      <w:numFmt w:val="bullet"/>
      <w:lvlText w:val="o"/>
      <w:lvlJc w:val="left"/>
      <w:pPr>
        <w:ind w:left="1493" w:hanging="360"/>
      </w:pPr>
      <w:rPr>
        <w:rFonts w:ascii="Courier New" w:hAnsi="Courier New" w:hint="default"/>
      </w:rPr>
    </w:lvl>
    <w:lvl w:ilvl="2" w:tplc="7296696C" w:tentative="1">
      <w:start w:val="1"/>
      <w:numFmt w:val="bullet"/>
      <w:lvlText w:val=""/>
      <w:lvlJc w:val="left"/>
      <w:pPr>
        <w:ind w:left="2213" w:hanging="360"/>
      </w:pPr>
      <w:rPr>
        <w:rFonts w:ascii="Wingdings" w:hAnsi="Wingdings" w:hint="default"/>
      </w:rPr>
    </w:lvl>
    <w:lvl w:ilvl="3" w:tplc="B26A2F6E" w:tentative="1">
      <w:start w:val="1"/>
      <w:numFmt w:val="bullet"/>
      <w:lvlText w:val=""/>
      <w:lvlJc w:val="left"/>
      <w:pPr>
        <w:ind w:left="2933" w:hanging="360"/>
      </w:pPr>
      <w:rPr>
        <w:rFonts w:ascii="Symbol" w:hAnsi="Symbol" w:hint="default"/>
      </w:rPr>
    </w:lvl>
    <w:lvl w:ilvl="4" w:tplc="E6585212" w:tentative="1">
      <w:start w:val="1"/>
      <w:numFmt w:val="bullet"/>
      <w:lvlText w:val="o"/>
      <w:lvlJc w:val="left"/>
      <w:pPr>
        <w:ind w:left="3653" w:hanging="360"/>
      </w:pPr>
      <w:rPr>
        <w:rFonts w:ascii="Courier New" w:hAnsi="Courier New" w:hint="default"/>
      </w:rPr>
    </w:lvl>
    <w:lvl w:ilvl="5" w:tplc="0992A778" w:tentative="1">
      <w:start w:val="1"/>
      <w:numFmt w:val="bullet"/>
      <w:lvlText w:val=""/>
      <w:lvlJc w:val="left"/>
      <w:pPr>
        <w:ind w:left="4373" w:hanging="360"/>
      </w:pPr>
      <w:rPr>
        <w:rFonts w:ascii="Wingdings" w:hAnsi="Wingdings" w:hint="default"/>
      </w:rPr>
    </w:lvl>
    <w:lvl w:ilvl="6" w:tplc="17A46708" w:tentative="1">
      <w:start w:val="1"/>
      <w:numFmt w:val="bullet"/>
      <w:lvlText w:val=""/>
      <w:lvlJc w:val="left"/>
      <w:pPr>
        <w:ind w:left="5093" w:hanging="360"/>
      </w:pPr>
      <w:rPr>
        <w:rFonts w:ascii="Symbol" w:hAnsi="Symbol" w:hint="default"/>
      </w:rPr>
    </w:lvl>
    <w:lvl w:ilvl="7" w:tplc="32CAF076" w:tentative="1">
      <w:start w:val="1"/>
      <w:numFmt w:val="bullet"/>
      <w:lvlText w:val="o"/>
      <w:lvlJc w:val="left"/>
      <w:pPr>
        <w:ind w:left="5813" w:hanging="360"/>
      </w:pPr>
      <w:rPr>
        <w:rFonts w:ascii="Courier New" w:hAnsi="Courier New" w:hint="default"/>
      </w:rPr>
    </w:lvl>
    <w:lvl w:ilvl="8" w:tplc="939EBE78" w:tentative="1">
      <w:start w:val="1"/>
      <w:numFmt w:val="bullet"/>
      <w:lvlText w:val=""/>
      <w:lvlJc w:val="left"/>
      <w:pPr>
        <w:ind w:left="6533" w:hanging="360"/>
      </w:pPr>
      <w:rPr>
        <w:rFonts w:ascii="Wingdings" w:hAnsi="Wingdings" w:hint="default"/>
      </w:rPr>
    </w:lvl>
  </w:abstractNum>
  <w:abstractNum w:abstractNumId="46" w15:restartNumberingAfterBreak="0">
    <w:nsid w:val="753A85CC"/>
    <w:multiLevelType w:val="hybridMultilevel"/>
    <w:tmpl w:val="A074017A"/>
    <w:lvl w:ilvl="0" w:tplc="FA94C078">
      <w:start w:val="1"/>
      <w:numFmt w:val="bullet"/>
      <w:lvlText w:val="·"/>
      <w:lvlJc w:val="left"/>
      <w:pPr>
        <w:ind w:left="720" w:hanging="360"/>
      </w:pPr>
      <w:rPr>
        <w:rFonts w:ascii="Symbol" w:hAnsi="Symbol" w:hint="default"/>
      </w:rPr>
    </w:lvl>
    <w:lvl w:ilvl="1" w:tplc="76120D62">
      <w:start w:val="1"/>
      <w:numFmt w:val="bullet"/>
      <w:lvlText w:val="o"/>
      <w:lvlJc w:val="left"/>
      <w:pPr>
        <w:ind w:left="1440" w:hanging="360"/>
      </w:pPr>
      <w:rPr>
        <w:rFonts w:ascii="Courier New" w:hAnsi="Courier New" w:hint="default"/>
      </w:rPr>
    </w:lvl>
    <w:lvl w:ilvl="2" w:tplc="D8C210B0">
      <w:start w:val="1"/>
      <w:numFmt w:val="bullet"/>
      <w:lvlText w:val=""/>
      <w:lvlJc w:val="left"/>
      <w:pPr>
        <w:ind w:left="2160" w:hanging="360"/>
      </w:pPr>
      <w:rPr>
        <w:rFonts w:ascii="Wingdings" w:hAnsi="Wingdings" w:hint="default"/>
      </w:rPr>
    </w:lvl>
    <w:lvl w:ilvl="3" w:tplc="9AEE4130">
      <w:start w:val="1"/>
      <w:numFmt w:val="bullet"/>
      <w:lvlText w:val=""/>
      <w:lvlJc w:val="left"/>
      <w:pPr>
        <w:ind w:left="2880" w:hanging="360"/>
      </w:pPr>
      <w:rPr>
        <w:rFonts w:ascii="Symbol" w:hAnsi="Symbol" w:hint="default"/>
      </w:rPr>
    </w:lvl>
    <w:lvl w:ilvl="4" w:tplc="3554378C">
      <w:start w:val="1"/>
      <w:numFmt w:val="bullet"/>
      <w:lvlText w:val="o"/>
      <w:lvlJc w:val="left"/>
      <w:pPr>
        <w:ind w:left="3600" w:hanging="360"/>
      </w:pPr>
      <w:rPr>
        <w:rFonts w:ascii="Courier New" w:hAnsi="Courier New" w:hint="default"/>
      </w:rPr>
    </w:lvl>
    <w:lvl w:ilvl="5" w:tplc="7EB8EBB6">
      <w:start w:val="1"/>
      <w:numFmt w:val="bullet"/>
      <w:lvlText w:val=""/>
      <w:lvlJc w:val="left"/>
      <w:pPr>
        <w:ind w:left="4320" w:hanging="360"/>
      </w:pPr>
      <w:rPr>
        <w:rFonts w:ascii="Wingdings" w:hAnsi="Wingdings" w:hint="default"/>
      </w:rPr>
    </w:lvl>
    <w:lvl w:ilvl="6" w:tplc="2C5AF73C">
      <w:start w:val="1"/>
      <w:numFmt w:val="bullet"/>
      <w:lvlText w:val=""/>
      <w:lvlJc w:val="left"/>
      <w:pPr>
        <w:ind w:left="5040" w:hanging="360"/>
      </w:pPr>
      <w:rPr>
        <w:rFonts w:ascii="Symbol" w:hAnsi="Symbol" w:hint="default"/>
      </w:rPr>
    </w:lvl>
    <w:lvl w:ilvl="7" w:tplc="507E86E8">
      <w:start w:val="1"/>
      <w:numFmt w:val="bullet"/>
      <w:lvlText w:val="o"/>
      <w:lvlJc w:val="left"/>
      <w:pPr>
        <w:ind w:left="5760" w:hanging="360"/>
      </w:pPr>
      <w:rPr>
        <w:rFonts w:ascii="Courier New" w:hAnsi="Courier New" w:hint="default"/>
      </w:rPr>
    </w:lvl>
    <w:lvl w:ilvl="8" w:tplc="05B67410">
      <w:start w:val="1"/>
      <w:numFmt w:val="bullet"/>
      <w:lvlText w:val=""/>
      <w:lvlJc w:val="left"/>
      <w:pPr>
        <w:ind w:left="6480" w:hanging="360"/>
      </w:pPr>
      <w:rPr>
        <w:rFonts w:ascii="Wingdings" w:hAnsi="Wingdings" w:hint="default"/>
      </w:rPr>
    </w:lvl>
  </w:abstractNum>
  <w:abstractNum w:abstractNumId="47" w15:restartNumberingAfterBreak="0">
    <w:nsid w:val="75AF120A"/>
    <w:multiLevelType w:val="hybridMultilevel"/>
    <w:tmpl w:val="59F814CA"/>
    <w:lvl w:ilvl="0" w:tplc="E3B88486">
      <w:numFmt w:val="bullet"/>
      <w:lvlText w:val="-"/>
      <w:lvlJc w:val="left"/>
      <w:pPr>
        <w:ind w:left="112" w:hanging="224"/>
      </w:pPr>
      <w:rPr>
        <w:rFonts w:ascii="Times New Roman" w:eastAsia="Times New Roman" w:hAnsi="Times New Roman" w:cs="Times New Roman" w:hint="default"/>
        <w:b w:val="0"/>
        <w:bCs w:val="0"/>
        <w:i w:val="0"/>
        <w:iCs w:val="0"/>
        <w:color w:val="006000"/>
        <w:spacing w:val="0"/>
        <w:w w:val="99"/>
        <w:sz w:val="20"/>
        <w:szCs w:val="20"/>
        <w:lang w:val="en-US" w:eastAsia="en-US" w:bidi="ar-SA"/>
      </w:rPr>
    </w:lvl>
    <w:lvl w:ilvl="1" w:tplc="AA7868FE">
      <w:numFmt w:val="bullet"/>
      <w:lvlText w:val="•"/>
      <w:lvlJc w:val="left"/>
      <w:pPr>
        <w:ind w:left="409" w:hanging="224"/>
      </w:pPr>
      <w:rPr>
        <w:rFonts w:hint="default"/>
        <w:lang w:val="en-US" w:eastAsia="en-US" w:bidi="ar-SA"/>
      </w:rPr>
    </w:lvl>
    <w:lvl w:ilvl="2" w:tplc="4FF26058">
      <w:numFmt w:val="bullet"/>
      <w:lvlText w:val="•"/>
      <w:lvlJc w:val="left"/>
      <w:pPr>
        <w:ind w:left="698" w:hanging="224"/>
      </w:pPr>
      <w:rPr>
        <w:rFonts w:hint="default"/>
        <w:lang w:val="en-US" w:eastAsia="en-US" w:bidi="ar-SA"/>
      </w:rPr>
    </w:lvl>
    <w:lvl w:ilvl="3" w:tplc="8D60FF94">
      <w:numFmt w:val="bullet"/>
      <w:lvlText w:val="•"/>
      <w:lvlJc w:val="left"/>
      <w:pPr>
        <w:ind w:left="987" w:hanging="224"/>
      </w:pPr>
      <w:rPr>
        <w:rFonts w:hint="default"/>
        <w:lang w:val="en-US" w:eastAsia="en-US" w:bidi="ar-SA"/>
      </w:rPr>
    </w:lvl>
    <w:lvl w:ilvl="4" w:tplc="9AC0296A">
      <w:numFmt w:val="bullet"/>
      <w:lvlText w:val="•"/>
      <w:lvlJc w:val="left"/>
      <w:pPr>
        <w:ind w:left="1277" w:hanging="224"/>
      </w:pPr>
      <w:rPr>
        <w:rFonts w:hint="default"/>
        <w:lang w:val="en-US" w:eastAsia="en-US" w:bidi="ar-SA"/>
      </w:rPr>
    </w:lvl>
    <w:lvl w:ilvl="5" w:tplc="567059A8">
      <w:numFmt w:val="bullet"/>
      <w:lvlText w:val="•"/>
      <w:lvlJc w:val="left"/>
      <w:pPr>
        <w:ind w:left="1566" w:hanging="224"/>
      </w:pPr>
      <w:rPr>
        <w:rFonts w:hint="default"/>
        <w:lang w:val="en-US" w:eastAsia="en-US" w:bidi="ar-SA"/>
      </w:rPr>
    </w:lvl>
    <w:lvl w:ilvl="6" w:tplc="F35471DC">
      <w:numFmt w:val="bullet"/>
      <w:lvlText w:val="•"/>
      <w:lvlJc w:val="left"/>
      <w:pPr>
        <w:ind w:left="1855" w:hanging="224"/>
      </w:pPr>
      <w:rPr>
        <w:rFonts w:hint="default"/>
        <w:lang w:val="en-US" w:eastAsia="en-US" w:bidi="ar-SA"/>
      </w:rPr>
    </w:lvl>
    <w:lvl w:ilvl="7" w:tplc="74A8CB08">
      <w:numFmt w:val="bullet"/>
      <w:lvlText w:val="•"/>
      <w:lvlJc w:val="left"/>
      <w:pPr>
        <w:ind w:left="2145" w:hanging="224"/>
      </w:pPr>
      <w:rPr>
        <w:rFonts w:hint="default"/>
        <w:lang w:val="en-US" w:eastAsia="en-US" w:bidi="ar-SA"/>
      </w:rPr>
    </w:lvl>
    <w:lvl w:ilvl="8" w:tplc="819A8E62">
      <w:numFmt w:val="bullet"/>
      <w:lvlText w:val="•"/>
      <w:lvlJc w:val="left"/>
      <w:pPr>
        <w:ind w:left="2434" w:hanging="224"/>
      </w:pPr>
      <w:rPr>
        <w:rFonts w:hint="default"/>
        <w:lang w:val="en-US" w:eastAsia="en-US" w:bidi="ar-SA"/>
      </w:rPr>
    </w:lvl>
  </w:abstractNum>
  <w:abstractNum w:abstractNumId="48" w15:restartNumberingAfterBreak="0">
    <w:nsid w:val="75D99BAE"/>
    <w:multiLevelType w:val="hybridMultilevel"/>
    <w:tmpl w:val="97E6EFF6"/>
    <w:lvl w:ilvl="0" w:tplc="653C48A2">
      <w:start w:val="1"/>
      <w:numFmt w:val="lowerRoman"/>
      <w:lvlText w:val="%1."/>
      <w:lvlJc w:val="right"/>
      <w:pPr>
        <w:ind w:left="720" w:hanging="360"/>
      </w:pPr>
    </w:lvl>
    <w:lvl w:ilvl="1" w:tplc="E7A89F26">
      <w:start w:val="1"/>
      <w:numFmt w:val="lowerLetter"/>
      <w:lvlText w:val="%2."/>
      <w:lvlJc w:val="left"/>
      <w:pPr>
        <w:ind w:left="1440" w:hanging="360"/>
      </w:pPr>
    </w:lvl>
    <w:lvl w:ilvl="2" w:tplc="ED707B22">
      <w:start w:val="1"/>
      <w:numFmt w:val="lowerRoman"/>
      <w:lvlText w:val="%3."/>
      <w:lvlJc w:val="right"/>
      <w:pPr>
        <w:ind w:left="2160" w:hanging="180"/>
      </w:pPr>
    </w:lvl>
    <w:lvl w:ilvl="3" w:tplc="4E26842E">
      <w:start w:val="1"/>
      <w:numFmt w:val="decimal"/>
      <w:lvlText w:val="%4."/>
      <w:lvlJc w:val="left"/>
      <w:pPr>
        <w:ind w:left="2880" w:hanging="360"/>
      </w:pPr>
    </w:lvl>
    <w:lvl w:ilvl="4" w:tplc="6CE4D9CE">
      <w:start w:val="1"/>
      <w:numFmt w:val="lowerLetter"/>
      <w:lvlText w:val="%5."/>
      <w:lvlJc w:val="left"/>
      <w:pPr>
        <w:ind w:left="3600" w:hanging="360"/>
      </w:pPr>
    </w:lvl>
    <w:lvl w:ilvl="5" w:tplc="6170A2E6">
      <w:start w:val="1"/>
      <w:numFmt w:val="lowerRoman"/>
      <w:lvlText w:val="%6."/>
      <w:lvlJc w:val="right"/>
      <w:pPr>
        <w:ind w:left="4320" w:hanging="180"/>
      </w:pPr>
    </w:lvl>
    <w:lvl w:ilvl="6" w:tplc="D2022D08">
      <w:start w:val="1"/>
      <w:numFmt w:val="decimal"/>
      <w:lvlText w:val="%7."/>
      <w:lvlJc w:val="left"/>
      <w:pPr>
        <w:ind w:left="5040" w:hanging="360"/>
      </w:pPr>
    </w:lvl>
    <w:lvl w:ilvl="7" w:tplc="FD8EBC5E">
      <w:start w:val="1"/>
      <w:numFmt w:val="lowerLetter"/>
      <w:lvlText w:val="%8."/>
      <w:lvlJc w:val="left"/>
      <w:pPr>
        <w:ind w:left="5760" w:hanging="360"/>
      </w:pPr>
    </w:lvl>
    <w:lvl w:ilvl="8" w:tplc="0D2CACD8">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4"/>
  </w:num>
  <w:num w:numId="8">
    <w:abstractNumId w:val="3"/>
  </w:num>
  <w:num w:numId="9">
    <w:abstractNumId w:val="6"/>
  </w:num>
  <w:num w:numId="10">
    <w:abstractNumId w:val="2"/>
  </w:num>
  <w:num w:numId="11">
    <w:abstractNumId w:val="1"/>
  </w:num>
  <w:num w:numId="12">
    <w:abstractNumId w:val="0"/>
  </w:num>
  <w:num w:numId="13">
    <w:abstractNumId w:val="38"/>
  </w:num>
  <w:num w:numId="14">
    <w:abstractNumId w:val="27"/>
  </w:num>
  <w:num w:numId="15">
    <w:abstractNumId w:val="43"/>
  </w:num>
  <w:num w:numId="16">
    <w:abstractNumId w:val="23"/>
  </w:num>
  <w:num w:numId="17">
    <w:abstractNumId w:val="28"/>
  </w:num>
  <w:num w:numId="18">
    <w:abstractNumId w:val="15"/>
  </w:num>
  <w:num w:numId="19">
    <w:abstractNumId w:val="29"/>
  </w:num>
  <w:num w:numId="20">
    <w:abstractNumId w:val="36"/>
  </w:num>
  <w:num w:numId="21">
    <w:abstractNumId w:val="37"/>
  </w:num>
  <w:num w:numId="22">
    <w:abstractNumId w:val="22"/>
  </w:num>
  <w:num w:numId="23">
    <w:abstractNumId w:val="33"/>
  </w:num>
  <w:num w:numId="24">
    <w:abstractNumId w:val="24"/>
  </w:num>
  <w:num w:numId="25">
    <w:abstractNumId w:val="42"/>
  </w:num>
  <w:num w:numId="26">
    <w:abstractNumId w:val="34"/>
  </w:num>
  <w:num w:numId="27">
    <w:abstractNumId w:val="41"/>
  </w:num>
  <w:num w:numId="28">
    <w:abstractNumId w:val="46"/>
  </w:num>
  <w:num w:numId="29">
    <w:abstractNumId w:val="14"/>
  </w:num>
  <w:num w:numId="30">
    <w:abstractNumId w:val="48"/>
  </w:num>
  <w:num w:numId="31">
    <w:abstractNumId w:val="44"/>
  </w:num>
  <w:num w:numId="32">
    <w:abstractNumId w:val="39"/>
  </w:num>
  <w:num w:numId="33">
    <w:abstractNumId w:val="17"/>
  </w:num>
  <w:num w:numId="34">
    <w:abstractNumId w:val="31"/>
  </w:num>
  <w:num w:numId="35">
    <w:abstractNumId w:val="32"/>
  </w:num>
  <w:num w:numId="36">
    <w:abstractNumId w:val="13"/>
  </w:num>
  <w:num w:numId="37">
    <w:abstractNumId w:val="20"/>
  </w:num>
  <w:num w:numId="38">
    <w:abstractNumId w:val="45"/>
  </w:num>
  <w:num w:numId="39">
    <w:abstractNumId w:val="12"/>
  </w:num>
  <w:num w:numId="40">
    <w:abstractNumId w:val="35"/>
  </w:num>
  <w:num w:numId="41">
    <w:abstractNumId w:val="9"/>
  </w:num>
  <w:num w:numId="42">
    <w:abstractNumId w:val="47"/>
  </w:num>
  <w:num w:numId="43">
    <w:abstractNumId w:val="8"/>
  </w:num>
  <w:num w:numId="44">
    <w:abstractNumId w:val="16"/>
  </w:num>
  <w:num w:numId="45">
    <w:abstractNumId w:val="25"/>
  </w:num>
  <w:num w:numId="46">
    <w:abstractNumId w:val="21"/>
  </w:num>
  <w:num w:numId="47">
    <w:abstractNumId w:val="10"/>
  </w:num>
  <w:num w:numId="48">
    <w:abstractNumId w:val="19"/>
  </w:num>
  <w:num w:numId="49">
    <w:abstractNumId w:val="30"/>
  </w:num>
  <w:num w:numId="50">
    <w:abstractNumId w:val="11"/>
  </w:num>
  <w:num w:numId="51">
    <w:abstractNumId w:val="40"/>
  </w:num>
  <w:num w:numId="52">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0-23&lt;/text&gt;_x000d__x000a_  &lt;/metadata&gt;_x000d__x000a_  &lt;metadata key=&quot;md_Prefix&quot;&gt;_x000d__x000a_    &lt;text&gt;&lt;/text&gt;_x000d__x000a_  &lt;/metadata&gt;_x000d__x000a_  &lt;metadata key=&quot;md_DocumentNumber&quot;&gt;_x000d__x000a_    &lt;text&gt;14450&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413&lt;/text&gt;_x000d__x000a_      &lt;text&gt;UEM 516&lt;/text&gt;_x000d__x000a_      &lt;text&gt;FIN 1249&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DRAF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3 July 2021 on the approval of the assessment of the recovery and resilience plan for Slovakia&quot;&gt;&amp;lt;FlowDocument xmlns=&quot;http://schemas.microsoft.com/winfx/2006/xaml/presentation&quot;&amp;gt;&amp;lt;Paragraph&amp;gt;ANNEX to the COUNCIL IMPLEMENTING DECISION amending Implementing Decision of 13 July 2021 on the approval of the assessment of the recovery and resilience plan for Slovakia&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DW_DocType" w:val="DW_COUNCIL"/>
    <w:docVar w:name="DW_ProcessingType" w:val="ToolboxLockTechnicalBlock"/>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E7B4BA52-FBC8-4C1A-B440-927A212E3475"/>
    <w:docVar w:name="LW_COVERPAGE_TYPE" w:val="1"/>
    <w:docVar w:name="LW_CROSSREFERENCE" w:val="{SWD(2026) 131 final}"/>
    <w:docVar w:name="LW_DocType" w:val="DW_COUNCIL"/>
    <w:docVar w:name="LW_EMISSION" w:val="18.5.2026"/>
    <w:docVar w:name="LW_EMISSION_ISODATE" w:val="2026-05-18"/>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13 juillet 2021 relative à l\u8217?approbation de l\u8217?évaluation du plan pour la reprise et la résilience pour la Slovaquie"/>
    <w:docVar w:name="LW_PART_NBR" w:val="1"/>
    <w:docVar w:name="LW_PART_NBR_TOTAL" w:val="1"/>
    <w:docVar w:name="LW_REF.INST.NEW" w:val="COM"/>
    <w:docVar w:name="LW_REF.INST.NEW_ADOPTED" w:val="final"/>
    <w:docVar w:name="LW_REF.INST.NEW_TEXT" w:val="(2026) 2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Proposition de DÉCISION D\u8217?EXÉCUTION DU CONSEIL"/>
    <w:docVar w:name="LwApiVersions" w:val="LW4CoDe 1.24.5.0; LW 9.2, Build 20251112"/>
  </w:docVars>
  <w:rsids>
    <w:rsidRoot w:val="00A86151"/>
    <w:rsid w:val="000016BC"/>
    <w:rsid w:val="00001C7F"/>
    <w:rsid w:val="00002A93"/>
    <w:rsid w:val="00002C0A"/>
    <w:rsid w:val="00002EB5"/>
    <w:rsid w:val="0000309F"/>
    <w:rsid w:val="00003420"/>
    <w:rsid w:val="000047D3"/>
    <w:rsid w:val="00004C02"/>
    <w:rsid w:val="00006306"/>
    <w:rsid w:val="00007713"/>
    <w:rsid w:val="00010DD7"/>
    <w:rsid w:val="00010FCB"/>
    <w:rsid w:val="00011435"/>
    <w:rsid w:val="00012963"/>
    <w:rsid w:val="000131B8"/>
    <w:rsid w:val="00013442"/>
    <w:rsid w:val="000137F0"/>
    <w:rsid w:val="00013C4E"/>
    <w:rsid w:val="00014BCD"/>
    <w:rsid w:val="00014C62"/>
    <w:rsid w:val="000150BD"/>
    <w:rsid w:val="00015399"/>
    <w:rsid w:val="00015C1B"/>
    <w:rsid w:val="00016CE7"/>
    <w:rsid w:val="00017890"/>
    <w:rsid w:val="00017B11"/>
    <w:rsid w:val="0002086E"/>
    <w:rsid w:val="00020934"/>
    <w:rsid w:val="00020A2D"/>
    <w:rsid w:val="0002354E"/>
    <w:rsid w:val="00023F89"/>
    <w:rsid w:val="00027B0B"/>
    <w:rsid w:val="00027B79"/>
    <w:rsid w:val="00027E74"/>
    <w:rsid w:val="0003064E"/>
    <w:rsid w:val="00030CC5"/>
    <w:rsid w:val="000313AA"/>
    <w:rsid w:val="00031EEE"/>
    <w:rsid w:val="00032803"/>
    <w:rsid w:val="000335E9"/>
    <w:rsid w:val="00034AFF"/>
    <w:rsid w:val="000359EA"/>
    <w:rsid w:val="00036313"/>
    <w:rsid w:val="0003663D"/>
    <w:rsid w:val="00036833"/>
    <w:rsid w:val="00037322"/>
    <w:rsid w:val="0003738A"/>
    <w:rsid w:val="00040497"/>
    <w:rsid w:val="0004049B"/>
    <w:rsid w:val="00041137"/>
    <w:rsid w:val="0004176C"/>
    <w:rsid w:val="00041882"/>
    <w:rsid w:val="000427A5"/>
    <w:rsid w:val="00042E43"/>
    <w:rsid w:val="00043FC3"/>
    <w:rsid w:val="000447F9"/>
    <w:rsid w:val="00044F23"/>
    <w:rsid w:val="00045251"/>
    <w:rsid w:val="0004652D"/>
    <w:rsid w:val="00047F16"/>
    <w:rsid w:val="0005014A"/>
    <w:rsid w:val="00050AFB"/>
    <w:rsid w:val="00051380"/>
    <w:rsid w:val="000516E8"/>
    <w:rsid w:val="00051949"/>
    <w:rsid w:val="00051C13"/>
    <w:rsid w:val="00051F5A"/>
    <w:rsid w:val="000523FB"/>
    <w:rsid w:val="000527F2"/>
    <w:rsid w:val="00052D7C"/>
    <w:rsid w:val="00053253"/>
    <w:rsid w:val="000532DA"/>
    <w:rsid w:val="0005339B"/>
    <w:rsid w:val="0005348B"/>
    <w:rsid w:val="00053D0E"/>
    <w:rsid w:val="0005417E"/>
    <w:rsid w:val="000543D5"/>
    <w:rsid w:val="000551CD"/>
    <w:rsid w:val="00055DDE"/>
    <w:rsid w:val="00056155"/>
    <w:rsid w:val="0005756A"/>
    <w:rsid w:val="00057975"/>
    <w:rsid w:val="0006149E"/>
    <w:rsid w:val="000615E4"/>
    <w:rsid w:val="000619B1"/>
    <w:rsid w:val="00061AFF"/>
    <w:rsid w:val="0006220B"/>
    <w:rsid w:val="0006304B"/>
    <w:rsid w:val="000633BA"/>
    <w:rsid w:val="00063D70"/>
    <w:rsid w:val="0006495B"/>
    <w:rsid w:val="00067474"/>
    <w:rsid w:val="00067513"/>
    <w:rsid w:val="000676AD"/>
    <w:rsid w:val="00067CCE"/>
    <w:rsid w:val="00067DD8"/>
    <w:rsid w:val="00070089"/>
    <w:rsid w:val="000702E3"/>
    <w:rsid w:val="00070C2C"/>
    <w:rsid w:val="000714B2"/>
    <w:rsid w:val="00071A47"/>
    <w:rsid w:val="0007218D"/>
    <w:rsid w:val="0007247B"/>
    <w:rsid w:val="00072725"/>
    <w:rsid w:val="000728B1"/>
    <w:rsid w:val="00073020"/>
    <w:rsid w:val="00073305"/>
    <w:rsid w:val="000738D7"/>
    <w:rsid w:val="00073CFD"/>
    <w:rsid w:val="000740DB"/>
    <w:rsid w:val="00074580"/>
    <w:rsid w:val="000747C1"/>
    <w:rsid w:val="00074E17"/>
    <w:rsid w:val="000805EF"/>
    <w:rsid w:val="000809AE"/>
    <w:rsid w:val="000809B0"/>
    <w:rsid w:val="00081E86"/>
    <w:rsid w:val="0008375D"/>
    <w:rsid w:val="00083907"/>
    <w:rsid w:val="000867FD"/>
    <w:rsid w:val="00086887"/>
    <w:rsid w:val="00086B7B"/>
    <w:rsid w:val="00090355"/>
    <w:rsid w:val="00093380"/>
    <w:rsid w:val="00093FE8"/>
    <w:rsid w:val="00094AD0"/>
    <w:rsid w:val="0009559F"/>
    <w:rsid w:val="00096227"/>
    <w:rsid w:val="00096E91"/>
    <w:rsid w:val="000971B1"/>
    <w:rsid w:val="000971C0"/>
    <w:rsid w:val="000A05A6"/>
    <w:rsid w:val="000A0B4B"/>
    <w:rsid w:val="000A2999"/>
    <w:rsid w:val="000A2E91"/>
    <w:rsid w:val="000A362F"/>
    <w:rsid w:val="000A3B2D"/>
    <w:rsid w:val="000A3F96"/>
    <w:rsid w:val="000A3FF0"/>
    <w:rsid w:val="000A4942"/>
    <w:rsid w:val="000A4BBD"/>
    <w:rsid w:val="000A4C42"/>
    <w:rsid w:val="000A4F13"/>
    <w:rsid w:val="000A576C"/>
    <w:rsid w:val="000A76F5"/>
    <w:rsid w:val="000B0256"/>
    <w:rsid w:val="000B076B"/>
    <w:rsid w:val="000B2EB5"/>
    <w:rsid w:val="000B58F2"/>
    <w:rsid w:val="000B73A4"/>
    <w:rsid w:val="000B7EEB"/>
    <w:rsid w:val="000B7FFA"/>
    <w:rsid w:val="000C1ED1"/>
    <w:rsid w:val="000C24A5"/>
    <w:rsid w:val="000C2DCB"/>
    <w:rsid w:val="000C32B2"/>
    <w:rsid w:val="000C3C3B"/>
    <w:rsid w:val="000C40DE"/>
    <w:rsid w:val="000C4196"/>
    <w:rsid w:val="000C4263"/>
    <w:rsid w:val="000C4E4E"/>
    <w:rsid w:val="000C509C"/>
    <w:rsid w:val="000C5746"/>
    <w:rsid w:val="000C5996"/>
    <w:rsid w:val="000C69B9"/>
    <w:rsid w:val="000C70B0"/>
    <w:rsid w:val="000C7282"/>
    <w:rsid w:val="000C72E7"/>
    <w:rsid w:val="000C7C5D"/>
    <w:rsid w:val="000C7CDF"/>
    <w:rsid w:val="000CB8DC"/>
    <w:rsid w:val="000D175E"/>
    <w:rsid w:val="000D1DEF"/>
    <w:rsid w:val="000D2563"/>
    <w:rsid w:val="000D2D85"/>
    <w:rsid w:val="000D4D74"/>
    <w:rsid w:val="000D6E0F"/>
    <w:rsid w:val="000E0066"/>
    <w:rsid w:val="000E01D4"/>
    <w:rsid w:val="000E075D"/>
    <w:rsid w:val="000E25F4"/>
    <w:rsid w:val="000E2CFF"/>
    <w:rsid w:val="000E2D66"/>
    <w:rsid w:val="000E2E07"/>
    <w:rsid w:val="000E40E5"/>
    <w:rsid w:val="000E46F4"/>
    <w:rsid w:val="000E5AD8"/>
    <w:rsid w:val="000E7A0F"/>
    <w:rsid w:val="000F0619"/>
    <w:rsid w:val="000F0D78"/>
    <w:rsid w:val="000F17B7"/>
    <w:rsid w:val="000F1B0C"/>
    <w:rsid w:val="000F24A6"/>
    <w:rsid w:val="000F2E18"/>
    <w:rsid w:val="000F3085"/>
    <w:rsid w:val="000F3C81"/>
    <w:rsid w:val="000F49E0"/>
    <w:rsid w:val="000F4E08"/>
    <w:rsid w:val="000F5973"/>
    <w:rsid w:val="000F696C"/>
    <w:rsid w:val="000F6B7F"/>
    <w:rsid w:val="001006B1"/>
    <w:rsid w:val="00101609"/>
    <w:rsid w:val="0010162C"/>
    <w:rsid w:val="00102586"/>
    <w:rsid w:val="001025B4"/>
    <w:rsid w:val="00102D8C"/>
    <w:rsid w:val="00103143"/>
    <w:rsid w:val="001032FD"/>
    <w:rsid w:val="0010365A"/>
    <w:rsid w:val="00103733"/>
    <w:rsid w:val="00104237"/>
    <w:rsid w:val="00104A06"/>
    <w:rsid w:val="00104CBD"/>
    <w:rsid w:val="001051ED"/>
    <w:rsid w:val="00105651"/>
    <w:rsid w:val="00105850"/>
    <w:rsid w:val="00105DAB"/>
    <w:rsid w:val="00106449"/>
    <w:rsid w:val="001072AA"/>
    <w:rsid w:val="001103BC"/>
    <w:rsid w:val="00110694"/>
    <w:rsid w:val="0011114F"/>
    <w:rsid w:val="00111EF8"/>
    <w:rsid w:val="0011334F"/>
    <w:rsid w:val="00113890"/>
    <w:rsid w:val="001154C1"/>
    <w:rsid w:val="00116C2F"/>
    <w:rsid w:val="00116F22"/>
    <w:rsid w:val="0012099F"/>
    <w:rsid w:val="00120C97"/>
    <w:rsid w:val="00121A20"/>
    <w:rsid w:val="001225C8"/>
    <w:rsid w:val="001235CF"/>
    <w:rsid w:val="00124278"/>
    <w:rsid w:val="00125187"/>
    <w:rsid w:val="00126347"/>
    <w:rsid w:val="0012675E"/>
    <w:rsid w:val="00126B25"/>
    <w:rsid w:val="0012740B"/>
    <w:rsid w:val="00127A70"/>
    <w:rsid w:val="00127BBB"/>
    <w:rsid w:val="00130B56"/>
    <w:rsid w:val="00132DCA"/>
    <w:rsid w:val="00133108"/>
    <w:rsid w:val="001335F5"/>
    <w:rsid w:val="00133C57"/>
    <w:rsid w:val="00134D34"/>
    <w:rsid w:val="001365C3"/>
    <w:rsid w:val="00136643"/>
    <w:rsid w:val="00137275"/>
    <w:rsid w:val="00137FB9"/>
    <w:rsid w:val="001400A2"/>
    <w:rsid w:val="00140751"/>
    <w:rsid w:val="00140A8B"/>
    <w:rsid w:val="00140E4D"/>
    <w:rsid w:val="00140E5D"/>
    <w:rsid w:val="0014107A"/>
    <w:rsid w:val="0014189D"/>
    <w:rsid w:val="00144FF1"/>
    <w:rsid w:val="0014683A"/>
    <w:rsid w:val="00147400"/>
    <w:rsid w:val="00147CF8"/>
    <w:rsid w:val="00147DE9"/>
    <w:rsid w:val="00147E3C"/>
    <w:rsid w:val="001501E3"/>
    <w:rsid w:val="00150464"/>
    <w:rsid w:val="00150C4F"/>
    <w:rsid w:val="00150C6D"/>
    <w:rsid w:val="00150D07"/>
    <w:rsid w:val="00150D95"/>
    <w:rsid w:val="00150F95"/>
    <w:rsid w:val="0015133D"/>
    <w:rsid w:val="001514A2"/>
    <w:rsid w:val="001523D0"/>
    <w:rsid w:val="00154701"/>
    <w:rsid w:val="00155049"/>
    <w:rsid w:val="001554CE"/>
    <w:rsid w:val="001559F3"/>
    <w:rsid w:val="00155D0E"/>
    <w:rsid w:val="0015665B"/>
    <w:rsid w:val="00156C27"/>
    <w:rsid w:val="0015752C"/>
    <w:rsid w:val="001579F5"/>
    <w:rsid w:val="00160723"/>
    <w:rsid w:val="0016185E"/>
    <w:rsid w:val="00162316"/>
    <w:rsid w:val="001637A0"/>
    <w:rsid w:val="0016542B"/>
    <w:rsid w:val="00165533"/>
    <w:rsid w:val="00165753"/>
    <w:rsid w:val="00165860"/>
    <w:rsid w:val="001659AC"/>
    <w:rsid w:val="00166891"/>
    <w:rsid w:val="0016698C"/>
    <w:rsid w:val="001669FF"/>
    <w:rsid w:val="00166BC9"/>
    <w:rsid w:val="0016735C"/>
    <w:rsid w:val="00170563"/>
    <w:rsid w:val="00170A64"/>
    <w:rsid w:val="00170CDE"/>
    <w:rsid w:val="00171788"/>
    <w:rsid w:val="00172131"/>
    <w:rsid w:val="00172A0C"/>
    <w:rsid w:val="00172F80"/>
    <w:rsid w:val="00173213"/>
    <w:rsid w:val="00173418"/>
    <w:rsid w:val="00174563"/>
    <w:rsid w:val="00174C96"/>
    <w:rsid w:val="00175FF5"/>
    <w:rsid w:val="00176AD0"/>
    <w:rsid w:val="00176D72"/>
    <w:rsid w:val="00177FF0"/>
    <w:rsid w:val="0018085E"/>
    <w:rsid w:val="00183240"/>
    <w:rsid w:val="00184FAB"/>
    <w:rsid w:val="00185581"/>
    <w:rsid w:val="0018648E"/>
    <w:rsid w:val="001868C0"/>
    <w:rsid w:val="00187418"/>
    <w:rsid w:val="00187A7C"/>
    <w:rsid w:val="0018D0C2"/>
    <w:rsid w:val="001901C8"/>
    <w:rsid w:val="00190597"/>
    <w:rsid w:val="001909A7"/>
    <w:rsid w:val="00191DBC"/>
    <w:rsid w:val="001921ED"/>
    <w:rsid w:val="00192A3E"/>
    <w:rsid w:val="00193B7E"/>
    <w:rsid w:val="001943F7"/>
    <w:rsid w:val="00195781"/>
    <w:rsid w:val="00196B0A"/>
    <w:rsid w:val="00196D76"/>
    <w:rsid w:val="0019785B"/>
    <w:rsid w:val="001A03D8"/>
    <w:rsid w:val="001A0419"/>
    <w:rsid w:val="001A1811"/>
    <w:rsid w:val="001A1B29"/>
    <w:rsid w:val="001A2F45"/>
    <w:rsid w:val="001A3026"/>
    <w:rsid w:val="001A4135"/>
    <w:rsid w:val="001A49CD"/>
    <w:rsid w:val="001A4E09"/>
    <w:rsid w:val="001A5E0A"/>
    <w:rsid w:val="001A6729"/>
    <w:rsid w:val="001A688A"/>
    <w:rsid w:val="001B045B"/>
    <w:rsid w:val="001B0D4E"/>
    <w:rsid w:val="001B1975"/>
    <w:rsid w:val="001B1C5C"/>
    <w:rsid w:val="001B31BC"/>
    <w:rsid w:val="001B376C"/>
    <w:rsid w:val="001B3B6D"/>
    <w:rsid w:val="001B4F7E"/>
    <w:rsid w:val="001B5317"/>
    <w:rsid w:val="001B695A"/>
    <w:rsid w:val="001B6F42"/>
    <w:rsid w:val="001B7BB2"/>
    <w:rsid w:val="001B7EFD"/>
    <w:rsid w:val="001C16E9"/>
    <w:rsid w:val="001C184E"/>
    <w:rsid w:val="001C217F"/>
    <w:rsid w:val="001C240F"/>
    <w:rsid w:val="001C36F8"/>
    <w:rsid w:val="001C48D6"/>
    <w:rsid w:val="001C5243"/>
    <w:rsid w:val="001C54FD"/>
    <w:rsid w:val="001C577E"/>
    <w:rsid w:val="001C5A8C"/>
    <w:rsid w:val="001C5FED"/>
    <w:rsid w:val="001C6AAD"/>
    <w:rsid w:val="001C6F77"/>
    <w:rsid w:val="001C70EC"/>
    <w:rsid w:val="001C7DC4"/>
    <w:rsid w:val="001C7F75"/>
    <w:rsid w:val="001D2D41"/>
    <w:rsid w:val="001D30B2"/>
    <w:rsid w:val="001D432D"/>
    <w:rsid w:val="001D489C"/>
    <w:rsid w:val="001D4E13"/>
    <w:rsid w:val="001D56ED"/>
    <w:rsid w:val="001D5BE8"/>
    <w:rsid w:val="001D6D5D"/>
    <w:rsid w:val="001E11A8"/>
    <w:rsid w:val="001E1288"/>
    <w:rsid w:val="001E12BB"/>
    <w:rsid w:val="001E3468"/>
    <w:rsid w:val="001E39C5"/>
    <w:rsid w:val="001E41C0"/>
    <w:rsid w:val="001E44C4"/>
    <w:rsid w:val="001E44F0"/>
    <w:rsid w:val="001E4533"/>
    <w:rsid w:val="001E4BEB"/>
    <w:rsid w:val="001E5118"/>
    <w:rsid w:val="001E588C"/>
    <w:rsid w:val="001E5AA3"/>
    <w:rsid w:val="001E5F78"/>
    <w:rsid w:val="001E6711"/>
    <w:rsid w:val="001E7159"/>
    <w:rsid w:val="001E7480"/>
    <w:rsid w:val="001E7F3C"/>
    <w:rsid w:val="001F0A67"/>
    <w:rsid w:val="001F1F0D"/>
    <w:rsid w:val="001F1F1E"/>
    <w:rsid w:val="001F2F8B"/>
    <w:rsid w:val="001F3662"/>
    <w:rsid w:val="001F368D"/>
    <w:rsid w:val="001F390D"/>
    <w:rsid w:val="001F59C9"/>
    <w:rsid w:val="001F6236"/>
    <w:rsid w:val="001F631D"/>
    <w:rsid w:val="001F63D1"/>
    <w:rsid w:val="001F66A1"/>
    <w:rsid w:val="001F768E"/>
    <w:rsid w:val="002004D4"/>
    <w:rsid w:val="00200872"/>
    <w:rsid w:val="0020087B"/>
    <w:rsid w:val="00200E41"/>
    <w:rsid w:val="00200F4F"/>
    <w:rsid w:val="00202F9D"/>
    <w:rsid w:val="00203244"/>
    <w:rsid w:val="00203B4F"/>
    <w:rsid w:val="002051C5"/>
    <w:rsid w:val="002056AC"/>
    <w:rsid w:val="00205969"/>
    <w:rsid w:val="002100E0"/>
    <w:rsid w:val="00210883"/>
    <w:rsid w:val="00210A21"/>
    <w:rsid w:val="00210DBF"/>
    <w:rsid w:val="00211824"/>
    <w:rsid w:val="0021188A"/>
    <w:rsid w:val="0021368F"/>
    <w:rsid w:val="002142B7"/>
    <w:rsid w:val="002142CF"/>
    <w:rsid w:val="00215103"/>
    <w:rsid w:val="00215624"/>
    <w:rsid w:val="0022024F"/>
    <w:rsid w:val="00220EE5"/>
    <w:rsid w:val="00222052"/>
    <w:rsid w:val="00222104"/>
    <w:rsid w:val="00222A8C"/>
    <w:rsid w:val="00222C14"/>
    <w:rsid w:val="00223126"/>
    <w:rsid w:val="00223C1F"/>
    <w:rsid w:val="00223EA6"/>
    <w:rsid w:val="00225496"/>
    <w:rsid w:val="002256C6"/>
    <w:rsid w:val="002265C2"/>
    <w:rsid w:val="002302C0"/>
    <w:rsid w:val="00230B1E"/>
    <w:rsid w:val="002342B0"/>
    <w:rsid w:val="002344F1"/>
    <w:rsid w:val="00234964"/>
    <w:rsid w:val="00234EBC"/>
    <w:rsid w:val="00235675"/>
    <w:rsid w:val="0023634C"/>
    <w:rsid w:val="00236378"/>
    <w:rsid w:val="00236852"/>
    <w:rsid w:val="0023692A"/>
    <w:rsid w:val="00236D2B"/>
    <w:rsid w:val="00237AB8"/>
    <w:rsid w:val="00237D99"/>
    <w:rsid w:val="00240BE3"/>
    <w:rsid w:val="002413FA"/>
    <w:rsid w:val="00241B3E"/>
    <w:rsid w:val="00241CB1"/>
    <w:rsid w:val="00241CC3"/>
    <w:rsid w:val="002420FC"/>
    <w:rsid w:val="0024251C"/>
    <w:rsid w:val="0024253A"/>
    <w:rsid w:val="0024277F"/>
    <w:rsid w:val="002432E6"/>
    <w:rsid w:val="00244760"/>
    <w:rsid w:val="00244E62"/>
    <w:rsid w:val="00245B0F"/>
    <w:rsid w:val="00245E2F"/>
    <w:rsid w:val="0024603C"/>
    <w:rsid w:val="002467A0"/>
    <w:rsid w:val="0024702C"/>
    <w:rsid w:val="0024783F"/>
    <w:rsid w:val="00247FB3"/>
    <w:rsid w:val="0025082A"/>
    <w:rsid w:val="00250E12"/>
    <w:rsid w:val="00251BCC"/>
    <w:rsid w:val="00251E35"/>
    <w:rsid w:val="00251F09"/>
    <w:rsid w:val="00252212"/>
    <w:rsid w:val="00252BD9"/>
    <w:rsid w:val="002547B1"/>
    <w:rsid w:val="00254974"/>
    <w:rsid w:val="002549A7"/>
    <w:rsid w:val="00254E30"/>
    <w:rsid w:val="002560C8"/>
    <w:rsid w:val="002567AF"/>
    <w:rsid w:val="00256871"/>
    <w:rsid w:val="00256B07"/>
    <w:rsid w:val="00256DBA"/>
    <w:rsid w:val="00257B67"/>
    <w:rsid w:val="00257EE9"/>
    <w:rsid w:val="002602EA"/>
    <w:rsid w:val="002614A4"/>
    <w:rsid w:val="002632FD"/>
    <w:rsid w:val="00263642"/>
    <w:rsid w:val="00264BE1"/>
    <w:rsid w:val="002659E6"/>
    <w:rsid w:val="00266231"/>
    <w:rsid w:val="00267935"/>
    <w:rsid w:val="002679BD"/>
    <w:rsid w:val="00267EAD"/>
    <w:rsid w:val="00267EC1"/>
    <w:rsid w:val="00270830"/>
    <w:rsid w:val="00270AF4"/>
    <w:rsid w:val="00271680"/>
    <w:rsid w:val="00271A3A"/>
    <w:rsid w:val="002727A4"/>
    <w:rsid w:val="002761DD"/>
    <w:rsid w:val="00276C3C"/>
    <w:rsid w:val="00276ECE"/>
    <w:rsid w:val="002771B8"/>
    <w:rsid w:val="0027774A"/>
    <w:rsid w:val="002801F8"/>
    <w:rsid w:val="002804D1"/>
    <w:rsid w:val="00280C21"/>
    <w:rsid w:val="0028190D"/>
    <w:rsid w:val="00281DE8"/>
    <w:rsid w:val="0028249A"/>
    <w:rsid w:val="0028296E"/>
    <w:rsid w:val="00282BE5"/>
    <w:rsid w:val="00283C2A"/>
    <w:rsid w:val="00283DB4"/>
    <w:rsid w:val="002857D4"/>
    <w:rsid w:val="00285FFF"/>
    <w:rsid w:val="002869CF"/>
    <w:rsid w:val="0028707D"/>
    <w:rsid w:val="00287AA6"/>
    <w:rsid w:val="0029054D"/>
    <w:rsid w:val="00291E05"/>
    <w:rsid w:val="00293595"/>
    <w:rsid w:val="00293CD2"/>
    <w:rsid w:val="00294157"/>
    <w:rsid w:val="00295600"/>
    <w:rsid w:val="0029570F"/>
    <w:rsid w:val="00295DA9"/>
    <w:rsid w:val="00295FC6"/>
    <w:rsid w:val="00296B2B"/>
    <w:rsid w:val="00296D27"/>
    <w:rsid w:val="00297A5C"/>
    <w:rsid w:val="002A0515"/>
    <w:rsid w:val="002A076B"/>
    <w:rsid w:val="002A0848"/>
    <w:rsid w:val="002A1628"/>
    <w:rsid w:val="002A233A"/>
    <w:rsid w:val="002A272E"/>
    <w:rsid w:val="002A397B"/>
    <w:rsid w:val="002A3B89"/>
    <w:rsid w:val="002A3D82"/>
    <w:rsid w:val="002A43D1"/>
    <w:rsid w:val="002A68EF"/>
    <w:rsid w:val="002A6DD1"/>
    <w:rsid w:val="002A7428"/>
    <w:rsid w:val="002A82C7"/>
    <w:rsid w:val="002B0A6D"/>
    <w:rsid w:val="002B1A9B"/>
    <w:rsid w:val="002B1CC3"/>
    <w:rsid w:val="002B26D6"/>
    <w:rsid w:val="002B2EB1"/>
    <w:rsid w:val="002B3262"/>
    <w:rsid w:val="002B3B82"/>
    <w:rsid w:val="002B3F5E"/>
    <w:rsid w:val="002B44C0"/>
    <w:rsid w:val="002B4862"/>
    <w:rsid w:val="002B61C6"/>
    <w:rsid w:val="002B63BA"/>
    <w:rsid w:val="002B69ED"/>
    <w:rsid w:val="002B6B7B"/>
    <w:rsid w:val="002B6E66"/>
    <w:rsid w:val="002C135D"/>
    <w:rsid w:val="002C4245"/>
    <w:rsid w:val="002C4693"/>
    <w:rsid w:val="002C4DE0"/>
    <w:rsid w:val="002C7C97"/>
    <w:rsid w:val="002C7D1D"/>
    <w:rsid w:val="002D06D9"/>
    <w:rsid w:val="002D10DD"/>
    <w:rsid w:val="002D1753"/>
    <w:rsid w:val="002D2956"/>
    <w:rsid w:val="002D2E0C"/>
    <w:rsid w:val="002D2F6E"/>
    <w:rsid w:val="002D3720"/>
    <w:rsid w:val="002D49E1"/>
    <w:rsid w:val="002D4BFD"/>
    <w:rsid w:val="002D5451"/>
    <w:rsid w:val="002D54BC"/>
    <w:rsid w:val="002D601E"/>
    <w:rsid w:val="002D63DC"/>
    <w:rsid w:val="002D63FD"/>
    <w:rsid w:val="002D6AB4"/>
    <w:rsid w:val="002D7280"/>
    <w:rsid w:val="002E01EF"/>
    <w:rsid w:val="002E0249"/>
    <w:rsid w:val="002E040B"/>
    <w:rsid w:val="002E2328"/>
    <w:rsid w:val="002E4451"/>
    <w:rsid w:val="002E4A41"/>
    <w:rsid w:val="002E50C6"/>
    <w:rsid w:val="002E5C90"/>
    <w:rsid w:val="002E6016"/>
    <w:rsid w:val="002E685C"/>
    <w:rsid w:val="002E7C74"/>
    <w:rsid w:val="002F075E"/>
    <w:rsid w:val="002F0E4E"/>
    <w:rsid w:val="002F0F7C"/>
    <w:rsid w:val="002F0F90"/>
    <w:rsid w:val="002F19F8"/>
    <w:rsid w:val="002F1B46"/>
    <w:rsid w:val="002F247A"/>
    <w:rsid w:val="002F25FC"/>
    <w:rsid w:val="002F27F7"/>
    <w:rsid w:val="002F2FBC"/>
    <w:rsid w:val="002F320E"/>
    <w:rsid w:val="002F3315"/>
    <w:rsid w:val="002F3B9E"/>
    <w:rsid w:val="002F3F52"/>
    <w:rsid w:val="002F4B8D"/>
    <w:rsid w:val="002F68C1"/>
    <w:rsid w:val="002F74D1"/>
    <w:rsid w:val="003001D0"/>
    <w:rsid w:val="00300D44"/>
    <w:rsid w:val="003012D7"/>
    <w:rsid w:val="003016E0"/>
    <w:rsid w:val="00301FE6"/>
    <w:rsid w:val="003022E0"/>
    <w:rsid w:val="003022F4"/>
    <w:rsid w:val="0030268B"/>
    <w:rsid w:val="00302B34"/>
    <w:rsid w:val="00302D01"/>
    <w:rsid w:val="00302D60"/>
    <w:rsid w:val="0030365E"/>
    <w:rsid w:val="00303DD2"/>
    <w:rsid w:val="00304A14"/>
    <w:rsid w:val="003055B0"/>
    <w:rsid w:val="0030564A"/>
    <w:rsid w:val="003064D7"/>
    <w:rsid w:val="0030724B"/>
    <w:rsid w:val="0030771E"/>
    <w:rsid w:val="00307AD6"/>
    <w:rsid w:val="00307BD9"/>
    <w:rsid w:val="00310B97"/>
    <w:rsid w:val="003112A3"/>
    <w:rsid w:val="00312710"/>
    <w:rsid w:val="00314FC1"/>
    <w:rsid w:val="003150E1"/>
    <w:rsid w:val="00315393"/>
    <w:rsid w:val="003156D8"/>
    <w:rsid w:val="00316509"/>
    <w:rsid w:val="0031650D"/>
    <w:rsid w:val="00316F3B"/>
    <w:rsid w:val="00317B8D"/>
    <w:rsid w:val="0032078A"/>
    <w:rsid w:val="003212E9"/>
    <w:rsid w:val="00321A62"/>
    <w:rsid w:val="00322A94"/>
    <w:rsid w:val="00323384"/>
    <w:rsid w:val="003247EC"/>
    <w:rsid w:val="0032627B"/>
    <w:rsid w:val="003262A0"/>
    <w:rsid w:val="00326EC3"/>
    <w:rsid w:val="003273AA"/>
    <w:rsid w:val="003277C0"/>
    <w:rsid w:val="00330A3F"/>
    <w:rsid w:val="00330D1D"/>
    <w:rsid w:val="00330ED6"/>
    <w:rsid w:val="003310E2"/>
    <w:rsid w:val="003315A4"/>
    <w:rsid w:val="003315B5"/>
    <w:rsid w:val="003332AE"/>
    <w:rsid w:val="003347A1"/>
    <w:rsid w:val="00334F4E"/>
    <w:rsid w:val="00336A5E"/>
    <w:rsid w:val="00336B5E"/>
    <w:rsid w:val="00337370"/>
    <w:rsid w:val="00337DB6"/>
    <w:rsid w:val="00340862"/>
    <w:rsid w:val="003408E9"/>
    <w:rsid w:val="0034259D"/>
    <w:rsid w:val="00342727"/>
    <w:rsid w:val="00342AA1"/>
    <w:rsid w:val="00343709"/>
    <w:rsid w:val="003447EA"/>
    <w:rsid w:val="003501A6"/>
    <w:rsid w:val="0035154E"/>
    <w:rsid w:val="003521AB"/>
    <w:rsid w:val="003528CA"/>
    <w:rsid w:val="00353637"/>
    <w:rsid w:val="00353C5D"/>
    <w:rsid w:val="00354626"/>
    <w:rsid w:val="003558E4"/>
    <w:rsid w:val="00355A0E"/>
    <w:rsid w:val="00355C67"/>
    <w:rsid w:val="00355D12"/>
    <w:rsid w:val="00355F39"/>
    <w:rsid w:val="003568AF"/>
    <w:rsid w:val="00356A46"/>
    <w:rsid w:val="003577EC"/>
    <w:rsid w:val="003602F2"/>
    <w:rsid w:val="0036063A"/>
    <w:rsid w:val="00360E77"/>
    <w:rsid w:val="00361177"/>
    <w:rsid w:val="003614E3"/>
    <w:rsid w:val="003615D9"/>
    <w:rsid w:val="00361BAA"/>
    <w:rsid w:val="003627D6"/>
    <w:rsid w:val="003635EE"/>
    <w:rsid w:val="003645B3"/>
    <w:rsid w:val="00364EC0"/>
    <w:rsid w:val="00365799"/>
    <w:rsid w:val="00365829"/>
    <w:rsid w:val="0036636C"/>
    <w:rsid w:val="00366DFD"/>
    <w:rsid w:val="003675B8"/>
    <w:rsid w:val="00367EBD"/>
    <w:rsid w:val="0037008B"/>
    <w:rsid w:val="00370C12"/>
    <w:rsid w:val="003715D4"/>
    <w:rsid w:val="00371802"/>
    <w:rsid w:val="00372476"/>
    <w:rsid w:val="00373119"/>
    <w:rsid w:val="00373D8A"/>
    <w:rsid w:val="00374279"/>
    <w:rsid w:val="00374F85"/>
    <w:rsid w:val="00376631"/>
    <w:rsid w:val="00377107"/>
    <w:rsid w:val="00377FE2"/>
    <w:rsid w:val="00380443"/>
    <w:rsid w:val="00380514"/>
    <w:rsid w:val="00380D2B"/>
    <w:rsid w:val="00380FD0"/>
    <w:rsid w:val="0038115D"/>
    <w:rsid w:val="00381A1D"/>
    <w:rsid w:val="003824A3"/>
    <w:rsid w:val="0038272A"/>
    <w:rsid w:val="003849B2"/>
    <w:rsid w:val="00384A92"/>
    <w:rsid w:val="003860D5"/>
    <w:rsid w:val="00386E6C"/>
    <w:rsid w:val="00392121"/>
    <w:rsid w:val="0039232C"/>
    <w:rsid w:val="00393016"/>
    <w:rsid w:val="00393292"/>
    <w:rsid w:val="00394853"/>
    <w:rsid w:val="003949CE"/>
    <w:rsid w:val="003965FA"/>
    <w:rsid w:val="00397F1D"/>
    <w:rsid w:val="003A0071"/>
    <w:rsid w:val="003A0292"/>
    <w:rsid w:val="003A06C9"/>
    <w:rsid w:val="003A07E8"/>
    <w:rsid w:val="003A16D4"/>
    <w:rsid w:val="003A3A5B"/>
    <w:rsid w:val="003A523F"/>
    <w:rsid w:val="003A551A"/>
    <w:rsid w:val="003A5B78"/>
    <w:rsid w:val="003A6AD0"/>
    <w:rsid w:val="003A7210"/>
    <w:rsid w:val="003A724A"/>
    <w:rsid w:val="003A7F3E"/>
    <w:rsid w:val="003B14E8"/>
    <w:rsid w:val="003B21AF"/>
    <w:rsid w:val="003B3627"/>
    <w:rsid w:val="003B40E3"/>
    <w:rsid w:val="003B46ED"/>
    <w:rsid w:val="003B5115"/>
    <w:rsid w:val="003B5364"/>
    <w:rsid w:val="003B5F50"/>
    <w:rsid w:val="003B6757"/>
    <w:rsid w:val="003B67F1"/>
    <w:rsid w:val="003B7682"/>
    <w:rsid w:val="003B7CB0"/>
    <w:rsid w:val="003C0352"/>
    <w:rsid w:val="003C07FA"/>
    <w:rsid w:val="003C1725"/>
    <w:rsid w:val="003C184A"/>
    <w:rsid w:val="003C1923"/>
    <w:rsid w:val="003C1F45"/>
    <w:rsid w:val="003C2991"/>
    <w:rsid w:val="003C2B89"/>
    <w:rsid w:val="003C36AF"/>
    <w:rsid w:val="003C3700"/>
    <w:rsid w:val="003C394A"/>
    <w:rsid w:val="003C3BAD"/>
    <w:rsid w:val="003C3F92"/>
    <w:rsid w:val="003C4039"/>
    <w:rsid w:val="003C4679"/>
    <w:rsid w:val="003C5247"/>
    <w:rsid w:val="003C691D"/>
    <w:rsid w:val="003D1354"/>
    <w:rsid w:val="003D2063"/>
    <w:rsid w:val="003D2AC4"/>
    <w:rsid w:val="003D390B"/>
    <w:rsid w:val="003D3A10"/>
    <w:rsid w:val="003D4D8F"/>
    <w:rsid w:val="003D67EF"/>
    <w:rsid w:val="003D7B76"/>
    <w:rsid w:val="003E0247"/>
    <w:rsid w:val="003E1268"/>
    <w:rsid w:val="003E17C6"/>
    <w:rsid w:val="003E31CB"/>
    <w:rsid w:val="003E3DD3"/>
    <w:rsid w:val="003E4A3D"/>
    <w:rsid w:val="003E5D72"/>
    <w:rsid w:val="003E7325"/>
    <w:rsid w:val="003E7B6C"/>
    <w:rsid w:val="003F06E0"/>
    <w:rsid w:val="003F0880"/>
    <w:rsid w:val="003F0ACD"/>
    <w:rsid w:val="003F0D7B"/>
    <w:rsid w:val="003F162F"/>
    <w:rsid w:val="003F29A2"/>
    <w:rsid w:val="003F4467"/>
    <w:rsid w:val="003F47C4"/>
    <w:rsid w:val="003F4CFB"/>
    <w:rsid w:val="003F4E41"/>
    <w:rsid w:val="003F6A97"/>
    <w:rsid w:val="003F7415"/>
    <w:rsid w:val="003F754C"/>
    <w:rsid w:val="003F7AA8"/>
    <w:rsid w:val="004008B6"/>
    <w:rsid w:val="00401233"/>
    <w:rsid w:val="00401DB9"/>
    <w:rsid w:val="00401EEC"/>
    <w:rsid w:val="00402176"/>
    <w:rsid w:val="00402984"/>
    <w:rsid w:val="00403548"/>
    <w:rsid w:val="00404E22"/>
    <w:rsid w:val="00404F57"/>
    <w:rsid w:val="00405ABE"/>
    <w:rsid w:val="00410034"/>
    <w:rsid w:val="004115C5"/>
    <w:rsid w:val="004119B5"/>
    <w:rsid w:val="00411C19"/>
    <w:rsid w:val="0041214D"/>
    <w:rsid w:val="00413AD4"/>
    <w:rsid w:val="0041553E"/>
    <w:rsid w:val="00415DCD"/>
    <w:rsid w:val="00416EAE"/>
    <w:rsid w:val="0042150F"/>
    <w:rsid w:val="00422F6D"/>
    <w:rsid w:val="00423AA9"/>
    <w:rsid w:val="00423C07"/>
    <w:rsid w:val="00424A03"/>
    <w:rsid w:val="00425442"/>
    <w:rsid w:val="0042571B"/>
    <w:rsid w:val="00425EDA"/>
    <w:rsid w:val="00426039"/>
    <w:rsid w:val="00426D13"/>
    <w:rsid w:val="00426E5E"/>
    <w:rsid w:val="00427044"/>
    <w:rsid w:val="00427589"/>
    <w:rsid w:val="0042779E"/>
    <w:rsid w:val="004310D2"/>
    <w:rsid w:val="00431317"/>
    <w:rsid w:val="00432A3E"/>
    <w:rsid w:val="00433B5C"/>
    <w:rsid w:val="00433E0F"/>
    <w:rsid w:val="0043642F"/>
    <w:rsid w:val="004369EE"/>
    <w:rsid w:val="00437C6D"/>
    <w:rsid w:val="00441237"/>
    <w:rsid w:val="00441E78"/>
    <w:rsid w:val="00443923"/>
    <w:rsid w:val="00443A64"/>
    <w:rsid w:val="00443AB5"/>
    <w:rsid w:val="004441C5"/>
    <w:rsid w:val="004441D6"/>
    <w:rsid w:val="00444268"/>
    <w:rsid w:val="00444BEC"/>
    <w:rsid w:val="0044512B"/>
    <w:rsid w:val="0044636B"/>
    <w:rsid w:val="004478D3"/>
    <w:rsid w:val="00447DCE"/>
    <w:rsid w:val="00451555"/>
    <w:rsid w:val="0045196A"/>
    <w:rsid w:val="0045283E"/>
    <w:rsid w:val="00452F06"/>
    <w:rsid w:val="0045420A"/>
    <w:rsid w:val="0045488D"/>
    <w:rsid w:val="00454FF4"/>
    <w:rsid w:val="00455B37"/>
    <w:rsid w:val="00455C92"/>
    <w:rsid w:val="00456078"/>
    <w:rsid w:val="004560E2"/>
    <w:rsid w:val="0046074B"/>
    <w:rsid w:val="0046079A"/>
    <w:rsid w:val="00460850"/>
    <w:rsid w:val="00461520"/>
    <w:rsid w:val="00461D0F"/>
    <w:rsid w:val="0046232D"/>
    <w:rsid w:val="0046273B"/>
    <w:rsid w:val="00462FE3"/>
    <w:rsid w:val="00463992"/>
    <w:rsid w:val="0046475E"/>
    <w:rsid w:val="00465154"/>
    <w:rsid w:val="00467851"/>
    <w:rsid w:val="00467F21"/>
    <w:rsid w:val="00470F78"/>
    <w:rsid w:val="00471863"/>
    <w:rsid w:val="0047201F"/>
    <w:rsid w:val="00472762"/>
    <w:rsid w:val="00472F8F"/>
    <w:rsid w:val="00473B34"/>
    <w:rsid w:val="00473D08"/>
    <w:rsid w:val="0047452F"/>
    <w:rsid w:val="0047495F"/>
    <w:rsid w:val="00474A21"/>
    <w:rsid w:val="00474C28"/>
    <w:rsid w:val="004754B4"/>
    <w:rsid w:val="00475EB4"/>
    <w:rsid w:val="00476798"/>
    <w:rsid w:val="00481FA5"/>
    <w:rsid w:val="00482014"/>
    <w:rsid w:val="0048276B"/>
    <w:rsid w:val="00483893"/>
    <w:rsid w:val="004840AA"/>
    <w:rsid w:val="00484307"/>
    <w:rsid w:val="004846EE"/>
    <w:rsid w:val="00484ECA"/>
    <w:rsid w:val="00485617"/>
    <w:rsid w:val="004858E9"/>
    <w:rsid w:val="00485E9F"/>
    <w:rsid w:val="00490720"/>
    <w:rsid w:val="00490ABC"/>
    <w:rsid w:val="004910CE"/>
    <w:rsid w:val="00491161"/>
    <w:rsid w:val="00491A31"/>
    <w:rsid w:val="00493DA0"/>
    <w:rsid w:val="00494A47"/>
    <w:rsid w:val="00494A9E"/>
    <w:rsid w:val="00494B90"/>
    <w:rsid w:val="004951C3"/>
    <w:rsid w:val="0049520E"/>
    <w:rsid w:val="0049558C"/>
    <w:rsid w:val="004958EE"/>
    <w:rsid w:val="004966D5"/>
    <w:rsid w:val="00496C17"/>
    <w:rsid w:val="00496D8F"/>
    <w:rsid w:val="004974BD"/>
    <w:rsid w:val="004978F2"/>
    <w:rsid w:val="00497993"/>
    <w:rsid w:val="00497A41"/>
    <w:rsid w:val="00497A9C"/>
    <w:rsid w:val="00497F6F"/>
    <w:rsid w:val="004A00A9"/>
    <w:rsid w:val="004A07EB"/>
    <w:rsid w:val="004A26CA"/>
    <w:rsid w:val="004A32D1"/>
    <w:rsid w:val="004A3482"/>
    <w:rsid w:val="004A3F13"/>
    <w:rsid w:val="004A5A2A"/>
    <w:rsid w:val="004A5C9C"/>
    <w:rsid w:val="004A64E4"/>
    <w:rsid w:val="004A6CFE"/>
    <w:rsid w:val="004A73EA"/>
    <w:rsid w:val="004A799C"/>
    <w:rsid w:val="004B0605"/>
    <w:rsid w:val="004B0615"/>
    <w:rsid w:val="004B0874"/>
    <w:rsid w:val="004B0B05"/>
    <w:rsid w:val="004B0DF5"/>
    <w:rsid w:val="004B0E8A"/>
    <w:rsid w:val="004B1B43"/>
    <w:rsid w:val="004B2246"/>
    <w:rsid w:val="004B3480"/>
    <w:rsid w:val="004B377F"/>
    <w:rsid w:val="004B3855"/>
    <w:rsid w:val="004B3CC2"/>
    <w:rsid w:val="004B440B"/>
    <w:rsid w:val="004B446C"/>
    <w:rsid w:val="004B4AA9"/>
    <w:rsid w:val="004B4AB0"/>
    <w:rsid w:val="004B614E"/>
    <w:rsid w:val="004B627A"/>
    <w:rsid w:val="004C0B07"/>
    <w:rsid w:val="004C0EE1"/>
    <w:rsid w:val="004C2150"/>
    <w:rsid w:val="004C3AEC"/>
    <w:rsid w:val="004C5772"/>
    <w:rsid w:val="004C5E6B"/>
    <w:rsid w:val="004C5F8D"/>
    <w:rsid w:val="004C615E"/>
    <w:rsid w:val="004C7A43"/>
    <w:rsid w:val="004D0062"/>
    <w:rsid w:val="004D05D4"/>
    <w:rsid w:val="004D0B50"/>
    <w:rsid w:val="004D0E75"/>
    <w:rsid w:val="004D0EF6"/>
    <w:rsid w:val="004D1464"/>
    <w:rsid w:val="004D209D"/>
    <w:rsid w:val="004D3273"/>
    <w:rsid w:val="004D35B1"/>
    <w:rsid w:val="004D3EF8"/>
    <w:rsid w:val="004D3FEE"/>
    <w:rsid w:val="004D47AC"/>
    <w:rsid w:val="004D4BF2"/>
    <w:rsid w:val="004D5C84"/>
    <w:rsid w:val="004D60E2"/>
    <w:rsid w:val="004D638D"/>
    <w:rsid w:val="004D73E4"/>
    <w:rsid w:val="004D7B1C"/>
    <w:rsid w:val="004D7CE4"/>
    <w:rsid w:val="004E017F"/>
    <w:rsid w:val="004E0ED7"/>
    <w:rsid w:val="004E1283"/>
    <w:rsid w:val="004E1475"/>
    <w:rsid w:val="004E22B3"/>
    <w:rsid w:val="004E2D92"/>
    <w:rsid w:val="004E41B3"/>
    <w:rsid w:val="004E5513"/>
    <w:rsid w:val="004E6D60"/>
    <w:rsid w:val="004E7592"/>
    <w:rsid w:val="004F0D68"/>
    <w:rsid w:val="004F1540"/>
    <w:rsid w:val="004F1574"/>
    <w:rsid w:val="004F1B61"/>
    <w:rsid w:val="004F1D3E"/>
    <w:rsid w:val="004F433B"/>
    <w:rsid w:val="004F4406"/>
    <w:rsid w:val="004F479A"/>
    <w:rsid w:val="004F4A02"/>
    <w:rsid w:val="004F5010"/>
    <w:rsid w:val="004F5829"/>
    <w:rsid w:val="004F59AA"/>
    <w:rsid w:val="00501233"/>
    <w:rsid w:val="005020A8"/>
    <w:rsid w:val="00502F3E"/>
    <w:rsid w:val="00503BA8"/>
    <w:rsid w:val="00503C4A"/>
    <w:rsid w:val="00503F73"/>
    <w:rsid w:val="005042C3"/>
    <w:rsid w:val="00504552"/>
    <w:rsid w:val="0050461D"/>
    <w:rsid w:val="00504E4A"/>
    <w:rsid w:val="00505900"/>
    <w:rsid w:val="00506511"/>
    <w:rsid w:val="0050669E"/>
    <w:rsid w:val="00506B22"/>
    <w:rsid w:val="00507FF1"/>
    <w:rsid w:val="00510890"/>
    <w:rsid w:val="00511F58"/>
    <w:rsid w:val="005122F7"/>
    <w:rsid w:val="0051253B"/>
    <w:rsid w:val="005126A8"/>
    <w:rsid w:val="00512BD2"/>
    <w:rsid w:val="00513F23"/>
    <w:rsid w:val="005140AE"/>
    <w:rsid w:val="005140B1"/>
    <w:rsid w:val="005152AF"/>
    <w:rsid w:val="00515573"/>
    <w:rsid w:val="00516A8D"/>
    <w:rsid w:val="00516E6A"/>
    <w:rsid w:val="00520DFC"/>
    <w:rsid w:val="00521CC8"/>
    <w:rsid w:val="0052277A"/>
    <w:rsid w:val="00522856"/>
    <w:rsid w:val="00522D44"/>
    <w:rsid w:val="005245F8"/>
    <w:rsid w:val="00524BAA"/>
    <w:rsid w:val="00525531"/>
    <w:rsid w:val="0052594D"/>
    <w:rsid w:val="00526108"/>
    <w:rsid w:val="005263E6"/>
    <w:rsid w:val="00526577"/>
    <w:rsid w:val="0052793E"/>
    <w:rsid w:val="00527C59"/>
    <w:rsid w:val="00532622"/>
    <w:rsid w:val="005331F1"/>
    <w:rsid w:val="00534429"/>
    <w:rsid w:val="00534A19"/>
    <w:rsid w:val="00535C86"/>
    <w:rsid w:val="00535DEB"/>
    <w:rsid w:val="00535F33"/>
    <w:rsid w:val="00537B26"/>
    <w:rsid w:val="00537CFA"/>
    <w:rsid w:val="0054013B"/>
    <w:rsid w:val="00540B4A"/>
    <w:rsid w:val="0054125A"/>
    <w:rsid w:val="0054146C"/>
    <w:rsid w:val="005419BD"/>
    <w:rsid w:val="00541CA5"/>
    <w:rsid w:val="00542094"/>
    <w:rsid w:val="0054212F"/>
    <w:rsid w:val="005421C7"/>
    <w:rsid w:val="00542A71"/>
    <w:rsid w:val="0054364A"/>
    <w:rsid w:val="0054401D"/>
    <w:rsid w:val="00544D4E"/>
    <w:rsid w:val="00545BE1"/>
    <w:rsid w:val="00546796"/>
    <w:rsid w:val="00547E24"/>
    <w:rsid w:val="00550129"/>
    <w:rsid w:val="005507A4"/>
    <w:rsid w:val="00550DA4"/>
    <w:rsid w:val="00551CA4"/>
    <w:rsid w:val="0055229A"/>
    <w:rsid w:val="00553DB0"/>
    <w:rsid w:val="00554494"/>
    <w:rsid w:val="0055506F"/>
    <w:rsid w:val="0055567E"/>
    <w:rsid w:val="00555A9C"/>
    <w:rsid w:val="00555B00"/>
    <w:rsid w:val="005560F1"/>
    <w:rsid w:val="005566A4"/>
    <w:rsid w:val="00557F78"/>
    <w:rsid w:val="0056207A"/>
    <w:rsid w:val="005627B9"/>
    <w:rsid w:val="005628C6"/>
    <w:rsid w:val="00562F71"/>
    <w:rsid w:val="00563652"/>
    <w:rsid w:val="00564F74"/>
    <w:rsid w:val="00564FCE"/>
    <w:rsid w:val="00565A6C"/>
    <w:rsid w:val="00565CCF"/>
    <w:rsid w:val="00565DA6"/>
    <w:rsid w:val="0056603E"/>
    <w:rsid w:val="00567693"/>
    <w:rsid w:val="00567DE7"/>
    <w:rsid w:val="00570087"/>
    <w:rsid w:val="005700A1"/>
    <w:rsid w:val="005703C1"/>
    <w:rsid w:val="00570C02"/>
    <w:rsid w:val="00571E9A"/>
    <w:rsid w:val="00571FD6"/>
    <w:rsid w:val="005728A2"/>
    <w:rsid w:val="00572A9F"/>
    <w:rsid w:val="00572D3C"/>
    <w:rsid w:val="00572F51"/>
    <w:rsid w:val="005740C9"/>
    <w:rsid w:val="00574ECC"/>
    <w:rsid w:val="00575509"/>
    <w:rsid w:val="00576018"/>
    <w:rsid w:val="0057674A"/>
    <w:rsid w:val="00580033"/>
    <w:rsid w:val="0058156A"/>
    <w:rsid w:val="0058203C"/>
    <w:rsid w:val="005820C7"/>
    <w:rsid w:val="005820ED"/>
    <w:rsid w:val="0058385C"/>
    <w:rsid w:val="00583C52"/>
    <w:rsid w:val="00583D45"/>
    <w:rsid w:val="005847CE"/>
    <w:rsid w:val="00584AB3"/>
    <w:rsid w:val="00584E38"/>
    <w:rsid w:val="005858B0"/>
    <w:rsid w:val="00585D9D"/>
    <w:rsid w:val="00586A3C"/>
    <w:rsid w:val="00587118"/>
    <w:rsid w:val="00590726"/>
    <w:rsid w:val="00590CC0"/>
    <w:rsid w:val="00591C5D"/>
    <w:rsid w:val="00591E64"/>
    <w:rsid w:val="00592E21"/>
    <w:rsid w:val="0059323A"/>
    <w:rsid w:val="00594C6A"/>
    <w:rsid w:val="00594CBB"/>
    <w:rsid w:val="00594CF7"/>
    <w:rsid w:val="00594F79"/>
    <w:rsid w:val="005951DE"/>
    <w:rsid w:val="005959FC"/>
    <w:rsid w:val="00595BDF"/>
    <w:rsid w:val="0059650D"/>
    <w:rsid w:val="00596879"/>
    <w:rsid w:val="00597BD0"/>
    <w:rsid w:val="00597FAD"/>
    <w:rsid w:val="00597FDE"/>
    <w:rsid w:val="005A08A7"/>
    <w:rsid w:val="005A2002"/>
    <w:rsid w:val="005A30CA"/>
    <w:rsid w:val="005A3C91"/>
    <w:rsid w:val="005A3F22"/>
    <w:rsid w:val="005A540E"/>
    <w:rsid w:val="005A5CED"/>
    <w:rsid w:val="005A64AE"/>
    <w:rsid w:val="005A7D03"/>
    <w:rsid w:val="005B0903"/>
    <w:rsid w:val="005B0DD3"/>
    <w:rsid w:val="005B1E87"/>
    <w:rsid w:val="005B21DB"/>
    <w:rsid w:val="005B2872"/>
    <w:rsid w:val="005B2DBA"/>
    <w:rsid w:val="005B36A9"/>
    <w:rsid w:val="005B3789"/>
    <w:rsid w:val="005B462E"/>
    <w:rsid w:val="005B4F65"/>
    <w:rsid w:val="005B5069"/>
    <w:rsid w:val="005B558F"/>
    <w:rsid w:val="005C35E1"/>
    <w:rsid w:val="005C364E"/>
    <w:rsid w:val="005C3D91"/>
    <w:rsid w:val="005C4691"/>
    <w:rsid w:val="005C5393"/>
    <w:rsid w:val="005C6C93"/>
    <w:rsid w:val="005C7230"/>
    <w:rsid w:val="005C7473"/>
    <w:rsid w:val="005C785D"/>
    <w:rsid w:val="005D16E0"/>
    <w:rsid w:val="005D3DE4"/>
    <w:rsid w:val="005D3EFF"/>
    <w:rsid w:val="005D4311"/>
    <w:rsid w:val="005D5B8D"/>
    <w:rsid w:val="005E004B"/>
    <w:rsid w:val="005E0FDA"/>
    <w:rsid w:val="005E1B65"/>
    <w:rsid w:val="005E1E2B"/>
    <w:rsid w:val="005E20A4"/>
    <w:rsid w:val="005E21CB"/>
    <w:rsid w:val="005E2C46"/>
    <w:rsid w:val="005E308D"/>
    <w:rsid w:val="005E3557"/>
    <w:rsid w:val="005E4043"/>
    <w:rsid w:val="005E4192"/>
    <w:rsid w:val="005E4CBA"/>
    <w:rsid w:val="005E4CEB"/>
    <w:rsid w:val="005E4EB8"/>
    <w:rsid w:val="005E687A"/>
    <w:rsid w:val="005E73BE"/>
    <w:rsid w:val="005EE5EF"/>
    <w:rsid w:val="005F039A"/>
    <w:rsid w:val="005F0A95"/>
    <w:rsid w:val="005F1FA0"/>
    <w:rsid w:val="005F336C"/>
    <w:rsid w:val="005F4151"/>
    <w:rsid w:val="005F4626"/>
    <w:rsid w:val="005F4923"/>
    <w:rsid w:val="005F517F"/>
    <w:rsid w:val="005F5A15"/>
    <w:rsid w:val="005F6247"/>
    <w:rsid w:val="005F65D2"/>
    <w:rsid w:val="005F76D4"/>
    <w:rsid w:val="0060022E"/>
    <w:rsid w:val="0060092D"/>
    <w:rsid w:val="00600D0B"/>
    <w:rsid w:val="0060121D"/>
    <w:rsid w:val="00601F3D"/>
    <w:rsid w:val="00602C29"/>
    <w:rsid w:val="00603DA4"/>
    <w:rsid w:val="00603DB7"/>
    <w:rsid w:val="006040E1"/>
    <w:rsid w:val="00604D8C"/>
    <w:rsid w:val="00605BE9"/>
    <w:rsid w:val="00605DFB"/>
    <w:rsid w:val="006060A0"/>
    <w:rsid w:val="006075D0"/>
    <w:rsid w:val="00611234"/>
    <w:rsid w:val="0061238B"/>
    <w:rsid w:val="0061284F"/>
    <w:rsid w:val="006146AB"/>
    <w:rsid w:val="006151CB"/>
    <w:rsid w:val="00615594"/>
    <w:rsid w:val="00616A35"/>
    <w:rsid w:val="00616BAE"/>
    <w:rsid w:val="00616BE4"/>
    <w:rsid w:val="00616C16"/>
    <w:rsid w:val="00617534"/>
    <w:rsid w:val="00620C5B"/>
    <w:rsid w:val="00620D19"/>
    <w:rsid w:val="0062142A"/>
    <w:rsid w:val="006220E0"/>
    <w:rsid w:val="00622227"/>
    <w:rsid w:val="0062239B"/>
    <w:rsid w:val="00625243"/>
    <w:rsid w:val="0062597A"/>
    <w:rsid w:val="006269A7"/>
    <w:rsid w:val="0062762F"/>
    <w:rsid w:val="0063185A"/>
    <w:rsid w:val="00631FA0"/>
    <w:rsid w:val="006321FF"/>
    <w:rsid w:val="00632AF7"/>
    <w:rsid w:val="00632B05"/>
    <w:rsid w:val="00632F35"/>
    <w:rsid w:val="0063303D"/>
    <w:rsid w:val="006331EF"/>
    <w:rsid w:val="00635CBE"/>
    <w:rsid w:val="0063657F"/>
    <w:rsid w:val="006366A9"/>
    <w:rsid w:val="006366AB"/>
    <w:rsid w:val="00636791"/>
    <w:rsid w:val="00636C9C"/>
    <w:rsid w:val="006372FB"/>
    <w:rsid w:val="006378D9"/>
    <w:rsid w:val="00637EAD"/>
    <w:rsid w:val="00640F37"/>
    <w:rsid w:val="00641C36"/>
    <w:rsid w:val="00642B78"/>
    <w:rsid w:val="00643973"/>
    <w:rsid w:val="00644F23"/>
    <w:rsid w:val="006465AE"/>
    <w:rsid w:val="00646655"/>
    <w:rsid w:val="0064678C"/>
    <w:rsid w:val="006469FC"/>
    <w:rsid w:val="00647368"/>
    <w:rsid w:val="006475DA"/>
    <w:rsid w:val="00647F85"/>
    <w:rsid w:val="006506C6"/>
    <w:rsid w:val="00650B22"/>
    <w:rsid w:val="0065104B"/>
    <w:rsid w:val="00651C4F"/>
    <w:rsid w:val="006525AF"/>
    <w:rsid w:val="006534F5"/>
    <w:rsid w:val="00653775"/>
    <w:rsid w:val="0065440C"/>
    <w:rsid w:val="00654529"/>
    <w:rsid w:val="00654990"/>
    <w:rsid w:val="006563DC"/>
    <w:rsid w:val="006564AD"/>
    <w:rsid w:val="00657AF0"/>
    <w:rsid w:val="006614CD"/>
    <w:rsid w:val="00661730"/>
    <w:rsid w:val="00661F73"/>
    <w:rsid w:val="00662619"/>
    <w:rsid w:val="00662E4B"/>
    <w:rsid w:val="0066453F"/>
    <w:rsid w:val="006645DA"/>
    <w:rsid w:val="0066538A"/>
    <w:rsid w:val="006657D2"/>
    <w:rsid w:val="00665A21"/>
    <w:rsid w:val="00665B16"/>
    <w:rsid w:val="0066604E"/>
    <w:rsid w:val="006664B7"/>
    <w:rsid w:val="00666A2A"/>
    <w:rsid w:val="00670081"/>
    <w:rsid w:val="0067021E"/>
    <w:rsid w:val="00670FAB"/>
    <w:rsid w:val="006719C8"/>
    <w:rsid w:val="00671BF0"/>
    <w:rsid w:val="00672111"/>
    <w:rsid w:val="006757F6"/>
    <w:rsid w:val="006758BE"/>
    <w:rsid w:val="00675C67"/>
    <w:rsid w:val="00675E5D"/>
    <w:rsid w:val="006768EC"/>
    <w:rsid w:val="00676AB7"/>
    <w:rsid w:val="00676D04"/>
    <w:rsid w:val="00676FF5"/>
    <w:rsid w:val="0067716A"/>
    <w:rsid w:val="00677337"/>
    <w:rsid w:val="006827C1"/>
    <w:rsid w:val="00682A8A"/>
    <w:rsid w:val="00682CF6"/>
    <w:rsid w:val="006838B6"/>
    <w:rsid w:val="0068398D"/>
    <w:rsid w:val="00683E35"/>
    <w:rsid w:val="00684837"/>
    <w:rsid w:val="00685B0A"/>
    <w:rsid w:val="00685CCC"/>
    <w:rsid w:val="00686D0B"/>
    <w:rsid w:val="006873AF"/>
    <w:rsid w:val="0068799C"/>
    <w:rsid w:val="00687B30"/>
    <w:rsid w:val="00691AE6"/>
    <w:rsid w:val="00692AA8"/>
    <w:rsid w:val="00692B08"/>
    <w:rsid w:val="006946FF"/>
    <w:rsid w:val="00695791"/>
    <w:rsid w:val="00695FAB"/>
    <w:rsid w:val="00696565"/>
    <w:rsid w:val="00697592"/>
    <w:rsid w:val="006A0C80"/>
    <w:rsid w:val="006A164E"/>
    <w:rsid w:val="006A1EB6"/>
    <w:rsid w:val="006A1FBE"/>
    <w:rsid w:val="006A2F6B"/>
    <w:rsid w:val="006A3878"/>
    <w:rsid w:val="006A3EB0"/>
    <w:rsid w:val="006A5020"/>
    <w:rsid w:val="006A696B"/>
    <w:rsid w:val="006B0231"/>
    <w:rsid w:val="006B170D"/>
    <w:rsid w:val="006B2315"/>
    <w:rsid w:val="006B2409"/>
    <w:rsid w:val="006B490A"/>
    <w:rsid w:val="006B4EB9"/>
    <w:rsid w:val="006B4F17"/>
    <w:rsid w:val="006B5DFE"/>
    <w:rsid w:val="006B64C1"/>
    <w:rsid w:val="006B6DA8"/>
    <w:rsid w:val="006B7480"/>
    <w:rsid w:val="006C02AD"/>
    <w:rsid w:val="006C04D6"/>
    <w:rsid w:val="006C1654"/>
    <w:rsid w:val="006C16AE"/>
    <w:rsid w:val="006C25B7"/>
    <w:rsid w:val="006C2871"/>
    <w:rsid w:val="006C2F38"/>
    <w:rsid w:val="006C36C3"/>
    <w:rsid w:val="006C38D2"/>
    <w:rsid w:val="006C42AC"/>
    <w:rsid w:val="006C42C9"/>
    <w:rsid w:val="006C43A7"/>
    <w:rsid w:val="006C56C1"/>
    <w:rsid w:val="006C6185"/>
    <w:rsid w:val="006C66D1"/>
    <w:rsid w:val="006C6C5C"/>
    <w:rsid w:val="006D0769"/>
    <w:rsid w:val="006D2EBC"/>
    <w:rsid w:val="006D42EB"/>
    <w:rsid w:val="006D464B"/>
    <w:rsid w:val="006D47DB"/>
    <w:rsid w:val="006D5CA7"/>
    <w:rsid w:val="006D6E61"/>
    <w:rsid w:val="006D6F4B"/>
    <w:rsid w:val="006D70B1"/>
    <w:rsid w:val="006D739E"/>
    <w:rsid w:val="006D7D54"/>
    <w:rsid w:val="006E0002"/>
    <w:rsid w:val="006E068F"/>
    <w:rsid w:val="006E17DF"/>
    <w:rsid w:val="006E1CA4"/>
    <w:rsid w:val="006E1E5B"/>
    <w:rsid w:val="006E2AC0"/>
    <w:rsid w:val="006E312F"/>
    <w:rsid w:val="006E32C8"/>
    <w:rsid w:val="006E4742"/>
    <w:rsid w:val="006E50A2"/>
    <w:rsid w:val="006E6596"/>
    <w:rsid w:val="006E698E"/>
    <w:rsid w:val="006E69F7"/>
    <w:rsid w:val="006F0BF8"/>
    <w:rsid w:val="006F1808"/>
    <w:rsid w:val="006F2E2D"/>
    <w:rsid w:val="006F3091"/>
    <w:rsid w:val="006F465A"/>
    <w:rsid w:val="006F481F"/>
    <w:rsid w:val="006F58FB"/>
    <w:rsid w:val="006F60AB"/>
    <w:rsid w:val="006F65F5"/>
    <w:rsid w:val="006F73D8"/>
    <w:rsid w:val="006F7A57"/>
    <w:rsid w:val="007026F9"/>
    <w:rsid w:val="007033B9"/>
    <w:rsid w:val="007039DF"/>
    <w:rsid w:val="00704B65"/>
    <w:rsid w:val="00705E43"/>
    <w:rsid w:val="0070641C"/>
    <w:rsid w:val="007067E8"/>
    <w:rsid w:val="00706998"/>
    <w:rsid w:val="00710B12"/>
    <w:rsid w:val="007112CD"/>
    <w:rsid w:val="0071198B"/>
    <w:rsid w:val="00711CC8"/>
    <w:rsid w:val="00711F66"/>
    <w:rsid w:val="00713924"/>
    <w:rsid w:val="00713C63"/>
    <w:rsid w:val="00714CA7"/>
    <w:rsid w:val="00715701"/>
    <w:rsid w:val="00715FE4"/>
    <w:rsid w:val="00716B4D"/>
    <w:rsid w:val="00717228"/>
    <w:rsid w:val="00717287"/>
    <w:rsid w:val="00717617"/>
    <w:rsid w:val="0072192A"/>
    <w:rsid w:val="00721A1B"/>
    <w:rsid w:val="00721F2E"/>
    <w:rsid w:val="007227E2"/>
    <w:rsid w:val="00723398"/>
    <w:rsid w:val="007233C2"/>
    <w:rsid w:val="00724003"/>
    <w:rsid w:val="00724DBC"/>
    <w:rsid w:val="00725518"/>
    <w:rsid w:val="00726682"/>
    <w:rsid w:val="00727F7A"/>
    <w:rsid w:val="0073004E"/>
    <w:rsid w:val="007300FD"/>
    <w:rsid w:val="007306CB"/>
    <w:rsid w:val="00730DF6"/>
    <w:rsid w:val="00731D2E"/>
    <w:rsid w:val="007320A1"/>
    <w:rsid w:val="007338AC"/>
    <w:rsid w:val="00733C9D"/>
    <w:rsid w:val="0073413E"/>
    <w:rsid w:val="00734344"/>
    <w:rsid w:val="00736AE8"/>
    <w:rsid w:val="00737018"/>
    <w:rsid w:val="00737989"/>
    <w:rsid w:val="00737C07"/>
    <w:rsid w:val="00737E76"/>
    <w:rsid w:val="007419DD"/>
    <w:rsid w:val="00741A47"/>
    <w:rsid w:val="00741C65"/>
    <w:rsid w:val="007424BD"/>
    <w:rsid w:val="00743305"/>
    <w:rsid w:val="007433A5"/>
    <w:rsid w:val="00745433"/>
    <w:rsid w:val="00745B60"/>
    <w:rsid w:val="007503A8"/>
    <w:rsid w:val="00752015"/>
    <w:rsid w:val="007533D0"/>
    <w:rsid w:val="007549DF"/>
    <w:rsid w:val="00754F45"/>
    <w:rsid w:val="00755686"/>
    <w:rsid w:val="00755855"/>
    <w:rsid w:val="007610E9"/>
    <w:rsid w:val="00761120"/>
    <w:rsid w:val="00761B17"/>
    <w:rsid w:val="00761E05"/>
    <w:rsid w:val="00762B92"/>
    <w:rsid w:val="00763F43"/>
    <w:rsid w:val="0076522A"/>
    <w:rsid w:val="00765664"/>
    <w:rsid w:val="007667E3"/>
    <w:rsid w:val="00767045"/>
    <w:rsid w:val="00767622"/>
    <w:rsid w:val="007702C6"/>
    <w:rsid w:val="0077039B"/>
    <w:rsid w:val="00770DAE"/>
    <w:rsid w:val="00770FF7"/>
    <w:rsid w:val="00771F29"/>
    <w:rsid w:val="007733CF"/>
    <w:rsid w:val="00776003"/>
    <w:rsid w:val="00776070"/>
    <w:rsid w:val="00776CD5"/>
    <w:rsid w:val="007773B5"/>
    <w:rsid w:val="00777CA6"/>
    <w:rsid w:val="00777F28"/>
    <w:rsid w:val="007801A7"/>
    <w:rsid w:val="00780DF9"/>
    <w:rsid w:val="00780E01"/>
    <w:rsid w:val="007817FF"/>
    <w:rsid w:val="00782257"/>
    <w:rsid w:val="00782638"/>
    <w:rsid w:val="00782F56"/>
    <w:rsid w:val="00783D0C"/>
    <w:rsid w:val="00784AE1"/>
    <w:rsid w:val="00784EE0"/>
    <w:rsid w:val="00784EED"/>
    <w:rsid w:val="00785435"/>
    <w:rsid w:val="00785D81"/>
    <w:rsid w:val="007908C5"/>
    <w:rsid w:val="007909DA"/>
    <w:rsid w:val="00791AD8"/>
    <w:rsid w:val="00793C95"/>
    <w:rsid w:val="00793FD4"/>
    <w:rsid w:val="00794B3E"/>
    <w:rsid w:val="00794C7F"/>
    <w:rsid w:val="00795594"/>
    <w:rsid w:val="00795A5A"/>
    <w:rsid w:val="00795EFF"/>
    <w:rsid w:val="00795F14"/>
    <w:rsid w:val="007977A6"/>
    <w:rsid w:val="007979EC"/>
    <w:rsid w:val="00797CD8"/>
    <w:rsid w:val="007A0491"/>
    <w:rsid w:val="007A0535"/>
    <w:rsid w:val="007A066F"/>
    <w:rsid w:val="007A0F2C"/>
    <w:rsid w:val="007A12EA"/>
    <w:rsid w:val="007A1419"/>
    <w:rsid w:val="007A1ECF"/>
    <w:rsid w:val="007A27E8"/>
    <w:rsid w:val="007A3210"/>
    <w:rsid w:val="007A3F6B"/>
    <w:rsid w:val="007A425C"/>
    <w:rsid w:val="007A4623"/>
    <w:rsid w:val="007A466E"/>
    <w:rsid w:val="007A66F4"/>
    <w:rsid w:val="007A69B1"/>
    <w:rsid w:val="007A7002"/>
    <w:rsid w:val="007B02DD"/>
    <w:rsid w:val="007B1070"/>
    <w:rsid w:val="007B183D"/>
    <w:rsid w:val="007B1856"/>
    <w:rsid w:val="007B3184"/>
    <w:rsid w:val="007B3B4D"/>
    <w:rsid w:val="007B3BD7"/>
    <w:rsid w:val="007B4D9D"/>
    <w:rsid w:val="007B5AE5"/>
    <w:rsid w:val="007B5BE6"/>
    <w:rsid w:val="007B5D25"/>
    <w:rsid w:val="007B6010"/>
    <w:rsid w:val="007B6918"/>
    <w:rsid w:val="007B7489"/>
    <w:rsid w:val="007B74E1"/>
    <w:rsid w:val="007B78CC"/>
    <w:rsid w:val="007C0DDD"/>
    <w:rsid w:val="007C1BA4"/>
    <w:rsid w:val="007C2812"/>
    <w:rsid w:val="007C3233"/>
    <w:rsid w:val="007C32C9"/>
    <w:rsid w:val="007C3831"/>
    <w:rsid w:val="007C3F0B"/>
    <w:rsid w:val="007C666B"/>
    <w:rsid w:val="007C6CCE"/>
    <w:rsid w:val="007C6CE7"/>
    <w:rsid w:val="007C6DA7"/>
    <w:rsid w:val="007D0388"/>
    <w:rsid w:val="007D05E2"/>
    <w:rsid w:val="007D0AAC"/>
    <w:rsid w:val="007D1866"/>
    <w:rsid w:val="007D2F30"/>
    <w:rsid w:val="007D37E2"/>
    <w:rsid w:val="007D4ABF"/>
    <w:rsid w:val="007D5624"/>
    <w:rsid w:val="007D5CE4"/>
    <w:rsid w:val="007D643C"/>
    <w:rsid w:val="007D6EB3"/>
    <w:rsid w:val="007E0B58"/>
    <w:rsid w:val="007E15E7"/>
    <w:rsid w:val="007E19AD"/>
    <w:rsid w:val="007E255E"/>
    <w:rsid w:val="007E2DD0"/>
    <w:rsid w:val="007E3555"/>
    <w:rsid w:val="007E3D62"/>
    <w:rsid w:val="007E461B"/>
    <w:rsid w:val="007E6305"/>
    <w:rsid w:val="007E66C4"/>
    <w:rsid w:val="007E6BD3"/>
    <w:rsid w:val="007E6D01"/>
    <w:rsid w:val="007E723C"/>
    <w:rsid w:val="007E75A4"/>
    <w:rsid w:val="007F080F"/>
    <w:rsid w:val="007F1B7F"/>
    <w:rsid w:val="007F1C40"/>
    <w:rsid w:val="007F25DE"/>
    <w:rsid w:val="007F291E"/>
    <w:rsid w:val="007F2AB6"/>
    <w:rsid w:val="007F33C9"/>
    <w:rsid w:val="007F3C5C"/>
    <w:rsid w:val="007F4319"/>
    <w:rsid w:val="007F474B"/>
    <w:rsid w:val="007F499B"/>
    <w:rsid w:val="007F4F0F"/>
    <w:rsid w:val="007F51EF"/>
    <w:rsid w:val="007F6585"/>
    <w:rsid w:val="007F7C36"/>
    <w:rsid w:val="008020E2"/>
    <w:rsid w:val="00802254"/>
    <w:rsid w:val="00803631"/>
    <w:rsid w:val="0080403F"/>
    <w:rsid w:val="00806140"/>
    <w:rsid w:val="008061BC"/>
    <w:rsid w:val="00806C86"/>
    <w:rsid w:val="00806DFB"/>
    <w:rsid w:val="00807797"/>
    <w:rsid w:val="00807E17"/>
    <w:rsid w:val="00811084"/>
    <w:rsid w:val="00813224"/>
    <w:rsid w:val="008135CD"/>
    <w:rsid w:val="0081459C"/>
    <w:rsid w:val="00814DC0"/>
    <w:rsid w:val="00815F94"/>
    <w:rsid w:val="00817FC6"/>
    <w:rsid w:val="00820579"/>
    <w:rsid w:val="00821571"/>
    <w:rsid w:val="0082158E"/>
    <w:rsid w:val="00821BE7"/>
    <w:rsid w:val="00822E2B"/>
    <w:rsid w:val="00822F8C"/>
    <w:rsid w:val="00823766"/>
    <w:rsid w:val="00823DE5"/>
    <w:rsid w:val="008247E1"/>
    <w:rsid w:val="0082524D"/>
    <w:rsid w:val="00825542"/>
    <w:rsid w:val="008260C4"/>
    <w:rsid w:val="008275F8"/>
    <w:rsid w:val="00827632"/>
    <w:rsid w:val="008277B2"/>
    <w:rsid w:val="00827A96"/>
    <w:rsid w:val="00827B57"/>
    <w:rsid w:val="00831D30"/>
    <w:rsid w:val="00831DD5"/>
    <w:rsid w:val="00832B80"/>
    <w:rsid w:val="0083440D"/>
    <w:rsid w:val="00834893"/>
    <w:rsid w:val="00834DD4"/>
    <w:rsid w:val="008351D8"/>
    <w:rsid w:val="00835A03"/>
    <w:rsid w:val="00836124"/>
    <w:rsid w:val="00837C94"/>
    <w:rsid w:val="00837D6C"/>
    <w:rsid w:val="00837E87"/>
    <w:rsid w:val="00840C7B"/>
    <w:rsid w:val="008416B8"/>
    <w:rsid w:val="008418F1"/>
    <w:rsid w:val="00841B27"/>
    <w:rsid w:val="00842C7F"/>
    <w:rsid w:val="00843728"/>
    <w:rsid w:val="00845D3F"/>
    <w:rsid w:val="008463A5"/>
    <w:rsid w:val="00846E14"/>
    <w:rsid w:val="00847933"/>
    <w:rsid w:val="00847956"/>
    <w:rsid w:val="00847D6B"/>
    <w:rsid w:val="00851708"/>
    <w:rsid w:val="00851A40"/>
    <w:rsid w:val="0085246E"/>
    <w:rsid w:val="00852B44"/>
    <w:rsid w:val="00852F76"/>
    <w:rsid w:val="008538C8"/>
    <w:rsid w:val="008538DD"/>
    <w:rsid w:val="00853908"/>
    <w:rsid w:val="00853AF2"/>
    <w:rsid w:val="00853C21"/>
    <w:rsid w:val="00854A18"/>
    <w:rsid w:val="00854E58"/>
    <w:rsid w:val="00854FFF"/>
    <w:rsid w:val="00855191"/>
    <w:rsid w:val="00855A2D"/>
    <w:rsid w:val="00855BE2"/>
    <w:rsid w:val="00856003"/>
    <w:rsid w:val="008576A6"/>
    <w:rsid w:val="00857D36"/>
    <w:rsid w:val="0086079F"/>
    <w:rsid w:val="00860974"/>
    <w:rsid w:val="00860C57"/>
    <w:rsid w:val="008631C9"/>
    <w:rsid w:val="00863F9E"/>
    <w:rsid w:val="0086561C"/>
    <w:rsid w:val="0086717F"/>
    <w:rsid w:val="00870678"/>
    <w:rsid w:val="00870910"/>
    <w:rsid w:val="0087105D"/>
    <w:rsid w:val="00871074"/>
    <w:rsid w:val="0087124D"/>
    <w:rsid w:val="00871FB1"/>
    <w:rsid w:val="00872BD1"/>
    <w:rsid w:val="00872DBC"/>
    <w:rsid w:val="008737DD"/>
    <w:rsid w:val="008739E7"/>
    <w:rsid w:val="008745DC"/>
    <w:rsid w:val="008748BF"/>
    <w:rsid w:val="0087535E"/>
    <w:rsid w:val="00875C1A"/>
    <w:rsid w:val="00876326"/>
    <w:rsid w:val="00876716"/>
    <w:rsid w:val="00876A5D"/>
    <w:rsid w:val="008771DA"/>
    <w:rsid w:val="00880080"/>
    <w:rsid w:val="00880EC1"/>
    <w:rsid w:val="00882027"/>
    <w:rsid w:val="00882B25"/>
    <w:rsid w:val="00882D61"/>
    <w:rsid w:val="00882F31"/>
    <w:rsid w:val="008834EF"/>
    <w:rsid w:val="008846DB"/>
    <w:rsid w:val="00884E21"/>
    <w:rsid w:val="00885692"/>
    <w:rsid w:val="00885DBD"/>
    <w:rsid w:val="00885E9A"/>
    <w:rsid w:val="00886B34"/>
    <w:rsid w:val="00887360"/>
    <w:rsid w:val="00891982"/>
    <w:rsid w:val="00891C83"/>
    <w:rsid w:val="00891F51"/>
    <w:rsid w:val="00892373"/>
    <w:rsid w:val="00892D1F"/>
    <w:rsid w:val="00894139"/>
    <w:rsid w:val="0089482B"/>
    <w:rsid w:val="008950DB"/>
    <w:rsid w:val="008953E9"/>
    <w:rsid w:val="00895758"/>
    <w:rsid w:val="0089602E"/>
    <w:rsid w:val="00896B88"/>
    <w:rsid w:val="00896D9B"/>
    <w:rsid w:val="008A05A4"/>
    <w:rsid w:val="008A111E"/>
    <w:rsid w:val="008A1F64"/>
    <w:rsid w:val="008A2BBB"/>
    <w:rsid w:val="008A3430"/>
    <w:rsid w:val="008A37EF"/>
    <w:rsid w:val="008A4981"/>
    <w:rsid w:val="008A5423"/>
    <w:rsid w:val="008A5F71"/>
    <w:rsid w:val="008A6B89"/>
    <w:rsid w:val="008A768F"/>
    <w:rsid w:val="008B17CF"/>
    <w:rsid w:val="008B49C3"/>
    <w:rsid w:val="008B4CB3"/>
    <w:rsid w:val="008B60BE"/>
    <w:rsid w:val="008B6EB9"/>
    <w:rsid w:val="008B7137"/>
    <w:rsid w:val="008B7C0C"/>
    <w:rsid w:val="008C0EA7"/>
    <w:rsid w:val="008C112C"/>
    <w:rsid w:val="008C2663"/>
    <w:rsid w:val="008C3590"/>
    <w:rsid w:val="008C38F7"/>
    <w:rsid w:val="008C3ADD"/>
    <w:rsid w:val="008C4A4D"/>
    <w:rsid w:val="008C59F5"/>
    <w:rsid w:val="008C7031"/>
    <w:rsid w:val="008C7A00"/>
    <w:rsid w:val="008C7B2E"/>
    <w:rsid w:val="008D0826"/>
    <w:rsid w:val="008D085D"/>
    <w:rsid w:val="008D0A99"/>
    <w:rsid w:val="008D160A"/>
    <w:rsid w:val="008D3183"/>
    <w:rsid w:val="008D41DE"/>
    <w:rsid w:val="008D5E3F"/>
    <w:rsid w:val="008D632D"/>
    <w:rsid w:val="008D7367"/>
    <w:rsid w:val="008D753E"/>
    <w:rsid w:val="008E01E8"/>
    <w:rsid w:val="008E0CAF"/>
    <w:rsid w:val="008E0CC5"/>
    <w:rsid w:val="008E3E73"/>
    <w:rsid w:val="008E41C8"/>
    <w:rsid w:val="008E6961"/>
    <w:rsid w:val="008F0816"/>
    <w:rsid w:val="008F08FA"/>
    <w:rsid w:val="008F0B19"/>
    <w:rsid w:val="008F0C2B"/>
    <w:rsid w:val="008F1AF6"/>
    <w:rsid w:val="008F1EA8"/>
    <w:rsid w:val="008F2710"/>
    <w:rsid w:val="008F2790"/>
    <w:rsid w:val="008F2C5A"/>
    <w:rsid w:val="008F34EA"/>
    <w:rsid w:val="008F6678"/>
    <w:rsid w:val="008F6925"/>
    <w:rsid w:val="0090046E"/>
    <w:rsid w:val="00900492"/>
    <w:rsid w:val="00900556"/>
    <w:rsid w:val="00901308"/>
    <w:rsid w:val="009016D9"/>
    <w:rsid w:val="00901C73"/>
    <w:rsid w:val="009024D6"/>
    <w:rsid w:val="00902A05"/>
    <w:rsid w:val="009032BA"/>
    <w:rsid w:val="00903322"/>
    <w:rsid w:val="0090367C"/>
    <w:rsid w:val="00904611"/>
    <w:rsid w:val="00904DBA"/>
    <w:rsid w:val="00905E6E"/>
    <w:rsid w:val="009065A6"/>
    <w:rsid w:val="009066E6"/>
    <w:rsid w:val="009075C7"/>
    <w:rsid w:val="009077DC"/>
    <w:rsid w:val="00910776"/>
    <w:rsid w:val="00910F19"/>
    <w:rsid w:val="00912366"/>
    <w:rsid w:val="00912B18"/>
    <w:rsid w:val="00912B99"/>
    <w:rsid w:val="0091329B"/>
    <w:rsid w:val="009136E7"/>
    <w:rsid w:val="0091499B"/>
    <w:rsid w:val="009149F5"/>
    <w:rsid w:val="009157AC"/>
    <w:rsid w:val="00916C82"/>
    <w:rsid w:val="00917754"/>
    <w:rsid w:val="00917795"/>
    <w:rsid w:val="00917E17"/>
    <w:rsid w:val="009205D7"/>
    <w:rsid w:val="00923797"/>
    <w:rsid w:val="00923B91"/>
    <w:rsid w:val="00923C9B"/>
    <w:rsid w:val="00923CA0"/>
    <w:rsid w:val="00923D67"/>
    <w:rsid w:val="00924E04"/>
    <w:rsid w:val="00924E69"/>
    <w:rsid w:val="009263A2"/>
    <w:rsid w:val="009263D5"/>
    <w:rsid w:val="00926F18"/>
    <w:rsid w:val="009270B0"/>
    <w:rsid w:val="0092783F"/>
    <w:rsid w:val="009304C2"/>
    <w:rsid w:val="009306B8"/>
    <w:rsid w:val="009317CB"/>
    <w:rsid w:val="009325B9"/>
    <w:rsid w:val="00933014"/>
    <w:rsid w:val="00934A08"/>
    <w:rsid w:val="009359A1"/>
    <w:rsid w:val="00935E3C"/>
    <w:rsid w:val="00935EC9"/>
    <w:rsid w:val="009361A3"/>
    <w:rsid w:val="009367DD"/>
    <w:rsid w:val="00936B0A"/>
    <w:rsid w:val="009371D5"/>
    <w:rsid w:val="0093722D"/>
    <w:rsid w:val="0093795A"/>
    <w:rsid w:val="00937BA4"/>
    <w:rsid w:val="009422EC"/>
    <w:rsid w:val="0094241A"/>
    <w:rsid w:val="009424A6"/>
    <w:rsid w:val="00942EF6"/>
    <w:rsid w:val="009450BB"/>
    <w:rsid w:val="00945344"/>
    <w:rsid w:val="009478FF"/>
    <w:rsid w:val="00947C05"/>
    <w:rsid w:val="00947C86"/>
    <w:rsid w:val="00950E07"/>
    <w:rsid w:val="00952355"/>
    <w:rsid w:val="00952D07"/>
    <w:rsid w:val="0095441D"/>
    <w:rsid w:val="009546BC"/>
    <w:rsid w:val="00955D1E"/>
    <w:rsid w:val="00956490"/>
    <w:rsid w:val="00956C06"/>
    <w:rsid w:val="00960416"/>
    <w:rsid w:val="0096137B"/>
    <w:rsid w:val="009629EB"/>
    <w:rsid w:val="0096433F"/>
    <w:rsid w:val="009643E3"/>
    <w:rsid w:val="00965639"/>
    <w:rsid w:val="0096588E"/>
    <w:rsid w:val="009669C9"/>
    <w:rsid w:val="00966D29"/>
    <w:rsid w:val="00967D54"/>
    <w:rsid w:val="0097079F"/>
    <w:rsid w:val="00970B93"/>
    <w:rsid w:val="00970D7B"/>
    <w:rsid w:val="00971E49"/>
    <w:rsid w:val="009740CF"/>
    <w:rsid w:val="009740EA"/>
    <w:rsid w:val="00974395"/>
    <w:rsid w:val="00975318"/>
    <w:rsid w:val="0097769C"/>
    <w:rsid w:val="00980378"/>
    <w:rsid w:val="00980498"/>
    <w:rsid w:val="00980CF0"/>
    <w:rsid w:val="009811C1"/>
    <w:rsid w:val="00981369"/>
    <w:rsid w:val="009824C7"/>
    <w:rsid w:val="00982E41"/>
    <w:rsid w:val="00983237"/>
    <w:rsid w:val="0098372C"/>
    <w:rsid w:val="00983783"/>
    <w:rsid w:val="00983E1B"/>
    <w:rsid w:val="00984552"/>
    <w:rsid w:val="00984DF5"/>
    <w:rsid w:val="009851A6"/>
    <w:rsid w:val="009852DC"/>
    <w:rsid w:val="00985575"/>
    <w:rsid w:val="0098593F"/>
    <w:rsid w:val="00985EBF"/>
    <w:rsid w:val="0098621E"/>
    <w:rsid w:val="00986634"/>
    <w:rsid w:val="00986966"/>
    <w:rsid w:val="0098767F"/>
    <w:rsid w:val="00992BF8"/>
    <w:rsid w:val="00993D00"/>
    <w:rsid w:val="00994307"/>
    <w:rsid w:val="0099492C"/>
    <w:rsid w:val="009949C5"/>
    <w:rsid w:val="00995E67"/>
    <w:rsid w:val="00995E93"/>
    <w:rsid w:val="00995EB5"/>
    <w:rsid w:val="00995F2E"/>
    <w:rsid w:val="00996551"/>
    <w:rsid w:val="009966CE"/>
    <w:rsid w:val="00997B5E"/>
    <w:rsid w:val="009A0970"/>
    <w:rsid w:val="009A112C"/>
    <w:rsid w:val="009A1743"/>
    <w:rsid w:val="009A205C"/>
    <w:rsid w:val="009A24AD"/>
    <w:rsid w:val="009A3C69"/>
    <w:rsid w:val="009A4F49"/>
    <w:rsid w:val="009A5068"/>
    <w:rsid w:val="009A5557"/>
    <w:rsid w:val="009A5980"/>
    <w:rsid w:val="009A5AC2"/>
    <w:rsid w:val="009A5F82"/>
    <w:rsid w:val="009B0033"/>
    <w:rsid w:val="009B0A0A"/>
    <w:rsid w:val="009B0D88"/>
    <w:rsid w:val="009B263B"/>
    <w:rsid w:val="009B386B"/>
    <w:rsid w:val="009B396D"/>
    <w:rsid w:val="009B3A00"/>
    <w:rsid w:val="009B41D1"/>
    <w:rsid w:val="009B4D94"/>
    <w:rsid w:val="009B4E9A"/>
    <w:rsid w:val="009B5646"/>
    <w:rsid w:val="009B5744"/>
    <w:rsid w:val="009B6C28"/>
    <w:rsid w:val="009B7E5F"/>
    <w:rsid w:val="009C0B68"/>
    <w:rsid w:val="009C0DCA"/>
    <w:rsid w:val="009C10F0"/>
    <w:rsid w:val="009C1901"/>
    <w:rsid w:val="009C1970"/>
    <w:rsid w:val="009C222F"/>
    <w:rsid w:val="009C2D32"/>
    <w:rsid w:val="009C3217"/>
    <w:rsid w:val="009C49C7"/>
    <w:rsid w:val="009C4C40"/>
    <w:rsid w:val="009C5DD7"/>
    <w:rsid w:val="009C66EF"/>
    <w:rsid w:val="009C67D7"/>
    <w:rsid w:val="009C6E94"/>
    <w:rsid w:val="009C7299"/>
    <w:rsid w:val="009C776B"/>
    <w:rsid w:val="009D1067"/>
    <w:rsid w:val="009D1529"/>
    <w:rsid w:val="009D26FB"/>
    <w:rsid w:val="009D2907"/>
    <w:rsid w:val="009D3B41"/>
    <w:rsid w:val="009D3E38"/>
    <w:rsid w:val="009D442A"/>
    <w:rsid w:val="009D660F"/>
    <w:rsid w:val="009D6D46"/>
    <w:rsid w:val="009D755B"/>
    <w:rsid w:val="009D7668"/>
    <w:rsid w:val="009D771F"/>
    <w:rsid w:val="009D7AA5"/>
    <w:rsid w:val="009E0525"/>
    <w:rsid w:val="009E09F7"/>
    <w:rsid w:val="009E0FED"/>
    <w:rsid w:val="009E221A"/>
    <w:rsid w:val="009E3210"/>
    <w:rsid w:val="009E5077"/>
    <w:rsid w:val="009E5620"/>
    <w:rsid w:val="009E5AD3"/>
    <w:rsid w:val="009E5DF7"/>
    <w:rsid w:val="009E6A25"/>
    <w:rsid w:val="009E77AF"/>
    <w:rsid w:val="009F2937"/>
    <w:rsid w:val="009F2B85"/>
    <w:rsid w:val="009F4C6F"/>
    <w:rsid w:val="009F6612"/>
    <w:rsid w:val="009F66A7"/>
    <w:rsid w:val="009F7D3D"/>
    <w:rsid w:val="00A00601"/>
    <w:rsid w:val="00A00C01"/>
    <w:rsid w:val="00A01143"/>
    <w:rsid w:val="00A01AAD"/>
    <w:rsid w:val="00A027AE"/>
    <w:rsid w:val="00A0377A"/>
    <w:rsid w:val="00A0469A"/>
    <w:rsid w:val="00A04B4B"/>
    <w:rsid w:val="00A050D0"/>
    <w:rsid w:val="00A06985"/>
    <w:rsid w:val="00A07735"/>
    <w:rsid w:val="00A10217"/>
    <w:rsid w:val="00A109F8"/>
    <w:rsid w:val="00A13910"/>
    <w:rsid w:val="00A1690C"/>
    <w:rsid w:val="00A17776"/>
    <w:rsid w:val="00A203F0"/>
    <w:rsid w:val="00A206DE"/>
    <w:rsid w:val="00A20BC3"/>
    <w:rsid w:val="00A215B5"/>
    <w:rsid w:val="00A22806"/>
    <w:rsid w:val="00A22E29"/>
    <w:rsid w:val="00A230F2"/>
    <w:rsid w:val="00A26286"/>
    <w:rsid w:val="00A32A94"/>
    <w:rsid w:val="00A32E99"/>
    <w:rsid w:val="00A32F3F"/>
    <w:rsid w:val="00A346D3"/>
    <w:rsid w:val="00A34A33"/>
    <w:rsid w:val="00A34A39"/>
    <w:rsid w:val="00A34C9D"/>
    <w:rsid w:val="00A364B2"/>
    <w:rsid w:val="00A36500"/>
    <w:rsid w:val="00A3654B"/>
    <w:rsid w:val="00A36AA0"/>
    <w:rsid w:val="00A36DE9"/>
    <w:rsid w:val="00A37D7F"/>
    <w:rsid w:val="00A40635"/>
    <w:rsid w:val="00A4137B"/>
    <w:rsid w:val="00A41A0C"/>
    <w:rsid w:val="00A42CAE"/>
    <w:rsid w:val="00A43BF4"/>
    <w:rsid w:val="00A43C50"/>
    <w:rsid w:val="00A43E7D"/>
    <w:rsid w:val="00A45B64"/>
    <w:rsid w:val="00A45C6B"/>
    <w:rsid w:val="00A45FD9"/>
    <w:rsid w:val="00A463F8"/>
    <w:rsid w:val="00A474FF"/>
    <w:rsid w:val="00A4755E"/>
    <w:rsid w:val="00A52177"/>
    <w:rsid w:val="00A529E1"/>
    <w:rsid w:val="00A52B58"/>
    <w:rsid w:val="00A543BD"/>
    <w:rsid w:val="00A559BB"/>
    <w:rsid w:val="00A56D97"/>
    <w:rsid w:val="00A57A80"/>
    <w:rsid w:val="00A6036A"/>
    <w:rsid w:val="00A60408"/>
    <w:rsid w:val="00A61653"/>
    <w:rsid w:val="00A61B4D"/>
    <w:rsid w:val="00A634BA"/>
    <w:rsid w:val="00A63703"/>
    <w:rsid w:val="00A63CB7"/>
    <w:rsid w:val="00A641DD"/>
    <w:rsid w:val="00A64C81"/>
    <w:rsid w:val="00A65258"/>
    <w:rsid w:val="00A65A0A"/>
    <w:rsid w:val="00A66B7E"/>
    <w:rsid w:val="00A66EA8"/>
    <w:rsid w:val="00A67A60"/>
    <w:rsid w:val="00A67C96"/>
    <w:rsid w:val="00A67E83"/>
    <w:rsid w:val="00A70D6D"/>
    <w:rsid w:val="00A719CF"/>
    <w:rsid w:val="00A71B56"/>
    <w:rsid w:val="00A723E9"/>
    <w:rsid w:val="00A726AD"/>
    <w:rsid w:val="00A7321E"/>
    <w:rsid w:val="00A73445"/>
    <w:rsid w:val="00A73846"/>
    <w:rsid w:val="00A73FE5"/>
    <w:rsid w:val="00A74621"/>
    <w:rsid w:val="00A756F1"/>
    <w:rsid w:val="00A76582"/>
    <w:rsid w:val="00A76F9E"/>
    <w:rsid w:val="00A771E5"/>
    <w:rsid w:val="00A77DC7"/>
    <w:rsid w:val="00A77EF2"/>
    <w:rsid w:val="00A8048C"/>
    <w:rsid w:val="00A8085C"/>
    <w:rsid w:val="00A80AB5"/>
    <w:rsid w:val="00A80DA4"/>
    <w:rsid w:val="00A825C8"/>
    <w:rsid w:val="00A82D6D"/>
    <w:rsid w:val="00A82EDA"/>
    <w:rsid w:val="00A849BF"/>
    <w:rsid w:val="00A84CE7"/>
    <w:rsid w:val="00A8578A"/>
    <w:rsid w:val="00A8608C"/>
    <w:rsid w:val="00A86151"/>
    <w:rsid w:val="00A86514"/>
    <w:rsid w:val="00A86720"/>
    <w:rsid w:val="00A8776F"/>
    <w:rsid w:val="00A910F4"/>
    <w:rsid w:val="00A9173C"/>
    <w:rsid w:val="00A917E3"/>
    <w:rsid w:val="00A9185D"/>
    <w:rsid w:val="00A91EF6"/>
    <w:rsid w:val="00A9319F"/>
    <w:rsid w:val="00A9323C"/>
    <w:rsid w:val="00A9352A"/>
    <w:rsid w:val="00A9423D"/>
    <w:rsid w:val="00A94D4D"/>
    <w:rsid w:val="00A962C8"/>
    <w:rsid w:val="00A968A5"/>
    <w:rsid w:val="00A97D79"/>
    <w:rsid w:val="00AA0BDD"/>
    <w:rsid w:val="00AA0C32"/>
    <w:rsid w:val="00AA2A99"/>
    <w:rsid w:val="00AA2C6B"/>
    <w:rsid w:val="00AA3B8B"/>
    <w:rsid w:val="00AA44F6"/>
    <w:rsid w:val="00AA479D"/>
    <w:rsid w:val="00AA6376"/>
    <w:rsid w:val="00AA65A3"/>
    <w:rsid w:val="00AB0984"/>
    <w:rsid w:val="00AB1523"/>
    <w:rsid w:val="00AB20DF"/>
    <w:rsid w:val="00AB2CA1"/>
    <w:rsid w:val="00AB3830"/>
    <w:rsid w:val="00AB38F1"/>
    <w:rsid w:val="00AB3FAB"/>
    <w:rsid w:val="00AB40C1"/>
    <w:rsid w:val="00AB65AE"/>
    <w:rsid w:val="00AB7152"/>
    <w:rsid w:val="00AB7755"/>
    <w:rsid w:val="00AC1D50"/>
    <w:rsid w:val="00AC3E75"/>
    <w:rsid w:val="00AC4903"/>
    <w:rsid w:val="00AC5C0A"/>
    <w:rsid w:val="00AC5DE8"/>
    <w:rsid w:val="00AC7420"/>
    <w:rsid w:val="00AD00B6"/>
    <w:rsid w:val="00AD08EC"/>
    <w:rsid w:val="00AD08F4"/>
    <w:rsid w:val="00AD130B"/>
    <w:rsid w:val="00AD1B0B"/>
    <w:rsid w:val="00AD1C59"/>
    <w:rsid w:val="00AD1F59"/>
    <w:rsid w:val="00AD245F"/>
    <w:rsid w:val="00AD4966"/>
    <w:rsid w:val="00AD4995"/>
    <w:rsid w:val="00AD4D18"/>
    <w:rsid w:val="00AD526E"/>
    <w:rsid w:val="00AD5CB3"/>
    <w:rsid w:val="00AD73BC"/>
    <w:rsid w:val="00AD7CBC"/>
    <w:rsid w:val="00AE1005"/>
    <w:rsid w:val="00AE1EBC"/>
    <w:rsid w:val="00AE2308"/>
    <w:rsid w:val="00AE2FEB"/>
    <w:rsid w:val="00AE3493"/>
    <w:rsid w:val="00AE4258"/>
    <w:rsid w:val="00AE45EC"/>
    <w:rsid w:val="00AE4653"/>
    <w:rsid w:val="00AE49E3"/>
    <w:rsid w:val="00AE4D01"/>
    <w:rsid w:val="00AE622F"/>
    <w:rsid w:val="00AE741C"/>
    <w:rsid w:val="00AE7448"/>
    <w:rsid w:val="00AE757D"/>
    <w:rsid w:val="00AF037D"/>
    <w:rsid w:val="00AF196B"/>
    <w:rsid w:val="00AF235A"/>
    <w:rsid w:val="00AF274E"/>
    <w:rsid w:val="00AF346B"/>
    <w:rsid w:val="00AF4B98"/>
    <w:rsid w:val="00AF5F02"/>
    <w:rsid w:val="00AF696E"/>
    <w:rsid w:val="00B00186"/>
    <w:rsid w:val="00B002F6"/>
    <w:rsid w:val="00B0207E"/>
    <w:rsid w:val="00B02B08"/>
    <w:rsid w:val="00B031E2"/>
    <w:rsid w:val="00B0412C"/>
    <w:rsid w:val="00B05049"/>
    <w:rsid w:val="00B05225"/>
    <w:rsid w:val="00B05FBA"/>
    <w:rsid w:val="00B060F0"/>
    <w:rsid w:val="00B0715D"/>
    <w:rsid w:val="00B071C2"/>
    <w:rsid w:val="00B10EA0"/>
    <w:rsid w:val="00B13777"/>
    <w:rsid w:val="00B13C11"/>
    <w:rsid w:val="00B148D6"/>
    <w:rsid w:val="00B15F35"/>
    <w:rsid w:val="00B17CB2"/>
    <w:rsid w:val="00B20C8C"/>
    <w:rsid w:val="00B214A9"/>
    <w:rsid w:val="00B21F02"/>
    <w:rsid w:val="00B221B7"/>
    <w:rsid w:val="00B22477"/>
    <w:rsid w:val="00B2436F"/>
    <w:rsid w:val="00B24929"/>
    <w:rsid w:val="00B24BD9"/>
    <w:rsid w:val="00B25167"/>
    <w:rsid w:val="00B25308"/>
    <w:rsid w:val="00B25F07"/>
    <w:rsid w:val="00B260B0"/>
    <w:rsid w:val="00B2702D"/>
    <w:rsid w:val="00B27541"/>
    <w:rsid w:val="00B27DE3"/>
    <w:rsid w:val="00B30352"/>
    <w:rsid w:val="00B304A4"/>
    <w:rsid w:val="00B3072C"/>
    <w:rsid w:val="00B30ADD"/>
    <w:rsid w:val="00B3246E"/>
    <w:rsid w:val="00B33E08"/>
    <w:rsid w:val="00B33ECD"/>
    <w:rsid w:val="00B34464"/>
    <w:rsid w:val="00B34544"/>
    <w:rsid w:val="00B349F5"/>
    <w:rsid w:val="00B35E39"/>
    <w:rsid w:val="00B363D6"/>
    <w:rsid w:val="00B3659D"/>
    <w:rsid w:val="00B40109"/>
    <w:rsid w:val="00B408EB"/>
    <w:rsid w:val="00B42100"/>
    <w:rsid w:val="00B424A9"/>
    <w:rsid w:val="00B429CE"/>
    <w:rsid w:val="00B43304"/>
    <w:rsid w:val="00B4331C"/>
    <w:rsid w:val="00B44A5D"/>
    <w:rsid w:val="00B44BF9"/>
    <w:rsid w:val="00B44C2C"/>
    <w:rsid w:val="00B45126"/>
    <w:rsid w:val="00B467BF"/>
    <w:rsid w:val="00B470C6"/>
    <w:rsid w:val="00B476ED"/>
    <w:rsid w:val="00B4797D"/>
    <w:rsid w:val="00B5020A"/>
    <w:rsid w:val="00B50250"/>
    <w:rsid w:val="00B5061D"/>
    <w:rsid w:val="00B507CC"/>
    <w:rsid w:val="00B50E4A"/>
    <w:rsid w:val="00B5126A"/>
    <w:rsid w:val="00B5283F"/>
    <w:rsid w:val="00B52D67"/>
    <w:rsid w:val="00B53572"/>
    <w:rsid w:val="00B54D0E"/>
    <w:rsid w:val="00B54D29"/>
    <w:rsid w:val="00B557E1"/>
    <w:rsid w:val="00B55990"/>
    <w:rsid w:val="00B6108C"/>
    <w:rsid w:val="00B614E3"/>
    <w:rsid w:val="00B619DC"/>
    <w:rsid w:val="00B6331B"/>
    <w:rsid w:val="00B65C5B"/>
    <w:rsid w:val="00B665E8"/>
    <w:rsid w:val="00B66E71"/>
    <w:rsid w:val="00B67371"/>
    <w:rsid w:val="00B67DF3"/>
    <w:rsid w:val="00B707D6"/>
    <w:rsid w:val="00B7131C"/>
    <w:rsid w:val="00B72231"/>
    <w:rsid w:val="00B72E56"/>
    <w:rsid w:val="00B73238"/>
    <w:rsid w:val="00B76B88"/>
    <w:rsid w:val="00B76ED4"/>
    <w:rsid w:val="00B80781"/>
    <w:rsid w:val="00B81162"/>
    <w:rsid w:val="00B81430"/>
    <w:rsid w:val="00B81A12"/>
    <w:rsid w:val="00B81B76"/>
    <w:rsid w:val="00B835BA"/>
    <w:rsid w:val="00B842C9"/>
    <w:rsid w:val="00B8754B"/>
    <w:rsid w:val="00B87CD2"/>
    <w:rsid w:val="00B90AA4"/>
    <w:rsid w:val="00B913EE"/>
    <w:rsid w:val="00B9158D"/>
    <w:rsid w:val="00B9253A"/>
    <w:rsid w:val="00B93295"/>
    <w:rsid w:val="00B9385C"/>
    <w:rsid w:val="00B93AE1"/>
    <w:rsid w:val="00B946D3"/>
    <w:rsid w:val="00B957EE"/>
    <w:rsid w:val="00B9655E"/>
    <w:rsid w:val="00BA0142"/>
    <w:rsid w:val="00BA0A92"/>
    <w:rsid w:val="00BA1359"/>
    <w:rsid w:val="00BA2AC5"/>
    <w:rsid w:val="00BA2F0A"/>
    <w:rsid w:val="00BA3EC4"/>
    <w:rsid w:val="00BA42C0"/>
    <w:rsid w:val="00BA55D6"/>
    <w:rsid w:val="00BA5709"/>
    <w:rsid w:val="00BA5D06"/>
    <w:rsid w:val="00BA6806"/>
    <w:rsid w:val="00BA6B06"/>
    <w:rsid w:val="00BA6C2E"/>
    <w:rsid w:val="00BA6C61"/>
    <w:rsid w:val="00BA7272"/>
    <w:rsid w:val="00BA7BFE"/>
    <w:rsid w:val="00BB0DEE"/>
    <w:rsid w:val="00BB1188"/>
    <w:rsid w:val="00BB1FBF"/>
    <w:rsid w:val="00BB369C"/>
    <w:rsid w:val="00BB3DF3"/>
    <w:rsid w:val="00BB421F"/>
    <w:rsid w:val="00BB57EB"/>
    <w:rsid w:val="00BB5A76"/>
    <w:rsid w:val="00BB7762"/>
    <w:rsid w:val="00BC0DE4"/>
    <w:rsid w:val="00BC1587"/>
    <w:rsid w:val="00BC1B70"/>
    <w:rsid w:val="00BC2230"/>
    <w:rsid w:val="00BC2393"/>
    <w:rsid w:val="00BC64F7"/>
    <w:rsid w:val="00BC7053"/>
    <w:rsid w:val="00BC7BCC"/>
    <w:rsid w:val="00BD092B"/>
    <w:rsid w:val="00BD15F3"/>
    <w:rsid w:val="00BD1FCF"/>
    <w:rsid w:val="00BD3353"/>
    <w:rsid w:val="00BD3FDE"/>
    <w:rsid w:val="00BD5492"/>
    <w:rsid w:val="00BD5557"/>
    <w:rsid w:val="00BD62C0"/>
    <w:rsid w:val="00BD63E2"/>
    <w:rsid w:val="00BD68FA"/>
    <w:rsid w:val="00BD6B55"/>
    <w:rsid w:val="00BD72A2"/>
    <w:rsid w:val="00BD7A37"/>
    <w:rsid w:val="00BD7D69"/>
    <w:rsid w:val="00BE00FE"/>
    <w:rsid w:val="00BE10C4"/>
    <w:rsid w:val="00BE143B"/>
    <w:rsid w:val="00BE2BB4"/>
    <w:rsid w:val="00BE2E8B"/>
    <w:rsid w:val="00BE2FBC"/>
    <w:rsid w:val="00BE366D"/>
    <w:rsid w:val="00BE380B"/>
    <w:rsid w:val="00BE39A5"/>
    <w:rsid w:val="00BE4FFF"/>
    <w:rsid w:val="00BE6393"/>
    <w:rsid w:val="00BE67DF"/>
    <w:rsid w:val="00BE699C"/>
    <w:rsid w:val="00BE69AE"/>
    <w:rsid w:val="00BE7490"/>
    <w:rsid w:val="00BE74BB"/>
    <w:rsid w:val="00BF03AB"/>
    <w:rsid w:val="00BF0412"/>
    <w:rsid w:val="00BF06FC"/>
    <w:rsid w:val="00BF0E5E"/>
    <w:rsid w:val="00BF1527"/>
    <w:rsid w:val="00BF1ADC"/>
    <w:rsid w:val="00BF1D32"/>
    <w:rsid w:val="00BF1F14"/>
    <w:rsid w:val="00BF3BF0"/>
    <w:rsid w:val="00BF78CC"/>
    <w:rsid w:val="00BF79CA"/>
    <w:rsid w:val="00BF7AA5"/>
    <w:rsid w:val="00C02730"/>
    <w:rsid w:val="00C03328"/>
    <w:rsid w:val="00C03D67"/>
    <w:rsid w:val="00C05947"/>
    <w:rsid w:val="00C066AF"/>
    <w:rsid w:val="00C0686B"/>
    <w:rsid w:val="00C076B0"/>
    <w:rsid w:val="00C10989"/>
    <w:rsid w:val="00C11093"/>
    <w:rsid w:val="00C11AC2"/>
    <w:rsid w:val="00C11FDC"/>
    <w:rsid w:val="00C12DCD"/>
    <w:rsid w:val="00C14521"/>
    <w:rsid w:val="00C146E2"/>
    <w:rsid w:val="00C15070"/>
    <w:rsid w:val="00C15B2D"/>
    <w:rsid w:val="00C15C1B"/>
    <w:rsid w:val="00C16BBC"/>
    <w:rsid w:val="00C16D9A"/>
    <w:rsid w:val="00C17561"/>
    <w:rsid w:val="00C2117F"/>
    <w:rsid w:val="00C214BE"/>
    <w:rsid w:val="00C2296D"/>
    <w:rsid w:val="00C240E4"/>
    <w:rsid w:val="00C24824"/>
    <w:rsid w:val="00C24CCB"/>
    <w:rsid w:val="00C25ED7"/>
    <w:rsid w:val="00C26345"/>
    <w:rsid w:val="00C26CBD"/>
    <w:rsid w:val="00C26F17"/>
    <w:rsid w:val="00C270D8"/>
    <w:rsid w:val="00C271E7"/>
    <w:rsid w:val="00C277BB"/>
    <w:rsid w:val="00C27F94"/>
    <w:rsid w:val="00C30058"/>
    <w:rsid w:val="00C30188"/>
    <w:rsid w:val="00C30A00"/>
    <w:rsid w:val="00C318E2"/>
    <w:rsid w:val="00C31AE2"/>
    <w:rsid w:val="00C31E12"/>
    <w:rsid w:val="00C32FE8"/>
    <w:rsid w:val="00C335C9"/>
    <w:rsid w:val="00C33FDE"/>
    <w:rsid w:val="00C34051"/>
    <w:rsid w:val="00C35965"/>
    <w:rsid w:val="00C363E3"/>
    <w:rsid w:val="00C36FE2"/>
    <w:rsid w:val="00C37189"/>
    <w:rsid w:val="00C37712"/>
    <w:rsid w:val="00C37F77"/>
    <w:rsid w:val="00C37F96"/>
    <w:rsid w:val="00C4001F"/>
    <w:rsid w:val="00C41864"/>
    <w:rsid w:val="00C4433D"/>
    <w:rsid w:val="00C443C7"/>
    <w:rsid w:val="00C44620"/>
    <w:rsid w:val="00C44E3D"/>
    <w:rsid w:val="00C468C1"/>
    <w:rsid w:val="00C46F2B"/>
    <w:rsid w:val="00C47234"/>
    <w:rsid w:val="00C47E2E"/>
    <w:rsid w:val="00C50234"/>
    <w:rsid w:val="00C508F0"/>
    <w:rsid w:val="00C5209E"/>
    <w:rsid w:val="00C528F2"/>
    <w:rsid w:val="00C52A44"/>
    <w:rsid w:val="00C52B55"/>
    <w:rsid w:val="00C537C8"/>
    <w:rsid w:val="00C53A84"/>
    <w:rsid w:val="00C53B6E"/>
    <w:rsid w:val="00C56D12"/>
    <w:rsid w:val="00C57659"/>
    <w:rsid w:val="00C61373"/>
    <w:rsid w:val="00C61537"/>
    <w:rsid w:val="00C6154C"/>
    <w:rsid w:val="00C61C83"/>
    <w:rsid w:val="00C6293F"/>
    <w:rsid w:val="00C62F36"/>
    <w:rsid w:val="00C63FDA"/>
    <w:rsid w:val="00C649AC"/>
    <w:rsid w:val="00C64C72"/>
    <w:rsid w:val="00C64DBF"/>
    <w:rsid w:val="00C6614D"/>
    <w:rsid w:val="00C66F52"/>
    <w:rsid w:val="00C73039"/>
    <w:rsid w:val="00C73EF5"/>
    <w:rsid w:val="00C74672"/>
    <w:rsid w:val="00C746F6"/>
    <w:rsid w:val="00C7477E"/>
    <w:rsid w:val="00C752F5"/>
    <w:rsid w:val="00C76EA8"/>
    <w:rsid w:val="00C80170"/>
    <w:rsid w:val="00C80E31"/>
    <w:rsid w:val="00C80E96"/>
    <w:rsid w:val="00C823A0"/>
    <w:rsid w:val="00C82FEF"/>
    <w:rsid w:val="00C836AC"/>
    <w:rsid w:val="00C84BA9"/>
    <w:rsid w:val="00C8576F"/>
    <w:rsid w:val="00C86255"/>
    <w:rsid w:val="00C8636E"/>
    <w:rsid w:val="00C86A7F"/>
    <w:rsid w:val="00C86AD8"/>
    <w:rsid w:val="00C8742D"/>
    <w:rsid w:val="00C9004D"/>
    <w:rsid w:val="00C90411"/>
    <w:rsid w:val="00C9188B"/>
    <w:rsid w:val="00C92C07"/>
    <w:rsid w:val="00C92DE9"/>
    <w:rsid w:val="00C9308E"/>
    <w:rsid w:val="00C939BF"/>
    <w:rsid w:val="00C93E41"/>
    <w:rsid w:val="00C94337"/>
    <w:rsid w:val="00C94505"/>
    <w:rsid w:val="00C9501D"/>
    <w:rsid w:val="00C96BB8"/>
    <w:rsid w:val="00C97A6C"/>
    <w:rsid w:val="00CA0E74"/>
    <w:rsid w:val="00CA1237"/>
    <w:rsid w:val="00CA1439"/>
    <w:rsid w:val="00CA1476"/>
    <w:rsid w:val="00CA158B"/>
    <w:rsid w:val="00CA210B"/>
    <w:rsid w:val="00CA265F"/>
    <w:rsid w:val="00CA2F07"/>
    <w:rsid w:val="00CA39D3"/>
    <w:rsid w:val="00CA3C69"/>
    <w:rsid w:val="00CA3CC1"/>
    <w:rsid w:val="00CA3E1C"/>
    <w:rsid w:val="00CA426D"/>
    <w:rsid w:val="00CA4C08"/>
    <w:rsid w:val="00CA553A"/>
    <w:rsid w:val="00CA56B9"/>
    <w:rsid w:val="00CA7356"/>
    <w:rsid w:val="00CA7673"/>
    <w:rsid w:val="00CA7E9E"/>
    <w:rsid w:val="00CB0303"/>
    <w:rsid w:val="00CB0FAA"/>
    <w:rsid w:val="00CB1A45"/>
    <w:rsid w:val="00CB2059"/>
    <w:rsid w:val="00CB22FD"/>
    <w:rsid w:val="00CB2C05"/>
    <w:rsid w:val="00CB30C6"/>
    <w:rsid w:val="00CB38C6"/>
    <w:rsid w:val="00CB540C"/>
    <w:rsid w:val="00CB5542"/>
    <w:rsid w:val="00CB5F92"/>
    <w:rsid w:val="00CB6AF2"/>
    <w:rsid w:val="00CB7DD6"/>
    <w:rsid w:val="00CC20FA"/>
    <w:rsid w:val="00CC29E1"/>
    <w:rsid w:val="00CC31D6"/>
    <w:rsid w:val="00CC3E86"/>
    <w:rsid w:val="00CC5793"/>
    <w:rsid w:val="00CC6ECA"/>
    <w:rsid w:val="00CC7E62"/>
    <w:rsid w:val="00CD14B9"/>
    <w:rsid w:val="00CD1C20"/>
    <w:rsid w:val="00CD1D82"/>
    <w:rsid w:val="00CD429A"/>
    <w:rsid w:val="00CD4FC0"/>
    <w:rsid w:val="00CD52DC"/>
    <w:rsid w:val="00CD67E9"/>
    <w:rsid w:val="00CE02E7"/>
    <w:rsid w:val="00CE0BAD"/>
    <w:rsid w:val="00CE201D"/>
    <w:rsid w:val="00CE26E4"/>
    <w:rsid w:val="00CE2F3C"/>
    <w:rsid w:val="00CE3BE3"/>
    <w:rsid w:val="00CE45D3"/>
    <w:rsid w:val="00CE54BE"/>
    <w:rsid w:val="00CE640D"/>
    <w:rsid w:val="00CE64FA"/>
    <w:rsid w:val="00CE673F"/>
    <w:rsid w:val="00CE79CD"/>
    <w:rsid w:val="00CF0FE7"/>
    <w:rsid w:val="00CF1474"/>
    <w:rsid w:val="00CF17AC"/>
    <w:rsid w:val="00CF1CA3"/>
    <w:rsid w:val="00CF34C9"/>
    <w:rsid w:val="00CF48BD"/>
    <w:rsid w:val="00CF5C6E"/>
    <w:rsid w:val="00CF6569"/>
    <w:rsid w:val="00CF6578"/>
    <w:rsid w:val="00D00F61"/>
    <w:rsid w:val="00D01FDB"/>
    <w:rsid w:val="00D02FFB"/>
    <w:rsid w:val="00D0451A"/>
    <w:rsid w:val="00D0577E"/>
    <w:rsid w:val="00D05FEC"/>
    <w:rsid w:val="00D07707"/>
    <w:rsid w:val="00D07CC5"/>
    <w:rsid w:val="00D10216"/>
    <w:rsid w:val="00D106AD"/>
    <w:rsid w:val="00D10B48"/>
    <w:rsid w:val="00D10C5F"/>
    <w:rsid w:val="00D10D12"/>
    <w:rsid w:val="00D10E8D"/>
    <w:rsid w:val="00D11865"/>
    <w:rsid w:val="00D11C38"/>
    <w:rsid w:val="00D12BC9"/>
    <w:rsid w:val="00D12C6F"/>
    <w:rsid w:val="00D12E22"/>
    <w:rsid w:val="00D13E4D"/>
    <w:rsid w:val="00D140A8"/>
    <w:rsid w:val="00D14423"/>
    <w:rsid w:val="00D14646"/>
    <w:rsid w:val="00D14CC3"/>
    <w:rsid w:val="00D14FBE"/>
    <w:rsid w:val="00D1519D"/>
    <w:rsid w:val="00D15873"/>
    <w:rsid w:val="00D16992"/>
    <w:rsid w:val="00D1788F"/>
    <w:rsid w:val="00D204C4"/>
    <w:rsid w:val="00D206E7"/>
    <w:rsid w:val="00D20FD7"/>
    <w:rsid w:val="00D211B3"/>
    <w:rsid w:val="00D2192E"/>
    <w:rsid w:val="00D21C33"/>
    <w:rsid w:val="00D21F0B"/>
    <w:rsid w:val="00D22114"/>
    <w:rsid w:val="00D23579"/>
    <w:rsid w:val="00D238B7"/>
    <w:rsid w:val="00D243EE"/>
    <w:rsid w:val="00D25B6F"/>
    <w:rsid w:val="00D263FC"/>
    <w:rsid w:val="00D269EA"/>
    <w:rsid w:val="00D27566"/>
    <w:rsid w:val="00D3039B"/>
    <w:rsid w:val="00D31483"/>
    <w:rsid w:val="00D323A9"/>
    <w:rsid w:val="00D33FE4"/>
    <w:rsid w:val="00D34B74"/>
    <w:rsid w:val="00D3520A"/>
    <w:rsid w:val="00D3594E"/>
    <w:rsid w:val="00D35AB2"/>
    <w:rsid w:val="00D35CDC"/>
    <w:rsid w:val="00D35E3E"/>
    <w:rsid w:val="00D360DA"/>
    <w:rsid w:val="00D3663A"/>
    <w:rsid w:val="00D36744"/>
    <w:rsid w:val="00D3688E"/>
    <w:rsid w:val="00D36948"/>
    <w:rsid w:val="00D369FE"/>
    <w:rsid w:val="00D36C69"/>
    <w:rsid w:val="00D40379"/>
    <w:rsid w:val="00D408D7"/>
    <w:rsid w:val="00D40BE7"/>
    <w:rsid w:val="00D41BC9"/>
    <w:rsid w:val="00D41D70"/>
    <w:rsid w:val="00D42879"/>
    <w:rsid w:val="00D4380A"/>
    <w:rsid w:val="00D442E5"/>
    <w:rsid w:val="00D453A7"/>
    <w:rsid w:val="00D45789"/>
    <w:rsid w:val="00D4588A"/>
    <w:rsid w:val="00D45A82"/>
    <w:rsid w:val="00D45B69"/>
    <w:rsid w:val="00D45FEE"/>
    <w:rsid w:val="00D4709F"/>
    <w:rsid w:val="00D4743F"/>
    <w:rsid w:val="00D47CCE"/>
    <w:rsid w:val="00D47D1D"/>
    <w:rsid w:val="00D50189"/>
    <w:rsid w:val="00D5245A"/>
    <w:rsid w:val="00D52670"/>
    <w:rsid w:val="00D52B22"/>
    <w:rsid w:val="00D54058"/>
    <w:rsid w:val="00D54082"/>
    <w:rsid w:val="00D5422D"/>
    <w:rsid w:val="00D5475D"/>
    <w:rsid w:val="00D55477"/>
    <w:rsid w:val="00D55782"/>
    <w:rsid w:val="00D55C31"/>
    <w:rsid w:val="00D56FC2"/>
    <w:rsid w:val="00D57822"/>
    <w:rsid w:val="00D6048F"/>
    <w:rsid w:val="00D60A93"/>
    <w:rsid w:val="00D61536"/>
    <w:rsid w:val="00D615A0"/>
    <w:rsid w:val="00D616FD"/>
    <w:rsid w:val="00D63902"/>
    <w:rsid w:val="00D6395A"/>
    <w:rsid w:val="00D63C91"/>
    <w:rsid w:val="00D63C9C"/>
    <w:rsid w:val="00D64C95"/>
    <w:rsid w:val="00D65006"/>
    <w:rsid w:val="00D65695"/>
    <w:rsid w:val="00D6616A"/>
    <w:rsid w:val="00D662B8"/>
    <w:rsid w:val="00D66AA3"/>
    <w:rsid w:val="00D672EE"/>
    <w:rsid w:val="00D67524"/>
    <w:rsid w:val="00D70204"/>
    <w:rsid w:val="00D702AD"/>
    <w:rsid w:val="00D70348"/>
    <w:rsid w:val="00D71493"/>
    <w:rsid w:val="00D719CE"/>
    <w:rsid w:val="00D72784"/>
    <w:rsid w:val="00D72786"/>
    <w:rsid w:val="00D73BC8"/>
    <w:rsid w:val="00D74E2D"/>
    <w:rsid w:val="00D75AE1"/>
    <w:rsid w:val="00D75DBE"/>
    <w:rsid w:val="00D76607"/>
    <w:rsid w:val="00D767BA"/>
    <w:rsid w:val="00D77396"/>
    <w:rsid w:val="00D779BC"/>
    <w:rsid w:val="00D8014A"/>
    <w:rsid w:val="00D80856"/>
    <w:rsid w:val="00D81D4D"/>
    <w:rsid w:val="00D821A9"/>
    <w:rsid w:val="00D823F6"/>
    <w:rsid w:val="00D82EB4"/>
    <w:rsid w:val="00D830C9"/>
    <w:rsid w:val="00D834EA"/>
    <w:rsid w:val="00D83789"/>
    <w:rsid w:val="00D83AF6"/>
    <w:rsid w:val="00D8415D"/>
    <w:rsid w:val="00D8454D"/>
    <w:rsid w:val="00D85670"/>
    <w:rsid w:val="00D86D24"/>
    <w:rsid w:val="00D90729"/>
    <w:rsid w:val="00D91343"/>
    <w:rsid w:val="00D9165D"/>
    <w:rsid w:val="00D91ADA"/>
    <w:rsid w:val="00D91D68"/>
    <w:rsid w:val="00D92472"/>
    <w:rsid w:val="00D929DD"/>
    <w:rsid w:val="00D92A53"/>
    <w:rsid w:val="00D92F51"/>
    <w:rsid w:val="00D937D4"/>
    <w:rsid w:val="00D93C62"/>
    <w:rsid w:val="00D93DFA"/>
    <w:rsid w:val="00D9516F"/>
    <w:rsid w:val="00D95AAC"/>
    <w:rsid w:val="00D95C2A"/>
    <w:rsid w:val="00D978A9"/>
    <w:rsid w:val="00DA122C"/>
    <w:rsid w:val="00DA2825"/>
    <w:rsid w:val="00DA3849"/>
    <w:rsid w:val="00DA41D5"/>
    <w:rsid w:val="00DA4E5C"/>
    <w:rsid w:val="00DA5794"/>
    <w:rsid w:val="00DA57B6"/>
    <w:rsid w:val="00DA7AA3"/>
    <w:rsid w:val="00DB01B0"/>
    <w:rsid w:val="00DB0BAB"/>
    <w:rsid w:val="00DB183A"/>
    <w:rsid w:val="00DB1874"/>
    <w:rsid w:val="00DB2F78"/>
    <w:rsid w:val="00DB394C"/>
    <w:rsid w:val="00DB54D2"/>
    <w:rsid w:val="00DB5906"/>
    <w:rsid w:val="00DB6CB0"/>
    <w:rsid w:val="00DB6D1E"/>
    <w:rsid w:val="00DB7DB2"/>
    <w:rsid w:val="00DC042D"/>
    <w:rsid w:val="00DC0D39"/>
    <w:rsid w:val="00DC1826"/>
    <w:rsid w:val="00DC1BC5"/>
    <w:rsid w:val="00DC2776"/>
    <w:rsid w:val="00DC27B5"/>
    <w:rsid w:val="00DC3E36"/>
    <w:rsid w:val="00DC407A"/>
    <w:rsid w:val="00DC5450"/>
    <w:rsid w:val="00DC5F59"/>
    <w:rsid w:val="00DC6C45"/>
    <w:rsid w:val="00DC6E8B"/>
    <w:rsid w:val="00DD1789"/>
    <w:rsid w:val="00DD25FE"/>
    <w:rsid w:val="00DD263A"/>
    <w:rsid w:val="00DD2E90"/>
    <w:rsid w:val="00DD3A39"/>
    <w:rsid w:val="00DD3AD4"/>
    <w:rsid w:val="00DD3B80"/>
    <w:rsid w:val="00DD3DF8"/>
    <w:rsid w:val="00DD3E05"/>
    <w:rsid w:val="00DD4208"/>
    <w:rsid w:val="00DD57A1"/>
    <w:rsid w:val="00DD5EB6"/>
    <w:rsid w:val="00DD6E93"/>
    <w:rsid w:val="00DD75F7"/>
    <w:rsid w:val="00DE0113"/>
    <w:rsid w:val="00DE0AA0"/>
    <w:rsid w:val="00DE1EF0"/>
    <w:rsid w:val="00DE2384"/>
    <w:rsid w:val="00DE250C"/>
    <w:rsid w:val="00DE3230"/>
    <w:rsid w:val="00DE3A85"/>
    <w:rsid w:val="00DE540A"/>
    <w:rsid w:val="00DE664C"/>
    <w:rsid w:val="00DE6EFF"/>
    <w:rsid w:val="00DE7DB7"/>
    <w:rsid w:val="00DF0B9A"/>
    <w:rsid w:val="00DF11DE"/>
    <w:rsid w:val="00DF257C"/>
    <w:rsid w:val="00DF4050"/>
    <w:rsid w:val="00DF41C5"/>
    <w:rsid w:val="00DF5478"/>
    <w:rsid w:val="00DF5B28"/>
    <w:rsid w:val="00DF5FC8"/>
    <w:rsid w:val="00DF634D"/>
    <w:rsid w:val="00E00DAA"/>
    <w:rsid w:val="00E0185C"/>
    <w:rsid w:val="00E01D5A"/>
    <w:rsid w:val="00E036F1"/>
    <w:rsid w:val="00E03B2C"/>
    <w:rsid w:val="00E03DC6"/>
    <w:rsid w:val="00E040CE"/>
    <w:rsid w:val="00E044B0"/>
    <w:rsid w:val="00E04624"/>
    <w:rsid w:val="00E05ABF"/>
    <w:rsid w:val="00E06A5E"/>
    <w:rsid w:val="00E072EB"/>
    <w:rsid w:val="00E07437"/>
    <w:rsid w:val="00E103C6"/>
    <w:rsid w:val="00E105D9"/>
    <w:rsid w:val="00E11B5C"/>
    <w:rsid w:val="00E121DB"/>
    <w:rsid w:val="00E12452"/>
    <w:rsid w:val="00E12DE3"/>
    <w:rsid w:val="00E13215"/>
    <w:rsid w:val="00E1332A"/>
    <w:rsid w:val="00E136C3"/>
    <w:rsid w:val="00E13B80"/>
    <w:rsid w:val="00E13E13"/>
    <w:rsid w:val="00E14308"/>
    <w:rsid w:val="00E149C6"/>
    <w:rsid w:val="00E14B46"/>
    <w:rsid w:val="00E15629"/>
    <w:rsid w:val="00E1578D"/>
    <w:rsid w:val="00E161C8"/>
    <w:rsid w:val="00E166D2"/>
    <w:rsid w:val="00E16771"/>
    <w:rsid w:val="00E17683"/>
    <w:rsid w:val="00E21580"/>
    <w:rsid w:val="00E222C0"/>
    <w:rsid w:val="00E22ED2"/>
    <w:rsid w:val="00E2340F"/>
    <w:rsid w:val="00E234F7"/>
    <w:rsid w:val="00E2595D"/>
    <w:rsid w:val="00E260EE"/>
    <w:rsid w:val="00E263A4"/>
    <w:rsid w:val="00E26768"/>
    <w:rsid w:val="00E26F86"/>
    <w:rsid w:val="00E27880"/>
    <w:rsid w:val="00E27E33"/>
    <w:rsid w:val="00E27E49"/>
    <w:rsid w:val="00E3003A"/>
    <w:rsid w:val="00E3003E"/>
    <w:rsid w:val="00E3012A"/>
    <w:rsid w:val="00E3037C"/>
    <w:rsid w:val="00E30686"/>
    <w:rsid w:val="00E30781"/>
    <w:rsid w:val="00E31968"/>
    <w:rsid w:val="00E31C99"/>
    <w:rsid w:val="00E321CE"/>
    <w:rsid w:val="00E32950"/>
    <w:rsid w:val="00E3393A"/>
    <w:rsid w:val="00E3402B"/>
    <w:rsid w:val="00E34378"/>
    <w:rsid w:val="00E34C46"/>
    <w:rsid w:val="00E34D6B"/>
    <w:rsid w:val="00E3531F"/>
    <w:rsid w:val="00E35EBD"/>
    <w:rsid w:val="00E3617A"/>
    <w:rsid w:val="00E36259"/>
    <w:rsid w:val="00E36E1D"/>
    <w:rsid w:val="00E37038"/>
    <w:rsid w:val="00E371E5"/>
    <w:rsid w:val="00E37773"/>
    <w:rsid w:val="00E37915"/>
    <w:rsid w:val="00E4032F"/>
    <w:rsid w:val="00E41884"/>
    <w:rsid w:val="00E42831"/>
    <w:rsid w:val="00E43787"/>
    <w:rsid w:val="00E44C4B"/>
    <w:rsid w:val="00E464B1"/>
    <w:rsid w:val="00E478D5"/>
    <w:rsid w:val="00E47908"/>
    <w:rsid w:val="00E5056D"/>
    <w:rsid w:val="00E50DBA"/>
    <w:rsid w:val="00E520FA"/>
    <w:rsid w:val="00E526D1"/>
    <w:rsid w:val="00E5390B"/>
    <w:rsid w:val="00E56059"/>
    <w:rsid w:val="00E575ED"/>
    <w:rsid w:val="00E579CC"/>
    <w:rsid w:val="00E60083"/>
    <w:rsid w:val="00E607B8"/>
    <w:rsid w:val="00E617B2"/>
    <w:rsid w:val="00E625A5"/>
    <w:rsid w:val="00E6548B"/>
    <w:rsid w:val="00E655B6"/>
    <w:rsid w:val="00E65E03"/>
    <w:rsid w:val="00E65EB9"/>
    <w:rsid w:val="00E65F0B"/>
    <w:rsid w:val="00E6744F"/>
    <w:rsid w:val="00E67CC4"/>
    <w:rsid w:val="00E7084D"/>
    <w:rsid w:val="00E72B95"/>
    <w:rsid w:val="00E73C40"/>
    <w:rsid w:val="00E73F1E"/>
    <w:rsid w:val="00E7463B"/>
    <w:rsid w:val="00E74658"/>
    <w:rsid w:val="00E74F7E"/>
    <w:rsid w:val="00E75D89"/>
    <w:rsid w:val="00E76013"/>
    <w:rsid w:val="00E7638A"/>
    <w:rsid w:val="00E77014"/>
    <w:rsid w:val="00E773D6"/>
    <w:rsid w:val="00E817FC"/>
    <w:rsid w:val="00E8298B"/>
    <w:rsid w:val="00E839D0"/>
    <w:rsid w:val="00E83B23"/>
    <w:rsid w:val="00E8539D"/>
    <w:rsid w:val="00E86FD7"/>
    <w:rsid w:val="00E87516"/>
    <w:rsid w:val="00E92268"/>
    <w:rsid w:val="00E927A9"/>
    <w:rsid w:val="00E93A17"/>
    <w:rsid w:val="00E94329"/>
    <w:rsid w:val="00E945F7"/>
    <w:rsid w:val="00E955E4"/>
    <w:rsid w:val="00E95729"/>
    <w:rsid w:val="00E96796"/>
    <w:rsid w:val="00E968E7"/>
    <w:rsid w:val="00E9727E"/>
    <w:rsid w:val="00E974DE"/>
    <w:rsid w:val="00EA0332"/>
    <w:rsid w:val="00EA0668"/>
    <w:rsid w:val="00EA069E"/>
    <w:rsid w:val="00EA0876"/>
    <w:rsid w:val="00EA0D67"/>
    <w:rsid w:val="00EA1117"/>
    <w:rsid w:val="00EA176F"/>
    <w:rsid w:val="00EA33D4"/>
    <w:rsid w:val="00EA35C2"/>
    <w:rsid w:val="00EA36FD"/>
    <w:rsid w:val="00EA4987"/>
    <w:rsid w:val="00EA4E7A"/>
    <w:rsid w:val="00EA5312"/>
    <w:rsid w:val="00EA5C91"/>
    <w:rsid w:val="00EA5E4C"/>
    <w:rsid w:val="00EA63AA"/>
    <w:rsid w:val="00EA778A"/>
    <w:rsid w:val="00EB1120"/>
    <w:rsid w:val="00EB14A2"/>
    <w:rsid w:val="00EB2333"/>
    <w:rsid w:val="00EB2DEF"/>
    <w:rsid w:val="00EB30FF"/>
    <w:rsid w:val="00EB3FA7"/>
    <w:rsid w:val="00EB4071"/>
    <w:rsid w:val="00EB4A73"/>
    <w:rsid w:val="00EB4E97"/>
    <w:rsid w:val="00EB5276"/>
    <w:rsid w:val="00EB66D0"/>
    <w:rsid w:val="00EB69C5"/>
    <w:rsid w:val="00EB7DB1"/>
    <w:rsid w:val="00EC4AFA"/>
    <w:rsid w:val="00EC5836"/>
    <w:rsid w:val="00EC63CB"/>
    <w:rsid w:val="00EC6E2F"/>
    <w:rsid w:val="00EC73FB"/>
    <w:rsid w:val="00ED00C2"/>
    <w:rsid w:val="00ED022C"/>
    <w:rsid w:val="00ED0BD5"/>
    <w:rsid w:val="00ED16D9"/>
    <w:rsid w:val="00ED4284"/>
    <w:rsid w:val="00ED45C1"/>
    <w:rsid w:val="00ED490B"/>
    <w:rsid w:val="00ED5648"/>
    <w:rsid w:val="00ED5F63"/>
    <w:rsid w:val="00ED5FEB"/>
    <w:rsid w:val="00ED636E"/>
    <w:rsid w:val="00ED7321"/>
    <w:rsid w:val="00EE0A63"/>
    <w:rsid w:val="00EE11F0"/>
    <w:rsid w:val="00EE12B0"/>
    <w:rsid w:val="00EE2B9C"/>
    <w:rsid w:val="00EE2BDA"/>
    <w:rsid w:val="00EE3431"/>
    <w:rsid w:val="00EE3436"/>
    <w:rsid w:val="00EE59AA"/>
    <w:rsid w:val="00EE5A96"/>
    <w:rsid w:val="00EE6C17"/>
    <w:rsid w:val="00EE6DF1"/>
    <w:rsid w:val="00EF272F"/>
    <w:rsid w:val="00EF2FDB"/>
    <w:rsid w:val="00EF3594"/>
    <w:rsid w:val="00EF4C7B"/>
    <w:rsid w:val="00EF5348"/>
    <w:rsid w:val="00EF5614"/>
    <w:rsid w:val="00EF6961"/>
    <w:rsid w:val="00EF6AB6"/>
    <w:rsid w:val="00EF6E5D"/>
    <w:rsid w:val="00EF6F60"/>
    <w:rsid w:val="00EF7D1E"/>
    <w:rsid w:val="00F0074B"/>
    <w:rsid w:val="00F009C3"/>
    <w:rsid w:val="00F01959"/>
    <w:rsid w:val="00F0199E"/>
    <w:rsid w:val="00F01B44"/>
    <w:rsid w:val="00F0204B"/>
    <w:rsid w:val="00F04464"/>
    <w:rsid w:val="00F04B4E"/>
    <w:rsid w:val="00F051AC"/>
    <w:rsid w:val="00F052A8"/>
    <w:rsid w:val="00F05AB1"/>
    <w:rsid w:val="00F0616B"/>
    <w:rsid w:val="00F062BE"/>
    <w:rsid w:val="00F06514"/>
    <w:rsid w:val="00F06643"/>
    <w:rsid w:val="00F07740"/>
    <w:rsid w:val="00F07865"/>
    <w:rsid w:val="00F07935"/>
    <w:rsid w:val="00F10038"/>
    <w:rsid w:val="00F111A3"/>
    <w:rsid w:val="00F1129B"/>
    <w:rsid w:val="00F11BE0"/>
    <w:rsid w:val="00F12405"/>
    <w:rsid w:val="00F126DA"/>
    <w:rsid w:val="00F12A92"/>
    <w:rsid w:val="00F12F39"/>
    <w:rsid w:val="00F133D4"/>
    <w:rsid w:val="00F139FE"/>
    <w:rsid w:val="00F15498"/>
    <w:rsid w:val="00F1570D"/>
    <w:rsid w:val="00F15DD9"/>
    <w:rsid w:val="00F161BA"/>
    <w:rsid w:val="00F16A49"/>
    <w:rsid w:val="00F174C7"/>
    <w:rsid w:val="00F17ABB"/>
    <w:rsid w:val="00F20079"/>
    <w:rsid w:val="00F20E77"/>
    <w:rsid w:val="00F21DA3"/>
    <w:rsid w:val="00F22E2D"/>
    <w:rsid w:val="00F23644"/>
    <w:rsid w:val="00F238AA"/>
    <w:rsid w:val="00F23A6B"/>
    <w:rsid w:val="00F24E77"/>
    <w:rsid w:val="00F2501C"/>
    <w:rsid w:val="00F25A8B"/>
    <w:rsid w:val="00F26EA1"/>
    <w:rsid w:val="00F27BA4"/>
    <w:rsid w:val="00F30F10"/>
    <w:rsid w:val="00F3114A"/>
    <w:rsid w:val="00F316C0"/>
    <w:rsid w:val="00F316C7"/>
    <w:rsid w:val="00F31738"/>
    <w:rsid w:val="00F3254C"/>
    <w:rsid w:val="00F32B96"/>
    <w:rsid w:val="00F32C64"/>
    <w:rsid w:val="00F34572"/>
    <w:rsid w:val="00F35137"/>
    <w:rsid w:val="00F35E1A"/>
    <w:rsid w:val="00F368D1"/>
    <w:rsid w:val="00F37823"/>
    <w:rsid w:val="00F41101"/>
    <w:rsid w:val="00F41850"/>
    <w:rsid w:val="00F443F2"/>
    <w:rsid w:val="00F4554E"/>
    <w:rsid w:val="00F45CAF"/>
    <w:rsid w:val="00F4658D"/>
    <w:rsid w:val="00F46C52"/>
    <w:rsid w:val="00F473A2"/>
    <w:rsid w:val="00F47D54"/>
    <w:rsid w:val="00F47E73"/>
    <w:rsid w:val="00F50599"/>
    <w:rsid w:val="00F50C05"/>
    <w:rsid w:val="00F51344"/>
    <w:rsid w:val="00F52930"/>
    <w:rsid w:val="00F52A1C"/>
    <w:rsid w:val="00F5334C"/>
    <w:rsid w:val="00F55295"/>
    <w:rsid w:val="00F55A94"/>
    <w:rsid w:val="00F55D03"/>
    <w:rsid w:val="00F5621A"/>
    <w:rsid w:val="00F56CBB"/>
    <w:rsid w:val="00F57B01"/>
    <w:rsid w:val="00F60123"/>
    <w:rsid w:val="00F615B9"/>
    <w:rsid w:val="00F63BA1"/>
    <w:rsid w:val="00F65094"/>
    <w:rsid w:val="00F6512B"/>
    <w:rsid w:val="00F65FB1"/>
    <w:rsid w:val="00F664F6"/>
    <w:rsid w:val="00F67031"/>
    <w:rsid w:val="00F6729A"/>
    <w:rsid w:val="00F7013D"/>
    <w:rsid w:val="00F7057B"/>
    <w:rsid w:val="00F71255"/>
    <w:rsid w:val="00F71AC3"/>
    <w:rsid w:val="00F733E6"/>
    <w:rsid w:val="00F737A8"/>
    <w:rsid w:val="00F73975"/>
    <w:rsid w:val="00F74CA6"/>
    <w:rsid w:val="00F74F23"/>
    <w:rsid w:val="00F74F30"/>
    <w:rsid w:val="00F769B9"/>
    <w:rsid w:val="00F769E4"/>
    <w:rsid w:val="00F76A6C"/>
    <w:rsid w:val="00F80670"/>
    <w:rsid w:val="00F821F3"/>
    <w:rsid w:val="00F822FC"/>
    <w:rsid w:val="00F82FA2"/>
    <w:rsid w:val="00F83880"/>
    <w:rsid w:val="00F83C19"/>
    <w:rsid w:val="00F84348"/>
    <w:rsid w:val="00F8541A"/>
    <w:rsid w:val="00F85422"/>
    <w:rsid w:val="00F858B0"/>
    <w:rsid w:val="00F87684"/>
    <w:rsid w:val="00F87F5F"/>
    <w:rsid w:val="00F90BAA"/>
    <w:rsid w:val="00F90E0F"/>
    <w:rsid w:val="00F92487"/>
    <w:rsid w:val="00F926B6"/>
    <w:rsid w:val="00F926FE"/>
    <w:rsid w:val="00F935EC"/>
    <w:rsid w:val="00F9476D"/>
    <w:rsid w:val="00F96573"/>
    <w:rsid w:val="00F96F1C"/>
    <w:rsid w:val="00F96F5E"/>
    <w:rsid w:val="00F97225"/>
    <w:rsid w:val="00F97D4A"/>
    <w:rsid w:val="00FA0ACF"/>
    <w:rsid w:val="00FA156E"/>
    <w:rsid w:val="00FA2C72"/>
    <w:rsid w:val="00FA32B8"/>
    <w:rsid w:val="00FA4CD4"/>
    <w:rsid w:val="00FA6292"/>
    <w:rsid w:val="00FA7507"/>
    <w:rsid w:val="00FA7934"/>
    <w:rsid w:val="00FA7A52"/>
    <w:rsid w:val="00FB0052"/>
    <w:rsid w:val="00FB0436"/>
    <w:rsid w:val="00FB0623"/>
    <w:rsid w:val="00FB0A78"/>
    <w:rsid w:val="00FB1326"/>
    <w:rsid w:val="00FB1898"/>
    <w:rsid w:val="00FB2A0A"/>
    <w:rsid w:val="00FB30D7"/>
    <w:rsid w:val="00FB32A5"/>
    <w:rsid w:val="00FB3507"/>
    <w:rsid w:val="00FB41B6"/>
    <w:rsid w:val="00FB5585"/>
    <w:rsid w:val="00FB561B"/>
    <w:rsid w:val="00FB66F2"/>
    <w:rsid w:val="00FB6984"/>
    <w:rsid w:val="00FB77E6"/>
    <w:rsid w:val="00FB7B98"/>
    <w:rsid w:val="00FC15C6"/>
    <w:rsid w:val="00FC1DA6"/>
    <w:rsid w:val="00FC21F2"/>
    <w:rsid w:val="00FC2594"/>
    <w:rsid w:val="00FC2D79"/>
    <w:rsid w:val="00FC4EE6"/>
    <w:rsid w:val="00FC5258"/>
    <w:rsid w:val="00FC684C"/>
    <w:rsid w:val="00FC78C1"/>
    <w:rsid w:val="00FC7CBC"/>
    <w:rsid w:val="00FD0BE6"/>
    <w:rsid w:val="00FD120D"/>
    <w:rsid w:val="00FD2CB6"/>
    <w:rsid w:val="00FD3147"/>
    <w:rsid w:val="00FD3272"/>
    <w:rsid w:val="00FD5230"/>
    <w:rsid w:val="00FD6454"/>
    <w:rsid w:val="00FD6D6B"/>
    <w:rsid w:val="00FD6F38"/>
    <w:rsid w:val="00FD758D"/>
    <w:rsid w:val="00FD7633"/>
    <w:rsid w:val="00FE0088"/>
    <w:rsid w:val="00FE1DE7"/>
    <w:rsid w:val="00FE248F"/>
    <w:rsid w:val="00FE4696"/>
    <w:rsid w:val="00FE5756"/>
    <w:rsid w:val="00FE5D61"/>
    <w:rsid w:val="00FE78C8"/>
    <w:rsid w:val="00FF01C7"/>
    <w:rsid w:val="00FF02EB"/>
    <w:rsid w:val="00FF03CC"/>
    <w:rsid w:val="00FF112B"/>
    <w:rsid w:val="00FF1908"/>
    <w:rsid w:val="00FF1E88"/>
    <w:rsid w:val="00FF22D5"/>
    <w:rsid w:val="00FF4EFF"/>
    <w:rsid w:val="00FF528D"/>
    <w:rsid w:val="00FF641F"/>
    <w:rsid w:val="00FF6476"/>
    <w:rsid w:val="00FF778C"/>
    <w:rsid w:val="010C6186"/>
    <w:rsid w:val="015E00FE"/>
    <w:rsid w:val="01C3D4F3"/>
    <w:rsid w:val="02001673"/>
    <w:rsid w:val="02857FB6"/>
    <w:rsid w:val="02AD8CF9"/>
    <w:rsid w:val="02C5712D"/>
    <w:rsid w:val="03204D86"/>
    <w:rsid w:val="03506C2C"/>
    <w:rsid w:val="035220BA"/>
    <w:rsid w:val="0352A821"/>
    <w:rsid w:val="04194581"/>
    <w:rsid w:val="0431D385"/>
    <w:rsid w:val="04621245"/>
    <w:rsid w:val="0483F0DB"/>
    <w:rsid w:val="05371DB5"/>
    <w:rsid w:val="0542774A"/>
    <w:rsid w:val="05597319"/>
    <w:rsid w:val="0603B5A7"/>
    <w:rsid w:val="062A37B5"/>
    <w:rsid w:val="062C94F0"/>
    <w:rsid w:val="06373CBE"/>
    <w:rsid w:val="0646519D"/>
    <w:rsid w:val="06BC37EB"/>
    <w:rsid w:val="06C0F019"/>
    <w:rsid w:val="06F51CB0"/>
    <w:rsid w:val="075809AE"/>
    <w:rsid w:val="07B5A6F9"/>
    <w:rsid w:val="07DF3474"/>
    <w:rsid w:val="0815DC3F"/>
    <w:rsid w:val="082EAC7E"/>
    <w:rsid w:val="083766D8"/>
    <w:rsid w:val="083F4CA7"/>
    <w:rsid w:val="0854C65F"/>
    <w:rsid w:val="0858BA3B"/>
    <w:rsid w:val="0861AAA0"/>
    <w:rsid w:val="087855FF"/>
    <w:rsid w:val="087F54D6"/>
    <w:rsid w:val="0897B650"/>
    <w:rsid w:val="08D31B5C"/>
    <w:rsid w:val="091DA3B3"/>
    <w:rsid w:val="09294C7F"/>
    <w:rsid w:val="095B055F"/>
    <w:rsid w:val="099A5630"/>
    <w:rsid w:val="09C35B1E"/>
    <w:rsid w:val="09F64133"/>
    <w:rsid w:val="09FD7ECF"/>
    <w:rsid w:val="0A0D635A"/>
    <w:rsid w:val="0A1E1C52"/>
    <w:rsid w:val="0A55E659"/>
    <w:rsid w:val="0A66388B"/>
    <w:rsid w:val="0A7E13CF"/>
    <w:rsid w:val="0A977FEF"/>
    <w:rsid w:val="0AAB4523"/>
    <w:rsid w:val="0AB58E54"/>
    <w:rsid w:val="0AC8C29F"/>
    <w:rsid w:val="0B0E76DD"/>
    <w:rsid w:val="0B188774"/>
    <w:rsid w:val="0B1DCEA5"/>
    <w:rsid w:val="0B67C836"/>
    <w:rsid w:val="0BAC96C0"/>
    <w:rsid w:val="0BB1C833"/>
    <w:rsid w:val="0C01D321"/>
    <w:rsid w:val="0CA497A3"/>
    <w:rsid w:val="0CA950B0"/>
    <w:rsid w:val="0CE9E948"/>
    <w:rsid w:val="0D092F31"/>
    <w:rsid w:val="0D0BD476"/>
    <w:rsid w:val="0D9CB6B9"/>
    <w:rsid w:val="0DFF90B6"/>
    <w:rsid w:val="0E8A36E0"/>
    <w:rsid w:val="0E8D179C"/>
    <w:rsid w:val="0E9A9DF0"/>
    <w:rsid w:val="0EA6D8F2"/>
    <w:rsid w:val="0EA942C1"/>
    <w:rsid w:val="0F3FF82E"/>
    <w:rsid w:val="0F5D6965"/>
    <w:rsid w:val="0F9FC855"/>
    <w:rsid w:val="103E94CB"/>
    <w:rsid w:val="106E98CA"/>
    <w:rsid w:val="10ACDF5F"/>
    <w:rsid w:val="10B59FBD"/>
    <w:rsid w:val="10B5D773"/>
    <w:rsid w:val="10F03056"/>
    <w:rsid w:val="1175CCBB"/>
    <w:rsid w:val="1182693C"/>
    <w:rsid w:val="11AA13FD"/>
    <w:rsid w:val="120DADA3"/>
    <w:rsid w:val="121B716D"/>
    <w:rsid w:val="1276FAB5"/>
    <w:rsid w:val="1292843A"/>
    <w:rsid w:val="12FDC02B"/>
    <w:rsid w:val="1325C690"/>
    <w:rsid w:val="1339DF06"/>
    <w:rsid w:val="133A44CF"/>
    <w:rsid w:val="13B0DDE3"/>
    <w:rsid w:val="142BAE10"/>
    <w:rsid w:val="14408BC1"/>
    <w:rsid w:val="1460D7E6"/>
    <w:rsid w:val="146156A9"/>
    <w:rsid w:val="147CCD50"/>
    <w:rsid w:val="14830D58"/>
    <w:rsid w:val="14970FC8"/>
    <w:rsid w:val="14B22E6E"/>
    <w:rsid w:val="14BFBE87"/>
    <w:rsid w:val="14E14AAA"/>
    <w:rsid w:val="14EBF670"/>
    <w:rsid w:val="15386715"/>
    <w:rsid w:val="156AAE06"/>
    <w:rsid w:val="158C89F0"/>
    <w:rsid w:val="15911175"/>
    <w:rsid w:val="15A72B88"/>
    <w:rsid w:val="15B083F5"/>
    <w:rsid w:val="15E713C1"/>
    <w:rsid w:val="1698D624"/>
    <w:rsid w:val="170BED39"/>
    <w:rsid w:val="1799F109"/>
    <w:rsid w:val="17ABA673"/>
    <w:rsid w:val="17B991C6"/>
    <w:rsid w:val="18001C80"/>
    <w:rsid w:val="1809583D"/>
    <w:rsid w:val="18425C91"/>
    <w:rsid w:val="1890A674"/>
    <w:rsid w:val="18929F4D"/>
    <w:rsid w:val="19001DF9"/>
    <w:rsid w:val="1919E16B"/>
    <w:rsid w:val="19448FA6"/>
    <w:rsid w:val="194AEB48"/>
    <w:rsid w:val="194DFF50"/>
    <w:rsid w:val="19A0EC5A"/>
    <w:rsid w:val="19D182D8"/>
    <w:rsid w:val="19D702C2"/>
    <w:rsid w:val="1A0476FD"/>
    <w:rsid w:val="1A0B5AAF"/>
    <w:rsid w:val="1A0C7BF7"/>
    <w:rsid w:val="1A49D360"/>
    <w:rsid w:val="1A52414E"/>
    <w:rsid w:val="1B06B0F6"/>
    <w:rsid w:val="1BDA853F"/>
    <w:rsid w:val="1C2B0891"/>
    <w:rsid w:val="1CAB1BF1"/>
    <w:rsid w:val="1CAED35A"/>
    <w:rsid w:val="1CEBBE50"/>
    <w:rsid w:val="1CF14C43"/>
    <w:rsid w:val="1D15772E"/>
    <w:rsid w:val="1D745682"/>
    <w:rsid w:val="1DA6B0E3"/>
    <w:rsid w:val="1DCA01C0"/>
    <w:rsid w:val="1DDEE1AD"/>
    <w:rsid w:val="1DE18592"/>
    <w:rsid w:val="1E364578"/>
    <w:rsid w:val="1E432532"/>
    <w:rsid w:val="1E676B3A"/>
    <w:rsid w:val="1EE9EA75"/>
    <w:rsid w:val="1EEE17ED"/>
    <w:rsid w:val="1F266B73"/>
    <w:rsid w:val="1F416646"/>
    <w:rsid w:val="1F8248C8"/>
    <w:rsid w:val="1FA3D6EC"/>
    <w:rsid w:val="1FB06A33"/>
    <w:rsid w:val="1FCE8624"/>
    <w:rsid w:val="1FDA62F8"/>
    <w:rsid w:val="1FFE4B2B"/>
    <w:rsid w:val="1FFFF336"/>
    <w:rsid w:val="2011D0B0"/>
    <w:rsid w:val="20216453"/>
    <w:rsid w:val="2065F770"/>
    <w:rsid w:val="20771AFE"/>
    <w:rsid w:val="207D801A"/>
    <w:rsid w:val="208AF603"/>
    <w:rsid w:val="20D0CC91"/>
    <w:rsid w:val="2108EFC3"/>
    <w:rsid w:val="2184939B"/>
    <w:rsid w:val="21D5A04A"/>
    <w:rsid w:val="21F2D418"/>
    <w:rsid w:val="21FA407A"/>
    <w:rsid w:val="22A1B0FF"/>
    <w:rsid w:val="22C01EDB"/>
    <w:rsid w:val="22C1139A"/>
    <w:rsid w:val="23232B54"/>
    <w:rsid w:val="233CF85B"/>
    <w:rsid w:val="23400750"/>
    <w:rsid w:val="235C54A5"/>
    <w:rsid w:val="236647F1"/>
    <w:rsid w:val="23AAAF96"/>
    <w:rsid w:val="23D025C8"/>
    <w:rsid w:val="23FFB2C3"/>
    <w:rsid w:val="241E9C8B"/>
    <w:rsid w:val="243040A5"/>
    <w:rsid w:val="243993DE"/>
    <w:rsid w:val="24777811"/>
    <w:rsid w:val="2483C843"/>
    <w:rsid w:val="248B3C7B"/>
    <w:rsid w:val="25104327"/>
    <w:rsid w:val="257639FB"/>
    <w:rsid w:val="25818BF3"/>
    <w:rsid w:val="25880FD8"/>
    <w:rsid w:val="25A08C90"/>
    <w:rsid w:val="25B9CEA0"/>
    <w:rsid w:val="25C7EDC2"/>
    <w:rsid w:val="26141A15"/>
    <w:rsid w:val="267CB518"/>
    <w:rsid w:val="267E7D6C"/>
    <w:rsid w:val="26853A85"/>
    <w:rsid w:val="2693147F"/>
    <w:rsid w:val="2693A259"/>
    <w:rsid w:val="26C635F1"/>
    <w:rsid w:val="27101060"/>
    <w:rsid w:val="277BBB11"/>
    <w:rsid w:val="2805F086"/>
    <w:rsid w:val="28120FE9"/>
    <w:rsid w:val="2846588E"/>
    <w:rsid w:val="285EA8A5"/>
    <w:rsid w:val="28866E36"/>
    <w:rsid w:val="289B0B20"/>
    <w:rsid w:val="28A31F6B"/>
    <w:rsid w:val="28AD42E8"/>
    <w:rsid w:val="28DE38C8"/>
    <w:rsid w:val="28FC656E"/>
    <w:rsid w:val="28FE6D37"/>
    <w:rsid w:val="292E3BE0"/>
    <w:rsid w:val="293E0C1D"/>
    <w:rsid w:val="29863CE1"/>
    <w:rsid w:val="2998A246"/>
    <w:rsid w:val="29C89514"/>
    <w:rsid w:val="29D7B63C"/>
    <w:rsid w:val="29F062DD"/>
    <w:rsid w:val="2A0651B7"/>
    <w:rsid w:val="2A54ED91"/>
    <w:rsid w:val="2AB76717"/>
    <w:rsid w:val="2AB9DBA0"/>
    <w:rsid w:val="2ABCEC0D"/>
    <w:rsid w:val="2AE1493B"/>
    <w:rsid w:val="2AFE56B6"/>
    <w:rsid w:val="2B0009C3"/>
    <w:rsid w:val="2B1ABED1"/>
    <w:rsid w:val="2B1C5452"/>
    <w:rsid w:val="2B51C77A"/>
    <w:rsid w:val="2B577A91"/>
    <w:rsid w:val="2B675353"/>
    <w:rsid w:val="2BA2D6C5"/>
    <w:rsid w:val="2BABFCCF"/>
    <w:rsid w:val="2BB6E569"/>
    <w:rsid w:val="2BD18214"/>
    <w:rsid w:val="2BD3EBF1"/>
    <w:rsid w:val="2BFD2982"/>
    <w:rsid w:val="2C23C3D7"/>
    <w:rsid w:val="2C266635"/>
    <w:rsid w:val="2C40D78F"/>
    <w:rsid w:val="2C62DDD5"/>
    <w:rsid w:val="2C8C155C"/>
    <w:rsid w:val="2CB6A5B9"/>
    <w:rsid w:val="2CE345D9"/>
    <w:rsid w:val="2D6709D7"/>
    <w:rsid w:val="2D7DCA46"/>
    <w:rsid w:val="2E24F41E"/>
    <w:rsid w:val="2E67C482"/>
    <w:rsid w:val="2E870DB4"/>
    <w:rsid w:val="2E8D4E5B"/>
    <w:rsid w:val="2EB728EF"/>
    <w:rsid w:val="2ECF4C2E"/>
    <w:rsid w:val="2F6FD761"/>
    <w:rsid w:val="2F795CAC"/>
    <w:rsid w:val="2F837954"/>
    <w:rsid w:val="2FA2BE29"/>
    <w:rsid w:val="2FBD04D6"/>
    <w:rsid w:val="2FC1335F"/>
    <w:rsid w:val="2FC33CC8"/>
    <w:rsid w:val="2FD1E08A"/>
    <w:rsid w:val="2FDEC14D"/>
    <w:rsid w:val="30B6459A"/>
    <w:rsid w:val="30DA2E0B"/>
    <w:rsid w:val="316CB047"/>
    <w:rsid w:val="318110DC"/>
    <w:rsid w:val="318E00CB"/>
    <w:rsid w:val="31DBDFBC"/>
    <w:rsid w:val="31DC5A8E"/>
    <w:rsid w:val="320B823D"/>
    <w:rsid w:val="3216DF88"/>
    <w:rsid w:val="32338228"/>
    <w:rsid w:val="32EE0575"/>
    <w:rsid w:val="3310CF3B"/>
    <w:rsid w:val="33710F09"/>
    <w:rsid w:val="33BEBAAE"/>
    <w:rsid w:val="33EB7D28"/>
    <w:rsid w:val="34013837"/>
    <w:rsid w:val="3408D7C1"/>
    <w:rsid w:val="340ACFFA"/>
    <w:rsid w:val="340D9DF0"/>
    <w:rsid w:val="3477F19B"/>
    <w:rsid w:val="348DD4F6"/>
    <w:rsid w:val="34931288"/>
    <w:rsid w:val="34AEBCD5"/>
    <w:rsid w:val="34DEE38C"/>
    <w:rsid w:val="34E93799"/>
    <w:rsid w:val="34F66F22"/>
    <w:rsid w:val="3510D97B"/>
    <w:rsid w:val="351E8C45"/>
    <w:rsid w:val="353AE217"/>
    <w:rsid w:val="3545E422"/>
    <w:rsid w:val="357C9C77"/>
    <w:rsid w:val="35C85790"/>
    <w:rsid w:val="35EB0373"/>
    <w:rsid w:val="362A35B2"/>
    <w:rsid w:val="363FB029"/>
    <w:rsid w:val="3658CC50"/>
    <w:rsid w:val="367B824B"/>
    <w:rsid w:val="36D52F4C"/>
    <w:rsid w:val="36EC4FE3"/>
    <w:rsid w:val="36ED5972"/>
    <w:rsid w:val="36F6489D"/>
    <w:rsid w:val="3713339A"/>
    <w:rsid w:val="37308BA0"/>
    <w:rsid w:val="376E97AD"/>
    <w:rsid w:val="37718E30"/>
    <w:rsid w:val="378198D8"/>
    <w:rsid w:val="37BBD241"/>
    <w:rsid w:val="37D381E4"/>
    <w:rsid w:val="37ED7EDF"/>
    <w:rsid w:val="3825FB8F"/>
    <w:rsid w:val="385F7865"/>
    <w:rsid w:val="3860537C"/>
    <w:rsid w:val="38771392"/>
    <w:rsid w:val="387E9E92"/>
    <w:rsid w:val="38966ADB"/>
    <w:rsid w:val="38AB6588"/>
    <w:rsid w:val="38EF07E4"/>
    <w:rsid w:val="38F94E8B"/>
    <w:rsid w:val="3952C3FF"/>
    <w:rsid w:val="3975398F"/>
    <w:rsid w:val="39A512F2"/>
    <w:rsid w:val="39D258CF"/>
    <w:rsid w:val="39FFD64B"/>
    <w:rsid w:val="3A4F107B"/>
    <w:rsid w:val="3A92CFCF"/>
    <w:rsid w:val="3A978D25"/>
    <w:rsid w:val="3B0EB3EC"/>
    <w:rsid w:val="3B0FA456"/>
    <w:rsid w:val="3B6C642D"/>
    <w:rsid w:val="3C1CF5F5"/>
    <w:rsid w:val="3C304041"/>
    <w:rsid w:val="3C7355E6"/>
    <w:rsid w:val="3C87910A"/>
    <w:rsid w:val="3CED9661"/>
    <w:rsid w:val="3CED9D88"/>
    <w:rsid w:val="3CF65BD9"/>
    <w:rsid w:val="3D129A2D"/>
    <w:rsid w:val="3D93522A"/>
    <w:rsid w:val="3DA1DB10"/>
    <w:rsid w:val="3DA3A8A6"/>
    <w:rsid w:val="3DAD0C8B"/>
    <w:rsid w:val="3DAE3504"/>
    <w:rsid w:val="3DDDC1C1"/>
    <w:rsid w:val="3E05E0FC"/>
    <w:rsid w:val="3E06943B"/>
    <w:rsid w:val="3E0E87F6"/>
    <w:rsid w:val="3E4A24E2"/>
    <w:rsid w:val="3E58F83D"/>
    <w:rsid w:val="3E614E93"/>
    <w:rsid w:val="3E9268D9"/>
    <w:rsid w:val="3EC99F47"/>
    <w:rsid w:val="3EE444A6"/>
    <w:rsid w:val="3F6CEC81"/>
    <w:rsid w:val="3F7FEF5D"/>
    <w:rsid w:val="3F92D6FE"/>
    <w:rsid w:val="3FE0749E"/>
    <w:rsid w:val="3FE325FB"/>
    <w:rsid w:val="3FE82CB3"/>
    <w:rsid w:val="3FEA44B2"/>
    <w:rsid w:val="40113BC1"/>
    <w:rsid w:val="4028B03D"/>
    <w:rsid w:val="406FD2BA"/>
    <w:rsid w:val="4078FB81"/>
    <w:rsid w:val="407975C0"/>
    <w:rsid w:val="40D0E0B2"/>
    <w:rsid w:val="40E30D27"/>
    <w:rsid w:val="41131EC6"/>
    <w:rsid w:val="415042A7"/>
    <w:rsid w:val="41CA9B55"/>
    <w:rsid w:val="4260EEE8"/>
    <w:rsid w:val="42679658"/>
    <w:rsid w:val="429A9638"/>
    <w:rsid w:val="42DB2018"/>
    <w:rsid w:val="42FC12C7"/>
    <w:rsid w:val="434E1456"/>
    <w:rsid w:val="43817F36"/>
    <w:rsid w:val="43D1A932"/>
    <w:rsid w:val="43E7BFF5"/>
    <w:rsid w:val="43FC3F91"/>
    <w:rsid w:val="4406D671"/>
    <w:rsid w:val="4423A914"/>
    <w:rsid w:val="442BE8C2"/>
    <w:rsid w:val="4442ABD5"/>
    <w:rsid w:val="446F7D45"/>
    <w:rsid w:val="449AC218"/>
    <w:rsid w:val="44A8345F"/>
    <w:rsid w:val="44CF0947"/>
    <w:rsid w:val="44DA9393"/>
    <w:rsid w:val="45196311"/>
    <w:rsid w:val="451C79AD"/>
    <w:rsid w:val="45400ABB"/>
    <w:rsid w:val="4566BA51"/>
    <w:rsid w:val="457B1DAB"/>
    <w:rsid w:val="45AFEAA4"/>
    <w:rsid w:val="45C0F267"/>
    <w:rsid w:val="45CB6E75"/>
    <w:rsid w:val="462486D6"/>
    <w:rsid w:val="4643815F"/>
    <w:rsid w:val="464BD79C"/>
    <w:rsid w:val="467C3F36"/>
    <w:rsid w:val="4682A319"/>
    <w:rsid w:val="472F8EDF"/>
    <w:rsid w:val="473096DB"/>
    <w:rsid w:val="4783ED49"/>
    <w:rsid w:val="479EEC14"/>
    <w:rsid w:val="47B98754"/>
    <w:rsid w:val="47CAD51A"/>
    <w:rsid w:val="47F1AE62"/>
    <w:rsid w:val="4871D1AB"/>
    <w:rsid w:val="487CA1D4"/>
    <w:rsid w:val="48AD4DCD"/>
    <w:rsid w:val="48E3D1A9"/>
    <w:rsid w:val="48F5602F"/>
    <w:rsid w:val="48F7D1B5"/>
    <w:rsid w:val="490A1C48"/>
    <w:rsid w:val="494DC5E8"/>
    <w:rsid w:val="495381AC"/>
    <w:rsid w:val="49A1FB19"/>
    <w:rsid w:val="49D6CEA6"/>
    <w:rsid w:val="49FD3173"/>
    <w:rsid w:val="49FF7292"/>
    <w:rsid w:val="4A612EDE"/>
    <w:rsid w:val="4A9BE087"/>
    <w:rsid w:val="4A9E703E"/>
    <w:rsid w:val="4ABAC0F0"/>
    <w:rsid w:val="4ACBC4B1"/>
    <w:rsid w:val="4AE43368"/>
    <w:rsid w:val="4AF306D7"/>
    <w:rsid w:val="4B1F42FA"/>
    <w:rsid w:val="4C0DB642"/>
    <w:rsid w:val="4C3ADC7F"/>
    <w:rsid w:val="4C75E9FF"/>
    <w:rsid w:val="4CC96C61"/>
    <w:rsid w:val="4CF6DF03"/>
    <w:rsid w:val="4D23EB3F"/>
    <w:rsid w:val="4DBCB3FA"/>
    <w:rsid w:val="4DE6259B"/>
    <w:rsid w:val="4DEC56C3"/>
    <w:rsid w:val="4E0966B5"/>
    <w:rsid w:val="4E192E3B"/>
    <w:rsid w:val="4E6F44A6"/>
    <w:rsid w:val="4E737FE4"/>
    <w:rsid w:val="4EDADBCB"/>
    <w:rsid w:val="4F44720B"/>
    <w:rsid w:val="4F93D74A"/>
    <w:rsid w:val="5075D5C4"/>
    <w:rsid w:val="50F9FE7A"/>
    <w:rsid w:val="511DF851"/>
    <w:rsid w:val="512AF6D0"/>
    <w:rsid w:val="5150C851"/>
    <w:rsid w:val="51DFF77B"/>
    <w:rsid w:val="51F72D0B"/>
    <w:rsid w:val="5230BC67"/>
    <w:rsid w:val="523BE71D"/>
    <w:rsid w:val="524BEAD5"/>
    <w:rsid w:val="52622CF2"/>
    <w:rsid w:val="52861AF3"/>
    <w:rsid w:val="531B8A09"/>
    <w:rsid w:val="531FC795"/>
    <w:rsid w:val="53264CA6"/>
    <w:rsid w:val="532A581F"/>
    <w:rsid w:val="534C400B"/>
    <w:rsid w:val="5363B793"/>
    <w:rsid w:val="538318E1"/>
    <w:rsid w:val="53A5F34B"/>
    <w:rsid w:val="53A92EA6"/>
    <w:rsid w:val="53C678A1"/>
    <w:rsid w:val="54343E7E"/>
    <w:rsid w:val="549D39A4"/>
    <w:rsid w:val="54F1B772"/>
    <w:rsid w:val="555B2045"/>
    <w:rsid w:val="55ECB465"/>
    <w:rsid w:val="55FFF9FD"/>
    <w:rsid w:val="567532B2"/>
    <w:rsid w:val="5681DB76"/>
    <w:rsid w:val="56A8C206"/>
    <w:rsid w:val="56DCF43F"/>
    <w:rsid w:val="56E4EF56"/>
    <w:rsid w:val="56FBD4B8"/>
    <w:rsid w:val="571CCDF7"/>
    <w:rsid w:val="57282257"/>
    <w:rsid w:val="576454C3"/>
    <w:rsid w:val="58564624"/>
    <w:rsid w:val="58AD5491"/>
    <w:rsid w:val="58CACB49"/>
    <w:rsid w:val="58DF7D08"/>
    <w:rsid w:val="58FD6554"/>
    <w:rsid w:val="590B1B4B"/>
    <w:rsid w:val="5945F75E"/>
    <w:rsid w:val="59567ADE"/>
    <w:rsid w:val="5986D83E"/>
    <w:rsid w:val="59DD5605"/>
    <w:rsid w:val="59DF99C6"/>
    <w:rsid w:val="59ED9B7A"/>
    <w:rsid w:val="59FF9D89"/>
    <w:rsid w:val="5A838DCA"/>
    <w:rsid w:val="5ACD6F80"/>
    <w:rsid w:val="5B071B27"/>
    <w:rsid w:val="5B21E76E"/>
    <w:rsid w:val="5B5C00D9"/>
    <w:rsid w:val="5B7CC4B3"/>
    <w:rsid w:val="5B816ADE"/>
    <w:rsid w:val="5B9CAB79"/>
    <w:rsid w:val="5BAEDA39"/>
    <w:rsid w:val="5BCDC5D7"/>
    <w:rsid w:val="5BDE934A"/>
    <w:rsid w:val="5BE74E00"/>
    <w:rsid w:val="5BF06A27"/>
    <w:rsid w:val="5C0D207C"/>
    <w:rsid w:val="5C84F6D4"/>
    <w:rsid w:val="5C8B2C76"/>
    <w:rsid w:val="5C9F2C0F"/>
    <w:rsid w:val="5CA62391"/>
    <w:rsid w:val="5CB23630"/>
    <w:rsid w:val="5CDC5969"/>
    <w:rsid w:val="5D1D9A9A"/>
    <w:rsid w:val="5D413A30"/>
    <w:rsid w:val="5DD534D3"/>
    <w:rsid w:val="5E09D1E5"/>
    <w:rsid w:val="5EBBBDED"/>
    <w:rsid w:val="5EC15369"/>
    <w:rsid w:val="5EEB5C89"/>
    <w:rsid w:val="5F28F1D4"/>
    <w:rsid w:val="5F7CC433"/>
    <w:rsid w:val="5F814C95"/>
    <w:rsid w:val="5FC6E6A1"/>
    <w:rsid w:val="5FC72BE7"/>
    <w:rsid w:val="5FFB01E2"/>
    <w:rsid w:val="6014A5F2"/>
    <w:rsid w:val="6014B60F"/>
    <w:rsid w:val="60448EEB"/>
    <w:rsid w:val="6046085B"/>
    <w:rsid w:val="607231E3"/>
    <w:rsid w:val="607A19A4"/>
    <w:rsid w:val="60829C0A"/>
    <w:rsid w:val="6104E627"/>
    <w:rsid w:val="61060DEA"/>
    <w:rsid w:val="610C2782"/>
    <w:rsid w:val="611EC310"/>
    <w:rsid w:val="61C5017D"/>
    <w:rsid w:val="61C66A9D"/>
    <w:rsid w:val="61F712C8"/>
    <w:rsid w:val="628DD046"/>
    <w:rsid w:val="6296AC4B"/>
    <w:rsid w:val="62ABB91A"/>
    <w:rsid w:val="62B6B2E5"/>
    <w:rsid w:val="62BCFA07"/>
    <w:rsid w:val="62D5A44A"/>
    <w:rsid w:val="634F1EAD"/>
    <w:rsid w:val="635F685E"/>
    <w:rsid w:val="63AD4F32"/>
    <w:rsid w:val="6415681A"/>
    <w:rsid w:val="64191D2F"/>
    <w:rsid w:val="643964F9"/>
    <w:rsid w:val="6446C4F9"/>
    <w:rsid w:val="6457F641"/>
    <w:rsid w:val="64798D6C"/>
    <w:rsid w:val="647E79AD"/>
    <w:rsid w:val="649F8FD8"/>
    <w:rsid w:val="64BCD160"/>
    <w:rsid w:val="64D4973E"/>
    <w:rsid w:val="64F77B44"/>
    <w:rsid w:val="653EA985"/>
    <w:rsid w:val="656C0D34"/>
    <w:rsid w:val="660E7FE7"/>
    <w:rsid w:val="6630F3BC"/>
    <w:rsid w:val="6655E76D"/>
    <w:rsid w:val="665F7A81"/>
    <w:rsid w:val="6698DDAB"/>
    <w:rsid w:val="66A6A019"/>
    <w:rsid w:val="66DB1361"/>
    <w:rsid w:val="67219003"/>
    <w:rsid w:val="67852771"/>
    <w:rsid w:val="67AAE7BB"/>
    <w:rsid w:val="67ACE580"/>
    <w:rsid w:val="67CDAB1C"/>
    <w:rsid w:val="681C38E1"/>
    <w:rsid w:val="68334FE4"/>
    <w:rsid w:val="68395430"/>
    <w:rsid w:val="6844BC3A"/>
    <w:rsid w:val="68715E1C"/>
    <w:rsid w:val="687FE1C0"/>
    <w:rsid w:val="6900933A"/>
    <w:rsid w:val="6928CA65"/>
    <w:rsid w:val="694C8B18"/>
    <w:rsid w:val="694E0265"/>
    <w:rsid w:val="695251DF"/>
    <w:rsid w:val="69603B9B"/>
    <w:rsid w:val="6979F5D8"/>
    <w:rsid w:val="69B9E18D"/>
    <w:rsid w:val="69D14B5D"/>
    <w:rsid w:val="69DDBD58"/>
    <w:rsid w:val="69E2E8EF"/>
    <w:rsid w:val="69EDC575"/>
    <w:rsid w:val="6A808DFF"/>
    <w:rsid w:val="6A9FF5D5"/>
    <w:rsid w:val="6AB70D22"/>
    <w:rsid w:val="6AE4B376"/>
    <w:rsid w:val="6AE64596"/>
    <w:rsid w:val="6B801504"/>
    <w:rsid w:val="6BB7FE7F"/>
    <w:rsid w:val="6BCDE1F2"/>
    <w:rsid w:val="6C0C61DC"/>
    <w:rsid w:val="6C49D47A"/>
    <w:rsid w:val="6C7699F2"/>
    <w:rsid w:val="6CA177A5"/>
    <w:rsid w:val="6CC1C709"/>
    <w:rsid w:val="6CD67B65"/>
    <w:rsid w:val="6CE1AA77"/>
    <w:rsid w:val="6CFD0B73"/>
    <w:rsid w:val="6D16B446"/>
    <w:rsid w:val="6D2246FC"/>
    <w:rsid w:val="6D23A87F"/>
    <w:rsid w:val="6D2EFBF5"/>
    <w:rsid w:val="6D5CFC72"/>
    <w:rsid w:val="6D7FFF8A"/>
    <w:rsid w:val="6DBCB814"/>
    <w:rsid w:val="6DCBF274"/>
    <w:rsid w:val="6E01E228"/>
    <w:rsid w:val="6E61C39D"/>
    <w:rsid w:val="6E84F12D"/>
    <w:rsid w:val="6E984B7D"/>
    <w:rsid w:val="6EE9102D"/>
    <w:rsid w:val="6F52F941"/>
    <w:rsid w:val="6F70AA6D"/>
    <w:rsid w:val="6F9A2E1C"/>
    <w:rsid w:val="6FB2CEF6"/>
    <w:rsid w:val="706D99BD"/>
    <w:rsid w:val="70976BBA"/>
    <w:rsid w:val="70978C97"/>
    <w:rsid w:val="70D9279F"/>
    <w:rsid w:val="70DECAE0"/>
    <w:rsid w:val="7135C9FF"/>
    <w:rsid w:val="713F2C50"/>
    <w:rsid w:val="715B82F9"/>
    <w:rsid w:val="717E0B56"/>
    <w:rsid w:val="7189D8DE"/>
    <w:rsid w:val="71BE40D8"/>
    <w:rsid w:val="722519FE"/>
    <w:rsid w:val="726B27FA"/>
    <w:rsid w:val="7277F47D"/>
    <w:rsid w:val="72881285"/>
    <w:rsid w:val="72D3062F"/>
    <w:rsid w:val="72D6DC5B"/>
    <w:rsid w:val="73446DFC"/>
    <w:rsid w:val="735AF489"/>
    <w:rsid w:val="73612FD6"/>
    <w:rsid w:val="73742780"/>
    <w:rsid w:val="7386FB9C"/>
    <w:rsid w:val="7398443D"/>
    <w:rsid w:val="739B5A96"/>
    <w:rsid w:val="739F8506"/>
    <w:rsid w:val="73DC3516"/>
    <w:rsid w:val="745122E6"/>
    <w:rsid w:val="74A390B8"/>
    <w:rsid w:val="74EA983A"/>
    <w:rsid w:val="752F4B87"/>
    <w:rsid w:val="755B0C59"/>
    <w:rsid w:val="756B85A8"/>
    <w:rsid w:val="75B83D98"/>
    <w:rsid w:val="75E91EF7"/>
    <w:rsid w:val="761FA4AB"/>
    <w:rsid w:val="7637504F"/>
    <w:rsid w:val="7647D8F3"/>
    <w:rsid w:val="765A82A3"/>
    <w:rsid w:val="7741F9F1"/>
    <w:rsid w:val="7748862A"/>
    <w:rsid w:val="774BBECC"/>
    <w:rsid w:val="776BF947"/>
    <w:rsid w:val="78213534"/>
    <w:rsid w:val="783A2024"/>
    <w:rsid w:val="786946E8"/>
    <w:rsid w:val="78A839BA"/>
    <w:rsid w:val="796D166A"/>
    <w:rsid w:val="7983C3C5"/>
    <w:rsid w:val="7984C8B4"/>
    <w:rsid w:val="79889253"/>
    <w:rsid w:val="7996FFD8"/>
    <w:rsid w:val="79D63134"/>
    <w:rsid w:val="7A660335"/>
    <w:rsid w:val="7ADCA38A"/>
    <w:rsid w:val="7ADDC38A"/>
    <w:rsid w:val="7AFA77C6"/>
    <w:rsid w:val="7B1A0857"/>
    <w:rsid w:val="7BAFA083"/>
    <w:rsid w:val="7BD2A540"/>
    <w:rsid w:val="7BDB956E"/>
    <w:rsid w:val="7BE3614A"/>
    <w:rsid w:val="7C12E0A7"/>
    <w:rsid w:val="7C175954"/>
    <w:rsid w:val="7C3AA420"/>
    <w:rsid w:val="7C830D0E"/>
    <w:rsid w:val="7C9FBF3C"/>
    <w:rsid w:val="7CF915AA"/>
    <w:rsid w:val="7D343CAF"/>
    <w:rsid w:val="7D81394C"/>
    <w:rsid w:val="7DB9CBDE"/>
    <w:rsid w:val="7DD65690"/>
    <w:rsid w:val="7DDCFACD"/>
    <w:rsid w:val="7E0B63D1"/>
    <w:rsid w:val="7E3A43A3"/>
    <w:rsid w:val="7E4BC6C1"/>
    <w:rsid w:val="7E84D006"/>
    <w:rsid w:val="7EA7A842"/>
    <w:rsid w:val="7EE39574"/>
    <w:rsid w:val="7F06B6D5"/>
    <w:rsid w:val="7F376872"/>
    <w:rsid w:val="7F4BA186"/>
    <w:rsid w:val="7F672402"/>
    <w:rsid w:val="7F722BAB"/>
    <w:rsid w:val="7FF2D13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B4AB6E"/>
  <w15:chartTrackingRefBased/>
  <w15:docId w15:val="{1EEB1EA1-3AC0-43C6-A744-BDD9359AF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 w:eastAsia="en-IE"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DA6"/>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757860"/>
    <w:pPr>
      <w:spacing w:after="0" w:line="240" w:lineRule="auto"/>
    </w:pPr>
  </w:style>
  <w:style w:type="character" w:styleId="CommentReference">
    <w:name w:val="annotation reference"/>
    <w:basedOn w:val="DefaultParagraphFont"/>
    <w:uiPriority w:val="99"/>
    <w:unhideWhenUsed/>
    <w:rsid w:val="00745B55"/>
    <w:rPr>
      <w:sz w:val="16"/>
      <w:szCs w:val="16"/>
    </w:rPr>
  </w:style>
  <w:style w:type="paragraph" w:styleId="CommentText">
    <w:name w:val="annotation text"/>
    <w:basedOn w:val="Normal"/>
    <w:link w:val="CommentTextChar"/>
    <w:uiPriority w:val="99"/>
    <w:unhideWhenUsed/>
    <w:rsid w:val="00745B55"/>
    <w:pPr>
      <w:spacing w:line="240" w:lineRule="auto"/>
    </w:pPr>
    <w:rPr>
      <w:sz w:val="20"/>
      <w:szCs w:val="20"/>
    </w:rPr>
  </w:style>
  <w:style w:type="character" w:customStyle="1" w:styleId="CommentTextChar">
    <w:name w:val="Comment Text Char"/>
    <w:basedOn w:val="DefaultParagraphFont"/>
    <w:link w:val="CommentText"/>
    <w:uiPriority w:val="99"/>
    <w:rsid w:val="00745B55"/>
    <w:rPr>
      <w:sz w:val="20"/>
      <w:szCs w:val="20"/>
    </w:rPr>
  </w:style>
  <w:style w:type="paragraph" w:styleId="CommentSubject">
    <w:name w:val="annotation subject"/>
    <w:basedOn w:val="CommentText"/>
    <w:next w:val="CommentText"/>
    <w:link w:val="CommentSubjectChar"/>
    <w:uiPriority w:val="99"/>
    <w:semiHidden/>
    <w:unhideWhenUsed/>
    <w:rsid w:val="00745B55"/>
    <w:rPr>
      <w:b/>
      <w:bCs/>
    </w:rPr>
  </w:style>
  <w:style w:type="character" w:customStyle="1" w:styleId="CommentSubjectChar">
    <w:name w:val="Comment Subject Char"/>
    <w:basedOn w:val="CommentTextChar"/>
    <w:link w:val="CommentSubject"/>
    <w:uiPriority w:val="99"/>
    <w:semiHidden/>
    <w:rsid w:val="00745B55"/>
    <w:rPr>
      <w:b/>
      <w:bCs/>
      <w:sz w:val="20"/>
      <w:szCs w:val="20"/>
    </w:rPr>
  </w:style>
  <w:style w:type="character" w:customStyle="1" w:styleId="Mention1">
    <w:name w:val="Mention1"/>
    <w:basedOn w:val="DefaultParagraphFont"/>
    <w:uiPriority w:val="99"/>
    <w:unhideWhenUsed/>
    <w:rsid w:val="00745B55"/>
    <w:rPr>
      <w:color w:val="2B579A"/>
      <w:shd w:val="clear" w:color="auto" w:fill="E1DFDD"/>
    </w:rPr>
  </w:style>
  <w:style w:type="paragraph" w:styleId="Header">
    <w:name w:val="header"/>
    <w:basedOn w:val="Normal"/>
    <w:link w:val="HeaderChar"/>
    <w:uiPriority w:val="99"/>
    <w:unhideWhenUsed/>
    <w:rsid w:val="009802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02EA"/>
  </w:style>
  <w:style w:type="paragraph" w:styleId="Footer">
    <w:name w:val="footer"/>
    <w:basedOn w:val="Normal"/>
    <w:link w:val="FooterChar"/>
    <w:uiPriority w:val="99"/>
    <w:unhideWhenUsed/>
    <w:rsid w:val="009802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02EA"/>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BC599F"/>
    <w:pPr>
      <w:spacing w:line="259" w:lineRule="auto"/>
      <w:ind w:left="720"/>
      <w:contextualSpacing/>
    </w:pPr>
    <w:rPr>
      <w:sz w:val="22"/>
      <w:szCs w:val="22"/>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BC599F"/>
    <w:rPr>
      <w:sz w:val="22"/>
      <w:szCs w:val="22"/>
    </w:rPr>
  </w:style>
  <w:style w:type="paragraph" w:customStyle="1" w:styleId="HeaderLandscape">
    <w:name w:val="HeaderLandscape"/>
    <w:basedOn w:val="Normal"/>
    <w:rsid w:val="00BC599F"/>
    <w:pPr>
      <w:tabs>
        <w:tab w:val="center" w:pos="7285"/>
        <w:tab w:val="right" w:pos="14003"/>
      </w:tabs>
      <w:spacing w:after="120" w:line="240" w:lineRule="auto"/>
      <w:jc w:val="both"/>
    </w:pPr>
    <w:rPr>
      <w:rFonts w:ascii="Times New Roman" w:hAnsi="Times New Roman"/>
      <w:szCs w:val="22"/>
    </w:rPr>
  </w:style>
  <w:style w:type="paragraph" w:customStyle="1" w:styleId="FooterLandscape">
    <w:name w:val="FooterLandscape"/>
    <w:basedOn w:val="Normal"/>
    <w:rsid w:val="00BC599F"/>
    <w:pPr>
      <w:tabs>
        <w:tab w:val="center" w:pos="7285"/>
        <w:tab w:val="center" w:pos="10913"/>
        <w:tab w:val="right" w:pos="15137"/>
      </w:tabs>
      <w:spacing w:before="360" w:after="0" w:line="240" w:lineRule="auto"/>
      <w:ind w:left="-567" w:right="-567"/>
    </w:pPr>
    <w:rPr>
      <w:rFonts w:ascii="Times New Roman" w:hAnsi="Times New Roman"/>
      <w:szCs w:val="22"/>
    </w:rPr>
  </w:style>
  <w:style w:type="paragraph" w:customStyle="1" w:styleId="FooterCouncil">
    <w:name w:val="Footer Council"/>
    <w:basedOn w:val="Normal"/>
    <w:link w:val="FooterCouncilChar"/>
    <w:rsid w:val="00BC599F"/>
    <w:pPr>
      <w:spacing w:after="0" w:line="259" w:lineRule="auto"/>
    </w:pPr>
    <w:rPr>
      <w:rFonts w:ascii="Times New Roman" w:hAnsi="Times New Roman"/>
      <w:sz w:val="2"/>
      <w:szCs w:val="22"/>
    </w:rPr>
  </w:style>
  <w:style w:type="character" w:customStyle="1" w:styleId="FooterCouncilChar">
    <w:name w:val="Footer Council Char"/>
    <w:basedOn w:val="DefaultParagraphFont"/>
    <w:link w:val="FooterCouncil"/>
    <w:rsid w:val="00BC599F"/>
    <w:rPr>
      <w:sz w:val="2"/>
      <w:szCs w:val="22"/>
    </w:rPr>
  </w:style>
  <w:style w:type="paragraph" w:customStyle="1" w:styleId="NumPar1">
    <w:name w:val="NumPar 1"/>
    <w:basedOn w:val="Normal"/>
    <w:next w:val="Normal"/>
    <w:rsid w:val="00F90405"/>
    <w:pPr>
      <w:numPr>
        <w:numId w:val="1"/>
      </w:numPr>
      <w:tabs>
        <w:tab w:val="clear" w:pos="2550"/>
      </w:tabs>
      <w:spacing w:before="120" w:after="120" w:line="240" w:lineRule="auto"/>
      <w:ind w:left="720" w:hanging="360"/>
      <w:jc w:val="both"/>
    </w:pPr>
    <w:rPr>
      <w:rFonts w:ascii="Times New Roman" w:hAnsi="Times New Roman"/>
      <w:szCs w:val="22"/>
    </w:rPr>
  </w:style>
  <w:style w:type="paragraph" w:customStyle="1" w:styleId="NumPar2">
    <w:name w:val="NumPar 2"/>
    <w:basedOn w:val="Normal"/>
    <w:next w:val="Normal"/>
    <w:rsid w:val="00F90405"/>
    <w:pPr>
      <w:numPr>
        <w:ilvl w:val="1"/>
        <w:numId w:val="2"/>
      </w:numPr>
      <w:tabs>
        <w:tab w:val="clear" w:pos="2550"/>
      </w:tabs>
      <w:spacing w:before="120" w:after="120" w:line="240" w:lineRule="auto"/>
      <w:ind w:left="1440" w:hanging="360"/>
      <w:jc w:val="both"/>
    </w:pPr>
    <w:rPr>
      <w:rFonts w:ascii="Times New Roman" w:hAnsi="Times New Roman"/>
      <w:szCs w:val="22"/>
    </w:rPr>
  </w:style>
  <w:style w:type="paragraph" w:customStyle="1" w:styleId="NumPar3">
    <w:name w:val="NumPar 3"/>
    <w:basedOn w:val="Normal"/>
    <w:next w:val="Normal"/>
    <w:rsid w:val="00F90405"/>
    <w:pPr>
      <w:numPr>
        <w:ilvl w:val="2"/>
        <w:numId w:val="3"/>
      </w:numPr>
      <w:tabs>
        <w:tab w:val="clear" w:pos="2550"/>
      </w:tabs>
      <w:spacing w:before="120" w:after="120" w:line="240" w:lineRule="auto"/>
      <w:ind w:left="2160" w:hanging="180"/>
      <w:jc w:val="both"/>
    </w:pPr>
    <w:rPr>
      <w:rFonts w:ascii="Times New Roman" w:hAnsi="Times New Roman"/>
      <w:szCs w:val="22"/>
    </w:rPr>
  </w:style>
  <w:style w:type="paragraph" w:customStyle="1" w:styleId="NumPar4">
    <w:name w:val="NumPar 4"/>
    <w:basedOn w:val="Normal"/>
    <w:next w:val="Normal"/>
    <w:rsid w:val="00F90405"/>
    <w:pPr>
      <w:numPr>
        <w:ilvl w:val="3"/>
        <w:numId w:val="4"/>
      </w:numPr>
      <w:tabs>
        <w:tab w:val="clear" w:pos="2550"/>
      </w:tabs>
      <w:spacing w:before="120" w:after="120" w:line="240" w:lineRule="auto"/>
      <w:ind w:left="2880" w:hanging="360"/>
      <w:jc w:val="both"/>
    </w:pPr>
    <w:rPr>
      <w:rFonts w:ascii="Times New Roman" w:hAnsi="Times New Roman"/>
      <w:szCs w:val="22"/>
    </w:rPr>
  </w:style>
  <w:style w:type="paragraph" w:customStyle="1" w:styleId="Default">
    <w:name w:val="Default"/>
    <w:rsid w:val="00F90405"/>
    <w:pPr>
      <w:autoSpaceDE w:val="0"/>
      <w:autoSpaceDN w:val="0"/>
      <w:adjustRightInd w:val="0"/>
      <w:spacing w:after="0" w:line="240" w:lineRule="auto"/>
    </w:pPr>
    <w:rPr>
      <w:rFonts w:ascii="Times New Roman" w:hAnsi="Times New Roman" w:cs="Times New Roman"/>
      <w:color w:val="000000"/>
    </w:rPr>
  </w:style>
  <w:style w:type="table" w:customStyle="1" w:styleId="TableNormal1">
    <w:name w:val="Table Normal1"/>
    <w:uiPriority w:val="2"/>
    <w:semiHidden/>
    <w:unhideWhenUsed/>
    <w:qFormat/>
    <w:rsid w:val="00CE2521"/>
    <w:pPr>
      <w:widowControl w:val="0"/>
      <w:autoSpaceDE w:val="0"/>
      <w:autoSpaceDN w:val="0"/>
      <w:spacing w:after="0" w:line="240" w:lineRule="auto"/>
    </w:pPr>
    <w:rPr>
      <w:rFonts w:eastAsiaTheme="minorHAnsi"/>
      <w:sz w:val="22"/>
      <w:szCs w:val="22"/>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E2521"/>
    <w:pPr>
      <w:widowControl w:val="0"/>
      <w:autoSpaceDE w:val="0"/>
      <w:autoSpaceDN w:val="0"/>
      <w:spacing w:after="0" w:line="240" w:lineRule="auto"/>
      <w:ind w:left="112"/>
      <w:jc w:val="both"/>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CE2521"/>
    <w:rPr>
      <w:rFonts w:ascii="Times New Roman" w:eastAsia="Times New Roman" w:hAnsi="Times New Roman" w:cs="Times New Roman"/>
    </w:rPr>
  </w:style>
  <w:style w:type="paragraph" w:customStyle="1" w:styleId="TableParagraph">
    <w:name w:val="Table Paragraph"/>
    <w:basedOn w:val="Normal"/>
    <w:uiPriority w:val="1"/>
    <w:qFormat/>
    <w:rsid w:val="00CE2521"/>
    <w:pPr>
      <w:widowControl w:val="0"/>
      <w:autoSpaceDE w:val="0"/>
      <w:autoSpaceDN w:val="0"/>
      <w:spacing w:after="0" w:line="240" w:lineRule="auto"/>
    </w:pPr>
    <w:rPr>
      <w:rFonts w:ascii="Times New Roman" w:eastAsia="Times New Roman" w:hAnsi="Times New Roman" w:cs="Times New Roman"/>
      <w:sz w:val="22"/>
      <w:szCs w:val="22"/>
    </w:rPr>
  </w:style>
  <w:style w:type="paragraph" w:styleId="BalloonText">
    <w:name w:val="Balloon Text"/>
    <w:basedOn w:val="Normal"/>
    <w:link w:val="BalloonTextChar"/>
    <w:uiPriority w:val="99"/>
    <w:semiHidden/>
    <w:unhideWhenUsed/>
    <w:rsid w:val="00CE2521"/>
    <w:pPr>
      <w:widowControl w:val="0"/>
      <w:autoSpaceDE w:val="0"/>
      <w:autoSpaceDN w:val="0"/>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E2521"/>
    <w:rPr>
      <w:rFonts w:ascii="Segoe UI" w:eastAsia="Times New Roman" w:hAnsi="Segoe UI" w:cs="Segoe UI"/>
      <w:sz w:val="18"/>
      <w:szCs w:val="18"/>
    </w:rPr>
  </w:style>
  <w:style w:type="paragraph" w:customStyle="1" w:styleId="Style1">
    <w:name w:val="Style1"/>
    <w:basedOn w:val="Heading1"/>
    <w:autoRedefine/>
    <w:qFormat/>
    <w:rsid w:val="0099489F"/>
    <w:pPr>
      <w:spacing w:before="240" w:after="0" w:line="259" w:lineRule="auto"/>
      <w:ind w:left="360" w:hanging="360"/>
    </w:pPr>
    <w:rPr>
      <w:sz w:val="32"/>
      <w:szCs w:val="32"/>
    </w:rPr>
  </w:style>
  <w:style w:type="paragraph" w:styleId="ListBullet">
    <w:name w:val="List Bullet"/>
    <w:basedOn w:val="Normal"/>
    <w:uiPriority w:val="99"/>
    <w:semiHidden/>
    <w:unhideWhenUsed/>
    <w:rsid w:val="0099489F"/>
    <w:pPr>
      <w:numPr>
        <w:numId w:val="5"/>
      </w:numPr>
      <w:spacing w:before="120" w:after="120" w:line="240" w:lineRule="auto"/>
      <w:contextualSpacing/>
      <w:jc w:val="both"/>
    </w:pPr>
    <w:rPr>
      <w:rFonts w:ascii="Times New Roman" w:hAnsi="Times New Roman"/>
      <w:szCs w:val="22"/>
    </w:rPr>
  </w:style>
  <w:style w:type="paragraph" w:styleId="ListBullet2">
    <w:name w:val="List Bullet 2"/>
    <w:basedOn w:val="Normal"/>
    <w:uiPriority w:val="99"/>
    <w:semiHidden/>
    <w:unhideWhenUsed/>
    <w:rsid w:val="0099489F"/>
    <w:pPr>
      <w:numPr>
        <w:numId w:val="6"/>
      </w:numPr>
      <w:spacing w:before="120" w:after="120" w:line="240" w:lineRule="auto"/>
      <w:contextualSpacing/>
      <w:jc w:val="both"/>
    </w:pPr>
    <w:rPr>
      <w:rFonts w:ascii="Times New Roman" w:hAnsi="Times New Roman"/>
      <w:szCs w:val="22"/>
    </w:rPr>
  </w:style>
  <w:style w:type="paragraph" w:styleId="ListBullet3">
    <w:name w:val="List Bullet 3"/>
    <w:basedOn w:val="Normal"/>
    <w:uiPriority w:val="99"/>
    <w:semiHidden/>
    <w:unhideWhenUsed/>
    <w:rsid w:val="0099489F"/>
    <w:pPr>
      <w:numPr>
        <w:numId w:val="7"/>
      </w:numPr>
      <w:spacing w:before="120" w:after="120" w:line="240" w:lineRule="auto"/>
      <w:contextualSpacing/>
      <w:jc w:val="both"/>
    </w:pPr>
    <w:rPr>
      <w:rFonts w:ascii="Times New Roman" w:hAnsi="Times New Roman"/>
      <w:szCs w:val="22"/>
    </w:rPr>
  </w:style>
  <w:style w:type="paragraph" w:styleId="ListBullet4">
    <w:name w:val="List Bullet 4"/>
    <w:basedOn w:val="Normal"/>
    <w:uiPriority w:val="99"/>
    <w:semiHidden/>
    <w:unhideWhenUsed/>
    <w:rsid w:val="0099489F"/>
    <w:pPr>
      <w:numPr>
        <w:numId w:val="8"/>
      </w:numPr>
      <w:spacing w:before="120" w:after="120" w:line="240" w:lineRule="auto"/>
      <w:contextualSpacing/>
      <w:jc w:val="both"/>
    </w:pPr>
    <w:rPr>
      <w:rFonts w:ascii="Times New Roman" w:hAnsi="Times New Roman"/>
      <w:szCs w:val="22"/>
    </w:rPr>
  </w:style>
  <w:style w:type="paragraph" w:styleId="Caption">
    <w:name w:val="caption"/>
    <w:basedOn w:val="Normal"/>
    <w:next w:val="Normal"/>
    <w:uiPriority w:val="35"/>
    <w:semiHidden/>
    <w:unhideWhenUsed/>
    <w:qFormat/>
    <w:rsid w:val="0099489F"/>
    <w:pPr>
      <w:spacing w:after="200" w:line="240" w:lineRule="auto"/>
    </w:pPr>
    <w:rPr>
      <w:i/>
      <w:iCs/>
      <w:color w:val="0E2841" w:themeColor="text2"/>
      <w:sz w:val="18"/>
      <w:szCs w:val="18"/>
    </w:rPr>
  </w:style>
  <w:style w:type="paragraph" w:styleId="TableofFigures">
    <w:name w:val="table of figures"/>
    <w:basedOn w:val="Normal"/>
    <w:next w:val="Normal"/>
    <w:uiPriority w:val="99"/>
    <w:semiHidden/>
    <w:unhideWhenUsed/>
    <w:rsid w:val="0099489F"/>
    <w:pPr>
      <w:spacing w:before="120" w:after="0" w:line="240" w:lineRule="auto"/>
      <w:jc w:val="both"/>
    </w:pPr>
    <w:rPr>
      <w:rFonts w:ascii="Times New Roman" w:hAnsi="Times New Roman"/>
      <w:szCs w:val="22"/>
    </w:rPr>
  </w:style>
  <w:style w:type="paragraph" w:styleId="ListNumber">
    <w:name w:val="List Number"/>
    <w:basedOn w:val="Normal"/>
    <w:uiPriority w:val="99"/>
    <w:semiHidden/>
    <w:unhideWhenUsed/>
    <w:rsid w:val="0099489F"/>
    <w:pPr>
      <w:numPr>
        <w:numId w:val="9"/>
      </w:numPr>
      <w:spacing w:before="120" w:after="120" w:line="240" w:lineRule="auto"/>
      <w:contextualSpacing/>
      <w:jc w:val="both"/>
    </w:pPr>
    <w:rPr>
      <w:rFonts w:ascii="Times New Roman" w:hAnsi="Times New Roman"/>
      <w:szCs w:val="22"/>
    </w:rPr>
  </w:style>
  <w:style w:type="paragraph" w:styleId="ListNumber2">
    <w:name w:val="List Number 2"/>
    <w:basedOn w:val="Normal"/>
    <w:uiPriority w:val="99"/>
    <w:semiHidden/>
    <w:unhideWhenUsed/>
    <w:rsid w:val="0099489F"/>
    <w:pPr>
      <w:numPr>
        <w:numId w:val="10"/>
      </w:numPr>
      <w:spacing w:before="120" w:after="120" w:line="240" w:lineRule="auto"/>
      <w:contextualSpacing/>
      <w:jc w:val="both"/>
    </w:pPr>
    <w:rPr>
      <w:rFonts w:ascii="Times New Roman" w:hAnsi="Times New Roman"/>
      <w:szCs w:val="22"/>
    </w:rPr>
  </w:style>
  <w:style w:type="paragraph" w:styleId="ListNumber3">
    <w:name w:val="List Number 3"/>
    <w:basedOn w:val="Normal"/>
    <w:uiPriority w:val="99"/>
    <w:semiHidden/>
    <w:unhideWhenUsed/>
    <w:rsid w:val="0099489F"/>
    <w:pPr>
      <w:numPr>
        <w:numId w:val="11"/>
      </w:numPr>
      <w:spacing w:before="120" w:after="120" w:line="240" w:lineRule="auto"/>
      <w:contextualSpacing/>
      <w:jc w:val="both"/>
    </w:pPr>
    <w:rPr>
      <w:rFonts w:ascii="Times New Roman" w:hAnsi="Times New Roman"/>
      <w:szCs w:val="22"/>
    </w:rPr>
  </w:style>
  <w:style w:type="paragraph" w:styleId="ListNumber4">
    <w:name w:val="List Number 4"/>
    <w:basedOn w:val="Normal"/>
    <w:uiPriority w:val="99"/>
    <w:semiHidden/>
    <w:unhideWhenUsed/>
    <w:rsid w:val="0099489F"/>
    <w:pPr>
      <w:numPr>
        <w:numId w:val="12"/>
      </w:numPr>
      <w:spacing w:before="120" w:after="120" w:line="240" w:lineRule="auto"/>
      <w:contextualSpacing/>
      <w:jc w:val="both"/>
    </w:pPr>
    <w:rPr>
      <w:rFonts w:ascii="Times New Roman" w:hAnsi="Times New Roman"/>
      <w:szCs w:val="22"/>
    </w:rPr>
  </w:style>
  <w:style w:type="character" w:styleId="Hyperlink">
    <w:name w:val="Hyperlink"/>
    <w:uiPriority w:val="99"/>
    <w:unhideWhenUsed/>
    <w:rsid w:val="0099489F"/>
    <w:rPr>
      <w:color w:val="0000FF"/>
      <w:u w:val="single"/>
    </w:rPr>
  </w:style>
  <w:style w:type="paragraph" w:styleId="FootnoteText">
    <w:name w:val="footnote text"/>
    <w:basedOn w:val="Normal"/>
    <w:link w:val="FootnoteTextChar"/>
    <w:uiPriority w:val="99"/>
    <w:unhideWhenUsed/>
    <w:rsid w:val="0099489F"/>
    <w:pPr>
      <w:spacing w:after="0" w:line="240" w:lineRule="auto"/>
      <w:ind w:left="720" w:hanging="720"/>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99489F"/>
    <w:rPr>
      <w:rFonts w:ascii="Times New Roman" w:hAnsi="Times New Roman"/>
      <w:sz w:val="20"/>
      <w:szCs w:val="20"/>
    </w:rPr>
  </w:style>
  <w:style w:type="paragraph" w:styleId="TOCHeading">
    <w:name w:val="TOC Heading"/>
    <w:basedOn w:val="Heading1"/>
    <w:next w:val="Normal"/>
    <w:uiPriority w:val="39"/>
    <w:semiHidden/>
    <w:unhideWhenUsed/>
    <w:qFormat/>
    <w:rsid w:val="0099489F"/>
    <w:pPr>
      <w:spacing w:before="240" w:after="0" w:line="259" w:lineRule="auto"/>
      <w:outlineLvl w:val="9"/>
    </w:pPr>
    <w:rPr>
      <w:color w:val="262626" w:themeColor="text1" w:themeTint="D9"/>
      <w:sz w:val="32"/>
      <w:szCs w:val="32"/>
    </w:rPr>
  </w:style>
  <w:style w:type="paragraph" w:styleId="TOC1">
    <w:name w:val="toc 1"/>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rPr>
  </w:style>
  <w:style w:type="paragraph" w:styleId="TOC2">
    <w:name w:val="toc 2"/>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rPr>
  </w:style>
  <w:style w:type="paragraph" w:styleId="TOC3">
    <w:name w:val="toc 3"/>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rPr>
  </w:style>
  <w:style w:type="paragraph" w:styleId="TOC4">
    <w:name w:val="toc 4"/>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rPr>
  </w:style>
  <w:style w:type="paragraph" w:styleId="TOC5">
    <w:name w:val="toc 5"/>
    <w:basedOn w:val="Normal"/>
    <w:next w:val="Normal"/>
    <w:uiPriority w:val="39"/>
    <w:semiHidden/>
    <w:unhideWhenUsed/>
    <w:rsid w:val="0099489F"/>
    <w:pPr>
      <w:tabs>
        <w:tab w:val="right" w:leader="dot" w:pos="9071"/>
      </w:tabs>
      <w:spacing w:before="300" w:after="120" w:line="240" w:lineRule="auto"/>
    </w:pPr>
    <w:rPr>
      <w:rFonts w:ascii="Times New Roman" w:hAnsi="Times New Roman"/>
      <w:szCs w:val="22"/>
    </w:rPr>
  </w:style>
  <w:style w:type="paragraph" w:styleId="TOC6">
    <w:name w:val="toc 6"/>
    <w:basedOn w:val="Normal"/>
    <w:next w:val="Normal"/>
    <w:uiPriority w:val="39"/>
    <w:semiHidden/>
    <w:unhideWhenUsed/>
    <w:rsid w:val="0099489F"/>
    <w:pPr>
      <w:tabs>
        <w:tab w:val="right" w:leader="dot" w:pos="9071"/>
      </w:tabs>
      <w:spacing w:before="240" w:after="120" w:line="240" w:lineRule="auto"/>
    </w:pPr>
    <w:rPr>
      <w:rFonts w:ascii="Times New Roman" w:hAnsi="Times New Roman"/>
      <w:szCs w:val="22"/>
    </w:rPr>
  </w:style>
  <w:style w:type="paragraph" w:styleId="TOC7">
    <w:name w:val="toc 7"/>
    <w:basedOn w:val="Normal"/>
    <w:next w:val="Normal"/>
    <w:uiPriority w:val="39"/>
    <w:semiHidden/>
    <w:unhideWhenUsed/>
    <w:rsid w:val="0099489F"/>
    <w:pPr>
      <w:tabs>
        <w:tab w:val="right" w:leader="dot" w:pos="9071"/>
      </w:tabs>
      <w:spacing w:before="180" w:after="120" w:line="240" w:lineRule="auto"/>
    </w:pPr>
    <w:rPr>
      <w:rFonts w:ascii="Times New Roman" w:hAnsi="Times New Roman"/>
      <w:szCs w:val="22"/>
    </w:rPr>
  </w:style>
  <w:style w:type="paragraph" w:styleId="TOC8">
    <w:name w:val="toc 8"/>
    <w:basedOn w:val="Normal"/>
    <w:next w:val="Normal"/>
    <w:uiPriority w:val="39"/>
    <w:semiHidden/>
    <w:unhideWhenUsed/>
    <w:rsid w:val="0099489F"/>
    <w:pPr>
      <w:tabs>
        <w:tab w:val="right" w:leader="dot" w:pos="9071"/>
      </w:tabs>
      <w:spacing w:before="120" w:after="120" w:line="240" w:lineRule="auto"/>
    </w:pPr>
    <w:rPr>
      <w:rFonts w:ascii="Times New Roman" w:hAnsi="Times New Roman"/>
      <w:szCs w:val="22"/>
    </w:rPr>
  </w:style>
  <w:style w:type="paragraph" w:styleId="TOC9">
    <w:name w:val="toc 9"/>
    <w:basedOn w:val="Normal"/>
    <w:next w:val="Normal"/>
    <w:uiPriority w:val="39"/>
    <w:semiHidden/>
    <w:unhideWhenUsed/>
    <w:rsid w:val="0099489F"/>
    <w:pPr>
      <w:tabs>
        <w:tab w:val="right" w:leader="dot" w:pos="9071"/>
      </w:tabs>
      <w:spacing w:before="120" w:after="120" w:line="240" w:lineRule="auto"/>
      <w:jc w:val="both"/>
    </w:pPr>
    <w:rPr>
      <w:rFonts w:ascii="Times New Roman" w:hAnsi="Times New Roman"/>
      <w:szCs w:val="22"/>
    </w:rPr>
  </w:style>
  <w:style w:type="character" w:styleId="FootnoteReference">
    <w:name w:val="footnote reference"/>
    <w:aliases w:val="Footnote symbol,Char Char Char Char Char,Знак Char Char Char Char,Char1 Char Char Char Char,Footnote Reference Superscript,Footnote reference number,stylish,BVI fnr,Footnote symboFußnotenzeichen,Footnote sign"/>
    <w:uiPriority w:val="99"/>
    <w:unhideWhenUsed/>
    <w:rsid w:val="0099489F"/>
    <w:rPr>
      <w:shd w:val="clear" w:color="auto" w:fill="auto"/>
      <w:vertAlign w:val="superscript"/>
    </w:rPr>
  </w:style>
  <w:style w:type="paragraph" w:customStyle="1" w:styleId="HeaderSensitivity">
    <w:name w:val="Header Sensitivity"/>
    <w:basedOn w:val="Normal"/>
    <w:rsid w:val="0099489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5E2C46"/>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99489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99489F"/>
    <w:pPr>
      <w:spacing w:before="120" w:after="120" w:line="240" w:lineRule="auto"/>
      <w:ind w:left="850"/>
      <w:jc w:val="both"/>
    </w:pPr>
    <w:rPr>
      <w:rFonts w:ascii="Times New Roman" w:hAnsi="Times New Roman"/>
      <w:szCs w:val="22"/>
    </w:rPr>
  </w:style>
  <w:style w:type="paragraph" w:customStyle="1" w:styleId="Text2">
    <w:name w:val="Text 2"/>
    <w:basedOn w:val="Normal"/>
    <w:rsid w:val="0099489F"/>
    <w:pPr>
      <w:spacing w:before="120" w:after="120" w:line="240" w:lineRule="auto"/>
      <w:ind w:left="1417"/>
      <w:jc w:val="both"/>
    </w:pPr>
    <w:rPr>
      <w:rFonts w:ascii="Times New Roman" w:hAnsi="Times New Roman"/>
      <w:szCs w:val="22"/>
    </w:rPr>
  </w:style>
  <w:style w:type="paragraph" w:customStyle="1" w:styleId="Text3">
    <w:name w:val="Text 3"/>
    <w:basedOn w:val="Normal"/>
    <w:rsid w:val="0099489F"/>
    <w:pPr>
      <w:spacing w:before="120" w:after="120" w:line="240" w:lineRule="auto"/>
      <w:ind w:left="1984"/>
      <w:jc w:val="both"/>
    </w:pPr>
    <w:rPr>
      <w:rFonts w:ascii="Times New Roman" w:hAnsi="Times New Roman"/>
      <w:szCs w:val="22"/>
    </w:rPr>
  </w:style>
  <w:style w:type="paragraph" w:customStyle="1" w:styleId="Text4">
    <w:name w:val="Text 4"/>
    <w:basedOn w:val="Normal"/>
    <w:rsid w:val="0099489F"/>
    <w:pPr>
      <w:spacing w:before="120" w:after="120" w:line="240" w:lineRule="auto"/>
      <w:ind w:left="2551"/>
      <w:jc w:val="both"/>
    </w:pPr>
    <w:rPr>
      <w:rFonts w:ascii="Times New Roman" w:hAnsi="Times New Roman"/>
      <w:szCs w:val="22"/>
    </w:rPr>
  </w:style>
  <w:style w:type="paragraph" w:customStyle="1" w:styleId="NormalCentered">
    <w:name w:val="Normal Centered"/>
    <w:basedOn w:val="Normal"/>
    <w:rsid w:val="0099489F"/>
    <w:pPr>
      <w:spacing w:before="120" w:after="120" w:line="240" w:lineRule="auto"/>
      <w:jc w:val="center"/>
    </w:pPr>
    <w:rPr>
      <w:rFonts w:ascii="Times New Roman" w:hAnsi="Times New Roman"/>
      <w:szCs w:val="22"/>
    </w:rPr>
  </w:style>
  <w:style w:type="paragraph" w:customStyle="1" w:styleId="NormalLeft">
    <w:name w:val="Normal Left"/>
    <w:basedOn w:val="Normal"/>
    <w:rsid w:val="0099489F"/>
    <w:pPr>
      <w:spacing w:before="120" w:after="120" w:line="240" w:lineRule="auto"/>
    </w:pPr>
    <w:rPr>
      <w:rFonts w:ascii="Times New Roman" w:hAnsi="Times New Roman"/>
      <w:szCs w:val="22"/>
    </w:rPr>
  </w:style>
  <w:style w:type="paragraph" w:customStyle="1" w:styleId="NormalRight">
    <w:name w:val="Normal Right"/>
    <w:basedOn w:val="Normal"/>
    <w:rsid w:val="0099489F"/>
    <w:pPr>
      <w:spacing w:before="120" w:after="120" w:line="240" w:lineRule="auto"/>
      <w:jc w:val="right"/>
    </w:pPr>
    <w:rPr>
      <w:rFonts w:ascii="Times New Roman" w:hAnsi="Times New Roman"/>
      <w:szCs w:val="22"/>
    </w:rPr>
  </w:style>
  <w:style w:type="paragraph" w:customStyle="1" w:styleId="QuotedText">
    <w:name w:val="Quoted Text"/>
    <w:basedOn w:val="Normal"/>
    <w:rsid w:val="0099489F"/>
    <w:pPr>
      <w:spacing w:before="120" w:after="120" w:line="240" w:lineRule="auto"/>
      <w:ind w:left="1417"/>
      <w:jc w:val="both"/>
    </w:pPr>
    <w:rPr>
      <w:rFonts w:ascii="Times New Roman" w:hAnsi="Times New Roman"/>
      <w:szCs w:val="22"/>
    </w:rPr>
  </w:style>
  <w:style w:type="paragraph" w:customStyle="1" w:styleId="Point0">
    <w:name w:val="Point 0"/>
    <w:basedOn w:val="Normal"/>
    <w:rsid w:val="0099489F"/>
    <w:pPr>
      <w:spacing w:before="120" w:after="120" w:line="240" w:lineRule="auto"/>
      <w:ind w:left="850" w:hanging="850"/>
      <w:jc w:val="both"/>
    </w:pPr>
    <w:rPr>
      <w:rFonts w:ascii="Times New Roman" w:hAnsi="Times New Roman"/>
      <w:szCs w:val="22"/>
    </w:rPr>
  </w:style>
  <w:style w:type="paragraph" w:customStyle="1" w:styleId="Point1">
    <w:name w:val="Point 1"/>
    <w:basedOn w:val="Normal"/>
    <w:rsid w:val="0099489F"/>
    <w:pPr>
      <w:spacing w:before="120" w:after="120" w:line="240" w:lineRule="auto"/>
      <w:ind w:left="1417" w:hanging="567"/>
      <w:jc w:val="both"/>
    </w:pPr>
    <w:rPr>
      <w:rFonts w:ascii="Times New Roman" w:hAnsi="Times New Roman"/>
      <w:szCs w:val="22"/>
    </w:rPr>
  </w:style>
  <w:style w:type="paragraph" w:customStyle="1" w:styleId="Point2">
    <w:name w:val="Point 2"/>
    <w:basedOn w:val="Normal"/>
    <w:rsid w:val="0099489F"/>
    <w:pPr>
      <w:spacing w:before="120" w:after="120" w:line="240" w:lineRule="auto"/>
      <w:ind w:left="1984" w:hanging="567"/>
      <w:jc w:val="both"/>
    </w:pPr>
    <w:rPr>
      <w:rFonts w:ascii="Times New Roman" w:hAnsi="Times New Roman"/>
      <w:szCs w:val="22"/>
    </w:rPr>
  </w:style>
  <w:style w:type="paragraph" w:customStyle="1" w:styleId="Point3">
    <w:name w:val="Point 3"/>
    <w:basedOn w:val="Normal"/>
    <w:rsid w:val="0099489F"/>
    <w:pPr>
      <w:spacing w:before="120" w:after="120" w:line="240" w:lineRule="auto"/>
      <w:ind w:left="2551" w:hanging="567"/>
      <w:jc w:val="both"/>
    </w:pPr>
    <w:rPr>
      <w:rFonts w:ascii="Times New Roman" w:hAnsi="Times New Roman"/>
      <w:szCs w:val="22"/>
    </w:rPr>
  </w:style>
  <w:style w:type="paragraph" w:customStyle="1" w:styleId="Point4">
    <w:name w:val="Point 4"/>
    <w:basedOn w:val="Normal"/>
    <w:rsid w:val="0099489F"/>
    <w:pPr>
      <w:spacing w:before="120" w:after="120" w:line="240" w:lineRule="auto"/>
      <w:ind w:left="3118" w:hanging="567"/>
      <w:jc w:val="both"/>
    </w:pPr>
    <w:rPr>
      <w:rFonts w:ascii="Times New Roman" w:hAnsi="Times New Roman"/>
      <w:szCs w:val="22"/>
    </w:rPr>
  </w:style>
  <w:style w:type="paragraph" w:customStyle="1" w:styleId="Tiret0">
    <w:name w:val="Tiret 0"/>
    <w:basedOn w:val="Point0"/>
    <w:rsid w:val="0099489F"/>
    <w:pPr>
      <w:numPr>
        <w:numId w:val="13"/>
      </w:numPr>
    </w:pPr>
  </w:style>
  <w:style w:type="paragraph" w:customStyle="1" w:styleId="Tiret1">
    <w:name w:val="Tiret 1"/>
    <w:basedOn w:val="Point1"/>
    <w:rsid w:val="0099489F"/>
    <w:pPr>
      <w:numPr>
        <w:numId w:val="14"/>
      </w:numPr>
    </w:pPr>
  </w:style>
  <w:style w:type="paragraph" w:customStyle="1" w:styleId="Tiret2">
    <w:name w:val="Tiret 2"/>
    <w:basedOn w:val="Point2"/>
    <w:rsid w:val="0099489F"/>
    <w:pPr>
      <w:numPr>
        <w:numId w:val="15"/>
      </w:numPr>
    </w:pPr>
  </w:style>
  <w:style w:type="paragraph" w:customStyle="1" w:styleId="Tiret3">
    <w:name w:val="Tiret 3"/>
    <w:basedOn w:val="Point3"/>
    <w:rsid w:val="0099489F"/>
    <w:pPr>
      <w:numPr>
        <w:numId w:val="16"/>
      </w:numPr>
    </w:pPr>
  </w:style>
  <w:style w:type="paragraph" w:customStyle="1" w:styleId="Tiret4">
    <w:name w:val="Tiret 4"/>
    <w:basedOn w:val="Point4"/>
    <w:rsid w:val="0099489F"/>
    <w:pPr>
      <w:numPr>
        <w:numId w:val="17"/>
      </w:numPr>
    </w:pPr>
  </w:style>
  <w:style w:type="paragraph" w:customStyle="1" w:styleId="PointDouble0">
    <w:name w:val="PointDouble 0"/>
    <w:basedOn w:val="Normal"/>
    <w:rsid w:val="0099489F"/>
    <w:pPr>
      <w:tabs>
        <w:tab w:val="left" w:pos="850"/>
      </w:tabs>
      <w:spacing w:before="120" w:after="120" w:line="240" w:lineRule="auto"/>
      <w:ind w:left="1417" w:hanging="1417"/>
      <w:jc w:val="both"/>
    </w:pPr>
    <w:rPr>
      <w:rFonts w:ascii="Times New Roman" w:hAnsi="Times New Roman"/>
      <w:szCs w:val="22"/>
    </w:rPr>
  </w:style>
  <w:style w:type="paragraph" w:customStyle="1" w:styleId="PointDouble1">
    <w:name w:val="PointDouble 1"/>
    <w:basedOn w:val="Normal"/>
    <w:rsid w:val="0099489F"/>
    <w:pPr>
      <w:tabs>
        <w:tab w:val="left" w:pos="1417"/>
      </w:tabs>
      <w:spacing w:before="120" w:after="120" w:line="240" w:lineRule="auto"/>
      <w:ind w:left="1984" w:hanging="1134"/>
      <w:jc w:val="both"/>
    </w:pPr>
    <w:rPr>
      <w:rFonts w:ascii="Times New Roman" w:hAnsi="Times New Roman"/>
      <w:szCs w:val="22"/>
    </w:rPr>
  </w:style>
  <w:style w:type="paragraph" w:customStyle="1" w:styleId="PointDouble2">
    <w:name w:val="PointDouble 2"/>
    <w:basedOn w:val="Normal"/>
    <w:rsid w:val="0099489F"/>
    <w:pPr>
      <w:tabs>
        <w:tab w:val="left" w:pos="1984"/>
      </w:tabs>
      <w:spacing w:before="120" w:after="120" w:line="240" w:lineRule="auto"/>
      <w:ind w:left="2551" w:hanging="1134"/>
      <w:jc w:val="both"/>
    </w:pPr>
    <w:rPr>
      <w:rFonts w:ascii="Times New Roman" w:hAnsi="Times New Roman"/>
      <w:szCs w:val="22"/>
    </w:rPr>
  </w:style>
  <w:style w:type="paragraph" w:customStyle="1" w:styleId="PointDouble3">
    <w:name w:val="PointDouble 3"/>
    <w:basedOn w:val="Normal"/>
    <w:rsid w:val="0099489F"/>
    <w:pPr>
      <w:tabs>
        <w:tab w:val="left" w:pos="2551"/>
      </w:tabs>
      <w:spacing w:before="120" w:after="120" w:line="240" w:lineRule="auto"/>
      <w:ind w:left="3118" w:hanging="1134"/>
      <w:jc w:val="both"/>
    </w:pPr>
    <w:rPr>
      <w:rFonts w:ascii="Times New Roman" w:hAnsi="Times New Roman"/>
      <w:szCs w:val="22"/>
    </w:rPr>
  </w:style>
  <w:style w:type="paragraph" w:customStyle="1" w:styleId="PointDouble4">
    <w:name w:val="PointDouble 4"/>
    <w:basedOn w:val="Normal"/>
    <w:rsid w:val="0099489F"/>
    <w:pPr>
      <w:tabs>
        <w:tab w:val="left" w:pos="3118"/>
      </w:tabs>
      <w:spacing w:before="120" w:after="120" w:line="240" w:lineRule="auto"/>
      <w:ind w:left="3685" w:hanging="1134"/>
      <w:jc w:val="both"/>
    </w:pPr>
    <w:rPr>
      <w:rFonts w:ascii="Times New Roman" w:hAnsi="Times New Roman"/>
      <w:szCs w:val="22"/>
    </w:rPr>
  </w:style>
  <w:style w:type="paragraph" w:customStyle="1" w:styleId="PointTriple0">
    <w:name w:val="PointTriple 0"/>
    <w:basedOn w:val="Normal"/>
    <w:rsid w:val="0099489F"/>
    <w:pPr>
      <w:tabs>
        <w:tab w:val="left" w:pos="850"/>
        <w:tab w:val="left" w:pos="1417"/>
      </w:tabs>
      <w:spacing w:before="120" w:after="120" w:line="240" w:lineRule="auto"/>
      <w:ind w:left="1984" w:hanging="1984"/>
      <w:jc w:val="both"/>
    </w:pPr>
    <w:rPr>
      <w:rFonts w:ascii="Times New Roman" w:hAnsi="Times New Roman"/>
      <w:szCs w:val="22"/>
    </w:rPr>
  </w:style>
  <w:style w:type="paragraph" w:customStyle="1" w:styleId="PointTriple1">
    <w:name w:val="PointTriple 1"/>
    <w:basedOn w:val="Normal"/>
    <w:rsid w:val="0099489F"/>
    <w:pPr>
      <w:tabs>
        <w:tab w:val="left" w:pos="1417"/>
        <w:tab w:val="left" w:pos="1984"/>
      </w:tabs>
      <w:spacing w:before="120" w:after="120" w:line="240" w:lineRule="auto"/>
      <w:ind w:left="2551" w:hanging="1701"/>
      <w:jc w:val="both"/>
    </w:pPr>
    <w:rPr>
      <w:rFonts w:ascii="Times New Roman" w:hAnsi="Times New Roman"/>
      <w:szCs w:val="22"/>
    </w:rPr>
  </w:style>
  <w:style w:type="paragraph" w:customStyle="1" w:styleId="PointTriple2">
    <w:name w:val="PointTriple 2"/>
    <w:basedOn w:val="Normal"/>
    <w:rsid w:val="0099489F"/>
    <w:pPr>
      <w:tabs>
        <w:tab w:val="left" w:pos="1984"/>
        <w:tab w:val="left" w:pos="2551"/>
      </w:tabs>
      <w:spacing w:before="120" w:after="120" w:line="240" w:lineRule="auto"/>
      <w:ind w:left="3118" w:hanging="1701"/>
      <w:jc w:val="both"/>
    </w:pPr>
    <w:rPr>
      <w:rFonts w:ascii="Times New Roman" w:hAnsi="Times New Roman"/>
      <w:szCs w:val="22"/>
    </w:rPr>
  </w:style>
  <w:style w:type="paragraph" w:customStyle="1" w:styleId="PointTriple3">
    <w:name w:val="PointTriple 3"/>
    <w:basedOn w:val="Normal"/>
    <w:rsid w:val="0099489F"/>
    <w:pPr>
      <w:tabs>
        <w:tab w:val="left" w:pos="2551"/>
        <w:tab w:val="left" w:pos="3118"/>
      </w:tabs>
      <w:spacing w:before="120" w:after="120" w:line="240" w:lineRule="auto"/>
      <w:ind w:left="3685" w:hanging="1701"/>
      <w:jc w:val="both"/>
    </w:pPr>
    <w:rPr>
      <w:rFonts w:ascii="Times New Roman" w:hAnsi="Times New Roman"/>
      <w:szCs w:val="22"/>
    </w:rPr>
  </w:style>
  <w:style w:type="paragraph" w:customStyle="1" w:styleId="PointTriple4">
    <w:name w:val="PointTriple 4"/>
    <w:basedOn w:val="Normal"/>
    <w:rsid w:val="0099489F"/>
    <w:pPr>
      <w:tabs>
        <w:tab w:val="left" w:pos="3118"/>
        <w:tab w:val="left" w:pos="3685"/>
      </w:tabs>
      <w:spacing w:before="120" w:after="120" w:line="240" w:lineRule="auto"/>
      <w:ind w:left="4252" w:hanging="1701"/>
      <w:jc w:val="both"/>
    </w:pPr>
    <w:rPr>
      <w:rFonts w:ascii="Times New Roman" w:hAnsi="Times New Roman"/>
      <w:szCs w:val="22"/>
    </w:rPr>
  </w:style>
  <w:style w:type="paragraph" w:customStyle="1" w:styleId="ManualNumPar1">
    <w:name w:val="Manual NumPar 1"/>
    <w:basedOn w:val="Normal"/>
    <w:next w:val="Text1"/>
    <w:rsid w:val="0099489F"/>
    <w:pPr>
      <w:spacing w:before="120" w:after="120" w:line="240" w:lineRule="auto"/>
      <w:ind w:left="850" w:hanging="850"/>
      <w:jc w:val="both"/>
    </w:pPr>
    <w:rPr>
      <w:rFonts w:ascii="Times New Roman" w:hAnsi="Times New Roman"/>
      <w:szCs w:val="22"/>
    </w:rPr>
  </w:style>
  <w:style w:type="paragraph" w:customStyle="1" w:styleId="ManualNumPar2">
    <w:name w:val="Manual NumPar 2"/>
    <w:basedOn w:val="Normal"/>
    <w:next w:val="Text1"/>
    <w:rsid w:val="0099489F"/>
    <w:pPr>
      <w:spacing w:before="120" w:after="120" w:line="240" w:lineRule="auto"/>
      <w:ind w:left="850" w:hanging="850"/>
      <w:jc w:val="both"/>
    </w:pPr>
    <w:rPr>
      <w:rFonts w:ascii="Times New Roman" w:hAnsi="Times New Roman"/>
      <w:szCs w:val="22"/>
    </w:rPr>
  </w:style>
  <w:style w:type="paragraph" w:customStyle="1" w:styleId="ManualNumPar3">
    <w:name w:val="Manual NumPar 3"/>
    <w:basedOn w:val="Normal"/>
    <w:next w:val="Text1"/>
    <w:rsid w:val="0099489F"/>
    <w:pPr>
      <w:spacing w:before="120" w:after="120" w:line="240" w:lineRule="auto"/>
      <w:ind w:left="850" w:hanging="850"/>
      <w:jc w:val="both"/>
    </w:pPr>
    <w:rPr>
      <w:rFonts w:ascii="Times New Roman" w:hAnsi="Times New Roman"/>
      <w:szCs w:val="22"/>
    </w:rPr>
  </w:style>
  <w:style w:type="paragraph" w:customStyle="1" w:styleId="ManualNumPar4">
    <w:name w:val="Manual NumPar 4"/>
    <w:basedOn w:val="Normal"/>
    <w:next w:val="Text1"/>
    <w:rsid w:val="0099489F"/>
    <w:pPr>
      <w:spacing w:before="120" w:after="120" w:line="240" w:lineRule="auto"/>
      <w:ind w:left="850" w:hanging="850"/>
      <w:jc w:val="both"/>
    </w:pPr>
    <w:rPr>
      <w:rFonts w:ascii="Times New Roman" w:hAnsi="Times New Roman"/>
      <w:szCs w:val="22"/>
    </w:rPr>
  </w:style>
  <w:style w:type="paragraph" w:customStyle="1" w:styleId="QuotedNumPar">
    <w:name w:val="Quoted NumPar"/>
    <w:basedOn w:val="Normal"/>
    <w:rsid w:val="0099489F"/>
    <w:pPr>
      <w:spacing w:before="120" w:after="120" w:line="240" w:lineRule="auto"/>
      <w:ind w:left="1417" w:hanging="567"/>
      <w:jc w:val="both"/>
    </w:pPr>
    <w:rPr>
      <w:rFonts w:ascii="Times New Roman" w:hAnsi="Times New Roman"/>
      <w:szCs w:val="22"/>
    </w:rPr>
  </w:style>
  <w:style w:type="paragraph" w:customStyle="1" w:styleId="ManualHeading1">
    <w:name w:val="Manual Heading 1"/>
    <w:basedOn w:val="Normal"/>
    <w:next w:val="Text1"/>
    <w:rsid w:val="0099489F"/>
    <w:pPr>
      <w:keepNext/>
      <w:tabs>
        <w:tab w:val="left" w:pos="850"/>
      </w:tabs>
      <w:spacing w:before="360" w:after="120" w:line="240" w:lineRule="auto"/>
      <w:ind w:left="850" w:hanging="850"/>
      <w:jc w:val="both"/>
      <w:outlineLvl w:val="0"/>
    </w:pPr>
    <w:rPr>
      <w:rFonts w:ascii="Times New Roman" w:hAnsi="Times New Roman"/>
      <w:b/>
      <w:smallCaps/>
      <w:szCs w:val="22"/>
    </w:rPr>
  </w:style>
  <w:style w:type="paragraph" w:customStyle="1" w:styleId="ManualHeading2">
    <w:name w:val="Manual Heading 2"/>
    <w:basedOn w:val="Normal"/>
    <w:next w:val="Text1"/>
    <w:rsid w:val="0099489F"/>
    <w:pPr>
      <w:keepNext/>
      <w:tabs>
        <w:tab w:val="left" w:pos="850"/>
      </w:tabs>
      <w:spacing w:before="120" w:after="120" w:line="240" w:lineRule="auto"/>
      <w:ind w:left="850" w:hanging="850"/>
      <w:jc w:val="both"/>
      <w:outlineLvl w:val="1"/>
    </w:pPr>
    <w:rPr>
      <w:rFonts w:ascii="Times New Roman" w:hAnsi="Times New Roman"/>
      <w:b/>
      <w:szCs w:val="22"/>
    </w:rPr>
  </w:style>
  <w:style w:type="paragraph" w:customStyle="1" w:styleId="ManualHeading3">
    <w:name w:val="Manual Heading 3"/>
    <w:basedOn w:val="Normal"/>
    <w:next w:val="Text1"/>
    <w:rsid w:val="0099489F"/>
    <w:pPr>
      <w:keepNext/>
      <w:tabs>
        <w:tab w:val="left" w:pos="850"/>
      </w:tabs>
      <w:spacing w:before="120" w:after="120" w:line="240" w:lineRule="auto"/>
      <w:ind w:left="850" w:hanging="850"/>
      <w:jc w:val="both"/>
      <w:outlineLvl w:val="2"/>
    </w:pPr>
    <w:rPr>
      <w:rFonts w:ascii="Times New Roman" w:hAnsi="Times New Roman"/>
      <w:i/>
      <w:szCs w:val="22"/>
    </w:rPr>
  </w:style>
  <w:style w:type="paragraph" w:customStyle="1" w:styleId="ManualHeading4">
    <w:name w:val="Manual Heading 4"/>
    <w:basedOn w:val="Normal"/>
    <w:next w:val="Text1"/>
    <w:rsid w:val="0099489F"/>
    <w:pPr>
      <w:keepNext/>
      <w:tabs>
        <w:tab w:val="left" w:pos="850"/>
      </w:tabs>
      <w:spacing w:before="120" w:after="120" w:line="240" w:lineRule="auto"/>
      <w:ind w:left="850" w:hanging="850"/>
      <w:jc w:val="both"/>
      <w:outlineLvl w:val="3"/>
    </w:pPr>
    <w:rPr>
      <w:rFonts w:ascii="Times New Roman" w:hAnsi="Times New Roman"/>
      <w:szCs w:val="22"/>
    </w:rPr>
  </w:style>
  <w:style w:type="paragraph" w:customStyle="1" w:styleId="ChapterTitle">
    <w:name w:val="ChapterTitle"/>
    <w:basedOn w:val="Normal"/>
    <w:next w:val="Normal"/>
    <w:rsid w:val="0099489F"/>
    <w:pPr>
      <w:keepNext/>
      <w:spacing w:before="120" w:after="360" w:line="240" w:lineRule="auto"/>
      <w:jc w:val="center"/>
    </w:pPr>
    <w:rPr>
      <w:rFonts w:ascii="Times New Roman" w:hAnsi="Times New Roman"/>
      <w:b/>
      <w:sz w:val="32"/>
      <w:szCs w:val="22"/>
    </w:rPr>
  </w:style>
  <w:style w:type="paragraph" w:customStyle="1" w:styleId="PartTitle">
    <w:name w:val="PartTitle"/>
    <w:basedOn w:val="Normal"/>
    <w:next w:val="ChapterTitle"/>
    <w:rsid w:val="0099489F"/>
    <w:pPr>
      <w:keepNext/>
      <w:pageBreakBefore/>
      <w:spacing w:before="120" w:after="360" w:line="240" w:lineRule="auto"/>
      <w:jc w:val="center"/>
    </w:pPr>
    <w:rPr>
      <w:rFonts w:ascii="Times New Roman" w:hAnsi="Times New Roman"/>
      <w:b/>
      <w:sz w:val="36"/>
      <w:szCs w:val="22"/>
    </w:rPr>
  </w:style>
  <w:style w:type="paragraph" w:customStyle="1" w:styleId="SectionTitle">
    <w:name w:val="SectionTitle"/>
    <w:basedOn w:val="Normal"/>
    <w:next w:val="Heading1"/>
    <w:rsid w:val="0099489F"/>
    <w:pPr>
      <w:keepNext/>
      <w:spacing w:before="120" w:after="360" w:line="240" w:lineRule="auto"/>
      <w:jc w:val="center"/>
    </w:pPr>
    <w:rPr>
      <w:rFonts w:ascii="Times New Roman" w:hAnsi="Times New Roman"/>
      <w:b/>
      <w:smallCaps/>
      <w:sz w:val="28"/>
      <w:szCs w:val="22"/>
    </w:rPr>
  </w:style>
  <w:style w:type="paragraph" w:customStyle="1" w:styleId="TableTitle">
    <w:name w:val="Table Title"/>
    <w:basedOn w:val="Normal"/>
    <w:next w:val="Normal"/>
    <w:rsid w:val="0099489F"/>
    <w:pPr>
      <w:spacing w:before="120" w:after="120" w:line="240" w:lineRule="auto"/>
      <w:jc w:val="center"/>
    </w:pPr>
    <w:rPr>
      <w:rFonts w:ascii="Times New Roman" w:hAnsi="Times New Roman"/>
      <w:b/>
      <w:szCs w:val="22"/>
    </w:rPr>
  </w:style>
  <w:style w:type="character" w:customStyle="1" w:styleId="Marker">
    <w:name w:val="Marker"/>
    <w:basedOn w:val="DefaultParagraphFont"/>
    <w:rsid w:val="0099489F"/>
    <w:rPr>
      <w:color w:val="0000FF"/>
      <w:shd w:val="clear" w:color="auto" w:fill="auto"/>
    </w:rPr>
  </w:style>
  <w:style w:type="character" w:customStyle="1" w:styleId="Marker1">
    <w:name w:val="Marker1"/>
    <w:rsid w:val="0099489F"/>
    <w:rPr>
      <w:color w:val="008000"/>
      <w:shd w:val="clear" w:color="auto" w:fill="auto"/>
    </w:rPr>
  </w:style>
  <w:style w:type="character" w:customStyle="1" w:styleId="Marker2">
    <w:name w:val="Marker2"/>
    <w:rsid w:val="0099489F"/>
    <w:rPr>
      <w:color w:val="FF0000"/>
      <w:shd w:val="clear" w:color="auto" w:fill="auto"/>
    </w:rPr>
  </w:style>
  <w:style w:type="paragraph" w:customStyle="1" w:styleId="Point0number">
    <w:name w:val="Point 0 (number)"/>
    <w:basedOn w:val="Normal"/>
    <w:rsid w:val="0099489F"/>
    <w:pPr>
      <w:tabs>
        <w:tab w:val="num" w:pos="850"/>
      </w:tabs>
      <w:spacing w:before="120" w:after="120" w:line="240" w:lineRule="auto"/>
      <w:ind w:left="850" w:hanging="850"/>
      <w:jc w:val="both"/>
    </w:pPr>
    <w:rPr>
      <w:rFonts w:ascii="Times New Roman" w:hAnsi="Times New Roman"/>
      <w:szCs w:val="22"/>
    </w:rPr>
  </w:style>
  <w:style w:type="paragraph" w:customStyle="1" w:styleId="Point1number">
    <w:name w:val="Point 1 (number)"/>
    <w:basedOn w:val="Normal"/>
    <w:rsid w:val="0099489F"/>
    <w:pPr>
      <w:numPr>
        <w:ilvl w:val="2"/>
        <w:numId w:val="18"/>
      </w:numPr>
      <w:spacing w:before="120" w:after="120" w:line="240" w:lineRule="auto"/>
      <w:jc w:val="both"/>
    </w:pPr>
    <w:rPr>
      <w:rFonts w:ascii="Times New Roman" w:hAnsi="Times New Roman"/>
      <w:szCs w:val="22"/>
    </w:rPr>
  </w:style>
  <w:style w:type="paragraph" w:customStyle="1" w:styleId="Point2number">
    <w:name w:val="Point 2 (number)"/>
    <w:basedOn w:val="Normal"/>
    <w:rsid w:val="0099489F"/>
    <w:pPr>
      <w:numPr>
        <w:ilvl w:val="4"/>
        <w:numId w:val="18"/>
      </w:numPr>
      <w:spacing w:before="120" w:after="120" w:line="240" w:lineRule="auto"/>
      <w:jc w:val="both"/>
    </w:pPr>
    <w:rPr>
      <w:rFonts w:ascii="Times New Roman" w:hAnsi="Times New Roman"/>
      <w:szCs w:val="22"/>
    </w:rPr>
  </w:style>
  <w:style w:type="paragraph" w:customStyle="1" w:styleId="Point3number">
    <w:name w:val="Point 3 (number)"/>
    <w:basedOn w:val="Normal"/>
    <w:rsid w:val="0099489F"/>
    <w:pPr>
      <w:numPr>
        <w:ilvl w:val="6"/>
        <w:numId w:val="18"/>
      </w:numPr>
      <w:spacing w:before="120" w:after="120" w:line="240" w:lineRule="auto"/>
      <w:jc w:val="both"/>
    </w:pPr>
    <w:rPr>
      <w:rFonts w:ascii="Times New Roman" w:hAnsi="Times New Roman"/>
      <w:szCs w:val="22"/>
    </w:rPr>
  </w:style>
  <w:style w:type="paragraph" w:customStyle="1" w:styleId="Point0letter">
    <w:name w:val="Point 0 (letter)"/>
    <w:basedOn w:val="Normal"/>
    <w:rsid w:val="0099489F"/>
    <w:pPr>
      <w:numPr>
        <w:ilvl w:val="1"/>
        <w:numId w:val="18"/>
      </w:numPr>
      <w:spacing w:before="120" w:after="120" w:line="240" w:lineRule="auto"/>
      <w:jc w:val="both"/>
    </w:pPr>
    <w:rPr>
      <w:rFonts w:ascii="Times New Roman" w:hAnsi="Times New Roman"/>
      <w:szCs w:val="22"/>
    </w:rPr>
  </w:style>
  <w:style w:type="paragraph" w:customStyle="1" w:styleId="Point1letter">
    <w:name w:val="Point 1 (letter)"/>
    <w:basedOn w:val="Normal"/>
    <w:rsid w:val="0099489F"/>
    <w:pPr>
      <w:numPr>
        <w:ilvl w:val="3"/>
        <w:numId w:val="18"/>
      </w:numPr>
      <w:tabs>
        <w:tab w:val="clear" w:pos="1417"/>
        <w:tab w:val="num" w:pos="850"/>
      </w:tabs>
      <w:spacing w:before="120" w:after="120" w:line="240" w:lineRule="auto"/>
      <w:ind w:left="2880" w:hanging="360"/>
      <w:jc w:val="both"/>
    </w:pPr>
    <w:rPr>
      <w:rFonts w:ascii="Times New Roman" w:hAnsi="Times New Roman"/>
      <w:szCs w:val="22"/>
    </w:rPr>
  </w:style>
  <w:style w:type="paragraph" w:customStyle="1" w:styleId="Point2letter">
    <w:name w:val="Point 2 (letter)"/>
    <w:basedOn w:val="Normal"/>
    <w:rsid w:val="0099489F"/>
    <w:pPr>
      <w:numPr>
        <w:ilvl w:val="5"/>
        <w:numId w:val="18"/>
      </w:numPr>
      <w:spacing w:before="120" w:after="120" w:line="240" w:lineRule="auto"/>
      <w:jc w:val="both"/>
    </w:pPr>
    <w:rPr>
      <w:rFonts w:ascii="Times New Roman" w:hAnsi="Times New Roman"/>
      <w:szCs w:val="22"/>
    </w:rPr>
  </w:style>
  <w:style w:type="paragraph" w:customStyle="1" w:styleId="Point3letter">
    <w:name w:val="Point 3 (letter)"/>
    <w:basedOn w:val="Normal"/>
    <w:rsid w:val="0099489F"/>
    <w:pPr>
      <w:numPr>
        <w:ilvl w:val="7"/>
        <w:numId w:val="18"/>
      </w:numPr>
      <w:spacing w:before="120" w:after="120" w:line="240" w:lineRule="auto"/>
      <w:jc w:val="both"/>
    </w:pPr>
    <w:rPr>
      <w:rFonts w:ascii="Times New Roman" w:hAnsi="Times New Roman"/>
      <w:szCs w:val="22"/>
    </w:rPr>
  </w:style>
  <w:style w:type="paragraph" w:customStyle="1" w:styleId="Point4letter">
    <w:name w:val="Point 4 (letter)"/>
    <w:basedOn w:val="Normal"/>
    <w:rsid w:val="0099489F"/>
    <w:pPr>
      <w:numPr>
        <w:ilvl w:val="8"/>
        <w:numId w:val="18"/>
      </w:numPr>
      <w:spacing w:before="120" w:after="120" w:line="240" w:lineRule="auto"/>
      <w:jc w:val="both"/>
    </w:pPr>
    <w:rPr>
      <w:rFonts w:ascii="Times New Roman" w:hAnsi="Times New Roman"/>
      <w:szCs w:val="22"/>
    </w:rPr>
  </w:style>
  <w:style w:type="paragraph" w:customStyle="1" w:styleId="Bullet0">
    <w:name w:val="Bullet 0"/>
    <w:basedOn w:val="Normal"/>
    <w:rsid w:val="0099489F"/>
    <w:pPr>
      <w:numPr>
        <w:numId w:val="19"/>
      </w:numPr>
      <w:spacing w:before="120" w:after="120" w:line="240" w:lineRule="auto"/>
      <w:jc w:val="both"/>
    </w:pPr>
    <w:rPr>
      <w:rFonts w:ascii="Times New Roman" w:hAnsi="Times New Roman"/>
      <w:szCs w:val="22"/>
    </w:rPr>
  </w:style>
  <w:style w:type="paragraph" w:customStyle="1" w:styleId="Bullet1">
    <w:name w:val="Bullet 1"/>
    <w:basedOn w:val="Normal"/>
    <w:rsid w:val="0099489F"/>
    <w:pPr>
      <w:numPr>
        <w:numId w:val="20"/>
      </w:numPr>
      <w:spacing w:before="120" w:after="120" w:line="240" w:lineRule="auto"/>
      <w:jc w:val="both"/>
    </w:pPr>
    <w:rPr>
      <w:rFonts w:ascii="Times New Roman" w:hAnsi="Times New Roman"/>
      <w:szCs w:val="22"/>
    </w:rPr>
  </w:style>
  <w:style w:type="paragraph" w:customStyle="1" w:styleId="Bullet2">
    <w:name w:val="Bullet 2"/>
    <w:basedOn w:val="Normal"/>
    <w:rsid w:val="0099489F"/>
    <w:pPr>
      <w:numPr>
        <w:numId w:val="21"/>
      </w:numPr>
      <w:spacing w:before="120" w:after="120" w:line="240" w:lineRule="auto"/>
      <w:jc w:val="both"/>
    </w:pPr>
    <w:rPr>
      <w:rFonts w:ascii="Times New Roman" w:hAnsi="Times New Roman"/>
      <w:szCs w:val="22"/>
    </w:rPr>
  </w:style>
  <w:style w:type="paragraph" w:customStyle="1" w:styleId="Bullet3">
    <w:name w:val="Bullet 3"/>
    <w:basedOn w:val="Normal"/>
    <w:rsid w:val="0099489F"/>
    <w:pPr>
      <w:numPr>
        <w:numId w:val="22"/>
      </w:numPr>
      <w:spacing w:before="120" w:after="120" w:line="240" w:lineRule="auto"/>
      <w:jc w:val="both"/>
    </w:pPr>
    <w:rPr>
      <w:rFonts w:ascii="Times New Roman" w:hAnsi="Times New Roman"/>
      <w:szCs w:val="22"/>
    </w:rPr>
  </w:style>
  <w:style w:type="paragraph" w:customStyle="1" w:styleId="Bullet4">
    <w:name w:val="Bullet 4"/>
    <w:basedOn w:val="Normal"/>
    <w:rsid w:val="0099489F"/>
    <w:pPr>
      <w:numPr>
        <w:numId w:val="23"/>
      </w:numPr>
      <w:spacing w:before="120" w:after="120" w:line="240" w:lineRule="auto"/>
      <w:jc w:val="both"/>
    </w:pPr>
    <w:rPr>
      <w:rFonts w:ascii="Times New Roman" w:hAnsi="Times New Roman"/>
      <w:szCs w:val="22"/>
    </w:rPr>
  </w:style>
  <w:style w:type="paragraph" w:customStyle="1" w:styleId="Langue">
    <w:name w:val="Langue"/>
    <w:basedOn w:val="Normal"/>
    <w:next w:val="Rfrenceinterne"/>
    <w:rsid w:val="0099489F"/>
    <w:pPr>
      <w:framePr w:wrap="around" w:vAnchor="page" w:hAnchor="text" w:xAlign="center" w:y="14741"/>
      <w:spacing w:after="600" w:line="240" w:lineRule="auto"/>
      <w:jc w:val="center"/>
    </w:pPr>
    <w:rPr>
      <w:rFonts w:ascii="Times New Roman" w:hAnsi="Times New Roman"/>
      <w:b/>
      <w:caps/>
      <w:szCs w:val="22"/>
    </w:rPr>
  </w:style>
  <w:style w:type="paragraph" w:customStyle="1" w:styleId="Nomdelinstitution">
    <w:name w:val="Nom de l'institution"/>
    <w:basedOn w:val="Normal"/>
    <w:next w:val="Emission"/>
    <w:rsid w:val="0099489F"/>
    <w:pPr>
      <w:spacing w:after="0" w:line="240" w:lineRule="auto"/>
    </w:pPr>
    <w:rPr>
      <w:rFonts w:ascii="Arial" w:hAnsi="Arial" w:cs="Arial"/>
      <w:szCs w:val="22"/>
    </w:rPr>
  </w:style>
  <w:style w:type="paragraph" w:customStyle="1" w:styleId="Emission">
    <w:name w:val="Emission"/>
    <w:basedOn w:val="Normal"/>
    <w:next w:val="Rfrenceinstitutionnelle"/>
    <w:rsid w:val="0099489F"/>
    <w:pPr>
      <w:spacing w:after="0" w:line="240" w:lineRule="auto"/>
      <w:ind w:left="5103"/>
    </w:pPr>
    <w:rPr>
      <w:rFonts w:ascii="Times New Roman" w:hAnsi="Times New Roman"/>
      <w:szCs w:val="22"/>
    </w:rPr>
  </w:style>
  <w:style w:type="paragraph" w:customStyle="1" w:styleId="Rfrenceinstitutionnelle">
    <w:name w:val="Référence institutionnelle"/>
    <w:basedOn w:val="Normal"/>
    <w:next w:val="Confidentialit"/>
    <w:rsid w:val="0099489F"/>
    <w:pPr>
      <w:spacing w:after="240" w:line="240" w:lineRule="auto"/>
      <w:ind w:left="5103"/>
    </w:pPr>
    <w:rPr>
      <w:rFonts w:ascii="Times New Roman" w:hAnsi="Times New Roman"/>
      <w:szCs w:val="22"/>
    </w:rPr>
  </w:style>
  <w:style w:type="paragraph" w:customStyle="1" w:styleId="Pagedecouverture">
    <w:name w:val="Page de couverture"/>
    <w:basedOn w:val="Normal"/>
    <w:next w:val="Normal"/>
    <w:rsid w:val="0099489F"/>
    <w:pPr>
      <w:spacing w:after="0" w:line="240" w:lineRule="auto"/>
      <w:jc w:val="both"/>
    </w:pPr>
    <w:rPr>
      <w:rFonts w:ascii="Times New Roman" w:hAnsi="Times New Roman"/>
      <w:szCs w:val="22"/>
    </w:rPr>
  </w:style>
  <w:style w:type="paragraph" w:customStyle="1" w:styleId="Declassification">
    <w:name w:val="Declassification"/>
    <w:basedOn w:val="Normal"/>
    <w:next w:val="Normal"/>
    <w:rsid w:val="0099489F"/>
    <w:pPr>
      <w:spacing w:after="0" w:line="240" w:lineRule="auto"/>
      <w:jc w:val="both"/>
    </w:pPr>
    <w:rPr>
      <w:rFonts w:ascii="Times New Roman" w:hAnsi="Times New Roman"/>
      <w:szCs w:val="22"/>
    </w:rPr>
  </w:style>
  <w:style w:type="paragraph" w:customStyle="1" w:styleId="Disclaimer">
    <w:name w:val="Disclaimer"/>
    <w:basedOn w:val="Normal"/>
    <w:rsid w:val="0099489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Cs w:val="22"/>
    </w:rPr>
  </w:style>
  <w:style w:type="paragraph" w:customStyle="1" w:styleId="SecurityMarking">
    <w:name w:val="SecurityMarking"/>
    <w:basedOn w:val="Normal"/>
    <w:rsid w:val="005E2C46"/>
    <w:pPr>
      <w:spacing w:after="0" w:line="276" w:lineRule="auto"/>
      <w:ind w:left="5103"/>
    </w:pPr>
    <w:rPr>
      <w:rFonts w:ascii="Times New Roman" w:eastAsiaTheme="minorHAnsi" w:hAnsi="Times New Roman" w:cs="Times New Roman"/>
      <w:sz w:val="28"/>
      <w:szCs w:val="22"/>
    </w:rPr>
  </w:style>
  <w:style w:type="paragraph" w:customStyle="1" w:styleId="DateMarking">
    <w:name w:val="DateMarking"/>
    <w:basedOn w:val="Normal"/>
    <w:rsid w:val="005E2C46"/>
    <w:pPr>
      <w:spacing w:after="0" w:line="276" w:lineRule="auto"/>
      <w:ind w:left="5103"/>
    </w:pPr>
    <w:rPr>
      <w:rFonts w:ascii="Times New Roman" w:eastAsiaTheme="minorHAnsi" w:hAnsi="Times New Roman" w:cs="Times New Roman"/>
      <w:i/>
      <w:sz w:val="28"/>
      <w:szCs w:val="22"/>
    </w:rPr>
  </w:style>
  <w:style w:type="paragraph" w:customStyle="1" w:styleId="ReleasableTo">
    <w:name w:val="ReleasableTo"/>
    <w:basedOn w:val="Normal"/>
    <w:rsid w:val="005E2C46"/>
    <w:pPr>
      <w:spacing w:after="0" w:line="276" w:lineRule="auto"/>
      <w:ind w:left="5103"/>
    </w:pPr>
    <w:rPr>
      <w:rFonts w:ascii="Times New Roman" w:eastAsiaTheme="minorHAnsi" w:hAnsi="Times New Roman" w:cs="Times New Roman"/>
      <w:i/>
      <w:sz w:val="28"/>
      <w:szCs w:val="22"/>
    </w:rPr>
  </w:style>
  <w:style w:type="paragraph" w:customStyle="1" w:styleId="Annexetitreexpos">
    <w:name w:val="Annexe titre (exposé)"/>
    <w:basedOn w:val="Normal"/>
    <w:next w:val="Normal"/>
    <w:rsid w:val="0099489F"/>
    <w:pPr>
      <w:spacing w:before="120" w:after="120" w:line="240" w:lineRule="auto"/>
      <w:jc w:val="center"/>
    </w:pPr>
    <w:rPr>
      <w:rFonts w:ascii="Times New Roman" w:hAnsi="Times New Roman"/>
      <w:b/>
      <w:szCs w:val="22"/>
      <w:u w:val="single"/>
    </w:rPr>
  </w:style>
  <w:style w:type="paragraph" w:customStyle="1" w:styleId="Annexetitre">
    <w:name w:val="Annexe titre"/>
    <w:basedOn w:val="Normal"/>
    <w:next w:val="Normal"/>
    <w:rsid w:val="0099489F"/>
    <w:pPr>
      <w:spacing w:before="120" w:after="120" w:line="240" w:lineRule="auto"/>
      <w:jc w:val="center"/>
    </w:pPr>
    <w:rPr>
      <w:rFonts w:ascii="Times New Roman" w:hAnsi="Times New Roman"/>
      <w:b/>
      <w:szCs w:val="22"/>
      <w:u w:val="single"/>
    </w:rPr>
  </w:style>
  <w:style w:type="paragraph" w:customStyle="1" w:styleId="Annexetitrefichefinancire">
    <w:name w:val="Annexe titre (fiche financière)"/>
    <w:basedOn w:val="Normal"/>
    <w:next w:val="Normal"/>
    <w:rsid w:val="0099489F"/>
    <w:pPr>
      <w:spacing w:before="120" w:after="120" w:line="240" w:lineRule="auto"/>
      <w:jc w:val="center"/>
    </w:pPr>
    <w:rPr>
      <w:rFonts w:ascii="Times New Roman" w:hAnsi="Times New Roman"/>
      <w:b/>
      <w:szCs w:val="22"/>
      <w:u w:val="single"/>
    </w:rPr>
  </w:style>
  <w:style w:type="paragraph" w:customStyle="1" w:styleId="Applicationdirecte">
    <w:name w:val="Application directe"/>
    <w:basedOn w:val="Normal"/>
    <w:next w:val="Fait"/>
    <w:rsid w:val="0099489F"/>
    <w:pPr>
      <w:spacing w:before="480" w:after="120" w:line="240" w:lineRule="auto"/>
      <w:jc w:val="both"/>
    </w:pPr>
    <w:rPr>
      <w:rFonts w:ascii="Times New Roman" w:hAnsi="Times New Roman"/>
      <w:szCs w:val="22"/>
    </w:rPr>
  </w:style>
  <w:style w:type="paragraph" w:customStyle="1" w:styleId="Avertissementtitre">
    <w:name w:val="Avertissement titre"/>
    <w:basedOn w:val="Normal"/>
    <w:next w:val="Normal"/>
    <w:rsid w:val="0099489F"/>
    <w:pPr>
      <w:keepNext/>
      <w:spacing w:before="480" w:after="120" w:line="240" w:lineRule="auto"/>
      <w:jc w:val="both"/>
    </w:pPr>
    <w:rPr>
      <w:rFonts w:ascii="Times New Roman" w:hAnsi="Times New Roman"/>
      <w:szCs w:val="22"/>
      <w:u w:val="single"/>
    </w:rPr>
  </w:style>
  <w:style w:type="paragraph" w:customStyle="1" w:styleId="Confidence">
    <w:name w:val="Confidence"/>
    <w:basedOn w:val="Normal"/>
    <w:next w:val="Normal"/>
    <w:rsid w:val="0099489F"/>
    <w:pPr>
      <w:spacing w:before="360" w:after="120" w:line="240" w:lineRule="auto"/>
      <w:jc w:val="center"/>
    </w:pPr>
    <w:rPr>
      <w:rFonts w:ascii="Times New Roman" w:hAnsi="Times New Roman"/>
      <w:szCs w:val="22"/>
    </w:rPr>
  </w:style>
  <w:style w:type="paragraph" w:customStyle="1" w:styleId="Confidentialit">
    <w:name w:val="Confidentialité"/>
    <w:basedOn w:val="Normal"/>
    <w:next w:val="TypedudocumentPagedecouverture"/>
    <w:rsid w:val="0099489F"/>
    <w:pPr>
      <w:spacing w:before="240" w:after="240" w:line="240" w:lineRule="auto"/>
      <w:ind w:left="5103"/>
    </w:pPr>
    <w:rPr>
      <w:rFonts w:ascii="Times New Roman" w:hAnsi="Times New Roman"/>
      <w:i/>
      <w:sz w:val="32"/>
      <w:szCs w:val="22"/>
    </w:rPr>
  </w:style>
  <w:style w:type="paragraph" w:customStyle="1" w:styleId="Considrant">
    <w:name w:val="Considérant"/>
    <w:basedOn w:val="Normal"/>
    <w:rsid w:val="0099489F"/>
    <w:pPr>
      <w:tabs>
        <w:tab w:val="num" w:pos="709"/>
      </w:tabs>
      <w:spacing w:before="120" w:after="120" w:line="240" w:lineRule="auto"/>
      <w:ind w:left="709" w:hanging="709"/>
      <w:jc w:val="both"/>
    </w:pPr>
    <w:rPr>
      <w:rFonts w:ascii="Times New Roman" w:hAnsi="Times New Roman"/>
      <w:szCs w:val="22"/>
    </w:rPr>
  </w:style>
  <w:style w:type="paragraph" w:customStyle="1" w:styleId="Corrigendum">
    <w:name w:val="Corrigendum"/>
    <w:basedOn w:val="Normal"/>
    <w:next w:val="Normal"/>
    <w:rsid w:val="0099489F"/>
    <w:pPr>
      <w:spacing w:after="240" w:line="240" w:lineRule="auto"/>
    </w:pPr>
    <w:rPr>
      <w:rFonts w:ascii="Times New Roman" w:hAnsi="Times New Roman"/>
      <w:szCs w:val="22"/>
    </w:rPr>
  </w:style>
  <w:style w:type="paragraph" w:customStyle="1" w:styleId="Datedadoption">
    <w:name w:val="Date d'adoption"/>
    <w:basedOn w:val="Normal"/>
    <w:next w:val="IntrtEEE"/>
    <w:rsid w:val="0099489F"/>
    <w:pPr>
      <w:spacing w:before="360" w:after="0" w:line="240" w:lineRule="auto"/>
      <w:jc w:val="center"/>
    </w:pPr>
    <w:rPr>
      <w:rFonts w:ascii="Times New Roman" w:hAnsi="Times New Roman"/>
      <w:b/>
      <w:szCs w:val="22"/>
    </w:rPr>
  </w:style>
  <w:style w:type="paragraph" w:customStyle="1" w:styleId="Exposdesmotifstitre">
    <w:name w:val="Exposé des motifs titre"/>
    <w:basedOn w:val="Normal"/>
    <w:next w:val="Normal"/>
    <w:rsid w:val="0099489F"/>
    <w:pPr>
      <w:spacing w:before="120" w:after="120" w:line="240" w:lineRule="auto"/>
      <w:jc w:val="center"/>
    </w:pPr>
    <w:rPr>
      <w:rFonts w:ascii="Times New Roman" w:hAnsi="Times New Roman"/>
      <w:b/>
      <w:szCs w:val="22"/>
      <w:u w:val="single"/>
    </w:rPr>
  </w:style>
  <w:style w:type="paragraph" w:customStyle="1" w:styleId="Fait">
    <w:name w:val="Fait à"/>
    <w:basedOn w:val="Normal"/>
    <w:next w:val="Institutionquisigne"/>
    <w:rsid w:val="0099489F"/>
    <w:pPr>
      <w:keepNext/>
      <w:spacing w:before="120" w:after="0" w:line="240" w:lineRule="auto"/>
      <w:jc w:val="both"/>
    </w:pPr>
    <w:rPr>
      <w:rFonts w:ascii="Times New Roman" w:hAnsi="Times New Roman"/>
      <w:szCs w:val="22"/>
    </w:rPr>
  </w:style>
  <w:style w:type="paragraph" w:customStyle="1" w:styleId="Formuledadoption">
    <w:name w:val="Formule d'adoption"/>
    <w:basedOn w:val="Normal"/>
    <w:next w:val="Titrearticle"/>
    <w:rsid w:val="0099489F"/>
    <w:pPr>
      <w:keepNext/>
      <w:spacing w:before="120" w:after="120" w:line="240" w:lineRule="auto"/>
      <w:jc w:val="both"/>
    </w:pPr>
    <w:rPr>
      <w:rFonts w:ascii="Times New Roman" w:hAnsi="Times New Roman"/>
      <w:szCs w:val="22"/>
    </w:rPr>
  </w:style>
  <w:style w:type="paragraph" w:customStyle="1" w:styleId="Institutionquiagit">
    <w:name w:val="Institution qui agit"/>
    <w:basedOn w:val="Normal"/>
    <w:next w:val="Normal"/>
    <w:rsid w:val="0099489F"/>
    <w:pPr>
      <w:keepNext/>
      <w:spacing w:before="600" w:after="120" w:line="240" w:lineRule="auto"/>
      <w:jc w:val="both"/>
    </w:pPr>
    <w:rPr>
      <w:rFonts w:ascii="Times New Roman" w:hAnsi="Times New Roman"/>
      <w:szCs w:val="22"/>
    </w:rPr>
  </w:style>
  <w:style w:type="paragraph" w:customStyle="1" w:styleId="Institutionquisigne">
    <w:name w:val="Institution qui signe"/>
    <w:basedOn w:val="Normal"/>
    <w:next w:val="Personnequisigne"/>
    <w:rsid w:val="0099489F"/>
    <w:pPr>
      <w:keepNext/>
      <w:tabs>
        <w:tab w:val="left" w:pos="4252"/>
      </w:tabs>
      <w:spacing w:before="720" w:after="0" w:line="240" w:lineRule="auto"/>
      <w:jc w:val="both"/>
    </w:pPr>
    <w:rPr>
      <w:rFonts w:ascii="Times New Roman" w:hAnsi="Times New Roman"/>
      <w:i/>
      <w:szCs w:val="22"/>
    </w:rPr>
  </w:style>
  <w:style w:type="paragraph" w:customStyle="1" w:styleId="ManualConsidrant">
    <w:name w:val="Manual Considérant"/>
    <w:basedOn w:val="Normal"/>
    <w:rsid w:val="0099489F"/>
    <w:pPr>
      <w:spacing w:before="120" w:after="120" w:line="240" w:lineRule="auto"/>
      <w:ind w:left="709" w:hanging="709"/>
      <w:jc w:val="both"/>
    </w:pPr>
    <w:rPr>
      <w:rFonts w:ascii="Times New Roman" w:hAnsi="Times New Roman"/>
      <w:szCs w:val="22"/>
    </w:rPr>
  </w:style>
  <w:style w:type="paragraph" w:customStyle="1" w:styleId="Personnequisigne">
    <w:name w:val="Personne qui signe"/>
    <w:basedOn w:val="Normal"/>
    <w:next w:val="Institutionquisigne"/>
    <w:rsid w:val="0099489F"/>
    <w:pPr>
      <w:tabs>
        <w:tab w:val="left" w:pos="4252"/>
      </w:tabs>
      <w:spacing w:after="0" w:line="240" w:lineRule="auto"/>
    </w:pPr>
    <w:rPr>
      <w:rFonts w:ascii="Times New Roman" w:hAnsi="Times New Roman"/>
      <w:i/>
      <w:szCs w:val="22"/>
    </w:rPr>
  </w:style>
  <w:style w:type="paragraph" w:customStyle="1" w:styleId="Rfrenceinterinstitutionnelle">
    <w:name w:val="Référence interinstitutionnelle"/>
    <w:basedOn w:val="Normal"/>
    <w:next w:val="Statut"/>
    <w:rsid w:val="0099489F"/>
    <w:pPr>
      <w:spacing w:after="0" w:line="240" w:lineRule="auto"/>
      <w:ind w:left="5103"/>
    </w:pPr>
    <w:rPr>
      <w:rFonts w:ascii="Times New Roman" w:hAnsi="Times New Roman"/>
      <w:szCs w:val="22"/>
    </w:rPr>
  </w:style>
  <w:style w:type="paragraph" w:customStyle="1" w:styleId="Rfrenceinterne">
    <w:name w:val="Référence interne"/>
    <w:basedOn w:val="Normal"/>
    <w:next w:val="Rfrenceinterinstitutionnelle"/>
    <w:rsid w:val="0099489F"/>
    <w:pPr>
      <w:spacing w:after="0" w:line="240" w:lineRule="auto"/>
      <w:ind w:left="5103"/>
    </w:pPr>
    <w:rPr>
      <w:rFonts w:ascii="Times New Roman" w:hAnsi="Times New Roman"/>
      <w:szCs w:val="22"/>
    </w:rPr>
  </w:style>
  <w:style w:type="paragraph" w:customStyle="1" w:styleId="Statut">
    <w:name w:val="Statut"/>
    <w:basedOn w:val="Normal"/>
    <w:next w:val="Typedudocument"/>
    <w:rsid w:val="0099489F"/>
    <w:pPr>
      <w:spacing w:after="240" w:line="240" w:lineRule="auto"/>
      <w:jc w:val="center"/>
    </w:pPr>
    <w:rPr>
      <w:rFonts w:ascii="Times New Roman" w:hAnsi="Times New Roman"/>
      <w:szCs w:val="22"/>
    </w:rPr>
  </w:style>
  <w:style w:type="paragraph" w:customStyle="1" w:styleId="Titrearticle">
    <w:name w:val="Titre article"/>
    <w:basedOn w:val="Normal"/>
    <w:next w:val="Normal"/>
    <w:rsid w:val="0099489F"/>
    <w:pPr>
      <w:keepNext/>
      <w:spacing w:before="360" w:after="120" w:line="240" w:lineRule="auto"/>
      <w:jc w:val="center"/>
    </w:pPr>
    <w:rPr>
      <w:rFonts w:ascii="Times New Roman" w:hAnsi="Times New Roman"/>
      <w:i/>
      <w:szCs w:val="22"/>
    </w:rPr>
  </w:style>
  <w:style w:type="paragraph" w:customStyle="1" w:styleId="Typedudocument">
    <w:name w:val="Type du document"/>
    <w:basedOn w:val="Normal"/>
    <w:next w:val="Accompagnant"/>
    <w:rsid w:val="0099489F"/>
    <w:pPr>
      <w:spacing w:before="360" w:after="180" w:line="240" w:lineRule="auto"/>
      <w:jc w:val="center"/>
    </w:pPr>
    <w:rPr>
      <w:rFonts w:ascii="Times New Roman" w:hAnsi="Times New Roman"/>
      <w:b/>
      <w:szCs w:val="22"/>
    </w:rPr>
  </w:style>
  <w:style w:type="character" w:customStyle="1" w:styleId="Added">
    <w:name w:val="Added"/>
    <w:rsid w:val="0099489F"/>
    <w:rPr>
      <w:b/>
      <w:u w:val="single"/>
      <w:shd w:val="clear" w:color="auto" w:fill="auto"/>
    </w:rPr>
  </w:style>
  <w:style w:type="character" w:customStyle="1" w:styleId="Deleted">
    <w:name w:val="Deleted"/>
    <w:rsid w:val="0099489F"/>
    <w:rPr>
      <w:strike/>
      <w:dstrike w:val="0"/>
      <w:shd w:val="clear" w:color="auto" w:fill="auto"/>
    </w:rPr>
  </w:style>
  <w:style w:type="paragraph" w:customStyle="1" w:styleId="Address">
    <w:name w:val="Address"/>
    <w:basedOn w:val="Normal"/>
    <w:next w:val="Normal"/>
    <w:rsid w:val="0099489F"/>
    <w:pPr>
      <w:keepLines/>
      <w:spacing w:before="120" w:after="120" w:line="360" w:lineRule="auto"/>
      <w:ind w:left="3402"/>
    </w:pPr>
    <w:rPr>
      <w:rFonts w:ascii="Times New Roman" w:hAnsi="Times New Roman"/>
      <w:szCs w:val="22"/>
    </w:rPr>
  </w:style>
  <w:style w:type="paragraph" w:customStyle="1" w:styleId="Objetexterne">
    <w:name w:val="Objet externe"/>
    <w:basedOn w:val="Normal"/>
    <w:next w:val="Normal"/>
    <w:rsid w:val="0099489F"/>
    <w:pPr>
      <w:spacing w:before="120" w:after="120" w:line="240" w:lineRule="auto"/>
      <w:jc w:val="both"/>
    </w:pPr>
    <w:rPr>
      <w:rFonts w:ascii="Times New Roman" w:hAnsi="Times New Roman"/>
      <w:i/>
      <w:caps/>
      <w:szCs w:val="22"/>
    </w:rPr>
  </w:style>
  <w:style w:type="paragraph" w:customStyle="1" w:styleId="Supertitre">
    <w:name w:val="Supertitre"/>
    <w:basedOn w:val="Normal"/>
    <w:next w:val="Normal"/>
    <w:rsid w:val="0099489F"/>
    <w:pPr>
      <w:spacing w:after="600" w:line="240" w:lineRule="auto"/>
      <w:jc w:val="center"/>
    </w:pPr>
    <w:rPr>
      <w:rFonts w:ascii="Times New Roman" w:hAnsi="Times New Roman"/>
      <w:b/>
      <w:szCs w:val="22"/>
    </w:rPr>
  </w:style>
  <w:style w:type="paragraph" w:customStyle="1" w:styleId="Languesfaisantfoi">
    <w:name w:val="Langues faisant foi"/>
    <w:basedOn w:val="Normal"/>
    <w:next w:val="Normal"/>
    <w:rsid w:val="0099489F"/>
    <w:pPr>
      <w:spacing w:before="360" w:after="0" w:line="240" w:lineRule="auto"/>
      <w:jc w:val="center"/>
    </w:pPr>
    <w:rPr>
      <w:rFonts w:ascii="Times New Roman" w:hAnsi="Times New Roman"/>
      <w:szCs w:val="22"/>
    </w:rPr>
  </w:style>
  <w:style w:type="paragraph" w:customStyle="1" w:styleId="Rfrencecroise">
    <w:name w:val="Référence croisée"/>
    <w:basedOn w:val="Normal"/>
    <w:rsid w:val="0099489F"/>
    <w:pPr>
      <w:spacing w:after="0" w:line="240" w:lineRule="auto"/>
      <w:jc w:val="center"/>
    </w:pPr>
    <w:rPr>
      <w:rFonts w:ascii="Times New Roman" w:hAnsi="Times New Roman"/>
      <w:szCs w:val="22"/>
    </w:rPr>
  </w:style>
  <w:style w:type="paragraph" w:customStyle="1" w:styleId="Fichefinanciretitre">
    <w:name w:val="Fiche financière titre"/>
    <w:basedOn w:val="Normal"/>
    <w:next w:val="Normal"/>
    <w:rsid w:val="0099489F"/>
    <w:pPr>
      <w:spacing w:before="120" w:after="120" w:line="240" w:lineRule="auto"/>
      <w:jc w:val="center"/>
    </w:pPr>
    <w:rPr>
      <w:rFonts w:ascii="Times New Roman" w:hAnsi="Times New Roman"/>
      <w:b/>
      <w:szCs w:val="22"/>
      <w:u w:val="single"/>
    </w:rPr>
  </w:style>
  <w:style w:type="paragraph" w:customStyle="1" w:styleId="DatedadoptionPagedecouverture">
    <w:name w:val="Date d'adoption (Page de couverture)"/>
    <w:basedOn w:val="Datedadoption"/>
    <w:next w:val="IntrtEEEPagedecouverture"/>
    <w:rsid w:val="0099489F"/>
  </w:style>
  <w:style w:type="paragraph" w:customStyle="1" w:styleId="RfrenceinterinstitutionnellePagedecouverture">
    <w:name w:val="Référence interinstitutionnelle (Page de couverture)"/>
    <w:basedOn w:val="Rfrenceinterinstitutionnelle"/>
    <w:next w:val="Confidentialit"/>
    <w:rsid w:val="0099489F"/>
  </w:style>
  <w:style w:type="paragraph" w:customStyle="1" w:styleId="StatutPagedecouverture">
    <w:name w:val="Statut (Page de couverture)"/>
    <w:basedOn w:val="Statut"/>
    <w:next w:val="TypedudocumentPagedecouverture"/>
    <w:rsid w:val="0099489F"/>
  </w:style>
  <w:style w:type="paragraph" w:customStyle="1" w:styleId="TypedudocumentPagedecouverture">
    <w:name w:val="Type du document (Page de couverture)"/>
    <w:basedOn w:val="Typedudocument"/>
    <w:next w:val="AccompagnantPagedecouverture"/>
    <w:rsid w:val="0099489F"/>
  </w:style>
  <w:style w:type="paragraph" w:customStyle="1" w:styleId="Volume">
    <w:name w:val="Volume"/>
    <w:basedOn w:val="Normal"/>
    <w:next w:val="Confidentialit"/>
    <w:rsid w:val="0099489F"/>
    <w:pPr>
      <w:spacing w:after="240" w:line="240" w:lineRule="auto"/>
      <w:ind w:left="5103"/>
    </w:pPr>
    <w:rPr>
      <w:rFonts w:ascii="Times New Roman" w:hAnsi="Times New Roman"/>
      <w:szCs w:val="22"/>
    </w:rPr>
  </w:style>
  <w:style w:type="paragraph" w:customStyle="1" w:styleId="IntrtEEE">
    <w:name w:val="Intérêt EEE"/>
    <w:basedOn w:val="Languesfaisantfoi"/>
    <w:next w:val="Normal"/>
    <w:rsid w:val="0099489F"/>
    <w:pPr>
      <w:spacing w:after="240"/>
    </w:pPr>
  </w:style>
  <w:style w:type="paragraph" w:customStyle="1" w:styleId="Accompagnant">
    <w:name w:val="Accompagnant"/>
    <w:basedOn w:val="Normal"/>
    <w:next w:val="Typeacteprincipal"/>
    <w:rsid w:val="0099489F"/>
    <w:pPr>
      <w:spacing w:before="180" w:after="240" w:line="240" w:lineRule="auto"/>
      <w:jc w:val="center"/>
    </w:pPr>
    <w:rPr>
      <w:rFonts w:ascii="Times New Roman" w:hAnsi="Times New Roman"/>
      <w:b/>
      <w:szCs w:val="22"/>
    </w:rPr>
  </w:style>
  <w:style w:type="paragraph" w:customStyle="1" w:styleId="Typeacteprincipal">
    <w:name w:val="Type acte principal"/>
    <w:basedOn w:val="Normal"/>
    <w:next w:val="Objetacteprincipal"/>
    <w:rsid w:val="0099489F"/>
    <w:pPr>
      <w:spacing w:after="240" w:line="240" w:lineRule="auto"/>
      <w:jc w:val="center"/>
    </w:pPr>
    <w:rPr>
      <w:rFonts w:ascii="Times New Roman" w:hAnsi="Times New Roman"/>
      <w:b/>
      <w:szCs w:val="22"/>
    </w:rPr>
  </w:style>
  <w:style w:type="paragraph" w:customStyle="1" w:styleId="Objetacteprincipal">
    <w:name w:val="Objet acte principal"/>
    <w:basedOn w:val="Normal"/>
    <w:next w:val="Titrearticle"/>
    <w:rsid w:val="0099489F"/>
    <w:pPr>
      <w:spacing w:after="360" w:line="240" w:lineRule="auto"/>
      <w:jc w:val="center"/>
    </w:pPr>
    <w:rPr>
      <w:rFonts w:ascii="Times New Roman" w:hAnsi="Times New Roman"/>
      <w:b/>
      <w:szCs w:val="22"/>
    </w:rPr>
  </w:style>
  <w:style w:type="paragraph" w:customStyle="1" w:styleId="IntrtEEEPagedecouverture">
    <w:name w:val="Intérêt EEE (Page de couverture)"/>
    <w:basedOn w:val="IntrtEEE"/>
    <w:next w:val="Rfrencecroise"/>
    <w:rsid w:val="0099489F"/>
  </w:style>
  <w:style w:type="paragraph" w:customStyle="1" w:styleId="AccompagnantPagedecouverture">
    <w:name w:val="Accompagnant (Page de couverture)"/>
    <w:basedOn w:val="Accompagnant"/>
    <w:next w:val="TypeacteprincipalPagedecouverture"/>
    <w:rsid w:val="0099489F"/>
  </w:style>
  <w:style w:type="paragraph" w:customStyle="1" w:styleId="TypeacteprincipalPagedecouverture">
    <w:name w:val="Type acte principal (Page de couverture)"/>
    <w:basedOn w:val="Typeacteprincipal"/>
    <w:next w:val="ObjetacteprincipalPagedecouverture"/>
    <w:rsid w:val="0099489F"/>
  </w:style>
  <w:style w:type="paragraph" w:customStyle="1" w:styleId="ObjetacteprincipalPagedecouverture">
    <w:name w:val="Objet acte principal (Page de couverture)"/>
    <w:basedOn w:val="Objetacteprincipal"/>
    <w:next w:val="Rfrencecroise"/>
    <w:rsid w:val="0099489F"/>
  </w:style>
  <w:style w:type="paragraph" w:customStyle="1" w:styleId="LanguesfaisantfoiPagedecouverture">
    <w:name w:val="Langues faisant foi (Page de couverture)"/>
    <w:basedOn w:val="Normal"/>
    <w:next w:val="Normal"/>
    <w:rsid w:val="0099489F"/>
    <w:pPr>
      <w:spacing w:before="360" w:after="0" w:line="240" w:lineRule="auto"/>
      <w:jc w:val="center"/>
    </w:pPr>
    <w:rPr>
      <w:rFonts w:ascii="Times New Roman" w:hAnsi="Times New Roman"/>
      <w:szCs w:val="22"/>
    </w:rPr>
  </w:style>
  <w:style w:type="paragraph" w:customStyle="1" w:styleId="msonormal0">
    <w:name w:val="msonormal"/>
    <w:basedOn w:val="Normal"/>
    <w:rsid w:val="0099489F"/>
    <w:pPr>
      <w:spacing w:before="100" w:beforeAutospacing="1" w:after="100" w:afterAutospacing="1" w:line="240" w:lineRule="auto"/>
    </w:pPr>
    <w:rPr>
      <w:rFonts w:ascii="Times New Roman" w:eastAsia="Times New Roman" w:hAnsi="Times New Roman"/>
    </w:rPr>
  </w:style>
  <w:style w:type="paragraph" w:customStyle="1" w:styleId="xl68">
    <w:name w:val="xl68"/>
    <w:basedOn w:val="Normal"/>
    <w:rsid w:val="0099489F"/>
    <w:pPr>
      <w:pBdr>
        <w:top w:val="single" w:sz="4" w:space="0" w:color="auto"/>
        <w:left w:val="single" w:sz="4" w:space="0" w:color="auto"/>
        <w:bottom w:val="single" w:sz="4" w:space="0" w:color="auto"/>
        <w:right w:val="single" w:sz="4" w:space="0" w:color="auto"/>
      </w:pBdr>
      <w:shd w:val="clear" w:color="B4C7E7" w:fill="BDD7EE"/>
      <w:spacing w:before="100" w:beforeAutospacing="1" w:after="100" w:afterAutospacing="1" w:line="240" w:lineRule="auto"/>
      <w:textAlignment w:val="center"/>
    </w:pPr>
    <w:rPr>
      <w:rFonts w:ascii="Times New Roman" w:eastAsia="Times New Roman" w:hAnsi="Times New Roman"/>
      <w:b/>
      <w:bCs/>
    </w:rPr>
  </w:style>
  <w:style w:type="paragraph" w:customStyle="1" w:styleId="xl69">
    <w:name w:val="xl69"/>
    <w:basedOn w:val="Normal"/>
    <w:rsid w:val="0099489F"/>
    <w:pPr>
      <w:spacing w:before="100" w:beforeAutospacing="1" w:after="100" w:afterAutospacing="1" w:line="240" w:lineRule="auto"/>
    </w:pPr>
    <w:rPr>
      <w:rFonts w:ascii="Times New Roman" w:eastAsia="Times New Roman" w:hAnsi="Times New Roman"/>
      <w:color w:val="000000"/>
    </w:rPr>
  </w:style>
  <w:style w:type="paragraph" w:customStyle="1" w:styleId="xl70">
    <w:name w:val="xl70"/>
    <w:basedOn w:val="Normal"/>
    <w:rsid w:val="0099489F"/>
    <w:pPr>
      <w:pBdr>
        <w:top w:val="single" w:sz="4" w:space="0" w:color="auto"/>
        <w:left w:val="single" w:sz="4" w:space="0" w:color="auto"/>
        <w:bottom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1">
    <w:name w:val="xl71"/>
    <w:basedOn w:val="Normal"/>
    <w:rsid w:val="0099489F"/>
    <w:pPr>
      <w:pBdr>
        <w:top w:val="single" w:sz="4" w:space="0" w:color="auto"/>
        <w:left w:val="single" w:sz="4" w:space="0" w:color="auto"/>
        <w:bottom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2">
    <w:name w:val="xl72"/>
    <w:basedOn w:val="Normal"/>
    <w:rsid w:val="0099489F"/>
    <w:pPr>
      <w:pBdr>
        <w:top w:val="single" w:sz="4" w:space="0" w:color="auto"/>
        <w:left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3">
    <w:name w:val="xl73"/>
    <w:basedOn w:val="Normal"/>
    <w:rsid w:val="0099489F"/>
    <w:pPr>
      <w:pBdr>
        <w:top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4">
    <w:name w:val="xl74"/>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pPr>
    <w:rPr>
      <w:rFonts w:ascii="Times New Roman" w:eastAsia="Times New Roman" w:hAnsi="Times New Roman"/>
      <w:color w:val="006100"/>
    </w:rPr>
  </w:style>
  <w:style w:type="paragraph" w:customStyle="1" w:styleId="xl75">
    <w:name w:val="xl75"/>
    <w:basedOn w:val="Normal"/>
    <w:rsid w:val="0099489F"/>
    <w:pPr>
      <w:pBdr>
        <w:top w:val="single" w:sz="4" w:space="0" w:color="auto"/>
        <w:left w:val="single" w:sz="4" w:space="0" w:color="auto"/>
        <w:bottom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6">
    <w:name w:val="xl76"/>
    <w:basedOn w:val="Normal"/>
    <w:rsid w:val="0099489F"/>
    <w:pPr>
      <w:pBdr>
        <w:top w:val="single" w:sz="4" w:space="0" w:color="auto"/>
        <w:bottom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7">
    <w:name w:val="xl77"/>
    <w:basedOn w:val="Normal"/>
    <w:rsid w:val="0099489F"/>
    <w:pPr>
      <w:pBdr>
        <w:top w:val="single" w:sz="4" w:space="0" w:color="auto"/>
        <w:bottom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8">
    <w:name w:val="xl78"/>
    <w:basedOn w:val="Normal"/>
    <w:rsid w:val="0099489F"/>
    <w:pPr>
      <w:spacing w:before="100" w:beforeAutospacing="1" w:after="100" w:afterAutospacing="1" w:line="240" w:lineRule="auto"/>
    </w:pPr>
    <w:rPr>
      <w:rFonts w:ascii="Times New Roman" w:eastAsia="Times New Roman" w:hAnsi="Times New Roman"/>
      <w:color w:val="000000"/>
    </w:rPr>
  </w:style>
  <w:style w:type="paragraph" w:customStyle="1" w:styleId="xl79">
    <w:name w:val="xl79"/>
    <w:basedOn w:val="Normal"/>
    <w:rsid w:val="0099489F"/>
    <w:pPr>
      <w:pBdr>
        <w:left w:val="single" w:sz="4" w:space="0" w:color="auto"/>
        <w:bottom w:val="single" w:sz="4" w:space="0" w:color="auto"/>
        <w:right w:val="single" w:sz="4" w:space="0" w:color="auto"/>
      </w:pBdr>
      <w:shd w:val="clear" w:color="CCFFCC" w:fill="C6EFCE"/>
      <w:spacing w:before="100" w:beforeAutospacing="1" w:after="100" w:afterAutospacing="1" w:line="240" w:lineRule="auto"/>
      <w:jc w:val="center"/>
    </w:pPr>
    <w:rPr>
      <w:rFonts w:ascii="Times New Roman" w:eastAsia="Times New Roman" w:hAnsi="Times New Roman"/>
      <w:color w:val="006100"/>
    </w:rPr>
  </w:style>
  <w:style w:type="paragraph" w:customStyle="1" w:styleId="xl80">
    <w:name w:val="xl80"/>
    <w:basedOn w:val="Normal"/>
    <w:rsid w:val="0099489F"/>
    <w:pPr>
      <w:pBdr>
        <w:left w:val="single" w:sz="4" w:space="0" w:color="auto"/>
        <w:bottom w:val="single" w:sz="4" w:space="0" w:color="auto"/>
        <w:right w:val="single" w:sz="4" w:space="0" w:color="auto"/>
      </w:pBdr>
      <w:shd w:val="clear" w:color="CCFFCC" w:fill="C6EFCE"/>
      <w:spacing w:before="100" w:beforeAutospacing="1" w:after="100" w:afterAutospacing="1" w:line="240" w:lineRule="auto"/>
    </w:pPr>
    <w:rPr>
      <w:rFonts w:ascii="Times New Roman" w:eastAsia="Times New Roman" w:hAnsi="Times New Roman"/>
      <w:color w:val="006100"/>
    </w:rPr>
  </w:style>
  <w:style w:type="paragraph" w:customStyle="1" w:styleId="xl81">
    <w:name w:val="xl81"/>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pPr>
    <w:rPr>
      <w:rFonts w:ascii="Times New Roman" w:eastAsia="Times New Roman" w:hAnsi="Times New Roman"/>
      <w:color w:val="006100"/>
    </w:rPr>
  </w:style>
  <w:style w:type="paragraph" w:customStyle="1" w:styleId="xl82">
    <w:name w:val="xl82"/>
    <w:basedOn w:val="Normal"/>
    <w:rsid w:val="0099489F"/>
    <w:pPr>
      <w:pBdr>
        <w:left w:val="single" w:sz="4" w:space="0" w:color="auto"/>
        <w:bottom w:val="single" w:sz="4" w:space="0" w:color="auto"/>
        <w:right w:val="single" w:sz="4" w:space="0" w:color="auto"/>
      </w:pBdr>
      <w:shd w:val="clear" w:color="CCFFCC" w:fill="C6EFCE"/>
      <w:spacing w:before="100" w:beforeAutospacing="1" w:after="100" w:afterAutospacing="1" w:line="240" w:lineRule="auto"/>
      <w:textAlignment w:val="top"/>
    </w:pPr>
    <w:rPr>
      <w:rFonts w:ascii="Times New Roman" w:eastAsia="Times New Roman" w:hAnsi="Times New Roman"/>
      <w:color w:val="006100"/>
    </w:rPr>
  </w:style>
  <w:style w:type="paragraph" w:customStyle="1" w:styleId="xl83">
    <w:name w:val="xl83"/>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jc w:val="center"/>
    </w:pPr>
    <w:rPr>
      <w:rFonts w:ascii="Times New Roman" w:eastAsia="Times New Roman" w:hAnsi="Times New Roman"/>
      <w:color w:val="006100"/>
    </w:rPr>
  </w:style>
  <w:style w:type="paragraph" w:customStyle="1" w:styleId="xl84">
    <w:name w:val="xl84"/>
    <w:basedOn w:val="Normal"/>
    <w:rsid w:val="0099489F"/>
    <w:pPr>
      <w:pBdr>
        <w:top w:val="single" w:sz="4" w:space="0" w:color="auto"/>
        <w:left w:val="single" w:sz="4" w:space="0" w:color="auto"/>
        <w:right w:val="single" w:sz="4" w:space="0" w:color="auto"/>
      </w:pBdr>
      <w:shd w:val="clear" w:color="CCFFCC" w:fill="C6EFCE"/>
      <w:spacing w:before="100" w:beforeAutospacing="1" w:after="100" w:afterAutospacing="1" w:line="240" w:lineRule="auto"/>
      <w:textAlignment w:val="top"/>
    </w:pPr>
    <w:rPr>
      <w:rFonts w:ascii="Times New Roman" w:eastAsia="Times New Roman" w:hAnsi="Times New Roman"/>
      <w:color w:val="006100"/>
    </w:rPr>
  </w:style>
  <w:style w:type="paragraph" w:customStyle="1" w:styleId="xl85">
    <w:name w:val="xl85"/>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textAlignment w:val="top"/>
    </w:pPr>
    <w:rPr>
      <w:rFonts w:ascii="Times New Roman" w:eastAsia="Times New Roman" w:hAnsi="Times New Roman"/>
      <w:color w:val="006100"/>
    </w:rPr>
  </w:style>
  <w:style w:type="paragraph" w:customStyle="1" w:styleId="xl86">
    <w:name w:val="xl86"/>
    <w:basedOn w:val="Normal"/>
    <w:rsid w:val="0099489F"/>
    <w:pPr>
      <w:spacing w:before="100" w:beforeAutospacing="1" w:after="100" w:afterAutospacing="1" w:line="240" w:lineRule="auto"/>
      <w:jc w:val="center"/>
    </w:pPr>
    <w:rPr>
      <w:rFonts w:ascii="Times New Roman" w:eastAsia="Times New Roman" w:hAnsi="Times New Roman"/>
      <w:color w:val="000000"/>
    </w:rPr>
  </w:style>
  <w:style w:type="paragraph" w:customStyle="1" w:styleId="xl87">
    <w:name w:val="xl87"/>
    <w:basedOn w:val="Normal"/>
    <w:rsid w:val="0099489F"/>
    <w:pPr>
      <w:pBdr>
        <w:top w:val="single" w:sz="4" w:space="0" w:color="auto"/>
        <w:bottom w:val="single" w:sz="4" w:space="0" w:color="auto"/>
        <w:right w:val="single" w:sz="4" w:space="0" w:color="auto"/>
      </w:pBdr>
      <w:shd w:val="clear" w:color="B4C7E7" w:fill="BDD7EE"/>
      <w:spacing w:before="100" w:beforeAutospacing="1" w:after="100" w:afterAutospacing="1" w:line="240" w:lineRule="auto"/>
      <w:textAlignment w:val="center"/>
    </w:pPr>
    <w:rPr>
      <w:rFonts w:ascii="Times New Roman" w:eastAsia="Times New Roman" w:hAnsi="Times New Roman"/>
      <w:b/>
      <w:bCs/>
    </w:rPr>
  </w:style>
  <w:style w:type="paragraph" w:customStyle="1" w:styleId="xl88">
    <w:name w:val="xl88"/>
    <w:basedOn w:val="Normal"/>
    <w:rsid w:val="0099489F"/>
    <w:pPr>
      <w:spacing w:before="100" w:beforeAutospacing="1" w:after="100" w:afterAutospacing="1" w:line="240" w:lineRule="auto"/>
      <w:jc w:val="center"/>
    </w:pPr>
    <w:rPr>
      <w:rFonts w:ascii="Times New Roman" w:eastAsia="Times New Roman" w:hAnsi="Times New Roman"/>
      <w:color w:val="000000"/>
    </w:rPr>
  </w:style>
  <w:style w:type="character" w:customStyle="1" w:styleId="normaltextrun">
    <w:name w:val="normaltextrun"/>
    <w:basedOn w:val="DefaultParagraphFont"/>
    <w:rsid w:val="0099489F"/>
  </w:style>
  <w:style w:type="paragraph" w:customStyle="1" w:styleId="paragraph">
    <w:name w:val="paragraph"/>
    <w:basedOn w:val="Normal"/>
    <w:rsid w:val="0099489F"/>
    <w:pPr>
      <w:spacing w:before="100" w:beforeAutospacing="1" w:after="100" w:afterAutospacing="1" w:line="240" w:lineRule="auto"/>
    </w:pPr>
    <w:rPr>
      <w:rFonts w:ascii="Times New Roman" w:eastAsia="Times New Roman" w:hAnsi="Times New Roman"/>
    </w:rPr>
  </w:style>
  <w:style w:type="character" w:customStyle="1" w:styleId="eop">
    <w:name w:val="eop"/>
    <w:basedOn w:val="DefaultParagraphFont"/>
    <w:rsid w:val="0099489F"/>
  </w:style>
  <w:style w:type="character" w:customStyle="1" w:styleId="tabchar">
    <w:name w:val="tabchar"/>
    <w:basedOn w:val="DefaultParagraphFont"/>
    <w:rsid w:val="0099489F"/>
  </w:style>
  <w:style w:type="paragraph" w:styleId="NormalWeb">
    <w:name w:val="Normal (Web)"/>
    <w:basedOn w:val="Normal"/>
    <w:uiPriority w:val="99"/>
    <w:semiHidden/>
    <w:unhideWhenUsed/>
    <w:rsid w:val="0099489F"/>
    <w:pPr>
      <w:spacing w:before="120" w:after="120" w:line="240" w:lineRule="auto"/>
      <w:jc w:val="both"/>
    </w:pPr>
    <w:rPr>
      <w:rFonts w:ascii="Times New Roman" w:hAnsi="Times New Roman"/>
    </w:rPr>
  </w:style>
  <w:style w:type="paragraph" w:styleId="HTMLPreformatted">
    <w:name w:val="HTML Preformatted"/>
    <w:basedOn w:val="Normal"/>
    <w:link w:val="HTMLPreformattedChar"/>
    <w:uiPriority w:val="99"/>
    <w:semiHidden/>
    <w:unhideWhenUsed/>
    <w:rsid w:val="00994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9489F"/>
    <w:rPr>
      <w:rFonts w:ascii="Courier New" w:eastAsia="Times New Roman" w:hAnsi="Courier New" w:cs="Courier New"/>
      <w:sz w:val="20"/>
      <w:szCs w:val="20"/>
    </w:rPr>
  </w:style>
  <w:style w:type="paragraph" w:customStyle="1" w:styleId="FooterCoverPage">
    <w:name w:val="Footer Cover Page"/>
    <w:basedOn w:val="Normal"/>
    <w:link w:val="FooterCoverPageChar"/>
    <w:rsid w:val="0099489F"/>
    <w:pPr>
      <w:keepNext/>
      <w:tabs>
        <w:tab w:val="center" w:pos="4535"/>
        <w:tab w:val="right" w:pos="9071"/>
        <w:tab w:val="right" w:pos="9921"/>
      </w:tabs>
      <w:spacing w:before="360" w:after="0" w:line="240" w:lineRule="auto"/>
      <w:ind w:left="-850" w:right="-850"/>
      <w:outlineLvl w:val="0"/>
    </w:pPr>
    <w:rPr>
      <w:rFonts w:ascii="Times New Roman" w:hAnsi="Times New Roman" w:cs="Times New Roman"/>
    </w:rPr>
  </w:style>
  <w:style w:type="character" w:customStyle="1" w:styleId="FooterCoverPageChar">
    <w:name w:val="Footer Cover Page Char"/>
    <w:link w:val="FooterCoverPage"/>
    <w:rsid w:val="0099489F"/>
    <w:rPr>
      <w:rFonts w:ascii="Times New Roman" w:hAnsi="Times New Roman" w:cs="Times New Roman"/>
    </w:rPr>
  </w:style>
  <w:style w:type="paragraph" w:customStyle="1" w:styleId="HeaderCoverPage">
    <w:name w:val="Header Cover Page"/>
    <w:basedOn w:val="Normal"/>
    <w:link w:val="HeaderCoverPageChar"/>
    <w:rsid w:val="0099489F"/>
    <w:pPr>
      <w:keepNext/>
      <w:tabs>
        <w:tab w:val="center" w:pos="4535"/>
        <w:tab w:val="right" w:pos="9071"/>
      </w:tabs>
      <w:spacing w:after="120" w:line="240" w:lineRule="auto"/>
      <w:jc w:val="both"/>
      <w:outlineLvl w:val="0"/>
    </w:pPr>
    <w:rPr>
      <w:rFonts w:ascii="Times New Roman" w:hAnsi="Times New Roman" w:cs="Times New Roman"/>
    </w:rPr>
  </w:style>
  <w:style w:type="character" w:customStyle="1" w:styleId="HeaderCoverPageChar">
    <w:name w:val="Header Cover Page Char"/>
    <w:link w:val="HeaderCoverPage"/>
    <w:rsid w:val="0099489F"/>
    <w:rPr>
      <w:rFonts w:ascii="Times New Roman" w:hAnsi="Times New Roman" w:cs="Times New Roman"/>
    </w:rPr>
  </w:style>
  <w:style w:type="paragraph" w:customStyle="1" w:styleId="TechnicalBlock">
    <w:name w:val="Technical Block"/>
    <w:basedOn w:val="Normal"/>
    <w:link w:val="TechnicalBlockChar"/>
    <w:rsid w:val="0099489F"/>
    <w:pPr>
      <w:spacing w:after="240" w:line="240" w:lineRule="auto"/>
      <w:jc w:val="center"/>
    </w:pPr>
    <w:rPr>
      <w:rFonts w:ascii="Times New Roman" w:hAnsi="Times New Roman"/>
      <w:color w:val="006100"/>
      <w:sz w:val="20"/>
      <w:szCs w:val="20"/>
    </w:rPr>
  </w:style>
  <w:style w:type="character" w:customStyle="1" w:styleId="TechnicalBlockChar">
    <w:name w:val="Technical Block Char"/>
    <w:basedOn w:val="DefaultParagraphFont"/>
    <w:link w:val="TechnicalBlock"/>
    <w:rsid w:val="0099489F"/>
    <w:rPr>
      <w:rFonts w:ascii="Times New Roman" w:hAnsi="Times New Roman"/>
      <w:color w:val="006100"/>
      <w:sz w:val="20"/>
      <w:szCs w:val="20"/>
    </w:rPr>
  </w:style>
  <w:style w:type="paragraph" w:customStyle="1" w:styleId="EntText">
    <w:name w:val="EntText"/>
    <w:basedOn w:val="Normal"/>
    <w:rsid w:val="0099489F"/>
    <w:pPr>
      <w:spacing w:before="120" w:after="120" w:line="360" w:lineRule="auto"/>
    </w:pPr>
    <w:rPr>
      <w:rFonts w:ascii="Times New Roman" w:eastAsiaTheme="minorHAnsi" w:hAnsi="Times New Roman"/>
      <w:szCs w:val="22"/>
    </w:rPr>
  </w:style>
  <w:style w:type="paragraph" w:customStyle="1" w:styleId="Lignefinal">
    <w:name w:val="Ligne final"/>
    <w:basedOn w:val="Normal"/>
    <w:next w:val="Normal"/>
    <w:rsid w:val="0099489F"/>
    <w:pPr>
      <w:pBdr>
        <w:bottom w:val="single" w:sz="4" w:space="0" w:color="000000"/>
      </w:pBdr>
      <w:spacing w:before="360" w:after="120" w:line="360" w:lineRule="auto"/>
      <w:ind w:left="3400" w:right="3400"/>
      <w:jc w:val="center"/>
    </w:pPr>
    <w:rPr>
      <w:rFonts w:ascii="Times New Roman" w:eastAsiaTheme="minorHAnsi" w:hAnsi="Times New Roman"/>
      <w:b/>
      <w:szCs w:val="22"/>
    </w:rPr>
  </w:style>
  <w:style w:type="paragraph" w:customStyle="1" w:styleId="pj">
    <w:name w:val="p.j."/>
    <w:basedOn w:val="Normal"/>
    <w:link w:val="pjChar"/>
    <w:rsid w:val="0099489F"/>
    <w:pPr>
      <w:spacing w:before="1200" w:after="120" w:line="240" w:lineRule="auto"/>
      <w:ind w:left="1440" w:hanging="1440"/>
    </w:pPr>
    <w:rPr>
      <w:rFonts w:ascii="Times New Roman" w:hAnsi="Times New Roman"/>
      <w:szCs w:val="22"/>
    </w:rPr>
  </w:style>
  <w:style w:type="character" w:customStyle="1" w:styleId="pjChar">
    <w:name w:val="p.j. Char"/>
    <w:basedOn w:val="DefaultParagraphFont"/>
    <w:link w:val="pj"/>
    <w:rsid w:val="0099489F"/>
    <w:rPr>
      <w:rFonts w:ascii="Times New Roman" w:hAnsi="Times New Roman"/>
      <w:szCs w:val="22"/>
    </w:rPr>
  </w:style>
  <w:style w:type="paragraph" w:customStyle="1" w:styleId="nbbordered">
    <w:name w:val="nb bordered"/>
    <w:basedOn w:val="Normal"/>
    <w:link w:val="nbborderedChar"/>
    <w:rsid w:val="0099489F"/>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b/>
      <w:szCs w:val="22"/>
    </w:rPr>
  </w:style>
  <w:style w:type="character" w:customStyle="1" w:styleId="nbborderedChar">
    <w:name w:val="nb bordered Char"/>
    <w:basedOn w:val="DefaultParagraphFont"/>
    <w:link w:val="nbbordered"/>
    <w:rsid w:val="0099489F"/>
    <w:rPr>
      <w:rFonts w:ascii="Times New Roman" w:hAnsi="Times New Roman"/>
      <w:b/>
      <w:szCs w:val="22"/>
    </w:rPr>
  </w:style>
  <w:style w:type="paragraph" w:customStyle="1" w:styleId="HeaderCouncil">
    <w:name w:val="Header Council"/>
    <w:basedOn w:val="Normal"/>
    <w:link w:val="HeaderCouncilChar"/>
    <w:rsid w:val="0099489F"/>
    <w:pPr>
      <w:spacing w:after="0" w:line="259" w:lineRule="auto"/>
    </w:pPr>
    <w:rPr>
      <w:rFonts w:ascii="Times New Roman" w:hAnsi="Times New Roman"/>
      <w:sz w:val="2"/>
      <w:szCs w:val="22"/>
    </w:rPr>
  </w:style>
  <w:style w:type="character" w:customStyle="1" w:styleId="HeaderCouncilChar">
    <w:name w:val="Header Council Char"/>
    <w:basedOn w:val="DefaultParagraphFont"/>
    <w:link w:val="HeaderCouncil"/>
    <w:rsid w:val="0099489F"/>
    <w:rPr>
      <w:sz w:val="2"/>
      <w:szCs w:val="22"/>
    </w:rPr>
  </w:style>
  <w:style w:type="paragraph" w:customStyle="1" w:styleId="HeaderCouncilLarge">
    <w:name w:val="Header Council Large"/>
    <w:basedOn w:val="Normal"/>
    <w:link w:val="HeaderCouncilLargeChar"/>
    <w:rsid w:val="0099489F"/>
    <w:pPr>
      <w:spacing w:after="440" w:line="259" w:lineRule="auto"/>
    </w:pPr>
    <w:rPr>
      <w:rFonts w:ascii="Times New Roman" w:hAnsi="Times New Roman"/>
      <w:sz w:val="2"/>
      <w:szCs w:val="22"/>
    </w:rPr>
  </w:style>
  <w:style w:type="character" w:customStyle="1" w:styleId="HeaderCouncilLargeChar">
    <w:name w:val="Header Council Large Char"/>
    <w:basedOn w:val="DefaultParagraphFont"/>
    <w:link w:val="HeaderCouncilLarge"/>
    <w:rsid w:val="0099489F"/>
    <w:rPr>
      <w:sz w:val="2"/>
      <w:szCs w:val="22"/>
    </w:rPr>
  </w:style>
  <w:style w:type="paragraph" w:customStyle="1" w:styleId="FooterText">
    <w:name w:val="Footer Text"/>
    <w:basedOn w:val="Normal"/>
    <w:rsid w:val="0099489F"/>
    <w:pPr>
      <w:spacing w:after="0" w:line="240" w:lineRule="auto"/>
    </w:pPr>
    <w:rPr>
      <w:rFonts w:ascii="Times New Roman" w:eastAsia="Times New Roman" w:hAnsi="Times New Roman"/>
    </w:rPr>
  </w:style>
  <w:style w:type="character" w:customStyle="1" w:styleId="UnresolvedMention1">
    <w:name w:val="Unresolved Mention1"/>
    <w:basedOn w:val="DefaultParagraphFont"/>
    <w:uiPriority w:val="99"/>
    <w:unhideWhenUsed/>
    <w:rsid w:val="0099489F"/>
    <w:rPr>
      <w:color w:val="605E5C"/>
      <w:shd w:val="clear" w:color="auto" w:fill="E1DFDD"/>
    </w:rPr>
  </w:style>
  <w:style w:type="character" w:customStyle="1" w:styleId="trackchangetextinsertion">
    <w:name w:val="trackchangetextinsertion"/>
    <w:basedOn w:val="DefaultParagraphFont"/>
    <w:rsid w:val="0099489F"/>
  </w:style>
  <w:style w:type="character" w:customStyle="1" w:styleId="textrun">
    <w:name w:val="textrun"/>
    <w:basedOn w:val="DefaultParagraphFont"/>
    <w:rsid w:val="0099489F"/>
  </w:style>
  <w:style w:type="character" w:customStyle="1" w:styleId="trackedchange">
    <w:name w:val="trackedchange"/>
    <w:basedOn w:val="DefaultParagraphFont"/>
    <w:rsid w:val="0099489F"/>
  </w:style>
  <w:style w:type="character" w:customStyle="1" w:styleId="trackchangetextdeletionmarker">
    <w:name w:val="trackchangetextdeletionmarker"/>
    <w:basedOn w:val="DefaultParagraphFont"/>
    <w:rsid w:val="0099489F"/>
  </w:style>
  <w:style w:type="paragraph" w:customStyle="1" w:styleId="outlineelement">
    <w:name w:val="outlineelement"/>
    <w:basedOn w:val="Normal"/>
    <w:rsid w:val="0099489F"/>
    <w:pPr>
      <w:spacing w:before="100" w:beforeAutospacing="1" w:after="100" w:afterAutospacing="1" w:line="240" w:lineRule="auto"/>
    </w:pPr>
    <w:rPr>
      <w:rFonts w:ascii="Times New Roman" w:eastAsia="Times New Roman" w:hAnsi="Times New Roman"/>
    </w:rPr>
  </w:style>
  <w:style w:type="paragraph" w:customStyle="1" w:styleId="P68B1DB1-Normlny34">
    <w:name w:val="P68B1DB1-Normlny34"/>
    <w:basedOn w:val="Normal"/>
    <w:rsid w:val="0099489F"/>
    <w:pPr>
      <w:spacing w:line="259" w:lineRule="auto"/>
    </w:pPr>
    <w:rPr>
      <w:rFonts w:ascii="Arial Narrow" w:eastAsiaTheme="minorHAnsi" w:hAnsi="Arial Narrow"/>
      <w:i/>
      <w:sz w:val="22"/>
      <w:szCs w:val="20"/>
      <w:u w:val="single"/>
    </w:rPr>
  </w:style>
  <w:style w:type="paragraph" w:customStyle="1" w:styleId="P68B1DB1-Normlny35">
    <w:name w:val="P68B1DB1-Normlny35"/>
    <w:basedOn w:val="Normal"/>
    <w:rsid w:val="0099489F"/>
    <w:pPr>
      <w:spacing w:line="259" w:lineRule="auto"/>
    </w:pPr>
    <w:rPr>
      <w:rFonts w:ascii="Arial Narrow" w:eastAsiaTheme="minorHAnsi" w:hAnsi="Arial Narrow"/>
      <w:sz w:val="22"/>
      <w:szCs w:val="20"/>
    </w:rPr>
  </w:style>
  <w:style w:type="paragraph" w:customStyle="1" w:styleId="P68B1DB1-Odsekzoznamu36">
    <w:name w:val="P68B1DB1-Odsekzoznamu36"/>
    <w:basedOn w:val="ListParagraph"/>
    <w:rsid w:val="0099489F"/>
    <w:rPr>
      <w:rFonts w:ascii="Arial Narrow" w:hAnsi="Arial Narrow"/>
      <w:szCs w:val="20"/>
    </w:rPr>
  </w:style>
  <w:style w:type="character" w:styleId="Emphasis">
    <w:name w:val="Emphasis"/>
    <w:basedOn w:val="DefaultParagraphFont"/>
    <w:uiPriority w:val="20"/>
    <w:qFormat/>
    <w:rsid w:val="0099489F"/>
    <w:rPr>
      <w:i/>
      <w:iCs/>
      <w:color w:val="auto"/>
    </w:rPr>
  </w:style>
  <w:style w:type="paragraph" w:customStyle="1" w:styleId="P68B1DB1-Normlny17">
    <w:name w:val="P68B1DB1-Normlny17"/>
    <w:basedOn w:val="Normal"/>
    <w:rsid w:val="0099489F"/>
    <w:pPr>
      <w:spacing w:line="259" w:lineRule="auto"/>
    </w:pPr>
    <w:rPr>
      <w:rFonts w:ascii="Arial Narrow" w:eastAsia="Arial Narrow" w:hAnsi="Arial Narrow" w:cs="Arial Narrow"/>
      <w:sz w:val="22"/>
      <w:szCs w:val="20"/>
    </w:rPr>
  </w:style>
  <w:style w:type="paragraph" w:customStyle="1" w:styleId="P68B1DB1-Normlny20">
    <w:name w:val="P68B1DB1-Normlny20"/>
    <w:basedOn w:val="Normal"/>
    <w:rsid w:val="0099489F"/>
    <w:pPr>
      <w:spacing w:line="259" w:lineRule="auto"/>
    </w:pPr>
    <w:rPr>
      <w:rFonts w:ascii="Arial Narrow" w:eastAsia="Arial Narrow" w:hAnsi="Arial Narrow" w:cs="Arial Narrow"/>
      <w:i/>
      <w:color w:val="000000" w:themeColor="text1"/>
      <w:sz w:val="22"/>
      <w:szCs w:val="20"/>
      <w:u w:val="single"/>
    </w:rPr>
  </w:style>
  <w:style w:type="paragraph" w:customStyle="1" w:styleId="P68B1DB1-Normlny26">
    <w:name w:val="P68B1DB1-Normlny26"/>
    <w:basedOn w:val="Normal"/>
    <w:rsid w:val="0099489F"/>
    <w:pPr>
      <w:spacing w:line="259" w:lineRule="auto"/>
    </w:pPr>
    <w:rPr>
      <w:rFonts w:ascii="Arial Narrow" w:eastAsia="Arial Narrow" w:hAnsi="Arial Narrow" w:cs="Arial Narrow"/>
      <w:b/>
      <w:color w:val="000000" w:themeColor="text1"/>
      <w:sz w:val="22"/>
      <w:szCs w:val="20"/>
    </w:rPr>
  </w:style>
  <w:style w:type="paragraph" w:customStyle="1" w:styleId="P68B1DB1-Odsekzoznamu48">
    <w:name w:val="P68B1DB1-Odsekzoznamu48"/>
    <w:basedOn w:val="ListParagraph"/>
    <w:rsid w:val="0099489F"/>
    <w:rPr>
      <w:rFonts w:ascii="Arial Narrow" w:eastAsia="Arial Narrow" w:hAnsi="Arial Narrow" w:cs="Arial Narrow"/>
      <w:szCs w:val="20"/>
    </w:rPr>
  </w:style>
  <w:style w:type="paragraph" w:customStyle="1" w:styleId="P68B1DB1-Normlny50">
    <w:name w:val="P68B1DB1-Normlny50"/>
    <w:basedOn w:val="Normal"/>
    <w:rsid w:val="0099489F"/>
    <w:pPr>
      <w:spacing w:line="259" w:lineRule="auto"/>
    </w:pPr>
    <w:rPr>
      <w:rFonts w:ascii="Arial Narrow" w:eastAsia="Arial Narrow" w:hAnsi="Arial Narrow" w:cs="Arial Narrow"/>
      <w:i/>
      <w:sz w:val="22"/>
      <w:szCs w:val="20"/>
    </w:rPr>
  </w:style>
  <w:style w:type="character" w:customStyle="1" w:styleId="Mention2">
    <w:name w:val="Mention2"/>
    <w:basedOn w:val="DefaultParagraphFont"/>
    <w:uiPriority w:val="99"/>
    <w:unhideWhenUsed/>
    <w:rsid w:val="0099489F"/>
    <w:rPr>
      <w:color w:val="2B579A"/>
      <w:shd w:val="clear" w:color="auto" w:fill="E6E6E6"/>
    </w:rPr>
  </w:style>
  <w:style w:type="paragraph" w:customStyle="1" w:styleId="P68B1DB1-Odsekzoznamu25">
    <w:name w:val="P68B1DB1-Odsekzoznamu25"/>
    <w:basedOn w:val="ListParagraph"/>
    <w:rsid w:val="0099489F"/>
    <w:rPr>
      <w:rFonts w:ascii="Arial Narrow" w:eastAsia="Arial Narrow" w:hAnsi="Arial Narrow" w:cs="Arial Narrow"/>
      <w:color w:val="000000" w:themeColor="text1"/>
      <w:szCs w:val="20"/>
    </w:rPr>
  </w:style>
  <w:style w:type="character" w:customStyle="1" w:styleId="findhit">
    <w:name w:val="findhit"/>
    <w:basedOn w:val="DefaultParagraphFont"/>
    <w:rsid w:val="0099489F"/>
  </w:style>
  <w:style w:type="paragraph" w:customStyle="1" w:styleId="P68B1DB1-Normlny21">
    <w:name w:val="P68B1DB1-Normlny21"/>
    <w:basedOn w:val="Normal"/>
    <w:rsid w:val="0099489F"/>
    <w:pPr>
      <w:spacing w:line="259" w:lineRule="auto"/>
    </w:pPr>
    <w:rPr>
      <w:rFonts w:ascii="Arial Narrow" w:eastAsia="Arial Narrow" w:hAnsi="Arial Narrow" w:cs="Arial Narrow"/>
      <w:color w:val="000000" w:themeColor="text1"/>
      <w:sz w:val="22"/>
      <w:szCs w:val="20"/>
    </w:rPr>
  </w:style>
  <w:style w:type="paragraph" w:customStyle="1" w:styleId="P68B1DB1-Normlny41">
    <w:name w:val="P68B1DB1-Normlny41"/>
    <w:basedOn w:val="Normal"/>
    <w:rsid w:val="0099489F"/>
    <w:pPr>
      <w:spacing w:line="259" w:lineRule="auto"/>
    </w:pPr>
    <w:rPr>
      <w:rFonts w:ascii="Arial Narrow" w:eastAsiaTheme="minorHAnsi" w:hAnsi="Arial Narrow"/>
      <w:i/>
      <w:color w:val="000000"/>
      <w:sz w:val="22"/>
      <w:szCs w:val="20"/>
      <w:u w:val="single"/>
    </w:rPr>
  </w:style>
  <w:style w:type="paragraph" w:customStyle="1" w:styleId="P68B1DB1-Normlny62">
    <w:name w:val="P68B1DB1-Normlny62"/>
    <w:basedOn w:val="Normal"/>
    <w:rsid w:val="0099489F"/>
    <w:pPr>
      <w:spacing w:line="259" w:lineRule="auto"/>
    </w:pPr>
    <w:rPr>
      <w:rFonts w:ascii="Arial Narrow" w:eastAsiaTheme="minorHAnsi" w:hAnsi="Arial Narrow" w:cs="Arial"/>
      <w:i/>
      <w:sz w:val="22"/>
      <w:szCs w:val="20"/>
      <w:u w:val="single"/>
    </w:rPr>
  </w:style>
  <w:style w:type="paragraph" w:customStyle="1" w:styleId="P68B1DB1-Normlny64">
    <w:name w:val="P68B1DB1-Normlny64"/>
    <w:basedOn w:val="Normal"/>
    <w:rsid w:val="0099489F"/>
    <w:pPr>
      <w:spacing w:line="259" w:lineRule="auto"/>
    </w:pPr>
    <w:rPr>
      <w:rFonts w:ascii="Arial Narrow" w:eastAsiaTheme="minorHAnsi" w:hAnsi="Arial Narrow" w:cs="Arial"/>
      <w:sz w:val="22"/>
      <w:szCs w:val="20"/>
    </w:rPr>
  </w:style>
  <w:style w:type="paragraph" w:customStyle="1" w:styleId="P68B1DB1-Normlny37">
    <w:name w:val="P68B1DB1-Normlny37"/>
    <w:basedOn w:val="Normal"/>
    <w:rsid w:val="0099489F"/>
    <w:pPr>
      <w:spacing w:line="259" w:lineRule="auto"/>
    </w:pPr>
    <w:rPr>
      <w:rFonts w:ascii="Arial Narrow" w:eastAsia="Arial Narrow" w:hAnsi="Arial Narrow" w:cs="Arial"/>
      <w:i/>
      <w:color w:val="000000" w:themeColor="text1"/>
      <w:sz w:val="22"/>
      <w:szCs w:val="20"/>
      <w:u w:val="single"/>
    </w:rPr>
  </w:style>
  <w:style w:type="character" w:customStyle="1" w:styleId="UnresolvedMention2">
    <w:name w:val="Unresolved Mention2"/>
    <w:basedOn w:val="DefaultParagraphFont"/>
    <w:uiPriority w:val="99"/>
    <w:unhideWhenUsed/>
    <w:rsid w:val="0099489F"/>
    <w:rPr>
      <w:color w:val="605E5C"/>
      <w:shd w:val="clear" w:color="auto" w:fill="E1DFDD"/>
    </w:rPr>
  </w:style>
  <w:style w:type="character" w:customStyle="1" w:styleId="Mention3">
    <w:name w:val="Mention3"/>
    <w:basedOn w:val="DefaultParagraphFont"/>
    <w:uiPriority w:val="99"/>
    <w:unhideWhenUsed/>
    <w:rsid w:val="0099489F"/>
    <w:rPr>
      <w:color w:val="2B579A"/>
      <w:shd w:val="clear" w:color="auto" w:fill="E1DFDD"/>
    </w:rPr>
  </w:style>
  <w:style w:type="paragraph" w:customStyle="1" w:styleId="Normal1">
    <w:name w:val="Normal1"/>
    <w:basedOn w:val="Normal"/>
    <w:rsid w:val="0099489F"/>
    <w:pPr>
      <w:spacing w:before="100" w:beforeAutospacing="1" w:after="100" w:afterAutospacing="1" w:line="240" w:lineRule="auto"/>
    </w:pPr>
    <w:rPr>
      <w:rFonts w:ascii="Times New Roman" w:eastAsia="Times New Roman" w:hAnsi="Times New Roman"/>
    </w:rPr>
  </w:style>
  <w:style w:type="character" w:customStyle="1" w:styleId="UnresolvedMention3">
    <w:name w:val="Unresolved Mention3"/>
    <w:basedOn w:val="DefaultParagraphFont"/>
    <w:uiPriority w:val="99"/>
    <w:unhideWhenUsed/>
    <w:rsid w:val="0099489F"/>
    <w:rPr>
      <w:color w:val="605E5C"/>
      <w:shd w:val="clear" w:color="auto" w:fill="E1DFDD"/>
    </w:rPr>
  </w:style>
  <w:style w:type="character" w:customStyle="1" w:styleId="Mention4">
    <w:name w:val="Mention4"/>
    <w:basedOn w:val="DefaultParagraphFont"/>
    <w:uiPriority w:val="99"/>
    <w:unhideWhenUsed/>
    <w:rsid w:val="0099489F"/>
    <w:rPr>
      <w:color w:val="2B579A"/>
      <w:shd w:val="clear" w:color="auto" w:fill="E1DFDD"/>
    </w:rPr>
  </w:style>
  <w:style w:type="character" w:customStyle="1" w:styleId="UnresolvedMention4">
    <w:name w:val="Unresolved Mention4"/>
    <w:basedOn w:val="DefaultParagraphFont"/>
    <w:uiPriority w:val="99"/>
    <w:unhideWhenUsed/>
    <w:rsid w:val="0099489F"/>
    <w:rPr>
      <w:color w:val="605E5C"/>
      <w:shd w:val="clear" w:color="auto" w:fill="E1DFDD"/>
    </w:rPr>
  </w:style>
  <w:style w:type="character" w:customStyle="1" w:styleId="Mention5">
    <w:name w:val="Mention5"/>
    <w:basedOn w:val="DefaultParagraphFont"/>
    <w:uiPriority w:val="99"/>
    <w:unhideWhenUsed/>
    <w:rsid w:val="0099489F"/>
    <w:rPr>
      <w:color w:val="2B579A"/>
      <w:shd w:val="clear" w:color="auto" w:fill="E1DFDD"/>
    </w:rPr>
  </w:style>
  <w:style w:type="character" w:customStyle="1" w:styleId="Mention6">
    <w:name w:val="Mention6"/>
    <w:basedOn w:val="DefaultParagraphFont"/>
    <w:uiPriority w:val="99"/>
    <w:unhideWhenUsed/>
    <w:rsid w:val="0099489F"/>
    <w:rPr>
      <w:color w:val="2B579A"/>
      <w:shd w:val="clear" w:color="auto" w:fill="E6E6E6"/>
    </w:rPr>
  </w:style>
  <w:style w:type="character" w:customStyle="1" w:styleId="UnresolvedMention5">
    <w:name w:val="Unresolved Mention5"/>
    <w:basedOn w:val="DefaultParagraphFont"/>
    <w:uiPriority w:val="99"/>
    <w:unhideWhenUsed/>
    <w:rsid w:val="0099489F"/>
    <w:rPr>
      <w:color w:val="605E5C"/>
      <w:shd w:val="clear" w:color="auto" w:fill="E1DFDD"/>
    </w:rPr>
  </w:style>
  <w:style w:type="character" w:customStyle="1" w:styleId="Mention7">
    <w:name w:val="Mention7"/>
    <w:basedOn w:val="DefaultParagraphFont"/>
    <w:uiPriority w:val="99"/>
    <w:unhideWhenUsed/>
    <w:rsid w:val="0099489F"/>
    <w:rPr>
      <w:color w:val="2B579A"/>
      <w:shd w:val="clear" w:color="auto" w:fill="E1DFDD"/>
    </w:rPr>
  </w:style>
  <w:style w:type="character" w:styleId="Strong">
    <w:name w:val="Strong"/>
    <w:basedOn w:val="DefaultParagraphFont"/>
    <w:uiPriority w:val="22"/>
    <w:qFormat/>
    <w:rsid w:val="0099489F"/>
    <w:rPr>
      <w:b/>
      <w:bCs/>
      <w:color w:val="auto"/>
    </w:rPr>
  </w:style>
  <w:style w:type="paragraph" w:styleId="NoSpacing">
    <w:name w:val="No Spacing"/>
    <w:uiPriority w:val="1"/>
    <w:qFormat/>
    <w:rsid w:val="0099489F"/>
    <w:pPr>
      <w:spacing w:after="0" w:line="240" w:lineRule="auto"/>
    </w:pPr>
    <w:rPr>
      <w:sz w:val="22"/>
      <w:szCs w:val="22"/>
    </w:rPr>
  </w:style>
  <w:style w:type="character" w:styleId="SubtleEmphasis">
    <w:name w:val="Subtle Emphasis"/>
    <w:basedOn w:val="DefaultParagraphFont"/>
    <w:uiPriority w:val="19"/>
    <w:qFormat/>
    <w:rsid w:val="0099489F"/>
    <w:rPr>
      <w:i/>
      <w:iCs/>
      <w:color w:val="404040" w:themeColor="text1" w:themeTint="BF"/>
    </w:rPr>
  </w:style>
  <w:style w:type="character" w:styleId="SubtleReference">
    <w:name w:val="Subtle Reference"/>
    <w:basedOn w:val="DefaultParagraphFont"/>
    <w:uiPriority w:val="31"/>
    <w:qFormat/>
    <w:rsid w:val="0099489F"/>
    <w:rPr>
      <w:smallCaps/>
      <w:color w:val="404040" w:themeColor="text1" w:themeTint="BF"/>
    </w:rPr>
  </w:style>
  <w:style w:type="character" w:styleId="BookTitle">
    <w:name w:val="Book Title"/>
    <w:basedOn w:val="DefaultParagraphFont"/>
    <w:uiPriority w:val="33"/>
    <w:qFormat/>
    <w:rsid w:val="0099489F"/>
    <w:rPr>
      <w:b/>
      <w:bCs/>
      <w:i/>
      <w:iCs/>
    </w:rPr>
  </w:style>
  <w:style w:type="character" w:customStyle="1" w:styleId="Mention80">
    <w:name w:val="Mention80"/>
    <w:basedOn w:val="DefaultParagraphFont"/>
    <w:uiPriority w:val="99"/>
    <w:unhideWhenUsed/>
    <w:rsid w:val="0099489F"/>
    <w:rPr>
      <w:color w:val="2B579A"/>
      <w:shd w:val="clear" w:color="auto" w:fill="E1DFDD"/>
    </w:rPr>
  </w:style>
  <w:style w:type="character" w:customStyle="1" w:styleId="UnresolvedMention6">
    <w:name w:val="Unresolved Mention6"/>
    <w:basedOn w:val="DefaultParagraphFont"/>
    <w:uiPriority w:val="99"/>
    <w:unhideWhenUsed/>
    <w:rsid w:val="0099489F"/>
    <w:rPr>
      <w:color w:val="605E5C"/>
      <w:shd w:val="clear" w:color="auto" w:fill="E1DFDD"/>
    </w:rPr>
  </w:style>
  <w:style w:type="character" w:customStyle="1" w:styleId="Mention8">
    <w:name w:val="Mention8"/>
    <w:basedOn w:val="DefaultParagraphFont"/>
    <w:uiPriority w:val="99"/>
    <w:unhideWhenUsed/>
    <w:rsid w:val="0099489F"/>
    <w:rPr>
      <w:color w:val="2B579A"/>
      <w:shd w:val="clear" w:color="auto" w:fill="E6E6E6"/>
    </w:rPr>
  </w:style>
  <w:style w:type="character" w:customStyle="1" w:styleId="UnresolvedMention7">
    <w:name w:val="Unresolved Mention7"/>
    <w:basedOn w:val="DefaultParagraphFont"/>
    <w:uiPriority w:val="99"/>
    <w:unhideWhenUsed/>
    <w:rsid w:val="0099489F"/>
    <w:rPr>
      <w:color w:val="605E5C"/>
      <w:shd w:val="clear" w:color="auto" w:fill="E1DFDD"/>
    </w:rPr>
  </w:style>
  <w:style w:type="character" w:customStyle="1" w:styleId="Mention9">
    <w:name w:val="Mention9"/>
    <w:basedOn w:val="DefaultParagraphFont"/>
    <w:uiPriority w:val="99"/>
    <w:unhideWhenUsed/>
    <w:rsid w:val="0099489F"/>
    <w:rPr>
      <w:color w:val="2B579A"/>
      <w:shd w:val="clear" w:color="auto" w:fill="E1DFDD"/>
    </w:rPr>
  </w:style>
  <w:style w:type="character" w:customStyle="1" w:styleId="UnresolvedMention80">
    <w:name w:val="Unresolved Mention80"/>
    <w:basedOn w:val="DefaultParagraphFont"/>
    <w:uiPriority w:val="99"/>
    <w:unhideWhenUsed/>
    <w:rsid w:val="0099489F"/>
    <w:rPr>
      <w:color w:val="605E5C"/>
      <w:shd w:val="clear" w:color="auto" w:fill="E1DFDD"/>
    </w:rPr>
  </w:style>
  <w:style w:type="character" w:customStyle="1" w:styleId="Mention100">
    <w:name w:val="Mention100"/>
    <w:basedOn w:val="DefaultParagraphFont"/>
    <w:uiPriority w:val="99"/>
    <w:unhideWhenUsed/>
    <w:rsid w:val="0099489F"/>
    <w:rPr>
      <w:color w:val="2B579A"/>
      <w:shd w:val="clear" w:color="auto" w:fill="E1DFDD"/>
    </w:rPr>
  </w:style>
  <w:style w:type="character" w:customStyle="1" w:styleId="UnresolvedMention70">
    <w:name w:val="Unresolved Mention70"/>
    <w:basedOn w:val="DefaultParagraphFont"/>
    <w:uiPriority w:val="99"/>
    <w:unhideWhenUsed/>
    <w:rsid w:val="0099489F"/>
    <w:rPr>
      <w:color w:val="605E5C"/>
      <w:shd w:val="clear" w:color="auto" w:fill="E1DFDD"/>
    </w:rPr>
  </w:style>
  <w:style w:type="character" w:customStyle="1" w:styleId="Mention90">
    <w:name w:val="Mention90"/>
    <w:basedOn w:val="DefaultParagraphFont"/>
    <w:uiPriority w:val="99"/>
    <w:unhideWhenUsed/>
    <w:rsid w:val="0099489F"/>
    <w:rPr>
      <w:color w:val="2B579A"/>
      <w:shd w:val="clear" w:color="auto" w:fill="E1DFDD"/>
    </w:rPr>
  </w:style>
  <w:style w:type="character" w:customStyle="1" w:styleId="UnresolvedMention8">
    <w:name w:val="Unresolved Mention8"/>
    <w:basedOn w:val="DefaultParagraphFont"/>
    <w:uiPriority w:val="99"/>
    <w:unhideWhenUsed/>
    <w:rsid w:val="0099489F"/>
    <w:rPr>
      <w:color w:val="605E5C"/>
      <w:shd w:val="clear" w:color="auto" w:fill="E1DFDD"/>
    </w:rPr>
  </w:style>
  <w:style w:type="character" w:customStyle="1" w:styleId="Mention10">
    <w:name w:val="Mention10"/>
    <w:basedOn w:val="DefaultParagraphFont"/>
    <w:uiPriority w:val="99"/>
    <w:unhideWhenUsed/>
    <w:rsid w:val="0099489F"/>
    <w:rPr>
      <w:color w:val="2B579A"/>
      <w:shd w:val="clear" w:color="auto" w:fill="E1DFDD"/>
    </w:rPr>
  </w:style>
  <w:style w:type="character" w:customStyle="1" w:styleId="Mention11">
    <w:name w:val="Mention11"/>
    <w:basedOn w:val="DefaultParagraphFont"/>
    <w:uiPriority w:val="99"/>
    <w:unhideWhenUsed/>
    <w:rsid w:val="0099489F"/>
    <w:rPr>
      <w:color w:val="2B579A"/>
      <w:shd w:val="clear" w:color="auto" w:fill="E1DFDD"/>
    </w:rPr>
  </w:style>
  <w:style w:type="character" w:customStyle="1" w:styleId="UnresolvedMention9">
    <w:name w:val="Unresolved Mention9"/>
    <w:basedOn w:val="DefaultParagraphFont"/>
    <w:uiPriority w:val="99"/>
    <w:unhideWhenUsed/>
    <w:rsid w:val="0099489F"/>
    <w:rPr>
      <w:color w:val="605E5C"/>
      <w:shd w:val="clear" w:color="auto" w:fill="E1DFDD"/>
    </w:rPr>
  </w:style>
  <w:style w:type="character" w:customStyle="1" w:styleId="Mention110">
    <w:name w:val="Mention110"/>
    <w:basedOn w:val="DefaultParagraphFont"/>
    <w:uiPriority w:val="99"/>
    <w:unhideWhenUsed/>
    <w:rsid w:val="0099489F"/>
    <w:rPr>
      <w:color w:val="2B579A"/>
      <w:shd w:val="clear" w:color="auto" w:fill="E1DFDD"/>
    </w:rPr>
  </w:style>
  <w:style w:type="character" w:customStyle="1" w:styleId="UnresolvedMention10">
    <w:name w:val="Unresolved Mention10"/>
    <w:basedOn w:val="DefaultParagraphFont"/>
    <w:uiPriority w:val="99"/>
    <w:unhideWhenUsed/>
    <w:rsid w:val="0099489F"/>
    <w:rPr>
      <w:color w:val="605E5C"/>
      <w:shd w:val="clear" w:color="auto" w:fill="E1DFDD"/>
    </w:rPr>
  </w:style>
  <w:style w:type="character" w:customStyle="1" w:styleId="Mention1100">
    <w:name w:val="Mention1100"/>
    <w:basedOn w:val="DefaultParagraphFont"/>
    <w:uiPriority w:val="99"/>
    <w:unhideWhenUsed/>
    <w:rsid w:val="0099489F"/>
    <w:rPr>
      <w:color w:val="2B579A"/>
      <w:shd w:val="clear" w:color="auto" w:fill="E1DFDD"/>
    </w:rPr>
  </w:style>
  <w:style w:type="paragraph" w:customStyle="1" w:styleId="P68B1DB1-Normlny8">
    <w:name w:val="P68B1DB1-Normlny8"/>
    <w:basedOn w:val="Normal"/>
    <w:uiPriority w:val="1"/>
    <w:rsid w:val="0099489F"/>
    <w:pPr>
      <w:spacing w:line="259" w:lineRule="auto"/>
    </w:pPr>
    <w:rPr>
      <w:sz w:val="20"/>
      <w:szCs w:val="20"/>
    </w:rPr>
  </w:style>
  <w:style w:type="character" w:customStyle="1" w:styleId="Mention12">
    <w:name w:val="Mention12"/>
    <w:basedOn w:val="DefaultParagraphFont"/>
    <w:uiPriority w:val="99"/>
    <w:unhideWhenUsed/>
    <w:rsid w:val="0099489F"/>
    <w:rPr>
      <w:color w:val="2B579A"/>
      <w:shd w:val="clear" w:color="auto" w:fill="E1DFDD"/>
    </w:rPr>
  </w:style>
  <w:style w:type="character" w:customStyle="1" w:styleId="Mention13">
    <w:name w:val="Mention13"/>
    <w:basedOn w:val="DefaultParagraphFont"/>
    <w:uiPriority w:val="99"/>
    <w:unhideWhenUsed/>
    <w:rsid w:val="0099489F"/>
    <w:rPr>
      <w:color w:val="2B579A"/>
      <w:shd w:val="clear" w:color="auto" w:fill="E1DFDD"/>
    </w:rPr>
  </w:style>
  <w:style w:type="character" w:customStyle="1" w:styleId="UnresolvedMention11">
    <w:name w:val="Unresolved Mention11"/>
    <w:basedOn w:val="DefaultParagraphFont"/>
    <w:uiPriority w:val="99"/>
    <w:unhideWhenUsed/>
    <w:rsid w:val="00D5287C"/>
    <w:rPr>
      <w:color w:val="605E5C"/>
      <w:shd w:val="clear" w:color="auto" w:fill="E1DFDD"/>
    </w:rPr>
  </w:style>
  <w:style w:type="character" w:customStyle="1" w:styleId="Mention">
    <w:name w:val="Mention"/>
    <w:basedOn w:val="DefaultParagraphFont"/>
    <w:uiPriority w:val="99"/>
    <w:unhideWhenUsed/>
    <w:rsid w:val="00813224"/>
    <w:rPr>
      <w:color w:val="2B579A"/>
      <w:shd w:val="clear" w:color="auto" w:fill="E1DFDD"/>
    </w:rPr>
  </w:style>
  <w:style w:type="character" w:customStyle="1" w:styleId="UnresolvedMention">
    <w:name w:val="Unresolved Mention"/>
    <w:basedOn w:val="DefaultParagraphFont"/>
    <w:uiPriority w:val="99"/>
    <w:unhideWhenUsed/>
    <w:rsid w:val="006C6185"/>
    <w:rPr>
      <w:color w:val="605E5C"/>
      <w:shd w:val="clear" w:color="auto" w:fill="E1DFDD"/>
    </w:rPr>
  </w:style>
  <w:style w:type="paragraph" w:customStyle="1" w:styleId="P68B1DB1-Heading21">
    <w:name w:val="P68B1DB1-Heading21"/>
    <w:basedOn w:val="Heading2"/>
    <w:rPr>
      <w:rFonts w:ascii="Times New Roman" w:eastAsia="Times New Roman" w:hAnsi="Times New Roman" w:cs="Times New Roman"/>
      <w:b/>
      <w:color w:val="262626" w:themeColor="text1" w:themeTint="D9"/>
      <w:sz w:val="24"/>
      <w:szCs w:val="24"/>
    </w:rPr>
  </w:style>
  <w:style w:type="paragraph" w:customStyle="1" w:styleId="P68B1DB1-Normal2">
    <w:name w:val="P68B1DB1-Normal2"/>
    <w:basedOn w:val="Normal"/>
    <w:rPr>
      <w:rFonts w:ascii="Times New Roman" w:eastAsia="Times New Roman" w:hAnsi="Times New Roman" w:cs="Times New Roman"/>
      <w:b/>
      <w:color w:val="000000" w:themeColor="text1"/>
    </w:rPr>
  </w:style>
  <w:style w:type="paragraph" w:customStyle="1" w:styleId="P68B1DB1-ListParagraph3">
    <w:name w:val="P68B1DB1-ListParagraph3"/>
    <w:basedOn w:val="ListParagraph"/>
    <w:rPr>
      <w:rFonts w:ascii="Times New Roman" w:eastAsia="Times New Roman" w:hAnsi="Times New Roman" w:cs="Times New Roman"/>
      <w:b/>
      <w:color w:val="000000" w:themeColor="text1"/>
    </w:rPr>
  </w:style>
  <w:style w:type="paragraph" w:customStyle="1" w:styleId="P68B1DB1-Normal4">
    <w:name w:val="P68B1DB1-Normal4"/>
    <w:basedOn w:val="Normal"/>
    <w:rPr>
      <w:rFonts w:ascii="Times New Roman" w:eastAsia="Times New Roman" w:hAnsi="Times New Roman" w:cs="Times New Roman"/>
    </w:rPr>
  </w:style>
  <w:style w:type="paragraph" w:customStyle="1" w:styleId="P68B1DB1-Normal5">
    <w:name w:val="P68B1DB1-Normal5"/>
    <w:basedOn w:val="Normal"/>
    <w:rPr>
      <w:rFonts w:ascii="Times New Roman" w:eastAsia="Times New Roman" w:hAnsi="Times New Roman" w:cs="Times New Roman"/>
      <w:color w:val="000000" w:themeColor="text1"/>
    </w:rPr>
  </w:style>
  <w:style w:type="paragraph" w:customStyle="1" w:styleId="P68B1DB1-Normal6">
    <w:name w:val="P68B1DB1-Normal6"/>
    <w:basedOn w:val="Normal"/>
    <w:rPr>
      <w:rFonts w:ascii="Times New Roman" w:eastAsia="Times New Roman" w:hAnsi="Times New Roman" w:cs="Times New Roman"/>
      <w:b/>
    </w:rPr>
  </w:style>
  <w:style w:type="paragraph" w:customStyle="1" w:styleId="P68B1DB1-Normal7">
    <w:name w:val="P68B1DB1-Normal7"/>
    <w:basedOn w:val="Normal"/>
    <w:rPr>
      <w:rFonts w:ascii="Times New Roman" w:eastAsia="Times New Roman" w:hAnsi="Times New Roman" w:cs="Times New Roman"/>
      <w:b/>
      <w:color w:val="000000" w:themeColor="text1"/>
      <w:sz w:val="20"/>
      <w:szCs w:val="20"/>
    </w:rPr>
  </w:style>
  <w:style w:type="paragraph" w:customStyle="1" w:styleId="P68B1DB1-Normal8">
    <w:name w:val="P68B1DB1-Normal8"/>
    <w:basedOn w:val="Normal"/>
    <w:rPr>
      <w:rFonts w:ascii="Times New Roman" w:eastAsia="Times New Roman" w:hAnsi="Times New Roman" w:cs="Times New Roman"/>
      <w:b/>
      <w:sz w:val="20"/>
      <w:szCs w:val="20"/>
    </w:rPr>
  </w:style>
  <w:style w:type="paragraph" w:customStyle="1" w:styleId="P68B1DB1-Normal9">
    <w:name w:val="P68B1DB1-Normal9"/>
    <w:basedOn w:val="Normal"/>
    <w:rPr>
      <w:rFonts w:ascii="Times New Roman" w:eastAsia="Times New Roman" w:hAnsi="Times New Roman" w:cs="Times New Roman"/>
      <w:color w:val="006100"/>
      <w:sz w:val="20"/>
      <w:szCs w:val="20"/>
    </w:rPr>
  </w:style>
  <w:style w:type="paragraph" w:customStyle="1" w:styleId="P68B1DB1-Normal10">
    <w:name w:val="P68B1DB1-Normal10"/>
    <w:basedOn w:val="Normal"/>
    <w:rPr>
      <w:rFonts w:ascii="Times New Roman" w:eastAsia="Times New Roman" w:hAnsi="Times New Roman" w:cs="Times New Roman"/>
      <w:sz w:val="20"/>
      <w:szCs w:val="20"/>
    </w:rPr>
  </w:style>
  <w:style w:type="paragraph" w:customStyle="1" w:styleId="P68B1DB1-Normal11">
    <w:name w:val="P68B1DB1-Normal11"/>
    <w:basedOn w:val="Normal"/>
    <w:rPr>
      <w:rFonts w:ascii="Times New Roman" w:hAnsi="Times New Roman"/>
      <w:color w:val="000000"/>
    </w:rPr>
  </w:style>
  <w:style w:type="paragraph" w:customStyle="1" w:styleId="P68B1DB1-ListParagraph12">
    <w:name w:val="P68B1DB1-ListParagraph12"/>
    <w:basedOn w:val="ListParagraph"/>
    <w:rPr>
      <w:rFonts w:ascii="Times New Roman" w:hAnsi="Times New Roman"/>
      <w:color w:val="000000" w:themeColor="text1"/>
      <w:sz w:val="24"/>
      <w:szCs w:val="24"/>
    </w:rPr>
  </w:style>
  <w:style w:type="paragraph" w:customStyle="1" w:styleId="P68B1DB1-Normal13">
    <w:name w:val="P68B1DB1-Normal13"/>
    <w:basedOn w:val="Normal"/>
    <w:rPr>
      <w:rFonts w:ascii="Times New Roman" w:hAnsi="Times New Roman"/>
      <w:b/>
      <w:sz w:val="20"/>
    </w:rPr>
  </w:style>
  <w:style w:type="paragraph" w:customStyle="1" w:styleId="P68B1DB1-Normal14">
    <w:name w:val="P68B1DB1-Normal14"/>
    <w:basedOn w:val="Normal"/>
    <w:rPr>
      <w:rFonts w:ascii="Times New Roman" w:hAnsi="Times New Roman"/>
      <w:color w:val="006100"/>
      <w:sz w:val="20"/>
    </w:rPr>
  </w:style>
  <w:style w:type="paragraph" w:customStyle="1" w:styleId="P68B1DB1-Normal15">
    <w:name w:val="P68B1DB1-Normal15"/>
    <w:basedOn w:val="Normal"/>
    <w:rPr>
      <w:rFonts w:ascii="Times New Roman" w:hAnsi="Times New Roman"/>
      <w:color w:val="006100"/>
      <w:sz w:val="20"/>
      <w:szCs w:val="20"/>
    </w:rPr>
  </w:style>
  <w:style w:type="paragraph" w:customStyle="1" w:styleId="P68B1DB1-Normal16">
    <w:name w:val="P68B1DB1-Normal16"/>
    <w:basedOn w:val="Normal"/>
    <w:rPr>
      <w:rFonts w:ascii="Times New Roman" w:hAnsi="Times New Roman"/>
      <w:sz w:val="20"/>
    </w:rPr>
  </w:style>
  <w:style w:type="paragraph" w:customStyle="1" w:styleId="P68B1DB1-Normal17">
    <w:name w:val="P68B1DB1-Normal17"/>
    <w:basedOn w:val="Normal"/>
    <w:rPr>
      <w:sz w:val="20"/>
      <w:szCs w:val="20"/>
    </w:rPr>
  </w:style>
  <w:style w:type="paragraph" w:customStyle="1" w:styleId="P68B1DB1-Heading218">
    <w:name w:val="P68B1DB1-Heading218"/>
    <w:basedOn w:val="Heading2"/>
    <w:rPr>
      <w:rFonts w:ascii="Times New Roman" w:hAnsi="Times New Roman" w:cs="Times New Roman"/>
      <w:b/>
      <w:color w:val="auto"/>
      <w:sz w:val="24"/>
      <w:szCs w:val="24"/>
    </w:rPr>
  </w:style>
  <w:style w:type="paragraph" w:customStyle="1" w:styleId="P68B1DB1-Normal19">
    <w:name w:val="P68B1DB1-Normal19"/>
    <w:basedOn w:val="Normal"/>
    <w:rPr>
      <w:rFonts w:ascii="Times New Roman" w:hAnsi="Times New Roman"/>
      <w:b/>
    </w:rPr>
  </w:style>
  <w:style w:type="paragraph" w:customStyle="1" w:styleId="P68B1DB1-Normal20">
    <w:name w:val="P68B1DB1-Normal20"/>
    <w:basedOn w:val="Normal"/>
    <w:rPr>
      <w:rFonts w:ascii="Times New Roman" w:hAnsi="Times New Roman"/>
    </w:rPr>
  </w:style>
  <w:style w:type="paragraph" w:customStyle="1" w:styleId="P68B1DB1-Normal21">
    <w:name w:val="P68B1DB1-Normal21"/>
    <w:basedOn w:val="Normal"/>
    <w:rPr>
      <w:rFonts w:ascii="Times New Roman" w:hAnsi="Times New Roman"/>
      <w:color w:val="C6EFCE"/>
      <w:sz w:val="20"/>
    </w:rPr>
  </w:style>
  <w:style w:type="paragraph" w:customStyle="1" w:styleId="P68B1DB1-Default22">
    <w:name w:val="P68B1DB1-Default22"/>
    <w:basedOn w:val="Default"/>
    <w:rPr>
      <w:sz w:val="20"/>
      <w:szCs w:val="20"/>
    </w:rPr>
  </w:style>
  <w:style w:type="paragraph" w:customStyle="1" w:styleId="P68B1DB1-Normal23">
    <w:name w:val="P68B1DB1-Normal23"/>
    <w:basedOn w:val="Normal"/>
    <w:rPr>
      <w:color w:val="006100"/>
    </w:rPr>
  </w:style>
  <w:style w:type="paragraph" w:customStyle="1" w:styleId="P68B1DB1-Normal24">
    <w:name w:val="P68B1DB1-Normal24"/>
    <w:basedOn w:val="Normal"/>
    <w:rPr>
      <w:rFonts w:ascii="Times New Roman" w:hAnsi="Times New Roman" w:cs="Times New Roman"/>
      <w:color w:val="000000" w:themeColor="text1"/>
    </w:rPr>
  </w:style>
  <w:style w:type="paragraph" w:customStyle="1" w:styleId="P68B1DB1-Normal25">
    <w:name w:val="P68B1DB1-Normal25"/>
    <w:basedOn w:val="Normal"/>
    <w:rPr>
      <w:rFonts w:ascii="Times New Roman" w:eastAsia="Times New Roman" w:hAnsi="Times New Roman" w:cs="Times New Roman"/>
      <w:color w:val="000000" w:themeColor="text1"/>
      <w:sz w:val="20"/>
      <w:szCs w:val="20"/>
    </w:rPr>
  </w:style>
  <w:style w:type="paragraph" w:customStyle="1" w:styleId="P68B1DB1-ListParagraph26">
    <w:name w:val="P68B1DB1-ListParagraph26"/>
    <w:basedOn w:val="ListParagraph"/>
    <w:rPr>
      <w:rFonts w:ascii="Times New Roman" w:eastAsia="Times New Roman" w:hAnsi="Times New Roman" w:cs="Times New Roman"/>
      <w:color w:val="006100"/>
      <w:sz w:val="20"/>
      <w:szCs w:val="20"/>
    </w:rPr>
  </w:style>
  <w:style w:type="paragraph" w:customStyle="1" w:styleId="P68B1DB1-Normal27">
    <w:name w:val="P68B1DB1-Normal27"/>
    <w:basedOn w:val="Normal"/>
    <w:rPr>
      <w:color w:val="006100"/>
      <w:sz w:val="20"/>
    </w:rPr>
  </w:style>
  <w:style w:type="paragraph" w:customStyle="1" w:styleId="P68B1DB1-Heading228">
    <w:name w:val="P68B1DB1-Heading228"/>
    <w:basedOn w:val="Heading2"/>
    <w:rPr>
      <w:rFonts w:ascii="Times New Roman" w:eastAsiaTheme="minorEastAsia" w:hAnsi="Times New Roman" w:cstheme="minorBidi"/>
      <w:b/>
      <w:smallCaps/>
      <w:color w:val="auto"/>
      <w:sz w:val="24"/>
      <w:szCs w:val="22"/>
    </w:rPr>
  </w:style>
  <w:style w:type="paragraph" w:customStyle="1" w:styleId="P68B1DB1-ListParagraph29">
    <w:name w:val="P68B1DB1-ListParagraph29"/>
    <w:basedOn w:val="ListParagraph"/>
    <w:rPr>
      <w:rFonts w:ascii="Times New Roman" w:hAnsi="Times New Roman"/>
      <w:color w:val="006100"/>
      <w:sz w:val="20"/>
      <w:szCs w:val="20"/>
    </w:rPr>
  </w:style>
  <w:style w:type="paragraph" w:customStyle="1" w:styleId="P68B1DB1-ListParagraph30">
    <w:name w:val="P68B1DB1-ListParagraph30"/>
    <w:basedOn w:val="ListParagraph"/>
    <w:rPr>
      <w:rFonts w:ascii="Times New Roman" w:hAnsi="Times New Roman"/>
      <w:color w:val="006100"/>
      <w:sz w:val="20"/>
    </w:rPr>
  </w:style>
  <w:style w:type="paragraph" w:customStyle="1" w:styleId="P68B1DB1-ListParagraph31">
    <w:name w:val="P68B1DB1-ListParagraph31"/>
    <w:basedOn w:val="ListParagraph"/>
    <w:rPr>
      <w:color w:val="006100"/>
      <w:sz w:val="20"/>
    </w:rPr>
  </w:style>
  <w:style w:type="paragraph" w:customStyle="1" w:styleId="P68B1DB1-Normal32">
    <w:name w:val="P68B1DB1-Normal32"/>
    <w:basedOn w:val="Normal"/>
    <w:rPr>
      <w:color w:val="006100"/>
      <w:sz w:val="20"/>
      <w:szCs w:val="20"/>
    </w:rPr>
  </w:style>
  <w:style w:type="paragraph" w:customStyle="1" w:styleId="P68B1DB1-ListParagraph33">
    <w:name w:val="P68B1DB1-ListParagraph33"/>
    <w:basedOn w:val="ListParagraph"/>
    <w:rPr>
      <w:rFonts w:ascii="Times New Roman" w:hAnsi="Times New Roman" w:cs="Times New Roman"/>
      <w:color w:val="006100"/>
      <w:sz w:val="20"/>
      <w:szCs w:val="20"/>
    </w:rPr>
  </w:style>
  <w:style w:type="paragraph" w:customStyle="1" w:styleId="P68B1DB1-Normal34">
    <w:name w:val="P68B1DB1-Normal34"/>
    <w:basedOn w:val="Normal"/>
    <w:rPr>
      <w:rFonts w:ascii="Times New Roman" w:eastAsia="MS Gothic" w:hAnsi="Times New Roman" w:cs="Times New Roman"/>
      <w:b/>
    </w:rPr>
  </w:style>
  <w:style w:type="paragraph" w:customStyle="1" w:styleId="P68B1DB1-Normal35">
    <w:name w:val="P68B1DB1-Normal35"/>
    <w:basedOn w:val="Normal"/>
    <w:rPr>
      <w:rFonts w:ascii="Times New Roman" w:eastAsia="MS Mincho" w:hAnsi="Times New Roman" w:cs="Arial"/>
    </w:rPr>
  </w:style>
  <w:style w:type="paragraph" w:customStyle="1" w:styleId="P68B1DB1-Normal36">
    <w:name w:val="P68B1DB1-Normal36"/>
    <w:basedOn w:val="Normal"/>
    <w:rPr>
      <w:rFonts w:ascii="Times New Roman" w:eastAsia="MS Mincho" w:hAnsi="Times New Roman" w:cs="Arial"/>
      <w:szCs w:val="22"/>
    </w:rPr>
  </w:style>
  <w:style w:type="paragraph" w:customStyle="1" w:styleId="P68B1DB1-Normal37">
    <w:name w:val="P68B1DB1-Normal37"/>
    <w:basedOn w:val="Normal"/>
    <w:rPr>
      <w:rFonts w:ascii="Times New Roman" w:eastAsia="MS Mincho" w:hAnsi="Times New Roman" w:cs="Arial"/>
      <w:b/>
      <w:szCs w:val="22"/>
      <w:u w:val="single"/>
    </w:rPr>
  </w:style>
  <w:style w:type="paragraph" w:customStyle="1" w:styleId="P68B1DB1-Normal38">
    <w:name w:val="P68B1DB1-Normal38"/>
    <w:basedOn w:val="Normal"/>
    <w:rPr>
      <w:rFonts w:ascii="Times New Roman" w:eastAsia="MS Mincho" w:hAnsi="Times New Roman" w:cs="Arial"/>
      <w:b/>
    </w:rPr>
  </w:style>
  <w:style w:type="paragraph" w:customStyle="1" w:styleId="P68B1DB1-Normal39">
    <w:name w:val="P68B1DB1-Normal39"/>
    <w:basedOn w:val="Normal"/>
    <w:rPr>
      <w:rFonts w:ascii="Times New Roman" w:eastAsia="MS Mincho" w:hAnsi="Times New Roman" w:cs="Arial"/>
      <w:b/>
      <w:szCs w:val="22"/>
    </w:rPr>
  </w:style>
  <w:style w:type="paragraph" w:customStyle="1" w:styleId="P68B1DB1-Normal40">
    <w:name w:val="P68B1DB1-Normal40"/>
    <w:basedOn w:val="Normal"/>
    <w:rPr>
      <w:rFonts w:ascii="Times New Roman" w:eastAsia="MS Mincho" w:hAnsi="Times New Roman" w:cs="Arial"/>
      <w:b/>
      <w:sz w:val="20"/>
      <w:szCs w:val="22"/>
    </w:rPr>
  </w:style>
  <w:style w:type="paragraph" w:customStyle="1" w:styleId="P68B1DB1-Normal41">
    <w:name w:val="P68B1DB1-Normal41"/>
    <w:basedOn w:val="Normal"/>
    <w:rPr>
      <w:rFonts w:ascii="Times New Roman" w:eastAsia="MS Mincho" w:hAnsi="Times New Roman" w:cs="Arial"/>
      <w:sz w:val="20"/>
      <w:szCs w:val="22"/>
    </w:rPr>
  </w:style>
  <w:style w:type="paragraph" w:customStyle="1" w:styleId="P68B1DB1-Normal42">
    <w:name w:val="P68B1DB1-Normal42"/>
    <w:basedOn w:val="Normal"/>
    <w:rPr>
      <w:rFonts w:ascii="Times New Roman" w:eastAsia="MS Mincho" w:hAnsi="Times New Roman" w:cs="Arial"/>
      <w:color w:val="006100"/>
      <w:sz w:val="20"/>
      <w:szCs w:val="22"/>
    </w:rPr>
  </w:style>
  <w:style w:type="paragraph" w:customStyle="1" w:styleId="P68B1DB1-Normal43">
    <w:name w:val="P68B1DB1-Normal43"/>
    <w:basedOn w:val="Normal"/>
    <w:rPr>
      <w:rFonts w:ascii="Times New Roman" w:eastAsia="MS Mincho" w:hAnsi="Times New Roman" w:cs="Arial"/>
      <w:color w:val="006100"/>
      <w:sz w:val="20"/>
      <w:szCs w:val="20"/>
    </w:rPr>
  </w:style>
  <w:style w:type="paragraph" w:customStyle="1" w:styleId="P68B1DB1-Normal44">
    <w:name w:val="P68B1DB1-Normal44"/>
    <w:basedOn w:val="Normal"/>
    <w:rPr>
      <w:rFonts w:ascii="Times New Roman" w:hAnsi="Times New Roman"/>
      <w:b/>
      <w:u w:val="single"/>
    </w:rPr>
  </w:style>
  <w:style w:type="paragraph" w:customStyle="1" w:styleId="P68B1DB1-Normal45">
    <w:name w:val="P68B1DB1-Normal45"/>
    <w:basedOn w:val="Normal"/>
    <w:rPr>
      <w:rFonts w:ascii="Times New Roman" w:hAnsi="Times New Roman"/>
      <w:b/>
      <w:color w:val="000000" w:themeColor="text1"/>
      <w:sz w:val="20"/>
    </w:rPr>
  </w:style>
  <w:style w:type="paragraph" w:customStyle="1" w:styleId="P68B1DB1-Normal46">
    <w:name w:val="P68B1DB1-Normal46"/>
    <w:basedOn w:val="Normal"/>
    <w:rPr>
      <w:rFonts w:ascii="Times New Roman" w:hAnsi="Times New Roman"/>
      <w:color w:val="000000" w:themeColor="text1"/>
      <w:sz w:val="20"/>
    </w:rPr>
  </w:style>
  <w:style w:type="paragraph" w:customStyle="1" w:styleId="P68B1DB1-Normal47">
    <w:name w:val="P68B1DB1-Normal47"/>
    <w:basedOn w:val="Normal"/>
    <w:rPr>
      <w:rFonts w:ascii="Times New Roman" w:eastAsia="Times New Roman" w:hAnsi="Times New Roman"/>
      <w:color w:val="006100"/>
      <w:sz w:val="20"/>
      <w:szCs w:val="20"/>
    </w:rPr>
  </w:style>
  <w:style w:type="paragraph" w:customStyle="1" w:styleId="P68B1DB1-Normal48">
    <w:name w:val="P68B1DB1-Normal48"/>
    <w:basedOn w:val="Normal"/>
    <w:rPr>
      <w:rFonts w:ascii="Times New Roman" w:hAnsi="Times New Roman" w:cs="Times New Roman"/>
      <w:color w:val="006100"/>
      <w:sz w:val="20"/>
      <w:szCs w:val="20"/>
    </w:rPr>
  </w:style>
  <w:style w:type="paragraph" w:customStyle="1" w:styleId="P68B1DB1-Normal49">
    <w:name w:val="P68B1DB1-Normal49"/>
    <w:basedOn w:val="Normal"/>
    <w:rPr>
      <w:rFonts w:ascii="Times New Roman" w:eastAsia="Times New Roman" w:hAnsi="Times New Roman" w:cs="Times New Roman"/>
      <w:color w:val="303030"/>
    </w:rPr>
  </w:style>
  <w:style w:type="paragraph" w:customStyle="1" w:styleId="P68B1DB1-Normal50">
    <w:name w:val="P68B1DB1-Normal50"/>
    <w:basedOn w:val="Normal"/>
    <w:rPr>
      <w:rFonts w:ascii="Times New Roman" w:hAnsi="Times New Roman"/>
      <w:color w:val="006100"/>
      <w:sz w:val="20"/>
      <w:shd w:val="clear" w:color="auto" w:fill="E6E6E6"/>
    </w:rPr>
  </w:style>
  <w:style w:type="paragraph" w:customStyle="1" w:styleId="P68B1DB1-ListParagraph51">
    <w:name w:val="P68B1DB1-ListParagraph51"/>
    <w:basedOn w:val="ListParagraph"/>
    <w:rPr>
      <w:rFonts w:ascii="Times New Roman" w:hAnsi="Times New Roman"/>
      <w:sz w:val="24"/>
    </w:rPr>
  </w:style>
  <w:style w:type="paragraph" w:customStyle="1" w:styleId="P68B1DB1-Default52">
    <w:name w:val="P68B1DB1-Default52"/>
    <w:basedOn w:val="Default"/>
    <w:rPr>
      <w:color w:val="006000"/>
      <w:sz w:val="20"/>
      <w:szCs w:val="20"/>
    </w:rPr>
  </w:style>
  <w:style w:type="paragraph" w:customStyle="1" w:styleId="P68B1DB1-BodyText53">
    <w:name w:val="P68B1DB1-BodyText53"/>
    <w:basedOn w:val="BodyText"/>
    <w:rPr>
      <w:b/>
    </w:rPr>
  </w:style>
  <w:style w:type="paragraph" w:customStyle="1" w:styleId="P68B1DB1-Normal54">
    <w:name w:val="P68B1DB1-Normal54"/>
    <w:basedOn w:val="Normal"/>
    <w:rPr>
      <w:rFonts w:ascii="Times New Roman" w:eastAsia="Times New Roman" w:hAnsi="Times New Roman" w:cs="Times New Roman"/>
      <w:b/>
      <w:u w:val="single"/>
    </w:rPr>
  </w:style>
  <w:style w:type="paragraph" w:customStyle="1" w:styleId="P68B1DB1-TableParagraph55">
    <w:name w:val="P68B1DB1-TableParagraph55"/>
    <w:basedOn w:val="TableParagraph"/>
    <w:rPr>
      <w:b/>
      <w:sz w:val="20"/>
      <w:szCs w:val="20"/>
    </w:rPr>
  </w:style>
  <w:style w:type="paragraph" w:customStyle="1" w:styleId="P68B1DB1-TableParagraph56">
    <w:name w:val="P68B1DB1-TableParagraph56"/>
    <w:basedOn w:val="TableParagraph"/>
    <w:rPr>
      <w:b/>
      <w:sz w:val="18"/>
      <w:szCs w:val="18"/>
    </w:rPr>
  </w:style>
  <w:style w:type="paragraph" w:customStyle="1" w:styleId="P68B1DB1-TableParagraph57">
    <w:name w:val="P68B1DB1-TableParagraph57"/>
    <w:basedOn w:val="TableParagraph"/>
    <w:rPr>
      <w:color w:val="006000"/>
      <w:sz w:val="20"/>
      <w:szCs w:val="20"/>
    </w:rPr>
  </w:style>
  <w:style w:type="paragraph" w:customStyle="1" w:styleId="P68B1DB1-TableParagraph58">
    <w:name w:val="P68B1DB1-TableParagraph58"/>
    <w:basedOn w:val="TableParagraph"/>
    <w:rPr>
      <w:sz w:val="20"/>
      <w:szCs w:val="20"/>
    </w:rPr>
  </w:style>
  <w:style w:type="paragraph" w:customStyle="1" w:styleId="P68B1DB1-Normal59">
    <w:name w:val="P68B1DB1-Normal59"/>
    <w:basedOn w:val="Normal"/>
    <w:rPr>
      <w:rFonts w:ascii="Times New Roman" w:hAnsi="Times New Roman" w:cs="Times New Roman"/>
      <w:color w:val="006000"/>
      <w:sz w:val="20"/>
      <w:szCs w:val="20"/>
    </w:rPr>
  </w:style>
  <w:style w:type="paragraph" w:customStyle="1" w:styleId="P68B1DB1-TableParagraph60">
    <w:name w:val="P68B1DB1-TableParagraph60"/>
    <w:basedOn w:val="TableParagraph"/>
    <w:rPr>
      <w:sz w:val="20"/>
    </w:rPr>
  </w:style>
  <w:style w:type="paragraph" w:customStyle="1" w:styleId="P68B1DB1-Normal61">
    <w:name w:val="P68B1DB1-Normal61"/>
    <w:basedOn w:val="Normal"/>
    <w:rPr>
      <w:sz w:val="20"/>
    </w:rPr>
  </w:style>
  <w:style w:type="paragraph" w:customStyle="1" w:styleId="P68B1DB1-Normal62">
    <w:name w:val="P68B1DB1-Normal62"/>
    <w:basedOn w:val="Normal"/>
    <w:rPr>
      <w:rFonts w:ascii="Times New Roman" w:hAnsi="Times New Roman"/>
      <w:color w:val="006100"/>
      <w:sz w:val="18"/>
      <w:szCs w:val="18"/>
    </w:rPr>
  </w:style>
  <w:style w:type="paragraph" w:customStyle="1" w:styleId="P68B1DB1-Normal63">
    <w:name w:val="P68B1DB1-Normal63"/>
    <w:basedOn w:val="Normal"/>
    <w:rPr>
      <w:rFonts w:ascii="Times New Roman" w:eastAsia="MS Gothic" w:hAnsi="Times New Roman" w:cs="Times New Roman"/>
      <w:b/>
      <w:color w:val="262626"/>
    </w:rPr>
  </w:style>
  <w:style w:type="paragraph" w:customStyle="1" w:styleId="P68B1DB1-Normal64">
    <w:name w:val="P68B1DB1-Normal64"/>
    <w:basedOn w:val="Normal"/>
    <w:rPr>
      <w:szCs w:val="22"/>
    </w:rPr>
  </w:style>
  <w:style w:type="paragraph" w:customStyle="1" w:styleId="P68B1DB1-Normal65">
    <w:name w:val="P68B1DB1-Normal65"/>
    <w:basedOn w:val="Normal"/>
    <w:rPr>
      <w:rFonts w:ascii="Times New Roman" w:eastAsia="MS Mincho" w:hAnsi="Times New Roman" w:cs="Arial"/>
      <w:szCs w:val="22"/>
      <w:u w:val="single"/>
    </w:rPr>
  </w:style>
  <w:style w:type="paragraph" w:customStyle="1" w:styleId="P68B1DB1-Normal66">
    <w:name w:val="P68B1DB1-Normal66"/>
    <w:basedOn w:val="Normal"/>
    <w:rPr>
      <w:rFonts w:ascii="Times New Roman" w:eastAsia="MS Mincho" w:hAnsi="Times New Roman" w:cs="Arial"/>
      <w:color w:val="000000"/>
      <w:szCs w:val="22"/>
    </w:rPr>
  </w:style>
  <w:style w:type="paragraph" w:customStyle="1" w:styleId="P68B1DB1-Normal67">
    <w:name w:val="P68B1DB1-Normal67"/>
    <w:basedOn w:val="Normal"/>
    <w:rPr>
      <w:rFonts w:ascii="Times New Roman" w:eastAsia="MS Mincho" w:hAnsi="Times New Roman" w:cs="Arial"/>
      <w:b/>
      <w:i/>
      <w:szCs w:val="22"/>
    </w:rPr>
  </w:style>
  <w:style w:type="paragraph" w:customStyle="1" w:styleId="P68B1DB1-Normal68">
    <w:name w:val="P68B1DB1-Normal68"/>
    <w:basedOn w:val="Normal"/>
    <w:rPr>
      <w:rFonts w:ascii="Times New Roman" w:eastAsia="MS Mincho" w:hAnsi="Times New Roman" w:cs="Arial"/>
      <w:b/>
      <w:i/>
      <w:color w:val="000000"/>
      <w:szCs w:val="22"/>
    </w:rPr>
  </w:style>
  <w:style w:type="paragraph" w:customStyle="1" w:styleId="P68B1DB1-Normal69">
    <w:name w:val="P68B1DB1-Normal69"/>
    <w:basedOn w:val="Normal"/>
    <w:rPr>
      <w:rFonts w:ascii="Times New Roman" w:eastAsia="MS Mincho" w:hAnsi="Times New Roman" w:cs="Arial"/>
      <w:b/>
      <w:i/>
    </w:rPr>
  </w:style>
  <w:style w:type="paragraph" w:customStyle="1" w:styleId="P68B1DB1-Normal70">
    <w:name w:val="P68B1DB1-Normal70"/>
    <w:basedOn w:val="Normal"/>
    <w:rPr>
      <w:rFonts w:ascii="Times New Roman" w:eastAsia="MS Mincho" w:hAnsi="Times New Roman" w:cs="Arial"/>
      <w:color w:val="000000" w:themeColor="text1"/>
    </w:rPr>
  </w:style>
  <w:style w:type="paragraph" w:customStyle="1" w:styleId="P68B1DB1-Normal71">
    <w:name w:val="P68B1DB1-Normal71"/>
    <w:basedOn w:val="Normal"/>
    <w:rPr>
      <w:rFonts w:ascii="Times New Roman" w:eastAsia="Arial Narrow" w:hAnsi="Times New Roman" w:cs="Arial Narrow"/>
      <w:color w:val="000000" w:themeColor="text1"/>
    </w:rPr>
  </w:style>
  <w:style w:type="paragraph" w:customStyle="1" w:styleId="P68B1DB1-Normal72">
    <w:name w:val="P68B1DB1-Normal72"/>
    <w:basedOn w:val="Normal"/>
    <w:rPr>
      <w:rFonts w:ascii="Times New Roman" w:eastAsia="Times New Roman" w:hAnsi="Times New Roman" w:cs="Times New Roman"/>
      <w:b/>
      <w:i/>
    </w:rPr>
  </w:style>
  <w:style w:type="paragraph" w:customStyle="1" w:styleId="P68B1DB1-Normal73">
    <w:name w:val="P68B1DB1-Normal73"/>
    <w:basedOn w:val="Normal"/>
    <w:rPr>
      <w:rFonts w:ascii="Times New Roman" w:eastAsia="MS Mincho" w:hAnsi="Times New Roman" w:cs="Arial"/>
      <w:b/>
      <w:u w:val="single"/>
    </w:rPr>
  </w:style>
  <w:style w:type="paragraph" w:customStyle="1" w:styleId="P68B1DB1-Normal74">
    <w:name w:val="P68B1DB1-Normal74"/>
    <w:basedOn w:val="Normal"/>
    <w:rPr>
      <w:rFonts w:ascii="Times New Roman" w:eastAsia="MS Mincho" w:hAnsi="Times New Roman" w:cs="Arial"/>
      <w:b/>
      <w:color w:val="000000" w:themeColor="text1"/>
    </w:rPr>
  </w:style>
  <w:style w:type="paragraph" w:customStyle="1" w:styleId="P68B1DB1-ListParagraph75">
    <w:name w:val="P68B1DB1-ListParagraph75"/>
    <w:basedOn w:val="ListParagraph"/>
    <w:rPr>
      <w:rFonts w:ascii="Times New Roman" w:eastAsia="MS Mincho" w:hAnsi="Times New Roman" w:cs="Arial"/>
      <w:color w:val="006100"/>
      <w:sz w:val="20"/>
      <w:szCs w:val="20"/>
    </w:rPr>
  </w:style>
  <w:style w:type="paragraph" w:customStyle="1" w:styleId="P68B1DB1-Normal76">
    <w:name w:val="P68B1DB1-Normal76"/>
    <w:basedOn w:val="Normal"/>
    <w:rPr>
      <w:rFonts w:ascii="Times New Roman" w:eastAsia="MS Mincho" w:hAnsi="Times New Roman" w:cs="Arial"/>
      <w:color w:val="006100"/>
      <w:sz w:val="20"/>
    </w:rPr>
  </w:style>
  <w:style w:type="paragraph" w:customStyle="1" w:styleId="P68B1DB1-ListParagraph77">
    <w:name w:val="P68B1DB1-ListParagraph77"/>
    <w:basedOn w:val="ListParagraph"/>
    <w:rPr>
      <w:rFonts w:ascii="Times New Roman" w:eastAsia="MS Mincho" w:hAnsi="Times New Roman" w:cs="Arial" w:hint="eastAsia"/>
      <w:color w:val="006100"/>
      <w:sz w:val="20"/>
      <w:szCs w:val="20"/>
    </w:rPr>
  </w:style>
  <w:style w:type="paragraph" w:customStyle="1" w:styleId="P68B1DB1-Normal78">
    <w:name w:val="P68B1DB1-Normal78"/>
    <w:basedOn w:val="Normal"/>
    <w:rPr>
      <w:rFonts w:ascii="Times New Roman" w:eastAsia="MS Mincho" w:hAnsi="Times New Roman" w:cs="Arial"/>
      <w:color w:val="006100"/>
      <w:sz w:val="18"/>
      <w:szCs w:val="18"/>
    </w:rPr>
  </w:style>
  <w:style w:type="paragraph" w:customStyle="1" w:styleId="P68B1DB1-Normal79">
    <w:name w:val="P68B1DB1-Normal79"/>
    <w:basedOn w:val="Normal"/>
    <w:rPr>
      <w:rFonts w:ascii="Times New Roman" w:hAnsi="Times New Roman" w:cs="Arial"/>
      <w:color w:val="006100"/>
      <w:sz w:val="20"/>
      <w:szCs w:val="20"/>
    </w:rPr>
  </w:style>
  <w:style w:type="paragraph" w:customStyle="1" w:styleId="P68B1DB1-Normal80">
    <w:name w:val="P68B1DB1-Normal80"/>
    <w:basedOn w:val="Normal"/>
    <w:rPr>
      <w:rFonts w:ascii="Times New Roman" w:eastAsia="Times New Roman" w:hAnsi="Times New Roman" w:cs="Arial"/>
      <w:color w:val="006100"/>
      <w:sz w:val="20"/>
      <w:szCs w:val="20"/>
    </w:rPr>
  </w:style>
  <w:style w:type="paragraph" w:customStyle="1" w:styleId="P68B1DB1-Normal81">
    <w:name w:val="P68B1DB1-Normal81"/>
    <w:basedOn w:val="Normal"/>
    <w:rPr>
      <w:sz w:val="18"/>
      <w:szCs w:val="18"/>
    </w:rPr>
  </w:style>
  <w:style w:type="paragraph" w:customStyle="1" w:styleId="P68B1DB1-ListParagraph82">
    <w:name w:val="P68B1DB1-ListParagraph82"/>
    <w:basedOn w:val="ListParagraph"/>
    <w:rPr>
      <w:rFonts w:ascii="Times New Roman" w:hAnsi="Times New Roman" w:cs="Times New Roman"/>
      <w:b/>
      <w:sz w:val="24"/>
      <w:szCs w:val="24"/>
    </w:rPr>
  </w:style>
  <w:style w:type="paragraph" w:customStyle="1" w:styleId="P68B1DB1-Normal83">
    <w:name w:val="P68B1DB1-Normal83"/>
    <w:basedOn w:val="Normal"/>
    <w:rPr>
      <w:rFonts w:ascii="Calibri" w:hAnsi="Calibri"/>
    </w:rPr>
  </w:style>
  <w:style w:type="paragraph" w:customStyle="1" w:styleId="P68B1DB1-Normal84">
    <w:name w:val="P68B1DB1-Normal84"/>
    <w:basedOn w:val="Normal"/>
    <w:rPr>
      <w:rFonts w:ascii="Times New Roman" w:hAnsi="Times New Roman" w:cs="Times New Roman"/>
      <w:color w:val="000000"/>
      <w:sz w:val="20"/>
      <w:szCs w:val="20"/>
    </w:rPr>
  </w:style>
  <w:style w:type="paragraph" w:customStyle="1" w:styleId="P68B1DB1-Normal85">
    <w:name w:val="P68B1DB1-Normal85"/>
    <w:basedOn w:val="Normal"/>
    <w:rPr>
      <w:rFonts w:ascii="Times New Roman" w:hAnsi="Times New Roman" w:cs="Times New Roman"/>
      <w:color w:val="006100"/>
    </w:rPr>
  </w:style>
  <w:style w:type="paragraph" w:customStyle="1" w:styleId="P68B1DB1-ListParagraph86">
    <w:name w:val="P68B1DB1-ListParagraph86"/>
    <w:basedOn w:val="ListParagraph"/>
    <w:rPr>
      <w:rFonts w:ascii="Times New Roman" w:hAnsi="Times New Roman"/>
      <w:b/>
      <w:sz w:val="24"/>
    </w:rPr>
  </w:style>
  <w:style w:type="paragraph" w:customStyle="1" w:styleId="P68B1DB1-Normal87">
    <w:name w:val="P68B1DB1-Normal87"/>
    <w:basedOn w:val="Normal"/>
    <w:rPr>
      <w:rFonts w:ascii="Segoe UI" w:eastAsia="Times New Roman" w:hAnsi="Segoe UI" w:cs="Segoe UI"/>
      <w:sz w:val="18"/>
      <w:szCs w:val="18"/>
    </w:rPr>
  </w:style>
  <w:style w:type="paragraph" w:customStyle="1" w:styleId="P68B1DB1-Normal88">
    <w:name w:val="P68B1DB1-Normal88"/>
    <w:basedOn w:val="Normal"/>
    <w:rPr>
      <w:rFonts w:ascii="Times New Roman" w:hAnsi="Times New Roman" w:cs="Times New Roman"/>
      <w:color w:val="006100"/>
      <w:sz w:val="20"/>
    </w:rPr>
  </w:style>
  <w:style w:type="paragraph" w:customStyle="1" w:styleId="P68B1DB1-Normal89">
    <w:name w:val="P68B1DB1-Normal89"/>
    <w:basedOn w:val="Normal"/>
    <w:rPr>
      <w:rFonts w:ascii="Times New Roman" w:hAnsi="Times New Roman" w:cs="Times New Roman" w:hint="eastAsia"/>
      <w:color w:val="006000"/>
      <w:sz w:val="20"/>
    </w:rPr>
  </w:style>
  <w:style w:type="paragraph" w:customStyle="1" w:styleId="P68B1DB1-Normal90">
    <w:name w:val="P68B1DB1-Normal90"/>
    <w:basedOn w:val="Normal"/>
    <w:rPr>
      <w:rFonts w:ascii="Times New Roman" w:hAnsi="Times New Roman" w:cs="Times New Roman"/>
      <w:color w:val="006000"/>
      <w:sz w:val="20"/>
    </w:rPr>
  </w:style>
  <w:style w:type="paragraph" w:customStyle="1" w:styleId="P68B1DB1-NormalLeft91">
    <w:name w:val="P68B1DB1-NormalLeft91"/>
    <w:basedOn w:val="NormalLeft"/>
    <w:rPr>
      <w:b/>
    </w:rPr>
  </w:style>
  <w:style w:type="paragraph" w:customStyle="1" w:styleId="P68B1DB1-Footer92">
    <w:name w:val="P68B1DB1-Footer92"/>
    <w:basedOn w:val="Foote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0265888">
      <w:bodyDiv w:val="1"/>
      <w:marLeft w:val="0"/>
      <w:marRight w:val="0"/>
      <w:marTop w:val="0"/>
      <w:marBottom w:val="0"/>
      <w:divBdr>
        <w:top w:val="none" w:sz="0" w:space="0" w:color="auto"/>
        <w:left w:val="none" w:sz="0" w:space="0" w:color="auto"/>
        <w:bottom w:val="none" w:sz="0" w:space="0" w:color="auto"/>
        <w:right w:val="none" w:sz="0" w:space="0" w:color="auto"/>
      </w:divBdr>
    </w:div>
    <w:div w:id="197736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4.xml"/><Relationship Id="rId21" Type="http://schemas.openxmlformats.org/officeDocument/2006/relationships/header" Target="header6.xml"/><Relationship Id="rId42" Type="http://schemas.openxmlformats.org/officeDocument/2006/relationships/header" Target="header17.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header" Target="header65.xml"/><Relationship Id="rId159" Type="http://schemas.openxmlformats.org/officeDocument/2006/relationships/header" Target="header75.xml"/><Relationship Id="rId170" Type="http://schemas.openxmlformats.org/officeDocument/2006/relationships/footer" Target="footer80.xml"/><Relationship Id="rId191" Type="http://schemas.openxmlformats.org/officeDocument/2006/relationships/header" Target="header91.xml"/><Relationship Id="rId205" Type="http://schemas.openxmlformats.org/officeDocument/2006/relationships/footer" Target="footer97.xml"/><Relationship Id="rId226" Type="http://schemas.openxmlformats.org/officeDocument/2006/relationships/footer" Target="footer108.xml"/><Relationship Id="rId247" Type="http://schemas.openxmlformats.org/officeDocument/2006/relationships/header" Target="header119.xml"/><Relationship Id="rId107" Type="http://schemas.openxmlformats.org/officeDocument/2006/relationships/header" Target="header49.xml"/><Relationship Id="rId11" Type="http://schemas.openxmlformats.org/officeDocument/2006/relationships/header" Target="header1.xml"/><Relationship Id="rId32" Type="http://schemas.openxmlformats.org/officeDocument/2006/relationships/footer" Target="footer11.xml"/><Relationship Id="rId53" Type="http://schemas.openxmlformats.org/officeDocument/2006/relationships/header" Target="header22.xml"/><Relationship Id="rId74" Type="http://schemas.openxmlformats.org/officeDocument/2006/relationships/footer" Target="footer32.xml"/><Relationship Id="rId128" Type="http://schemas.openxmlformats.org/officeDocument/2006/relationships/footer" Target="footer59.xml"/><Relationship Id="rId149" Type="http://schemas.openxmlformats.org/officeDocument/2006/relationships/header" Target="header70.xml"/><Relationship Id="rId5" Type="http://schemas.openxmlformats.org/officeDocument/2006/relationships/styles" Target="styles.xml"/><Relationship Id="rId95" Type="http://schemas.openxmlformats.org/officeDocument/2006/relationships/header" Target="header43.xml"/><Relationship Id="rId160" Type="http://schemas.openxmlformats.org/officeDocument/2006/relationships/footer" Target="footer75.xml"/><Relationship Id="rId181" Type="http://schemas.openxmlformats.org/officeDocument/2006/relationships/footer" Target="footer85.xml"/><Relationship Id="rId216" Type="http://schemas.openxmlformats.org/officeDocument/2006/relationships/header" Target="header104.xml"/><Relationship Id="rId237" Type="http://schemas.openxmlformats.org/officeDocument/2006/relationships/header" Target="header114.xml"/><Relationship Id="rId22" Type="http://schemas.openxmlformats.org/officeDocument/2006/relationships/footer" Target="footer6.xml"/><Relationship Id="rId43" Type="http://schemas.openxmlformats.org/officeDocument/2006/relationships/footer" Target="footer16.xml"/><Relationship Id="rId64" Type="http://schemas.openxmlformats.org/officeDocument/2006/relationships/footer" Target="footer27.xml"/><Relationship Id="rId118" Type="http://schemas.openxmlformats.org/officeDocument/2006/relationships/footer" Target="footer54.xml"/><Relationship Id="rId139" Type="http://schemas.openxmlformats.org/officeDocument/2006/relationships/footer" Target="footer64.xml"/><Relationship Id="rId85" Type="http://schemas.openxmlformats.org/officeDocument/2006/relationships/footer" Target="footer37.xml"/><Relationship Id="rId150" Type="http://schemas.openxmlformats.org/officeDocument/2006/relationships/header" Target="header71.xml"/><Relationship Id="rId171" Type="http://schemas.openxmlformats.org/officeDocument/2006/relationships/header" Target="header81.xml"/><Relationship Id="rId192" Type="http://schemas.openxmlformats.org/officeDocument/2006/relationships/header" Target="header92.xml"/><Relationship Id="rId206" Type="http://schemas.openxmlformats.org/officeDocument/2006/relationships/footer" Target="footer98.xml"/><Relationship Id="rId227" Type="http://schemas.openxmlformats.org/officeDocument/2006/relationships/header" Target="header109.xml"/><Relationship Id="rId248" Type="http://schemas.openxmlformats.org/officeDocument/2006/relationships/header" Target="header120.xml"/><Relationship Id="rId12" Type="http://schemas.openxmlformats.org/officeDocument/2006/relationships/header" Target="header2.xml"/><Relationship Id="rId33" Type="http://schemas.openxmlformats.org/officeDocument/2006/relationships/header" Target="header12.xml"/><Relationship Id="rId108" Type="http://schemas.openxmlformats.org/officeDocument/2006/relationships/header" Target="header50.xml"/><Relationship Id="rId129" Type="http://schemas.openxmlformats.org/officeDocument/2006/relationships/header" Target="header60.xml"/><Relationship Id="rId54" Type="http://schemas.openxmlformats.org/officeDocument/2006/relationships/header" Target="header23.xml"/><Relationship Id="rId70" Type="http://schemas.openxmlformats.org/officeDocument/2006/relationships/footer" Target="footer30.xml"/><Relationship Id="rId75" Type="http://schemas.openxmlformats.org/officeDocument/2006/relationships/header" Target="header33.xml"/><Relationship Id="rId91" Type="http://schemas.openxmlformats.org/officeDocument/2006/relationships/footer" Target="footer40.xml"/><Relationship Id="rId96" Type="http://schemas.openxmlformats.org/officeDocument/2006/relationships/header" Target="header44.xml"/><Relationship Id="rId140" Type="http://schemas.openxmlformats.org/officeDocument/2006/relationships/footer" Target="footer65.xml"/><Relationship Id="rId145" Type="http://schemas.openxmlformats.org/officeDocument/2006/relationships/footer" Target="footer67.xml"/><Relationship Id="rId161" Type="http://schemas.openxmlformats.org/officeDocument/2006/relationships/header" Target="header76.xml"/><Relationship Id="rId166" Type="http://schemas.openxmlformats.org/officeDocument/2006/relationships/footer" Target="footer78.xml"/><Relationship Id="rId182" Type="http://schemas.openxmlformats.org/officeDocument/2006/relationships/footer" Target="footer86.xml"/><Relationship Id="rId187" Type="http://schemas.openxmlformats.org/officeDocument/2006/relationships/footer" Target="footer88.xml"/><Relationship Id="rId217" Type="http://schemas.openxmlformats.org/officeDocument/2006/relationships/footer" Target="footer103.xml"/><Relationship Id="rId1" Type="http://schemas.openxmlformats.org/officeDocument/2006/relationships/customXml" Target="../customXml/item1.xml"/><Relationship Id="rId6" Type="http://schemas.openxmlformats.org/officeDocument/2006/relationships/settings" Target="settings.xml"/><Relationship Id="rId212" Type="http://schemas.openxmlformats.org/officeDocument/2006/relationships/footer" Target="footer101.xml"/><Relationship Id="rId233" Type="http://schemas.openxmlformats.org/officeDocument/2006/relationships/header" Target="header112.xml"/><Relationship Id="rId238" Type="http://schemas.openxmlformats.org/officeDocument/2006/relationships/footer" Target="footer114.xml"/><Relationship Id="rId254" Type="http://schemas.openxmlformats.org/officeDocument/2006/relationships/theme" Target="theme/theme1.xml"/><Relationship Id="rId23" Type="http://schemas.openxmlformats.org/officeDocument/2006/relationships/header" Target="header7.xml"/><Relationship Id="rId28" Type="http://schemas.openxmlformats.org/officeDocument/2006/relationships/footer" Target="footer9.xml"/><Relationship Id="rId49" Type="http://schemas.openxmlformats.org/officeDocument/2006/relationships/footer" Target="footer19.xml"/><Relationship Id="rId114" Type="http://schemas.openxmlformats.org/officeDocument/2006/relationships/header" Target="header53.xml"/><Relationship Id="rId119" Type="http://schemas.openxmlformats.org/officeDocument/2006/relationships/header" Target="header55.xml"/><Relationship Id="rId44" Type="http://schemas.openxmlformats.org/officeDocument/2006/relationships/footer" Target="footer17.xml"/><Relationship Id="rId60" Type="http://schemas.openxmlformats.org/officeDocument/2006/relationships/header" Target="header26.xml"/><Relationship Id="rId65" Type="http://schemas.openxmlformats.org/officeDocument/2006/relationships/header" Target="header28.xml"/><Relationship Id="rId81" Type="http://schemas.openxmlformats.org/officeDocument/2006/relationships/header" Target="header36.xml"/><Relationship Id="rId86" Type="http://schemas.openxmlformats.org/officeDocument/2006/relationships/footer" Target="footer38.xml"/><Relationship Id="rId130" Type="http://schemas.openxmlformats.org/officeDocument/2006/relationships/footer" Target="footer60.xml"/><Relationship Id="rId135" Type="http://schemas.openxmlformats.org/officeDocument/2006/relationships/header" Target="header63.xml"/><Relationship Id="rId151" Type="http://schemas.openxmlformats.org/officeDocument/2006/relationships/footer" Target="footer70.xml"/><Relationship Id="rId156" Type="http://schemas.openxmlformats.org/officeDocument/2006/relationships/header" Target="header74.xml"/><Relationship Id="rId177" Type="http://schemas.openxmlformats.org/officeDocument/2006/relationships/header" Target="header84.xml"/><Relationship Id="rId198" Type="http://schemas.openxmlformats.org/officeDocument/2006/relationships/header" Target="header95.xml"/><Relationship Id="rId172" Type="http://schemas.openxmlformats.org/officeDocument/2006/relationships/footer" Target="footer81.xml"/><Relationship Id="rId193" Type="http://schemas.openxmlformats.org/officeDocument/2006/relationships/footer" Target="footer91.xml"/><Relationship Id="rId202" Type="http://schemas.openxmlformats.org/officeDocument/2006/relationships/footer" Target="footer96.xml"/><Relationship Id="rId207" Type="http://schemas.openxmlformats.org/officeDocument/2006/relationships/header" Target="header99.xml"/><Relationship Id="rId223" Type="http://schemas.openxmlformats.org/officeDocument/2006/relationships/footer" Target="footer106.xml"/><Relationship Id="rId228" Type="http://schemas.openxmlformats.org/officeDocument/2006/relationships/header" Target="header110.xml"/><Relationship Id="rId244" Type="http://schemas.openxmlformats.org/officeDocument/2006/relationships/footer" Target="footer117.xml"/><Relationship Id="rId249" Type="http://schemas.openxmlformats.org/officeDocument/2006/relationships/footer" Target="footer119.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5.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120" Type="http://schemas.openxmlformats.org/officeDocument/2006/relationships/header" Target="header56.xml"/><Relationship Id="rId125" Type="http://schemas.openxmlformats.org/officeDocument/2006/relationships/header" Target="header58.xml"/><Relationship Id="rId141" Type="http://schemas.openxmlformats.org/officeDocument/2006/relationships/header" Target="header66.xml"/><Relationship Id="rId146" Type="http://schemas.openxmlformats.org/officeDocument/2006/relationships/footer" Target="footer68.xml"/><Relationship Id="rId167" Type="http://schemas.openxmlformats.org/officeDocument/2006/relationships/header" Target="header79.xml"/><Relationship Id="rId188" Type="http://schemas.openxmlformats.org/officeDocument/2006/relationships/footer" Target="footer89.xml"/><Relationship Id="rId7" Type="http://schemas.openxmlformats.org/officeDocument/2006/relationships/webSettings" Target="webSettings.xml"/><Relationship Id="rId71" Type="http://schemas.openxmlformats.org/officeDocument/2006/relationships/header" Target="header31.xml"/><Relationship Id="rId92" Type="http://schemas.openxmlformats.org/officeDocument/2006/relationships/footer" Target="footer41.xml"/><Relationship Id="rId162" Type="http://schemas.openxmlformats.org/officeDocument/2006/relationships/header" Target="header77.xml"/><Relationship Id="rId183" Type="http://schemas.openxmlformats.org/officeDocument/2006/relationships/header" Target="header87.xml"/><Relationship Id="rId213" Type="http://schemas.openxmlformats.org/officeDocument/2006/relationships/header" Target="header102.xml"/><Relationship Id="rId218" Type="http://schemas.openxmlformats.org/officeDocument/2006/relationships/footer" Target="footer104.xml"/><Relationship Id="rId234" Type="http://schemas.openxmlformats.org/officeDocument/2006/relationships/header" Target="header113.xml"/><Relationship Id="rId239" Type="http://schemas.openxmlformats.org/officeDocument/2006/relationships/header" Target="header115.xml"/><Relationship Id="rId2" Type="http://schemas.openxmlformats.org/officeDocument/2006/relationships/customXml" Target="../customXml/item2.xml"/><Relationship Id="rId29" Type="http://schemas.openxmlformats.org/officeDocument/2006/relationships/header" Target="header10.xml"/><Relationship Id="rId250" Type="http://schemas.openxmlformats.org/officeDocument/2006/relationships/footer" Target="footer120.xml"/><Relationship Id="rId24" Type="http://schemas.openxmlformats.org/officeDocument/2006/relationships/header" Target="header8.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footer" Target="footer50.xml"/><Relationship Id="rId115" Type="http://schemas.openxmlformats.org/officeDocument/2006/relationships/footer" Target="footer52.xml"/><Relationship Id="rId131" Type="http://schemas.openxmlformats.org/officeDocument/2006/relationships/header" Target="header61.xml"/><Relationship Id="rId136" Type="http://schemas.openxmlformats.org/officeDocument/2006/relationships/footer" Target="footer63.xml"/><Relationship Id="rId157" Type="http://schemas.openxmlformats.org/officeDocument/2006/relationships/footer" Target="footer73.xml"/><Relationship Id="rId178" Type="http://schemas.openxmlformats.org/officeDocument/2006/relationships/footer" Target="footer84.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footer" Target="footer71.xml"/><Relationship Id="rId173" Type="http://schemas.openxmlformats.org/officeDocument/2006/relationships/header" Target="header82.xml"/><Relationship Id="rId194" Type="http://schemas.openxmlformats.org/officeDocument/2006/relationships/footer" Target="footer92.xml"/><Relationship Id="rId199" Type="http://schemas.openxmlformats.org/officeDocument/2006/relationships/footer" Target="footer94.xml"/><Relationship Id="rId203" Type="http://schemas.openxmlformats.org/officeDocument/2006/relationships/header" Target="header97.xml"/><Relationship Id="rId208" Type="http://schemas.openxmlformats.org/officeDocument/2006/relationships/footer" Target="footer99.xml"/><Relationship Id="rId229" Type="http://schemas.openxmlformats.org/officeDocument/2006/relationships/footer" Target="footer109.xml"/><Relationship Id="rId19" Type="http://schemas.openxmlformats.org/officeDocument/2006/relationships/footer" Target="footer4.xml"/><Relationship Id="rId224" Type="http://schemas.openxmlformats.org/officeDocument/2006/relationships/footer" Target="footer107.xml"/><Relationship Id="rId240" Type="http://schemas.openxmlformats.org/officeDocument/2006/relationships/footer" Target="footer115.xml"/><Relationship Id="rId245" Type="http://schemas.openxmlformats.org/officeDocument/2006/relationships/header" Target="header118.xml"/><Relationship Id="rId14" Type="http://schemas.openxmlformats.org/officeDocument/2006/relationships/footer" Target="footer2.xml"/><Relationship Id="rId30" Type="http://schemas.openxmlformats.org/officeDocument/2006/relationships/header" Target="header11.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26" Type="http://schemas.openxmlformats.org/officeDocument/2006/relationships/header" Target="header59.xml"/><Relationship Id="rId147" Type="http://schemas.openxmlformats.org/officeDocument/2006/relationships/header" Target="header69.xml"/><Relationship Id="rId168" Type="http://schemas.openxmlformats.org/officeDocument/2006/relationships/header" Target="header80.xml"/><Relationship Id="rId8" Type="http://schemas.openxmlformats.org/officeDocument/2006/relationships/footnotes" Target="footnotes.xml"/><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header" Target="header42.xml"/><Relationship Id="rId98" Type="http://schemas.openxmlformats.org/officeDocument/2006/relationships/footer" Target="footer44.xml"/><Relationship Id="rId121" Type="http://schemas.openxmlformats.org/officeDocument/2006/relationships/footer" Target="footer55.xml"/><Relationship Id="rId142" Type="http://schemas.openxmlformats.org/officeDocument/2006/relationships/footer" Target="footer66.xml"/><Relationship Id="rId163" Type="http://schemas.openxmlformats.org/officeDocument/2006/relationships/footer" Target="footer76.xml"/><Relationship Id="rId184" Type="http://schemas.openxmlformats.org/officeDocument/2006/relationships/footer" Target="footer87.xml"/><Relationship Id="rId189" Type="http://schemas.openxmlformats.org/officeDocument/2006/relationships/header" Target="header90.xml"/><Relationship Id="rId219" Type="http://schemas.openxmlformats.org/officeDocument/2006/relationships/header" Target="header105.xml"/><Relationship Id="rId3" Type="http://schemas.openxmlformats.org/officeDocument/2006/relationships/customXml" Target="../customXml/item3.xml"/><Relationship Id="rId214" Type="http://schemas.openxmlformats.org/officeDocument/2006/relationships/footer" Target="footer102.xml"/><Relationship Id="rId230" Type="http://schemas.openxmlformats.org/officeDocument/2006/relationships/footer" Target="footer110.xml"/><Relationship Id="rId235" Type="http://schemas.openxmlformats.org/officeDocument/2006/relationships/footer" Target="footer112.xml"/><Relationship Id="rId251" Type="http://schemas.openxmlformats.org/officeDocument/2006/relationships/header" Target="header121.xml"/><Relationship Id="rId25" Type="http://schemas.openxmlformats.org/officeDocument/2006/relationships/footer" Target="footer7.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footer" Target="footer53.xml"/><Relationship Id="rId137" Type="http://schemas.openxmlformats.org/officeDocument/2006/relationships/header" Target="header64.xml"/><Relationship Id="rId158" Type="http://schemas.openxmlformats.org/officeDocument/2006/relationships/footer" Target="footer74.xml"/><Relationship Id="rId20" Type="http://schemas.openxmlformats.org/officeDocument/2006/relationships/footer" Target="footer5.xml"/><Relationship Id="rId41" Type="http://schemas.openxmlformats.org/officeDocument/2006/relationships/header" Target="header16.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header" Target="header51.xml"/><Relationship Id="rId132" Type="http://schemas.openxmlformats.org/officeDocument/2006/relationships/header" Target="header62.xml"/><Relationship Id="rId153" Type="http://schemas.openxmlformats.org/officeDocument/2006/relationships/header" Target="header72.xml"/><Relationship Id="rId174" Type="http://schemas.openxmlformats.org/officeDocument/2006/relationships/header" Target="header83.xml"/><Relationship Id="rId179" Type="http://schemas.openxmlformats.org/officeDocument/2006/relationships/header" Target="header85.xml"/><Relationship Id="rId195" Type="http://schemas.openxmlformats.org/officeDocument/2006/relationships/header" Target="header93.xml"/><Relationship Id="rId209" Type="http://schemas.openxmlformats.org/officeDocument/2006/relationships/header" Target="header100.xml"/><Relationship Id="rId190" Type="http://schemas.openxmlformats.org/officeDocument/2006/relationships/footer" Target="footer90.xml"/><Relationship Id="rId204" Type="http://schemas.openxmlformats.org/officeDocument/2006/relationships/header" Target="header98.xml"/><Relationship Id="rId220" Type="http://schemas.openxmlformats.org/officeDocument/2006/relationships/footer" Target="footer105.xml"/><Relationship Id="rId225" Type="http://schemas.openxmlformats.org/officeDocument/2006/relationships/header" Target="header108.xml"/><Relationship Id="rId241" Type="http://schemas.openxmlformats.org/officeDocument/2006/relationships/header" Target="header116.xml"/><Relationship Id="rId246" Type="http://schemas.openxmlformats.org/officeDocument/2006/relationships/footer" Target="footer118.xml"/><Relationship Id="rId15" Type="http://schemas.openxmlformats.org/officeDocument/2006/relationships/header" Target="header3.xml"/><Relationship Id="rId36" Type="http://schemas.openxmlformats.org/officeDocument/2006/relationships/header" Target="header14.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footer" Target="footer58.xml"/><Relationship Id="rId10" Type="http://schemas.openxmlformats.org/officeDocument/2006/relationships/image" Target="media/image1.emf"/><Relationship Id="rId31" Type="http://schemas.openxmlformats.org/officeDocument/2006/relationships/footer" Target="footer10.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footer" Target="footer56.xml"/><Relationship Id="rId143" Type="http://schemas.openxmlformats.org/officeDocument/2006/relationships/header" Target="header67.xml"/><Relationship Id="rId148" Type="http://schemas.openxmlformats.org/officeDocument/2006/relationships/footer" Target="footer69.xml"/><Relationship Id="rId164" Type="http://schemas.openxmlformats.org/officeDocument/2006/relationships/footer" Target="footer77.xml"/><Relationship Id="rId169" Type="http://schemas.openxmlformats.org/officeDocument/2006/relationships/footer" Target="footer79.xml"/><Relationship Id="rId185" Type="http://schemas.openxmlformats.org/officeDocument/2006/relationships/header" Target="header88.xm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eader" Target="header86.xml"/><Relationship Id="rId210" Type="http://schemas.openxmlformats.org/officeDocument/2006/relationships/header" Target="header101.xml"/><Relationship Id="rId215" Type="http://schemas.openxmlformats.org/officeDocument/2006/relationships/header" Target="header103.xml"/><Relationship Id="rId236" Type="http://schemas.openxmlformats.org/officeDocument/2006/relationships/footer" Target="footer113.xml"/><Relationship Id="rId26" Type="http://schemas.openxmlformats.org/officeDocument/2006/relationships/footer" Target="footer8.xml"/><Relationship Id="rId231" Type="http://schemas.openxmlformats.org/officeDocument/2006/relationships/header" Target="header111.xml"/><Relationship Id="rId252" Type="http://schemas.openxmlformats.org/officeDocument/2006/relationships/footer" Target="footer121.xml"/><Relationship Id="rId47" Type="http://schemas.openxmlformats.org/officeDocument/2006/relationships/header" Target="header19.xml"/><Relationship Id="rId68" Type="http://schemas.openxmlformats.org/officeDocument/2006/relationships/footer" Target="footer29.xml"/><Relationship Id="rId89" Type="http://schemas.openxmlformats.org/officeDocument/2006/relationships/header" Target="header40.xml"/><Relationship Id="rId112" Type="http://schemas.openxmlformats.org/officeDocument/2006/relationships/footer" Target="footer51.xml"/><Relationship Id="rId133" Type="http://schemas.openxmlformats.org/officeDocument/2006/relationships/footer" Target="footer61.xml"/><Relationship Id="rId154" Type="http://schemas.openxmlformats.org/officeDocument/2006/relationships/footer" Target="footer72.xml"/><Relationship Id="rId175" Type="http://schemas.openxmlformats.org/officeDocument/2006/relationships/footer" Target="footer82.xml"/><Relationship Id="rId196" Type="http://schemas.openxmlformats.org/officeDocument/2006/relationships/footer" Target="footer93.xml"/><Relationship Id="rId200" Type="http://schemas.openxmlformats.org/officeDocument/2006/relationships/footer" Target="footer95.xml"/><Relationship Id="rId16" Type="http://schemas.openxmlformats.org/officeDocument/2006/relationships/footer" Target="footer3.xml"/><Relationship Id="rId221" Type="http://schemas.openxmlformats.org/officeDocument/2006/relationships/header" Target="header106.xml"/><Relationship Id="rId242" Type="http://schemas.openxmlformats.org/officeDocument/2006/relationships/header" Target="header117.xml"/><Relationship Id="rId37" Type="http://schemas.openxmlformats.org/officeDocument/2006/relationships/footer" Target="footer13.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header" Target="header47.xml"/><Relationship Id="rId123" Type="http://schemas.openxmlformats.org/officeDocument/2006/relationships/header" Target="header57.xml"/><Relationship Id="rId144" Type="http://schemas.openxmlformats.org/officeDocument/2006/relationships/header" Target="header68.xml"/><Relationship Id="rId90" Type="http://schemas.openxmlformats.org/officeDocument/2006/relationships/header" Target="header41.xml"/><Relationship Id="rId165" Type="http://schemas.openxmlformats.org/officeDocument/2006/relationships/header" Target="header78.xml"/><Relationship Id="rId186" Type="http://schemas.openxmlformats.org/officeDocument/2006/relationships/header" Target="header89.xml"/><Relationship Id="rId211" Type="http://schemas.openxmlformats.org/officeDocument/2006/relationships/footer" Target="footer100.xml"/><Relationship Id="rId232" Type="http://schemas.openxmlformats.org/officeDocument/2006/relationships/footer" Target="footer111.xml"/><Relationship Id="rId253" Type="http://schemas.openxmlformats.org/officeDocument/2006/relationships/fontTable" Target="fontTable.xml"/><Relationship Id="rId27" Type="http://schemas.openxmlformats.org/officeDocument/2006/relationships/header" Target="header9.xml"/><Relationship Id="rId48" Type="http://schemas.openxmlformats.org/officeDocument/2006/relationships/header" Target="header20.xml"/><Relationship Id="rId69" Type="http://schemas.openxmlformats.org/officeDocument/2006/relationships/header" Target="header30.xml"/><Relationship Id="rId113" Type="http://schemas.openxmlformats.org/officeDocument/2006/relationships/header" Target="header52.xml"/><Relationship Id="rId134" Type="http://schemas.openxmlformats.org/officeDocument/2006/relationships/footer" Target="footer62.xml"/><Relationship Id="rId80" Type="http://schemas.openxmlformats.org/officeDocument/2006/relationships/footer" Target="footer35.xml"/><Relationship Id="rId155" Type="http://schemas.openxmlformats.org/officeDocument/2006/relationships/header" Target="header73.xml"/><Relationship Id="rId176" Type="http://schemas.openxmlformats.org/officeDocument/2006/relationships/footer" Target="footer83.xml"/><Relationship Id="rId197" Type="http://schemas.openxmlformats.org/officeDocument/2006/relationships/header" Target="header94.xml"/><Relationship Id="rId201" Type="http://schemas.openxmlformats.org/officeDocument/2006/relationships/header" Target="header96.xml"/><Relationship Id="rId222" Type="http://schemas.openxmlformats.org/officeDocument/2006/relationships/header" Target="header107.xml"/><Relationship Id="rId243" Type="http://schemas.openxmlformats.org/officeDocument/2006/relationships/footer" Target="footer116.xml"/><Relationship Id="rId17" Type="http://schemas.openxmlformats.org/officeDocument/2006/relationships/header" Target="header4.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footer" Target="footer46.xml"/><Relationship Id="rId124" Type="http://schemas.openxmlformats.org/officeDocument/2006/relationships/footer" Target="footer5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4595bff9ccd5156bd2bfaa1cd16bd4e7">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01760b16325e2ba55ef6dd09e457d765"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f24cac8-efc0-4cbc-a777-fc02b1b2ed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123E72-C766-49BF-8ECC-B0C748C9540D}">
  <ds:schemaRefs>
    <ds:schemaRef ds:uri="http://schemas.microsoft.com/sharepoint/v3/contenttype/forms"/>
  </ds:schemaRefs>
</ds:datastoreItem>
</file>

<file path=customXml/itemProps2.xml><?xml version="1.0" encoding="utf-8"?>
<ds:datastoreItem xmlns:ds="http://schemas.openxmlformats.org/officeDocument/2006/customXml" ds:itemID="{235EAAAF-278E-44C6-848A-73110CF3706D}">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3.xml><?xml version="1.0" encoding="utf-8"?>
<ds:datastoreItem xmlns:ds="http://schemas.openxmlformats.org/officeDocument/2006/customXml" ds:itemID="{E7F0163D-9AB0-49B9-8C47-47BC38725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7</Pages>
  <Words>59570</Words>
  <Characters>339554</Characters>
  <Application>Microsoft Office Word</Application>
  <DocSecurity>0</DocSecurity>
  <Lines>2829</Lines>
  <Paragraphs>796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2026-05-11T14:38:00Z</dcterms:created>
  <dcterms:modified xsi:type="dcterms:W3CDTF">2026-05-28T10:14:00Z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2026-05-06T10:53:51Z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c5e943f1-7c94-47e9-a904-a85ed7786930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MediaServiceImageTags">
    <vt:lpwstr/>
  </property>
  <property fmtid="{D5CDD505-2E9C-101B-9397-08002B2CF9AE}" pid="12" name="ContentTypeId">
    <vt:lpwstr>0x0101001904E1EBFBC69D4E9F6EFDF5C754386E</vt:lpwstr>
  </property>
  <property fmtid="{D5CDD505-2E9C-101B-9397-08002B2CF9AE}" pid="13" name="MSIP_Label_af60b174-6478-47f9-866e-33f097bb6603_SetDate">
    <vt:lpwstr>2025-11-10T12:01:24Z</vt:lpwstr>
  </property>
  <property fmtid="{D5CDD505-2E9C-101B-9397-08002B2CF9AE}" pid="14" name="MSIP_Label_af60b174-6478-47f9-866e-33f097bb6603_SiteId">
    <vt:lpwstr>03ad1c97-0a4d-4e82-8f93-27291a6a0767</vt:lpwstr>
  </property>
  <property fmtid="{D5CDD505-2E9C-101B-9397-08002B2CF9AE}" pid="15" name="MSIP_Label_af60b174-6478-47f9-866e-33f097bb6603_Method">
    <vt:lpwstr>Privileged</vt:lpwstr>
  </property>
  <property fmtid="{D5CDD505-2E9C-101B-9397-08002B2CF9AE}" pid="16" name="MSIP_Label_af60b174-6478-47f9-866e-33f097bb6603_ContentBits">
    <vt:lpwstr>0</vt:lpwstr>
  </property>
  <property fmtid="{D5CDD505-2E9C-101B-9397-08002B2CF9AE}" pid="17" name="MSIP_Label_af60b174-6478-47f9-866e-33f097bb6603_Name">
    <vt:lpwstr>GSCEU - PUBLIC Label</vt:lpwstr>
  </property>
  <property fmtid="{D5CDD505-2E9C-101B-9397-08002B2CF9AE}" pid="18" name="DocStatus">
    <vt:lpwstr>Green</vt:lpwstr>
  </property>
  <property fmtid="{D5CDD505-2E9C-101B-9397-08002B2CF9AE}" pid="19" name="Level of sensitivity">
    <vt:lpwstr>Standard treatment</vt:lpwstr>
  </property>
  <property fmtid="{D5CDD505-2E9C-101B-9397-08002B2CF9AE}" pid="20" name="MSIP_Label_af60b174-6478-47f9-866e-33f097bb6603_Enabled">
    <vt:lpwstr>true</vt:lpwstr>
  </property>
  <property fmtid="{D5CDD505-2E9C-101B-9397-08002B2CF9AE}" pid="21" name="MSIP_Label_af60b174-6478-47f9-866e-33f097bb6603_ActionId">
    <vt:lpwstr>084F11E1-6C8D-4405-B782-C0714F842605</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