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519B34" w14:textId="2007558C" w:rsidR="00DE1888" w:rsidRPr="00951305" w:rsidRDefault="00213275" w:rsidP="00213275">
      <w:pPr>
        <w:pStyle w:val="Pagedecouverture"/>
        <w:rPr>
          <w:noProof/>
        </w:rPr>
      </w:pPr>
      <w:bookmarkStart w:id="0" w:name="LW_BM_COVERPAGE"/>
      <w:r>
        <w:rPr>
          <w:noProof/>
        </w:rPr>
        <w:pict w14:anchorId="640A96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BF4DB7A-08CE-45D4-AF29-DB1E6311ABF9" style="width:455.25pt;height:327.75pt">
            <v:imagedata r:id="rId11" o:title=""/>
          </v:shape>
        </w:pict>
      </w:r>
    </w:p>
    <w:bookmarkEnd w:id="0"/>
    <w:p w14:paraId="7BF713AD" w14:textId="77777777" w:rsidR="00DE1888" w:rsidRPr="00951305" w:rsidRDefault="00DE1888" w:rsidP="00DE1888">
      <w:pPr>
        <w:rPr>
          <w:noProof/>
        </w:rPr>
        <w:sectPr w:rsidR="00DE1888" w:rsidRPr="00951305" w:rsidSect="0021327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5CC6D4B" w14:textId="77777777" w:rsidR="00A24F29" w:rsidRPr="00951305" w:rsidRDefault="00A24F29" w:rsidP="00AF79FB">
      <w:pPr>
        <w:pStyle w:val="ListParagraph"/>
        <w:widowControl w:val="0"/>
        <w:numPr>
          <w:ilvl w:val="0"/>
          <w:numId w:val="2"/>
        </w:numPr>
        <w:tabs>
          <w:tab w:val="left" w:pos="1983"/>
          <w:tab w:val="left" w:pos="4007"/>
          <w:tab w:val="left" w:pos="5429"/>
          <w:tab w:val="left" w:pos="6146"/>
          <w:tab w:val="left" w:pos="7983"/>
          <w:tab w:val="left" w:pos="8711"/>
        </w:tabs>
        <w:autoSpaceDE w:val="0"/>
        <w:autoSpaceDN w:val="0"/>
        <w:spacing w:before="120" w:after="120" w:line="240" w:lineRule="auto"/>
        <w:ind w:hanging="295"/>
        <w:contextualSpacing w:val="0"/>
        <w:jc w:val="both"/>
        <w:outlineLvl w:val="0"/>
        <w:rPr>
          <w:rFonts w:ascii="Times New Roman" w:eastAsia="Times New Roman" w:hAnsi="Times New Roman" w:cs="Times New Roman"/>
          <w:b/>
          <w:bCs/>
          <w:noProof/>
          <w:spacing w:val="-2"/>
          <w:kern w:val="0"/>
          <w14:ligatures w14:val="none"/>
        </w:rPr>
      </w:pPr>
      <w:bookmarkStart w:id="1" w:name="_GoBack"/>
      <w:bookmarkEnd w:id="1"/>
      <w:r>
        <w:rPr>
          <w:rFonts w:ascii="Times New Roman" w:hAnsi="Times New Roman"/>
          <w:b/>
          <w:noProof/>
        </w:rPr>
        <w:lastRenderedPageBreak/>
        <w:t>INTRODUCERE</w:t>
      </w:r>
    </w:p>
    <w:p w14:paraId="7EFBC940" w14:textId="11891434" w:rsidR="003E3956" w:rsidRPr="00951305" w:rsidRDefault="00933597" w:rsidP="00AF79FB">
      <w:pPr>
        <w:pStyle w:val="ListParagraph"/>
        <w:widowControl w:val="0"/>
        <w:numPr>
          <w:ilvl w:val="0"/>
          <w:numId w:val="1"/>
        </w:numPr>
        <w:autoSpaceDE w:val="0"/>
        <w:autoSpaceDN w:val="0"/>
        <w:spacing w:before="120" w:after="120" w:line="240" w:lineRule="auto"/>
        <w:ind w:left="992" w:hanging="499"/>
        <w:contextualSpacing w:val="0"/>
        <w:jc w:val="both"/>
        <w:rPr>
          <w:rFonts w:ascii="Times New Roman" w:eastAsia="Times New Roman" w:hAnsi="Times New Roman" w:cs="Times New Roman"/>
          <w:noProof/>
          <w:kern w:val="0"/>
          <w14:ligatures w14:val="none"/>
        </w:rPr>
      </w:pPr>
      <w:r>
        <w:rPr>
          <w:rFonts w:ascii="Times New Roman" w:hAnsi="Times New Roman"/>
          <w:noProof/>
        </w:rPr>
        <w:t>În ultimul deceniu, piețele digitale au devenit din ce în ce mai concentrate. Internetul, care a apărut ca un spațiu liber pentru mulți, este acum dominat de puțini: doar un grup mic de controlori de acces controlează ecosistemele de mari dimensiuni. Au apărut poziții de control al accesului, crescând riscul ca utilizatorii comerciali și utilizatorii finali să fie tratați în mod inechitabil și, astfel, contestabilitatea pieței în furnizarea multor servicii digitale să fie grav subminată.</w:t>
      </w:r>
    </w:p>
    <w:p w14:paraId="6FEFE781" w14:textId="049B2A2A" w:rsidR="0085507A" w:rsidRPr="00951305" w:rsidRDefault="00933597" w:rsidP="00AF79FB">
      <w:pPr>
        <w:pStyle w:val="ListParagraph"/>
        <w:widowControl w:val="0"/>
        <w:numPr>
          <w:ilvl w:val="0"/>
          <w:numId w:val="1"/>
        </w:numPr>
        <w:autoSpaceDE w:val="0"/>
        <w:autoSpaceDN w:val="0"/>
        <w:spacing w:before="120" w:after="120" w:line="240" w:lineRule="auto"/>
        <w:ind w:left="992" w:hanging="499"/>
        <w:contextualSpacing w:val="0"/>
        <w:jc w:val="both"/>
        <w:rPr>
          <w:rFonts w:ascii="Times New Roman" w:eastAsia="Times New Roman" w:hAnsi="Times New Roman" w:cs="Times New Roman"/>
          <w:noProof/>
          <w:kern w:val="0"/>
          <w14:ligatures w14:val="none"/>
        </w:rPr>
      </w:pPr>
      <w:r>
        <w:rPr>
          <w:rFonts w:ascii="Times New Roman" w:hAnsi="Times New Roman"/>
          <w:noProof/>
        </w:rPr>
        <w:t>Regulamentul privind piețele digitale (Digital Markets Act, DMA)</w:t>
      </w:r>
      <w:r>
        <w:rPr>
          <w:rStyle w:val="FootnoteReference"/>
          <w:rFonts w:ascii="Times New Roman" w:eastAsia="Times New Roman" w:hAnsi="Times New Roman" w:cs="Times New Roman"/>
          <w:noProof/>
          <w:kern w:val="0"/>
        </w:rPr>
        <w:footnoteReference w:id="1"/>
      </w:r>
      <w:r>
        <w:rPr>
          <w:rFonts w:ascii="Times New Roman" w:hAnsi="Times New Roman"/>
          <w:noProof/>
        </w:rPr>
        <w:t xml:space="preserve"> urmărește să răspundă acestor comportamente inechitabile și să sporească contestabilitatea pieței pe piețele digitale. Aceasta creează mai multe posibilități de inovare pentru întreprinderile care oferă servicii în UE și mai multe opțiuni pentru consumatori.</w:t>
      </w:r>
    </w:p>
    <w:p w14:paraId="38F86538" w14:textId="7066316C" w:rsidR="00990A6F" w:rsidRPr="00951305" w:rsidRDefault="000D4DDE" w:rsidP="00AF79FB">
      <w:pPr>
        <w:pStyle w:val="ListParagraph"/>
        <w:widowControl w:val="0"/>
        <w:numPr>
          <w:ilvl w:val="0"/>
          <w:numId w:val="1"/>
        </w:numPr>
        <w:autoSpaceDE w:val="0"/>
        <w:autoSpaceDN w:val="0"/>
        <w:spacing w:before="120" w:after="120" w:line="240" w:lineRule="auto"/>
        <w:ind w:left="992" w:hanging="499"/>
        <w:contextualSpacing w:val="0"/>
        <w:jc w:val="both"/>
        <w:rPr>
          <w:rFonts w:ascii="Times New Roman" w:eastAsia="Times New Roman" w:hAnsi="Times New Roman" w:cs="Times New Roman"/>
          <w:noProof/>
          <w:kern w:val="0"/>
          <w14:ligatures w14:val="none"/>
        </w:rPr>
      </w:pPr>
      <w:r>
        <w:rPr>
          <w:rFonts w:ascii="Times New Roman" w:hAnsi="Times New Roman"/>
          <w:noProof/>
        </w:rPr>
        <w:t>În 2025, activitățile Comisiei legate de Regulamentul privind piețele digitale s-au axat pe aplicarea riguroasă a acestuia, așa cum se întâmplă de la intrarea în vigoare a regulamentului în 2023. Măsurile luate în 2023 și 2024 au vizat demararea punerii în aplicare a Regulamentului privind piețele digitale, desemnarea primilor controlori de acces și inițierea dialogurilor de reglementare cu aceștia și, deși s-au putut observa deja anumite rezultate, 2025 a fost anul în care au început să se concretizeze numeroase beneficii practice pentru utilizatorii comerciali și pentru utilizatorii finali. De exemplu, pentru a îmbunătăți interoperabilitatea pentru toți utilizatorii, în 2025, Comisia a emis două decizii privind specificațiile în legătură cu Apple. Aceste decizii stabilesc condițiile de interoperabilitate cu iOS pentru dispozitivele conectate, cum ar fi ceasurile inteligente sau alte dispozitive purtabile, precum și procesul prin care părțile terțe pot solicita o astfel de interoperabilitate. Dialogul în materie de reglementare cu controlorii de acces a contribuit, de asemenea, la deschiderea ecosistemelor mobile, de exemplu prin oferirea unor ferestrele de selectare mai bune pentru browserele web și motoarele de căutare online.</w:t>
      </w:r>
    </w:p>
    <w:p w14:paraId="362917F4" w14:textId="575106EF" w:rsidR="002D095C" w:rsidRPr="00951305" w:rsidRDefault="004B6BCA" w:rsidP="00AF79FB">
      <w:pPr>
        <w:pStyle w:val="ListParagraph"/>
        <w:widowControl w:val="0"/>
        <w:numPr>
          <w:ilvl w:val="0"/>
          <w:numId w:val="1"/>
        </w:numPr>
        <w:autoSpaceDE w:val="0"/>
        <w:autoSpaceDN w:val="0"/>
        <w:spacing w:before="120" w:after="120" w:line="240" w:lineRule="auto"/>
        <w:ind w:left="992" w:hanging="499"/>
        <w:contextualSpacing w:val="0"/>
        <w:jc w:val="both"/>
        <w:rPr>
          <w:rFonts w:ascii="Times New Roman" w:eastAsia="Times New Roman" w:hAnsi="Times New Roman" w:cs="Times New Roman"/>
          <w:noProof/>
          <w:kern w:val="0"/>
          <w14:ligatures w14:val="none"/>
        </w:rPr>
      </w:pPr>
      <w:r>
        <w:rPr>
          <w:rFonts w:ascii="Times New Roman" w:hAnsi="Times New Roman"/>
          <w:noProof/>
        </w:rPr>
        <w:t>Prezentul raport evidențiază acțiunile întreprinse de Comisie în 2025, în special rezultatele obținute în urma dialogurilor în materie de reglementare și a altor acțiuni de asigurare a respectării legislației</w:t>
      </w:r>
      <w:r>
        <w:rPr>
          <w:rFonts w:ascii="Times New Roman" w:hAnsi="Times New Roman" w:cs="Times New Roman"/>
          <w:noProof/>
          <w:vertAlign w:val="superscript"/>
        </w:rPr>
        <w:footnoteReference w:id="2"/>
      </w:r>
      <w:r>
        <w:rPr>
          <w:rFonts w:ascii="Times New Roman" w:hAnsi="Times New Roman"/>
          <w:noProof/>
        </w:rPr>
        <w:t>. Toate aceste acțiuni sunt în conformitate cu Orientările politice ale președintei Von der Leyen pentru perioada 2024-2029</w:t>
      </w:r>
      <w:r>
        <w:rPr>
          <w:rStyle w:val="FootnoteReference"/>
          <w:rFonts w:ascii="Times New Roman" w:eastAsia="Times New Roman" w:hAnsi="Times New Roman" w:cs="Times New Roman"/>
          <w:noProof/>
          <w:kern w:val="0"/>
        </w:rPr>
        <w:footnoteReference w:id="3"/>
      </w:r>
      <w:r>
        <w:rPr>
          <w:rFonts w:ascii="Times New Roman" w:hAnsi="Times New Roman"/>
          <w:noProof/>
        </w:rPr>
        <w:t xml:space="preserve"> și cu scrisorile sale de misiune adresate vicepreședintei executive Virkkunen și vicepreședintei executive Ribera</w:t>
      </w:r>
      <w:r>
        <w:rPr>
          <w:rStyle w:val="FootnoteReference"/>
          <w:rFonts w:ascii="Times New Roman" w:eastAsia="Times New Roman" w:hAnsi="Times New Roman" w:cs="Times New Roman"/>
          <w:noProof/>
          <w:kern w:val="0"/>
        </w:rPr>
        <w:footnoteReference w:id="4"/>
      </w:r>
      <w:r>
        <w:rPr>
          <w:rFonts w:ascii="Times New Roman" w:hAnsi="Times New Roman"/>
          <w:noProof/>
        </w:rPr>
        <w:t>, cărora li s-a încredințat în comun sarcina de a se asigura că Regulamentul privind piețele digitale este pus în aplicare în mod eficace.</w:t>
      </w:r>
    </w:p>
    <w:p w14:paraId="40799454" w14:textId="794DCDEF" w:rsidR="00584070" w:rsidRPr="00951305" w:rsidRDefault="007F34CC" w:rsidP="00DC1DEB">
      <w:pPr>
        <w:pStyle w:val="ListParagraph"/>
        <w:widowControl w:val="0"/>
        <w:numPr>
          <w:ilvl w:val="0"/>
          <w:numId w:val="1"/>
        </w:numPr>
        <w:autoSpaceDE w:val="0"/>
        <w:autoSpaceDN w:val="0"/>
        <w:spacing w:before="120" w:after="120" w:line="240" w:lineRule="auto"/>
        <w:ind w:left="992" w:hanging="499"/>
        <w:contextualSpacing w:val="0"/>
        <w:jc w:val="both"/>
        <w:rPr>
          <w:rFonts w:ascii="Times New Roman" w:eastAsia="Times New Roman" w:hAnsi="Times New Roman" w:cs="Times New Roman"/>
          <w:noProof/>
          <w:kern w:val="0"/>
          <w14:ligatures w14:val="none"/>
        </w:rPr>
      </w:pPr>
      <w:r>
        <w:rPr>
          <w:rFonts w:ascii="Times New Roman" w:hAnsi="Times New Roman"/>
          <w:noProof/>
        </w:rPr>
        <w:t>Raportul este structurat după cum urmează. Secțiunea II prezintă activitățile legate de desemnarea controlorilor de acces. Secțiunea III explică acțiunile Comisiei de punere în aplicare și de asigurare a respectării Regulamentului privind piețele digitale prin dialog în materie de reglementare și proceduri oficiale. Secțiunea IV descrie investigația Comisiei cu privire la noile practici care sunt inechitabile sau care limitează contestabilitatea pieței. Secțiunea V abordează cerințele privind raportarea de către controlorii de acces cu privire la practicile de creare de profiluri ale consumatorilor. Secțiunea VI explică interacțiunea dintre Comisie și autoritățile naționale. Secțiunea VII prezintă în detaliu activitățile legate de cooperarea transversală în materie de reglementare, cum ar fi cele referitoare la Grupul la nivel înalt pentru Regulamentul privind piețele digitale („grupul la nivel înalt”). Secțiunea VIII prezintă alte activități desfășurate de Comisie în anul de raportare legate de revizuirea Regulamentului privind piețele digitale și de cooperarea internațională.</w:t>
      </w:r>
    </w:p>
    <w:p w14:paraId="4DF77E11" w14:textId="2F712998" w:rsidR="00777116" w:rsidRPr="00951305" w:rsidRDefault="00A14CEE" w:rsidP="00AF79FB">
      <w:pPr>
        <w:pStyle w:val="ListParagraph"/>
        <w:widowControl w:val="0"/>
        <w:numPr>
          <w:ilvl w:val="0"/>
          <w:numId w:val="2"/>
        </w:numPr>
        <w:tabs>
          <w:tab w:val="left" w:pos="1983"/>
          <w:tab w:val="left" w:pos="4007"/>
          <w:tab w:val="left" w:pos="5429"/>
          <w:tab w:val="left" w:pos="6146"/>
          <w:tab w:val="left" w:pos="7983"/>
          <w:tab w:val="left" w:pos="8711"/>
        </w:tabs>
        <w:autoSpaceDE w:val="0"/>
        <w:autoSpaceDN w:val="0"/>
        <w:spacing w:before="120" w:after="120" w:line="240" w:lineRule="auto"/>
        <w:ind w:hanging="295"/>
        <w:contextualSpacing w:val="0"/>
        <w:jc w:val="both"/>
        <w:outlineLvl w:val="0"/>
        <w:rPr>
          <w:rFonts w:ascii="Times New Roman" w:eastAsia="Times New Roman" w:hAnsi="Times New Roman" w:cs="Times New Roman"/>
          <w:b/>
          <w:bCs/>
          <w:noProof/>
          <w:spacing w:val="-2"/>
          <w:kern w:val="0"/>
          <w14:ligatures w14:val="none"/>
        </w:rPr>
      </w:pPr>
      <w:r>
        <w:rPr>
          <w:rFonts w:ascii="Times New Roman" w:hAnsi="Times New Roman"/>
          <w:b/>
          <w:noProof/>
        </w:rPr>
        <w:t>CONTROLORII DE ACCES ȘI SERVICIILE DE PLATFORMĂ ESENȚIALE AFLATE SUB SUPRAVEGHERE</w:t>
      </w:r>
    </w:p>
    <w:p w14:paraId="15D356AB" w14:textId="382B1D99" w:rsidR="00F12373" w:rsidRPr="00951305" w:rsidRDefault="005656A2"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eastAsia="Times New Roman" w:hAnsi="Times New Roman" w:cs="Times New Roman"/>
          <w:noProof/>
          <w:kern w:val="0"/>
          <w14:ligatures w14:val="none"/>
        </w:rPr>
      </w:pPr>
      <w:r>
        <w:rPr>
          <w:rFonts w:ascii="Times New Roman" w:hAnsi="Times New Roman"/>
          <w:noProof/>
        </w:rPr>
        <w:t>Serviciile digitale care fac obiectul supravegherii de către Comisie în temeiul Regulamentului privind piețele digitale au continuat să evolueze în 2025. La sfârșitul perioadei de raportare, existau șapte controlori de acces (Alphabet, Amazon, Apple, Booking, ByteDance, Meta și Microsoft) care intrau sub incidența Regulamentului privind piețele digitale în ceea ce privește un total de 23 de servicii de platformă esențiale pe care le furnizau</w:t>
      </w:r>
      <w:r>
        <w:rPr>
          <w:rStyle w:val="FootnoteReference"/>
          <w:rFonts w:ascii="Times New Roman" w:eastAsia="Times New Roman" w:hAnsi="Times New Roman" w:cs="Times New Roman"/>
          <w:noProof/>
          <w:kern w:val="0"/>
        </w:rPr>
        <w:footnoteReference w:id="5"/>
      </w:r>
      <w:r>
        <w:rPr>
          <w:rFonts w:ascii="Times New Roman" w:hAnsi="Times New Roman"/>
          <w:noProof/>
        </w:rPr>
        <w:t>.</w:t>
      </w:r>
    </w:p>
    <w:p w14:paraId="17CAFDC4" w14:textId="5A83DA29" w:rsidR="005656A2" w:rsidRPr="00951305" w:rsidRDefault="00911B4A"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eastAsia="Times New Roman" w:hAnsi="Times New Roman" w:cs="Times New Roman"/>
          <w:noProof/>
          <w:kern w:val="0"/>
          <w14:ligatures w14:val="none"/>
        </w:rPr>
      </w:pPr>
      <w:r>
        <w:rPr>
          <w:rFonts w:ascii="Times New Roman" w:hAnsi="Times New Roman"/>
          <w:noProof/>
        </w:rPr>
        <w:t>În special, în 2025 s-a înregistrat prima excludere a unui serviciu de platformă esențial din decizia de desemnare a unui controlor de acces, întrucât întreprinderea în cauză nu mai îndeplinea pragurile cantitative prevăzute la articolul 3 alineatul (2) din Regulamentul privind piețele digitale. Mai multe servicii suplimentare au fost notificate ca îndeplinind pragurile, dar nu au fost considerate puncte de acces importante. În plus, având în vedere relevanța serviciilor de cloud computing pentru întreprinderile care își desfășoară activitatea în UE și pentru economia europeană în general, Comisia a lansat, de asemenea, două investigații de piață cu privire la potențialele desemnări calitative ale serviciilor de cloud computing ale Amazon și Microsoft – Amazon Web Services („AWS”) și, respectiv, Azure.</w:t>
      </w:r>
    </w:p>
    <w:p w14:paraId="17E2A990" w14:textId="0F5540D9" w:rsidR="00B62171" w:rsidRPr="00951305" w:rsidRDefault="006476AD" w:rsidP="00AF79FB">
      <w:pPr>
        <w:pStyle w:val="ListParagraph"/>
        <w:widowControl w:val="0"/>
        <w:numPr>
          <w:ilvl w:val="0"/>
          <w:numId w:val="4"/>
        </w:numPr>
        <w:autoSpaceDE w:val="0"/>
        <w:autoSpaceDN w:val="0"/>
        <w:spacing w:before="120" w:after="120" w:line="240" w:lineRule="auto"/>
        <w:contextualSpacing w:val="0"/>
        <w:jc w:val="both"/>
        <w:rPr>
          <w:rFonts w:ascii="Times New Roman" w:eastAsia="Times New Roman" w:hAnsi="Times New Roman" w:cs="Times New Roman"/>
          <w:b/>
          <w:bCs/>
          <w:noProof/>
          <w:kern w:val="0"/>
          <w14:ligatures w14:val="none"/>
        </w:rPr>
      </w:pPr>
      <w:r>
        <w:rPr>
          <w:rFonts w:ascii="Times New Roman" w:hAnsi="Times New Roman"/>
          <w:b/>
          <w:noProof/>
        </w:rPr>
        <w:t>Reexaminarea unei decizii de desemnare</w:t>
      </w:r>
    </w:p>
    <w:p w14:paraId="3C578DE2" w14:textId="21FBBB81" w:rsidR="00B62171" w:rsidRPr="00951305" w:rsidRDefault="006476AD"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eastAsia="Times New Roman" w:hAnsi="Times New Roman" w:cs="Times New Roman"/>
          <w:noProof/>
          <w:kern w:val="0"/>
          <w14:ligatures w14:val="none"/>
        </w:rPr>
      </w:pPr>
      <w:bookmarkStart w:id="2" w:name="_Hlk222931307"/>
      <w:r>
        <w:rPr>
          <w:rFonts w:ascii="Times New Roman" w:hAnsi="Times New Roman"/>
          <w:noProof/>
        </w:rPr>
        <w:t>La 5 martie 2024, Meta a solicitat ca serviciul său de intermediere online Marketplace să nu mai fie desemnat, susținând că a luat măsuri pentru a elimina utilizatorii comerciali de pe Marketplace și pentru a se asigura că serviciul este destinat exclusiv tranzacțiilor între consumatori</w:t>
      </w:r>
      <w:r>
        <w:rPr>
          <w:rStyle w:val="FootnoteReference"/>
          <w:rFonts w:ascii="Times New Roman" w:eastAsia="Times New Roman" w:hAnsi="Times New Roman" w:cs="Times New Roman"/>
          <w:noProof/>
          <w:kern w:val="0"/>
        </w:rPr>
        <w:footnoteReference w:id="6"/>
      </w:r>
      <w:r>
        <w:rPr>
          <w:rFonts w:ascii="Times New Roman" w:hAnsi="Times New Roman"/>
          <w:noProof/>
        </w:rPr>
        <w:t>. În urma acestor măsuri, care au inclus eliminarea utilizatorilor despre care s-a constatat că sunt utilizatori comerciali în decizia de desemnare a Meta din 2023</w:t>
      </w:r>
      <w:r>
        <w:rPr>
          <w:rStyle w:val="FootnoteReference"/>
          <w:rFonts w:ascii="Times New Roman" w:eastAsia="Times New Roman" w:hAnsi="Times New Roman" w:cs="Times New Roman"/>
          <w:noProof/>
          <w:kern w:val="0"/>
        </w:rPr>
        <w:footnoteReference w:id="7"/>
      </w:r>
      <w:r>
        <w:rPr>
          <w:rFonts w:ascii="Times New Roman" w:hAnsi="Times New Roman"/>
          <w:noProof/>
        </w:rPr>
        <w:t>, Comisia a concluzionat în decizia sa de desemnare din 23 aprilie 2025 că Marketplace avea mai puțin de 10 000 de utilizatori comerciali activi anual în 2024</w:t>
      </w:r>
      <w:r>
        <w:rPr>
          <w:rStyle w:val="FootnoteReference"/>
          <w:rFonts w:ascii="Times New Roman" w:eastAsia="Times New Roman" w:hAnsi="Times New Roman" w:cs="Times New Roman"/>
          <w:noProof/>
          <w:kern w:val="0"/>
        </w:rPr>
        <w:footnoteReference w:id="8"/>
      </w:r>
      <w:r>
        <w:rPr>
          <w:rFonts w:ascii="Times New Roman" w:hAnsi="Times New Roman"/>
          <w:noProof/>
        </w:rPr>
        <w:t>. Prin urmare, decizia de desemnare a fost modificată în temeiul articolului 4 alineatul (1) din Regulamentul privind piețele digitale prin eliminarea Marketplace de pe lista serviciilor de platformă esențiale aflate sub supraveghere.</w:t>
      </w:r>
      <w:bookmarkEnd w:id="2"/>
    </w:p>
    <w:p w14:paraId="716C913D" w14:textId="23FDBDCB" w:rsidR="00186B64" w:rsidRPr="00951305" w:rsidRDefault="006476AD" w:rsidP="00AF79FB">
      <w:pPr>
        <w:pStyle w:val="ListParagraph"/>
        <w:widowControl w:val="0"/>
        <w:numPr>
          <w:ilvl w:val="0"/>
          <w:numId w:val="4"/>
        </w:numPr>
        <w:autoSpaceDE w:val="0"/>
        <w:autoSpaceDN w:val="0"/>
        <w:spacing w:before="120" w:after="120" w:line="240" w:lineRule="auto"/>
        <w:contextualSpacing w:val="0"/>
        <w:jc w:val="both"/>
        <w:rPr>
          <w:rFonts w:ascii="Times New Roman" w:eastAsia="Times New Roman" w:hAnsi="Times New Roman" w:cs="Times New Roman"/>
          <w:b/>
          <w:bCs/>
          <w:noProof/>
          <w:kern w:val="0"/>
          <w14:ligatures w14:val="none"/>
        </w:rPr>
      </w:pPr>
      <w:r>
        <w:rPr>
          <w:rFonts w:ascii="Times New Roman" w:hAnsi="Times New Roman"/>
          <w:b/>
          <w:noProof/>
        </w:rPr>
        <w:t>Notificări privind serviciile noi</w:t>
      </w:r>
    </w:p>
    <w:p w14:paraId="1FCDF022" w14:textId="64957943" w:rsidR="00300915" w:rsidRPr="00951305" w:rsidRDefault="006476AD"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eastAsia="Times New Roman" w:hAnsi="Times New Roman" w:cs="Times New Roman"/>
          <w:noProof/>
          <w:kern w:val="0"/>
          <w14:ligatures w14:val="none"/>
        </w:rPr>
      </w:pPr>
      <w:r>
        <w:rPr>
          <w:rFonts w:ascii="Times New Roman" w:hAnsi="Times New Roman"/>
          <w:noProof/>
        </w:rPr>
        <w:t>La 27 noiembrie 2025, Apple a notificat Comisiei că a atins pragurile cantitative prevăzute la articolul 3 alineatul (2) din Regulamentul privind piețele digitale în ceea ce privește serviciul său de publicitate online Apple Ads și serviciul său de intermediere online Apple Maps. Împreună cu notificarea sa, Apple a prezentat, de asemenea, o obiecție în temeiul articolului 3 alineatul (5) din Regulamentul privind piețele digitale, susținând că aceste două servicii nu se califică drept puncte de acces importante prin care utilizatorii comerciali ajung la utilizatorii finali</w:t>
      </w:r>
      <w:r>
        <w:rPr>
          <w:rStyle w:val="FootnoteReference"/>
          <w:rFonts w:ascii="Times New Roman" w:eastAsia="Times New Roman" w:hAnsi="Times New Roman" w:cs="Times New Roman"/>
          <w:noProof/>
          <w:kern w:val="0"/>
        </w:rPr>
        <w:footnoteReference w:id="9"/>
      </w:r>
      <w:r>
        <w:rPr>
          <w:rFonts w:ascii="Times New Roman" w:hAnsi="Times New Roman"/>
          <w:noProof/>
        </w:rPr>
        <w:t>. Observațiile Apple au declanșat procedura prin care Comisia a avut la dispoziție 45 de zile lucrătoare pentru a evalua dacă afirmațiile erau justificate în mod suficient și, după caz, pentru a deschide o investigație de piață în temeiul articolului 17 alineatul (3) din Regulamentul privind piețele digitale</w:t>
      </w:r>
      <w:r>
        <w:rPr>
          <w:rStyle w:val="FootnoteReference"/>
          <w:rFonts w:ascii="Times New Roman" w:eastAsia="Times New Roman" w:hAnsi="Times New Roman" w:cs="Times New Roman"/>
          <w:noProof/>
          <w:kern w:val="0"/>
        </w:rPr>
        <w:footnoteReference w:id="10"/>
      </w:r>
      <w:r>
        <w:rPr>
          <w:rFonts w:ascii="Times New Roman" w:hAnsi="Times New Roman"/>
          <w:noProof/>
        </w:rPr>
        <w:t>.</w:t>
      </w:r>
    </w:p>
    <w:p w14:paraId="7A127413" w14:textId="25279E30" w:rsidR="00C845E5" w:rsidRPr="00951305" w:rsidRDefault="00C845E5" w:rsidP="00AF79FB">
      <w:pPr>
        <w:pStyle w:val="ListParagraph"/>
        <w:widowControl w:val="0"/>
        <w:numPr>
          <w:ilvl w:val="0"/>
          <w:numId w:val="4"/>
        </w:numPr>
        <w:autoSpaceDE w:val="0"/>
        <w:autoSpaceDN w:val="0"/>
        <w:spacing w:before="120" w:after="120" w:line="240" w:lineRule="auto"/>
        <w:contextualSpacing w:val="0"/>
        <w:jc w:val="both"/>
        <w:rPr>
          <w:rFonts w:ascii="Times New Roman" w:eastAsia="Times New Roman" w:hAnsi="Times New Roman" w:cs="Times New Roman"/>
          <w:b/>
          <w:bCs/>
          <w:noProof/>
          <w:kern w:val="0"/>
          <w14:ligatures w14:val="none"/>
        </w:rPr>
      </w:pPr>
      <w:r>
        <w:rPr>
          <w:rFonts w:ascii="Times New Roman" w:hAnsi="Times New Roman"/>
          <w:b/>
          <w:noProof/>
        </w:rPr>
        <w:t>Investigații privind desemnările calitative</w:t>
      </w:r>
    </w:p>
    <w:p w14:paraId="2D764FAA" w14:textId="655CEECF" w:rsidR="001F5F7C" w:rsidRPr="00951305" w:rsidRDefault="00172D43"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La 18 noiembrie 2025</w:t>
      </w:r>
      <w:r>
        <w:rPr>
          <w:rStyle w:val="FootnoteReference"/>
          <w:rFonts w:ascii="Times New Roman" w:eastAsia="Times New Roman" w:hAnsi="Times New Roman" w:cs="Times New Roman"/>
          <w:noProof/>
          <w:kern w:val="0"/>
        </w:rPr>
        <w:footnoteReference w:id="11"/>
      </w:r>
      <w:r>
        <w:rPr>
          <w:rFonts w:ascii="Times New Roman" w:hAnsi="Times New Roman"/>
          <w:noProof/>
        </w:rPr>
        <w:t>, Comisia a lansat două investigații de piață pentru a evalua dacă Amazon și Microsoft ar trebui desemnate drept controlori de acces pentru serviciile lor de cloud computing AWS și Azure</w:t>
      </w:r>
      <w:r>
        <w:rPr>
          <w:rStyle w:val="FootnoteReference"/>
          <w:rFonts w:ascii="Times New Roman" w:eastAsia="Times New Roman" w:hAnsi="Times New Roman" w:cs="Times New Roman"/>
          <w:noProof/>
          <w:kern w:val="0"/>
        </w:rPr>
        <w:footnoteReference w:id="12"/>
      </w:r>
      <w:r>
        <w:rPr>
          <w:rFonts w:ascii="Times New Roman" w:hAnsi="Times New Roman"/>
          <w:noProof/>
        </w:rPr>
        <w:t>. Deși aceste două servicii nu au atins pragurile prevăzute la articolul 3 alineatul (2) din DMA, pentru desemnarea cantitativă a unui serviciu de platformă esențial, Comisia a considerat că există motive pentru a considera că Amazon și Microsoft, prin intermediul AWS și, respectiv, Azure, ar putea fi puncte de acces importante prin care utilizatorii comerciali ajung la utilizatorii finali în sensul articolului 3 alineatul (1) din Regulamentul privind piețele digitale. Serviciile de cloud computing au devenit coloana vertebrală a multor servicii digitale și sunt esențiale pentru întreprinderile care își desfășoară activitatea în UE, precum și pentru dezvoltarea tehnologiilor IA. Investigațiile de piață în curs privind AWS și Azure reprezintă, prin urmare, o oportunitate de a stabili dacă acestea se califică drept puncte de acces importante și, în caz afirmativ, de a le desemna ca atare în temeiul Regulamentului privind piețele digitale.</w:t>
      </w:r>
    </w:p>
    <w:p w14:paraId="7E78578D" w14:textId="656E5552" w:rsidR="001F5F7C" w:rsidRPr="00951305" w:rsidRDefault="001F5F7C" w:rsidP="00AF79FB">
      <w:pPr>
        <w:pStyle w:val="ListParagraph"/>
        <w:widowControl w:val="0"/>
        <w:numPr>
          <w:ilvl w:val="0"/>
          <w:numId w:val="4"/>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Litigii în fața instanțelor UE cu privire la desemnări</w:t>
      </w:r>
    </w:p>
    <w:p w14:paraId="440F7C57" w14:textId="1FE3E89A" w:rsidR="001F5F7C" w:rsidRPr="00951305" w:rsidRDefault="00F12373" w:rsidP="001D36F5">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eastAsia="Times New Roman" w:hAnsi="Times New Roman" w:cs="Times New Roman"/>
          <w:noProof/>
          <w:kern w:val="0"/>
          <w14:ligatures w14:val="none"/>
        </w:rPr>
      </w:pPr>
      <w:r>
        <w:rPr>
          <w:rFonts w:ascii="Times New Roman" w:hAnsi="Times New Roman"/>
          <w:noProof/>
        </w:rPr>
        <w:t>În 2025, Comisia a continuat să își susțină deciziile de desemnare în fața instanțelor UE în legătură cu procedurile în curs inițiate de Apple</w:t>
      </w:r>
      <w:r>
        <w:rPr>
          <w:rStyle w:val="FootnoteReference"/>
          <w:rFonts w:ascii="Times New Roman" w:eastAsia="Times New Roman" w:hAnsi="Times New Roman" w:cs="Times New Roman"/>
          <w:noProof/>
          <w:kern w:val="0"/>
        </w:rPr>
        <w:footnoteReference w:id="13"/>
      </w:r>
      <w:r>
        <w:rPr>
          <w:rFonts w:ascii="Times New Roman" w:hAnsi="Times New Roman"/>
          <w:noProof/>
        </w:rPr>
        <w:t>, Meta</w:t>
      </w:r>
      <w:r>
        <w:rPr>
          <w:rStyle w:val="FootnoteReference"/>
          <w:rFonts w:ascii="Times New Roman" w:eastAsia="Times New Roman" w:hAnsi="Times New Roman" w:cs="Times New Roman"/>
          <w:noProof/>
          <w:kern w:val="0"/>
        </w:rPr>
        <w:footnoteReference w:id="14"/>
      </w:r>
      <w:r>
        <w:rPr>
          <w:rFonts w:ascii="Times New Roman" w:hAnsi="Times New Roman"/>
          <w:noProof/>
        </w:rPr>
        <w:t xml:space="preserve"> și Opera</w:t>
      </w:r>
      <w:r>
        <w:rPr>
          <w:rStyle w:val="FootnoteReference"/>
          <w:rFonts w:ascii="Times New Roman" w:eastAsia="Times New Roman" w:hAnsi="Times New Roman" w:cs="Times New Roman"/>
          <w:noProof/>
          <w:kern w:val="0"/>
        </w:rPr>
        <w:footnoteReference w:id="15"/>
      </w:r>
      <w:r>
        <w:rPr>
          <w:rFonts w:ascii="Times New Roman" w:hAnsi="Times New Roman"/>
          <w:noProof/>
        </w:rPr>
        <w:t>. Hotărârile Tribunalului în aceste trei cauze sunt încă pendinte.</w:t>
      </w:r>
    </w:p>
    <w:p w14:paraId="1CF8F2B5" w14:textId="143A0EEE" w:rsidR="006935FD" w:rsidRPr="00951305" w:rsidRDefault="00994B25"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În plus, Comisia a continuat să fie parte pârâtă activă în cele două proceduri aflate în curs referitoare la ByteDance. Acest controlor de acces a formulat recurs împotriva hotărârii Tribunalului prin care se confirmă decizia Comisiei de desemnare a ByteDance drept controlor de acces</w:t>
      </w:r>
      <w:r>
        <w:rPr>
          <w:rStyle w:val="FootnoteReference"/>
          <w:rFonts w:ascii="Times New Roman" w:eastAsia="Times New Roman" w:hAnsi="Times New Roman" w:cs="Times New Roman"/>
          <w:noProof/>
          <w:kern w:val="0"/>
        </w:rPr>
        <w:footnoteReference w:id="16"/>
      </w:r>
      <w:r>
        <w:rPr>
          <w:rFonts w:ascii="Times New Roman" w:hAnsi="Times New Roman"/>
          <w:noProof/>
        </w:rPr>
        <w:t>. În plus, consilierul juridic extern al ByteDance a contestat în nume propriu decizia Comisiei de respingere a cererii de acces la documente referitoare la desemnarea ByteDance</w:t>
      </w:r>
      <w:r>
        <w:rPr>
          <w:rStyle w:val="FootnoteReference"/>
          <w:rFonts w:ascii="Times New Roman" w:eastAsia="Times New Roman" w:hAnsi="Times New Roman" w:cs="Times New Roman"/>
          <w:noProof/>
          <w:kern w:val="0"/>
        </w:rPr>
        <w:footnoteReference w:id="17"/>
      </w:r>
      <w:r>
        <w:rPr>
          <w:rFonts w:ascii="Times New Roman" w:hAnsi="Times New Roman"/>
          <w:noProof/>
        </w:rPr>
        <w:t>.</w:t>
      </w:r>
    </w:p>
    <w:p w14:paraId="444C7D0D" w14:textId="54A5722A" w:rsidR="008500AD" w:rsidRPr="00951305" w:rsidRDefault="008500AD" w:rsidP="00AF79FB">
      <w:pPr>
        <w:pStyle w:val="ListParagraph"/>
        <w:widowControl w:val="0"/>
        <w:numPr>
          <w:ilvl w:val="0"/>
          <w:numId w:val="2"/>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RESPECTAREA DE CĂTRE CONTROLORII DE ACCES A OBLIGAȚIILOR PREVĂZUTE ÎN REGULAMENTUL PRIVIND PIEȚELE DIGITALE</w:t>
      </w:r>
    </w:p>
    <w:p w14:paraId="2AD2F1B0" w14:textId="768C4258" w:rsidR="008500AD" w:rsidRPr="00951305" w:rsidRDefault="008500AD" w:rsidP="00AF79FB">
      <w:pPr>
        <w:pStyle w:val="ListParagraph"/>
        <w:widowControl w:val="0"/>
        <w:numPr>
          <w:ilvl w:val="0"/>
          <w:numId w:val="6"/>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Activitatea de monitorizare</w:t>
      </w:r>
    </w:p>
    <w:p w14:paraId="4DF1BC46" w14:textId="06D11B47" w:rsidR="00A064EC" w:rsidRPr="00951305" w:rsidRDefault="00D5254A"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Controlorii de acces trebuie să își adapteze serviciile astfel încât să respecte în orice moment obligațiile prevăzute în Regulamentul privind piețele digitale, demonstrând conformitatea din faza de proiectare. Pentru a permite Comisiei să își îndeplinească sarcinile de monitorizare și pentru a asigura responsabilitatea controlorilor de acces față de piață, controlorii de acces și-au prezentat rapoartele de conformitate în martie 2025</w:t>
      </w:r>
      <w:r>
        <w:rPr>
          <w:rStyle w:val="FootnoteReference"/>
          <w:rFonts w:ascii="Times New Roman" w:hAnsi="Times New Roman" w:cs="Times New Roman"/>
          <w:noProof/>
        </w:rPr>
        <w:footnoteReference w:id="18"/>
      </w:r>
      <w:r>
        <w:rPr>
          <w:rFonts w:ascii="Times New Roman" w:hAnsi="Times New Roman"/>
          <w:noProof/>
        </w:rPr>
        <w:t>, însoțite de descrieri auditate independent ale tehnicilor de creare de profiluri ale consumatorilor aplicate serviciilor lor de platformă esențiale sau în cadrul acestora</w:t>
      </w:r>
      <w:r>
        <w:rPr>
          <w:rStyle w:val="FootnoteReference"/>
          <w:rFonts w:ascii="Times New Roman" w:hAnsi="Times New Roman" w:cs="Times New Roman"/>
          <w:noProof/>
        </w:rPr>
        <w:footnoteReference w:id="19"/>
      </w:r>
      <w:r>
        <w:rPr>
          <w:rFonts w:ascii="Times New Roman" w:hAnsi="Times New Roman"/>
          <w:noProof/>
        </w:rPr>
        <w:t>.</w:t>
      </w:r>
    </w:p>
    <w:p w14:paraId="753A6870" w14:textId="2CF276BE" w:rsidR="00A064EC" w:rsidRPr="00951305" w:rsidRDefault="00D5254A" w:rsidP="00A064EC">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În temeiul Regulamentului privind piețele digitale, dialogul în materie de reglementare este esențial pentru monitorizarea conformității controlorilor de acces: acesta permite Comisiei să colaboreze intens cu controlorii de acces pentru a discuta fiecare detaliu al propunerilor și soluțiilor lor de conformitate – inclusiv în ceea ce privește modificările aduse serviciilor lor de platformă esențiale pe măsură ce acestea evoluează pentru a răspunde cererilor utilizatorilor și pentru a încorpora noi tehnologii, cum ar fi caracteristicile bazate pe IA – precum și pentru a solicita și a primi feedback de la părțile terțe relevante.</w:t>
      </w:r>
    </w:p>
    <w:p w14:paraId="6579884B" w14:textId="22956F69" w:rsidR="00A6650F" w:rsidRPr="00951305" w:rsidRDefault="00AF05BB" w:rsidP="00D5254A">
      <w:pPr>
        <w:pStyle w:val="ListParagraph"/>
        <w:widowControl w:val="0"/>
        <w:numPr>
          <w:ilvl w:val="0"/>
          <w:numId w:val="1"/>
        </w:numPr>
        <w:autoSpaceDE w:val="0"/>
        <w:autoSpaceDN w:val="0"/>
        <w:spacing w:before="120" w:after="120" w:line="240" w:lineRule="auto"/>
        <w:ind w:left="993" w:hanging="502"/>
        <w:contextualSpacing w:val="0"/>
        <w:jc w:val="both"/>
        <w:rPr>
          <w:noProof/>
        </w:rPr>
      </w:pPr>
      <w:r>
        <w:rPr>
          <w:rFonts w:ascii="Times New Roman" w:hAnsi="Times New Roman"/>
          <w:noProof/>
        </w:rPr>
        <w:t>Ca parte a caracterului deschis al dialogului în materie de reglementare, în iunie și iulie 2025, Comisia a organizat, de asemenea, o serie de ateliere în cadrul cărora participanții și-au putut exprima opiniile cu privire la măsurile de asigurare a conformității puse în aplicare de Amazon, Alphabet, Apple, ByteDance, Meta și Microsoft. Acestea s-au axat în special pe modificările aduse respectivelor măsuri de asigurare a conformității</w:t>
      </w:r>
      <w:r>
        <w:rPr>
          <w:rStyle w:val="FootnoteReference"/>
          <w:rFonts w:ascii="Times New Roman" w:eastAsia="Times New Roman" w:hAnsi="Times New Roman" w:cs="Times New Roman"/>
          <w:noProof/>
          <w:kern w:val="0"/>
        </w:rPr>
        <w:footnoteReference w:id="20"/>
      </w:r>
      <w:r>
        <w:rPr>
          <w:rFonts w:ascii="Times New Roman" w:hAnsi="Times New Roman"/>
          <w:noProof/>
        </w:rPr>
        <w:t>. Participarea la aceste ateliere a fost deschisă publicului, în special utilizatorilor comerciali, societății civile și asociațiilor de consumatori și de întreprinderi. Pe site-ul Comisiei dedicat Regulamentului privind piețele digitale sunt disponibile înregistrările tuturor atelierelor organizate în 2025</w:t>
      </w:r>
      <w:r>
        <w:rPr>
          <w:rStyle w:val="FootnoteReference"/>
          <w:rFonts w:ascii="Times New Roman" w:hAnsi="Times New Roman" w:cs="Times New Roman"/>
          <w:noProof/>
        </w:rPr>
        <w:footnoteReference w:id="21"/>
      </w:r>
      <w:r>
        <w:rPr>
          <w:rFonts w:ascii="Times New Roman" w:hAnsi="Times New Roman"/>
          <w:noProof/>
        </w:rPr>
        <w:t>. În urma discuțiilor cu reprezentanții societății civile, Comisia a instituit măsuri suplimentare de transparență în ceea ce privește afilierea participanților la controlorii de acces.</w:t>
      </w:r>
    </w:p>
    <w:p w14:paraId="09405E0E" w14:textId="70F56ADD" w:rsidR="008500AD" w:rsidRPr="00951305" w:rsidRDefault="00C33F0A" w:rsidP="00AF79FB">
      <w:pPr>
        <w:pStyle w:val="ListParagraph"/>
        <w:widowControl w:val="0"/>
        <w:numPr>
          <w:ilvl w:val="0"/>
          <w:numId w:val="6"/>
        </w:numPr>
        <w:autoSpaceDE w:val="0"/>
        <w:autoSpaceDN w:val="0"/>
        <w:spacing w:before="120" w:after="120" w:line="240" w:lineRule="auto"/>
        <w:contextualSpacing w:val="0"/>
        <w:jc w:val="both"/>
        <w:rPr>
          <w:rFonts w:ascii="Times New Roman" w:hAnsi="Times New Roman" w:cs="Times New Roman"/>
          <w:b/>
          <w:noProof/>
        </w:rPr>
      </w:pPr>
      <w:r>
        <w:rPr>
          <w:rFonts w:ascii="Times New Roman" w:hAnsi="Times New Roman"/>
          <w:b/>
          <w:noProof/>
        </w:rPr>
        <w:t>Rezultatele și beneficiile respectării de către controlorii de acces a articolelor 5, 6 și 7 din Regulamentul privind piețele digitale</w:t>
      </w:r>
    </w:p>
    <w:p w14:paraId="76DF5592" w14:textId="1A600C5D" w:rsidR="00C4057E" w:rsidRPr="00DF2E5C" w:rsidRDefault="00D40EDC" w:rsidP="00DF2E5C">
      <w:pPr>
        <w:pStyle w:val="ListParagraph"/>
        <w:widowControl w:val="0"/>
        <w:numPr>
          <w:ilvl w:val="0"/>
          <w:numId w:val="1"/>
        </w:numPr>
        <w:autoSpaceDE w:val="0"/>
        <w:autoSpaceDN w:val="0"/>
        <w:spacing w:before="120" w:after="120" w:line="240" w:lineRule="auto"/>
        <w:ind w:left="1003" w:hanging="578"/>
        <w:contextualSpacing w:val="0"/>
        <w:jc w:val="both"/>
        <w:rPr>
          <w:rFonts w:ascii="Times New Roman" w:hAnsi="Times New Roman" w:cs="Times New Roman"/>
          <w:noProof/>
        </w:rPr>
      </w:pPr>
      <w:r>
        <w:rPr>
          <w:rFonts w:ascii="Times New Roman" w:hAnsi="Times New Roman"/>
          <w:noProof/>
        </w:rPr>
        <w:t>Domeniul de aplicare al Regulamentului privind piețele digitale este larg. Acesta acoperă serviciile de platformă esențiale care au impact semnificativ pentru viața de zi cu zi a utilizatorilor, cum ar fi sistemele de operare, rețelele sociale online sau motoarele de căutare online, și impune controlorilor de acces un număr mare de responsabilități. În consecință, regulamentul a contribuit deja la calitatea serviciilor digitale pentru utilizatorii din UE, oferindu-le un control mai mare asupra datelor lor, deschizând ecosistemele mobile, abordând efectele de rețea în serviciile de mesagerie și făcând serviciile online mai echitabile.</w:t>
      </w:r>
    </w:p>
    <w:p w14:paraId="0E7D745E" w14:textId="4EE3C549" w:rsidR="00FE5BE4" w:rsidRPr="00951305" w:rsidRDefault="003C428A" w:rsidP="00AF79FB">
      <w:pPr>
        <w:pStyle w:val="ListParagraph"/>
        <w:widowControl w:val="0"/>
        <w:numPr>
          <w:ilvl w:val="0"/>
          <w:numId w:val="9"/>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Asigurarea controlului utilizatorilor asupra datelor lor</w:t>
      </w:r>
    </w:p>
    <w:p w14:paraId="0DBEA761" w14:textId="7A02A1D0" w:rsidR="00A025E8" w:rsidRPr="00951305" w:rsidRDefault="00A025E8" w:rsidP="003D152E">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Una dintre principalele caracteristici ale controlorilor de acces este capacitatea lor de a acumula volume mari de date, ceea ce creează bariere la intrarea pe piețele pe care aceștia sunt prezenți. În plus, adesea, concurenții nu pot accesa aceste date, ceea ce subminează contestabilitatea pieței și, în cele din urmă, reduce posibilitățile de alegere ale utilizatorilor finali și împiedică inovarea. Din acest motiv, multe dispoziții ale Regulamentului privind piețele digitale – articolul 5 alineatul (2), articolul 5 alineatul (9), articolul 5 alineatul (10), articolul 6 alineatul (2), articolul 6 alineatul (8), articolul 6 alineatul (9) și articolul 6 alineatul (10) – se axează pe modul în care controlorii de acces utilizează datele pe care le-au acumulat și oferă utilizatorilor finali și utilizatorilor comerciali un control mai mare asupra datelor pe care le generează atunci când utilizează serviciile controlorilor de acces.</w:t>
      </w:r>
    </w:p>
    <w:p w14:paraId="1B8DFF82" w14:textId="11DFC112" w:rsidR="00A025E8" w:rsidRPr="00951305" w:rsidRDefault="00A025E8" w:rsidP="003D152E">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Comisia continuă să fie foarte activă în acest domeniu. În special, aceasta a adoptat o decizie de neconformitate împotriva Meta pentru încălcarea articolului 5 alineatul (2) din Regulamentul privind piețele digitale</w:t>
      </w:r>
      <w:r>
        <w:rPr>
          <w:rStyle w:val="FootnoteReference"/>
          <w:rFonts w:ascii="Times New Roman" w:hAnsi="Times New Roman" w:cs="Times New Roman"/>
          <w:noProof/>
        </w:rPr>
        <w:footnoteReference w:id="22"/>
      </w:r>
      <w:r>
        <w:rPr>
          <w:rFonts w:ascii="Times New Roman" w:hAnsi="Times New Roman"/>
          <w:noProof/>
        </w:rPr>
        <w:t>. Această obligație le impune controlorilor de acces să solicite consimțământul utilizatorilor pentru combinarea datelor lor cu caracter personal între servicii. Utilizatorii care nu își dau consimțământul trebuie să aibă acces la o alternativă mai puțin personalizată, dar echivalentă. Controlorii de acces precum Microsoft și Alphabet au introdus ecrane de consimțământ care le permit utilizatorilor finali să își exprime consimțământul pentru combinarea datelor lor în cadrul serviciilor fiecărui controlor de acces. Un procent semnificativ de utilizatori finali au decis să nu își dea consimțământul.</w:t>
      </w:r>
    </w:p>
    <w:p w14:paraId="48D0A769" w14:textId="5ECEE1EA" w:rsidR="00A025E8" w:rsidRPr="00951305" w:rsidRDefault="00A025E8" w:rsidP="003D152E">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Comisia a inițiat proceduri împotriva Meta în urma anunțului din 30 octombrie 2023 privind modelul său publicitar binar de „consimțământ sau plată”. Acest lucru a însemnat că utilizatorii Facebook și Instagram din UE au avut posibilitatea de a alege între a consimți ca datele lor cu caracter personal să fie combinate pentru publicitate personalizată sau a plăti un abonament lunar pentru un serviciu fără publicitate. Comisia a constatat că acest model încalcă Regulamentul privind piețele digitale, întrucât nu oferea utilizatorilor posibilitatea specifică, prevăzută la articolul 5 alineatul (2) din Regulamentul privind piețele digitale, de a opta pentru un serviciu care utilizează mai puține date cu caracter personal, dar care este echivalent în toate celelalte aspecte cu serviciul care conține publicitate personalizată. În plus, modelul Meta nu permitea utilizatorilor să își exercite dreptul de a-și da consimțământul liber pentru combinarea datelor lor cu caracter personal. Meta a fost amendată cu 200 de milioane EUR</w:t>
      </w:r>
      <w:r>
        <w:rPr>
          <w:rStyle w:val="FootnoteReference"/>
          <w:rFonts w:ascii="Times New Roman" w:hAnsi="Times New Roman" w:cs="Times New Roman"/>
          <w:noProof/>
        </w:rPr>
        <w:footnoteReference w:id="23"/>
      </w:r>
      <w:r>
        <w:rPr>
          <w:rFonts w:ascii="Times New Roman" w:hAnsi="Times New Roman"/>
          <w:noProof/>
        </w:rPr>
        <w:t>.</w:t>
      </w:r>
    </w:p>
    <w:p w14:paraId="522C31AA" w14:textId="4E6A6921" w:rsidR="00D21910" w:rsidRPr="00951305" w:rsidRDefault="00A025E8" w:rsidP="00A10BD2">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La 8 decembrie 2025, Meta a anunțat că, începând din 2026, va oferi utilizatorilor din UE o opțiune alternativă pentru serviciile Facebook și Instagram, care le va afișa mai puține reclame personalizate, pentru a se conforma Regulamentului privind piețele digitale</w:t>
      </w:r>
      <w:r>
        <w:rPr>
          <w:rStyle w:val="FootnoteReference"/>
          <w:rFonts w:ascii="Times New Roman" w:hAnsi="Times New Roman" w:cs="Times New Roman"/>
          <w:noProof/>
        </w:rPr>
        <w:footnoteReference w:id="24"/>
      </w:r>
      <w:r>
        <w:rPr>
          <w:rFonts w:ascii="Times New Roman" w:hAnsi="Times New Roman"/>
          <w:noProof/>
        </w:rPr>
        <w:t>. Potrivit Meta, utilizatorii finali din UE ar avea de ales între a-și da consimțământul pentru partajarea tuturor datelor lor și a vedea reclame complet personalizate, sau a opta pentru partajarea unui volum mai redus de date personale în schimbul unei experiențe cu reclame personalizate mai limitate. Odată ce acest nou model de publicitate va fi pus în aplicare, Comisia va solicita feedback și dovezi din partea Meta și a altor părți interesate relevante cu privire la impactul și adoptarea sa</w:t>
      </w:r>
      <w:r>
        <w:rPr>
          <w:rStyle w:val="FootnoteReference"/>
          <w:rFonts w:ascii="Times New Roman" w:hAnsi="Times New Roman" w:cs="Times New Roman"/>
          <w:noProof/>
        </w:rPr>
        <w:footnoteReference w:id="25"/>
      </w:r>
      <w:r>
        <w:rPr>
          <w:rFonts w:ascii="Times New Roman" w:hAnsi="Times New Roman"/>
          <w:noProof/>
        </w:rPr>
        <w:t>.</w:t>
      </w:r>
    </w:p>
    <w:p w14:paraId="6BBD8DE3" w14:textId="05336DA6" w:rsidR="00A025E8" w:rsidRPr="00951305" w:rsidRDefault="00712D53" w:rsidP="003D152E">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Anul de raportare a fost, de asemenea, unul intens din punctul de vedere al portabilității datelor, în conformitate cu articolul 6 alineatul (9) din Regulamentul privind piețele digitale. Ca urmare a dialogului în materie de reglementare, controlorii de acces și-au îmbunătățit soluțiile de conformitate care le permit utilizatorilor finali să își porteze datele. Un exemplu este posibilitatea oferită de Alphabet de a solicita acces prospectiv la date. Acest lucru le permite utilizatorilor finali să depună o singură cerere pentru a primi date în viitor zilnic, săptămânal sau lunar. O altă actualizare a interfeței Alphabet de programare a aplicațiilor pentru portabilitatea datelor este posibilitatea de a stabili perioada pentru care sunt solicitate datele istorice. În aceeași ordine de idei, în august 2025, Meta și-a consolidat instrumentele DYI (și anume descărcarea informațiilor dumneavoastră) și TYI (și anume transferul informațiilor dumneavoastră) într-un singur instrument EYI (și anume exportarea informațiilor dumneavoastră), îmbunătățind experiența utilizatorului final în ceea ce privește transferurile de date.</w:t>
      </w:r>
    </w:p>
    <w:p w14:paraId="01371169" w14:textId="7359BF65" w:rsidR="00A025E8" w:rsidRPr="00951305" w:rsidRDefault="00E023C6" w:rsidP="003D152E">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Dialogul în materie de reglementare dintre Comisie, Alphabet și Apple a condus, de asemenea, la dezvoltarea unei soluții de portabilitate a dispozitivelor care le permite utilizatorilor finali să își transfere cu ușurință datele de pe un dispozitiv Android pe un iPhone și viceversa. Dezvoltatorii și producătorii de dispozitive vor beneficia, de asemenea, de pe urma acestei soluții de conformitate. Cei dintâi își vor putea păstra utilizatorii dacă trec la dispozitive diferite, iar cei din urmă vor putea atrage mai mulți utilizatori care au fost blocați în alte ecosisteme de dispozitive.</w:t>
      </w:r>
    </w:p>
    <w:p w14:paraId="625551C5" w14:textId="3D151B55" w:rsidR="003C428A" w:rsidRPr="00951305" w:rsidRDefault="003C428A" w:rsidP="00AF79FB">
      <w:pPr>
        <w:pStyle w:val="ListParagraph"/>
        <w:widowControl w:val="0"/>
        <w:numPr>
          <w:ilvl w:val="0"/>
          <w:numId w:val="9"/>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Deschiderea ecosistemelor mobile</w:t>
      </w:r>
    </w:p>
    <w:p w14:paraId="3C854E92" w14:textId="57C54AA4" w:rsidR="003A02EA" w:rsidRPr="00951305" w:rsidRDefault="003A02EA" w:rsidP="005E25E7">
      <w:pPr>
        <w:pStyle w:val="ListParagraph"/>
        <w:widowControl w:val="0"/>
        <w:numPr>
          <w:ilvl w:val="0"/>
          <w:numId w:val="1"/>
        </w:numPr>
        <w:autoSpaceDE w:val="0"/>
        <w:autoSpaceDN w:val="0"/>
        <w:spacing w:before="120" w:after="120" w:line="240" w:lineRule="auto"/>
        <w:ind w:hanging="578"/>
        <w:jc w:val="both"/>
        <w:rPr>
          <w:rFonts w:ascii="Times New Roman" w:hAnsi="Times New Roman" w:cs="Times New Roman"/>
          <w:noProof/>
        </w:rPr>
      </w:pPr>
      <w:r>
        <w:rPr>
          <w:rFonts w:ascii="Times New Roman" w:hAnsi="Times New Roman"/>
          <w:noProof/>
        </w:rPr>
        <w:t>Dialogul în materie de reglementare a dat rezultate nu numai în ceea ce privește influența utilizatorilor asupra datelor lor, ci și în ceea ce privește deschiderea ecosistemelor mobile. În acest domeniu se aplică mai multe obligații prevăzute de Regulamentul privind piețele digitale, precum articolul 5 alineatele (4), (7) și (8) și articolul 6 alineatele (3), (4) și (7). Obiectivul lor comun este de a crea mai multe oportunități pentru dezvoltatori, prin încurajarea inovării, și de a oferi o gamă mai largă de opțiuni utilizatorilor finali din UE. De exemplu, aceste dispoziții legale prevăd obligația controlorilor de acces de a le permite dezvoltatorilor să își orienteze utilizatorii finali către oferte mai bune în afara serviciilor controlorilor de acces, să ofere ecrane pentru opțiuni, să permită utilizarea unor canale de distribuție alternative și să asigure interoperabilitatea efectivă și gratuită cu hardware-ul și software-ul lor.</w:t>
      </w:r>
    </w:p>
    <w:p w14:paraId="6809F9A0" w14:textId="1EC82701" w:rsidR="00221CE1" w:rsidRPr="00951305" w:rsidRDefault="00221CE1" w:rsidP="00B46471">
      <w:pPr>
        <w:widowControl w:val="0"/>
        <w:autoSpaceDE w:val="0"/>
        <w:autoSpaceDN w:val="0"/>
        <w:spacing w:before="120" w:after="120" w:line="240" w:lineRule="auto"/>
        <w:ind w:left="993"/>
        <w:jc w:val="both"/>
        <w:rPr>
          <w:rFonts w:ascii="Times New Roman" w:hAnsi="Times New Roman" w:cs="Times New Roman"/>
          <w:i/>
          <w:noProof/>
        </w:rPr>
      </w:pPr>
      <w:r>
        <w:rPr>
          <w:rFonts w:ascii="Times New Roman" w:hAnsi="Times New Roman"/>
          <w:i/>
          <w:noProof/>
        </w:rPr>
        <w:t>Setările implicite, ferestrele de selectare și dezinstalarea</w:t>
      </w:r>
    </w:p>
    <w:p w14:paraId="29C999AE" w14:textId="10FD6987" w:rsidR="004E40EF" w:rsidRPr="00951305" w:rsidRDefault="00EB46CF" w:rsidP="003D152E">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În acest domeniu, Comisia a purtat un dialog de reglementare cu Microsoft, care, în 2025, a efectuat mai multe modificări care, printre altele, au facilitat setarea și utilizarea eficace de către utilizatorii finali a browserului lor web implicit. Comisia s-a angajat, de asemenea, într-un dialog în materie de reglementare cu Alphabet, care a continuat să introducă ecrane de opțiuni (motor de căutare online și browser web)</w:t>
      </w:r>
      <w:r>
        <w:rPr>
          <w:rStyle w:val="FootnoteReference"/>
          <w:rFonts w:ascii="Times New Roman" w:hAnsi="Times New Roman" w:cs="Times New Roman"/>
          <w:noProof/>
        </w:rPr>
        <w:footnoteReference w:id="26"/>
      </w:r>
      <w:r>
        <w:rPr>
          <w:rFonts w:ascii="Times New Roman" w:hAnsi="Times New Roman"/>
          <w:noProof/>
        </w:rPr>
        <w:t>.</w:t>
      </w:r>
    </w:p>
    <w:p w14:paraId="2017B0BF" w14:textId="3814D71D" w:rsidR="00EB46CF" w:rsidRPr="00951305" w:rsidRDefault="00FB58E0" w:rsidP="009D0485">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Un alt exemplu este încheierea procedurilor privind Apple și articolul 6 alineatul (3) din Regulamentul privind piețele digitale. În 2024, Comisia a inițiat o investigație privind nerespectarea de către Apple a obligației sale de a permite utilizatorilor să dezinstaleze cu ușurință aplicații software din iOS, să modifice setările implicite și să aleagă un browser web implicit dintr-un ecran de selectare. La deschiderea procedurii, Apple a adoptat o abordare constructivă și a îmbunătățit ecranul de selectare pentru browserele web, făcând ca experiența utilizatorului să fie mai ușoară decât cea inițială. Apple a facilitat, de asemenea, modificarea altor setări implicite din iOS, cum ar fi cele legate de apeluri, mesaje, gestionare parole sau servicii de traducere, și a permis dezinstalarea aplicațiilor preinstalate de Apple, precum browserul web Safari sau App Store.</w:t>
      </w:r>
    </w:p>
    <w:p w14:paraId="512BF4E6" w14:textId="1654CA5B" w:rsidR="00EB46CF" w:rsidRPr="00951305" w:rsidRDefault="00AD1E7C" w:rsidP="003D152E">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Acest caz ilustrează cât de eficientă și utilă poate fi colaborarea constructivă dintre controlorii de acces și terți cu Comisia. Comisia a închis investigația la 23 aprilie 2025 fără a adopta o decizie de neconformitate</w:t>
      </w:r>
      <w:r>
        <w:rPr>
          <w:rStyle w:val="FootnoteReference"/>
          <w:rFonts w:ascii="Times New Roman" w:hAnsi="Times New Roman" w:cs="Times New Roman"/>
          <w:noProof/>
        </w:rPr>
        <w:footnoteReference w:id="27"/>
      </w:r>
      <w:r>
        <w:rPr>
          <w:rFonts w:ascii="Times New Roman" w:hAnsi="Times New Roman"/>
          <w:noProof/>
        </w:rPr>
        <w:t>. Aceasta va monitoriza în continuare măsurile luate de Apple și va continua dialogul în materie de reglementare pentru a asigura respectarea deplină și efectivă a Regulamentului privind piețele digitale, oferind utilizatorilor finali opțiuni semnificative.</w:t>
      </w:r>
    </w:p>
    <w:p w14:paraId="35E0490D" w14:textId="3B91A1F4" w:rsidR="00221CE1" w:rsidRPr="00951305" w:rsidRDefault="00221CE1" w:rsidP="00B14FFB">
      <w:pPr>
        <w:pStyle w:val="ListParagraph"/>
        <w:widowControl w:val="0"/>
        <w:autoSpaceDE w:val="0"/>
        <w:autoSpaceDN w:val="0"/>
        <w:spacing w:before="120" w:after="120" w:line="240" w:lineRule="auto"/>
        <w:ind w:left="1004"/>
        <w:contextualSpacing w:val="0"/>
        <w:jc w:val="both"/>
        <w:rPr>
          <w:rFonts w:ascii="Times New Roman" w:hAnsi="Times New Roman" w:cs="Times New Roman"/>
          <w:i/>
          <w:noProof/>
        </w:rPr>
      </w:pPr>
      <w:r>
        <w:rPr>
          <w:rFonts w:ascii="Times New Roman" w:hAnsi="Times New Roman"/>
          <w:i/>
          <w:noProof/>
        </w:rPr>
        <w:t>Interoperabilitatea verticală cu sistemele de operare</w:t>
      </w:r>
    </w:p>
    <w:p w14:paraId="11E185AD" w14:textId="5C66E223" w:rsidR="003304DC" w:rsidRPr="00951305" w:rsidRDefault="003304DC" w:rsidP="003D152E">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Articolul 8 alineatul (2) din Regulamentul privind piețele digitale împuternicește Comisia să adopte acte de punere în aplicare care să precizeze măsurile pe care controlorii de acces trebuie să le pună în aplicare pentru a se conforma obligațiilor prevăzute la articolele 6 și 7 din Regulamentul privind piețele digitale. Procedurile privind specificațiile permit Comisiei să ofere controlorilor de acces orientări concrete cu privire la modul de respectare a obligațiilor care le revin în temeiul Regulamentului privind piețele digitale. Aceste proceduri nu au ca scop impunerea de amenzi; în schimb, ele stabilesc un cadru formal în care Comisia și controlorii de acces se angajează într-un dialog tehnic cu privire la soluțiile de conformitate, ținând seama, în același timp, de contribuțiile furnizate de terți.</w:t>
      </w:r>
    </w:p>
    <w:p w14:paraId="18C5C91B" w14:textId="27E430E3" w:rsidR="00174EB4" w:rsidRPr="00951305" w:rsidRDefault="00417678"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La 19 martie 2025, Comisia a adoptat primele două decizii privind specificațiile pentru a ajuta Apple să respecte obligația de interoperabilitate prevăzută la articolul 6 alineatul (7) din Regulamentul privind piețele digitale</w:t>
      </w:r>
      <w:r>
        <w:rPr>
          <w:rStyle w:val="FootnoteReference"/>
          <w:rFonts w:ascii="Times New Roman" w:hAnsi="Times New Roman" w:cs="Times New Roman"/>
          <w:noProof/>
        </w:rPr>
        <w:footnoteReference w:id="28"/>
      </w:r>
      <w:r>
        <w:rPr>
          <w:rFonts w:ascii="Times New Roman" w:hAnsi="Times New Roman"/>
          <w:noProof/>
        </w:rPr>
        <w:t>. Această obligație le impune controlorilor de acces să asigure terților interoperabilitatea efectivă cu aceleași caracteristici hardware și software accesate sau controlate prin intermediul sistemului de operare sau al asistentului virtual desemnat în temeiul Regulamentului privind piețele digitale. Acest lucru este esențial pentru a permite furnizorilor alternativi să inoveze și să ofere alternative la serviciile controlorilor de acces. Prin urmare, respectarea efectivă a articolului 6 alineatul (7) din Regulamentul privind piețele digitale are ca rezultat o gamă mai largă de produse la dispoziția consumatorilor europeni.</w:t>
      </w:r>
    </w:p>
    <w:p w14:paraId="76C0DA29" w14:textId="156AAE73" w:rsidR="00174EB4" w:rsidRPr="00951305" w:rsidRDefault="00174EB4"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Cu aceste două decizii privind specificațiile, cele două proceduri deschise de Comisie la 19 septembrie 2024 au fost închise. Una dintre acestea a vizat caracteristicile de conectivitate furnizate de iOS și funcționalitățile conexe care sunt utilizate în principal pentru și de către dispozitivele conectate, de exemplu ceasuri inteligente, căști și alte dispozitive purtabile. Cealaltă se referea la procesul pe care Apple l-a instituit pentru ca părțile terțe să depună cereri de interoperabilitate în ceea ce privește iOS și iPadOS.</w:t>
      </w:r>
    </w:p>
    <w:p w14:paraId="5F7E506D" w14:textId="13ACD18B" w:rsidR="00174EB4" w:rsidRPr="00951305" w:rsidRDefault="00B17471"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Decizia privind specificațiile referitoare la caracteristicile de conectivitate a vizat măsuri de acordare a unui acces îmbunătățit producătorilor de dispozitive și dezvoltatorilor de aplicații la caracteristicile iPhone care interacționează cu astfel de dispozitive (de exemplu, afișarea notificărilor pe ceasuri inteligente), transferuri de date mai rapide (de exemplu, conexiuni Wi-Fi peer-to-peer și comunicare în câmp apropiat) și configurarea mai ușoară a dispozitivului (de exemplu, asocierea).</w:t>
      </w:r>
    </w:p>
    <w:p w14:paraId="0BE0576B" w14:textId="0EECC2C3" w:rsidR="00174EB4" w:rsidRPr="00951305" w:rsidRDefault="00B17471"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Decizia privind specificațiile referitoare la procedura Apple de gestionare a cererilor de interoperabilitate a instituit o serie de măsuri menite să îmbunătățească transparența și eficacitatea acesteia. Acestea au inclus îmbunătățirea accesului la documentația tehnică referitoare la caracteristicile care nu sunt încă disponibile terților, comunicări și actualizări în timp util, precum și un calendar mai previzibil pentru examinarea cererilor de interoperabilitate.</w:t>
      </w:r>
    </w:p>
    <w:p w14:paraId="74E82C01" w14:textId="26F37253" w:rsidR="00174EB4" w:rsidRPr="00951305" w:rsidRDefault="00174EB4" w:rsidP="003D152E">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Aceste două decizii privind specificațiile, care sunt obligatorii din punct de vedere juridic</w:t>
      </w:r>
      <w:r>
        <w:rPr>
          <w:rStyle w:val="FootnoteReference"/>
          <w:rFonts w:ascii="Times New Roman" w:hAnsi="Times New Roman" w:cs="Times New Roman"/>
          <w:noProof/>
        </w:rPr>
        <w:footnoteReference w:id="29"/>
      </w:r>
      <w:r>
        <w:rPr>
          <w:rFonts w:ascii="Times New Roman" w:hAnsi="Times New Roman"/>
          <w:noProof/>
        </w:rPr>
        <w:t>, oferă noi oportunități producătorilor de dispozitive de a inova și de a îmbunătăți experiența utilizatorilor europeni. De asemenea, acestea prevăd o gestionare mai echitabilă și mai rapidă a cererilor de interoperabilitate de către dezvoltatorii de aplicații, ceea ce duce, în cele din urmă, la mai multe opțiuni pentru utilizatorii europeni. Apple pune în aplicare toate aceste măsuri în mod continuu, odată cu noile actualizări ale sistemului de operare iOS. De exemplu, începând cu 15 decembrie 2025, odată cu lansarea versiunii beta a iOS 26.3, dezvoltatorii de aplicații au putut deja să testeze interoperabilitatea cu funcțiile legate de conectarea prin proximitate, care permite conectarea ușoară a dispozitivelor fizice la dispozitivele iOS, precum și cu notificările îmbunătățite, care sunt esențiale pentru ca utilizatorii să fie la curent cu evenimentele și actualizările, să primească atenționări sau ferestre pop-up din partea aplicațiilor sau să reacționeze și să răspundă la mesaje.</w:t>
      </w:r>
    </w:p>
    <w:p w14:paraId="32E68E2D" w14:textId="4F65C9FF" w:rsidR="00F43CF4" w:rsidRPr="00951305" w:rsidRDefault="00F43CF4" w:rsidP="00AF79FB">
      <w:pPr>
        <w:pStyle w:val="ListParagraph"/>
        <w:widowControl w:val="0"/>
        <w:autoSpaceDE w:val="0"/>
        <w:autoSpaceDN w:val="0"/>
        <w:spacing w:before="120" w:after="120" w:line="240" w:lineRule="auto"/>
        <w:ind w:left="1004"/>
        <w:contextualSpacing w:val="0"/>
        <w:jc w:val="both"/>
        <w:rPr>
          <w:rFonts w:ascii="Times New Roman" w:hAnsi="Times New Roman" w:cs="Times New Roman"/>
          <w:noProof/>
        </w:rPr>
      </w:pPr>
      <w:r>
        <w:rPr>
          <w:rFonts w:ascii="Times New Roman" w:hAnsi="Times New Roman"/>
          <w:i/>
          <w:noProof/>
        </w:rPr>
        <w:t>Orientarea către oferte alternative</w:t>
      </w:r>
    </w:p>
    <w:p w14:paraId="2EAB8CD3" w14:textId="0F032D4E" w:rsidR="00F43CF4" w:rsidRPr="00951305" w:rsidRDefault="00F43CF4"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În 2025, Comisia a înregistrat, de asemenea, progrese în ceea ce privește punerea în aplicare a articolului 5 alineatul (4) din Regulamentul privind piețele digitale. Această dispoziție oferă dezvoltatorilor mai multă libertate de a ajunge la utilizatorii finali fără a fi nevoiți să utilizeze serviciul de platformă esențial al controlorului de acces. Controlorii de acces trebuie să permită aceste comunicări gratuite între dezvoltatori și utilizatorii finali, inclusiv promovarea ofertelor. Una dintre consecințele acestei dispoziții este că Alphabet și Apple ar trebui să permită dezvoltatorilor care distribuie aplicații prin magazinele de aplicații ale Alphabet și Apple să îndrume utilizatorii finali către oferte și să încheie contracte cu aceștia în afara acestor magazine de aplicații. Acest lucru nu era posibil înainte ca controlorii de acces să fie obligați să respecte Regulamentul privind piețele digitale începând cu 7 martie 2024.</w:t>
      </w:r>
    </w:p>
    <w:p w14:paraId="690DAAA4" w14:textId="27254C7B" w:rsidR="00B65742" w:rsidRPr="00951305" w:rsidRDefault="001251F9" w:rsidP="005E25E7">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La 23 aprilie 2025, Comisia a constatat că Apple nu respectase articolul 5 alineatul (4) din Regulamentul privind piețele digitale</w:t>
      </w:r>
      <w:r>
        <w:rPr>
          <w:rStyle w:val="FootnoteReference"/>
          <w:rFonts w:ascii="Times New Roman" w:hAnsi="Times New Roman" w:cs="Times New Roman"/>
          <w:noProof/>
        </w:rPr>
        <w:footnoteReference w:id="30"/>
      </w:r>
      <w:r>
        <w:rPr>
          <w:rFonts w:ascii="Times New Roman" w:hAnsi="Times New Roman"/>
          <w:noProof/>
        </w:rPr>
        <w:t>. Comisia a examinat dacă condițiile comerciale inițiale ale Apple, noile sale condiții comerciale și noile sale condiții comerciale privind streamingul muzical au respectat această dispoziție legală. Aceasta a constatat neconformitatea Apple din cauza unei serii de restricții impuse dezvoltatorilor de aplicații, care nu au putut beneficia pe deplin de avantajele canalelor de distribuție alternative din afara App Store al Apple. În mod similar, consumatorii nu au putut beneficia pe deplin de oferte alternative și mai ieftine, deoarece Apple a împiedicat dezvoltatorii de aplicații să îi informeze direct cu privire la astfel de oferte. Comisia a concluzionat, de asemenea, că Apple nu a demonstrat că restricțiile impuse erau necesare în mod obiectiv și proporționale. Comisia a aplicat companiei Apple o amendă de 500 de milioane EUR și i-a impus să elimine restricțiile tehnice și comerciale privind orientarea, să înceteze comportamentul neconform și să nu mai acționeze într-un mod care să aibă un obiect sau un efect echivalent</w:t>
      </w:r>
      <w:r>
        <w:rPr>
          <w:rStyle w:val="FootnoteReference"/>
          <w:rFonts w:ascii="Times New Roman" w:hAnsi="Times New Roman" w:cs="Times New Roman"/>
          <w:noProof/>
        </w:rPr>
        <w:footnoteReference w:id="31"/>
      </w:r>
      <w:r>
        <w:rPr>
          <w:rFonts w:ascii="Times New Roman" w:hAnsi="Times New Roman"/>
          <w:noProof/>
        </w:rPr>
        <w:t>.</w:t>
      </w:r>
    </w:p>
    <w:p w14:paraId="62FD7234" w14:textId="3E597B0A" w:rsidR="008C55D9" w:rsidRPr="00951305" w:rsidRDefault="008F67D3"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La 19 martie 2025, Comisia a prezentat concluziile preliminare potrivit cărora Alphabet împiedicase din punct de vedere tehnic anumite aspecte legate de orientarea clienților</w:t>
      </w:r>
      <w:r>
        <w:rPr>
          <w:rStyle w:val="FootnoteReference"/>
          <w:rFonts w:ascii="Times New Roman" w:hAnsi="Times New Roman" w:cs="Times New Roman"/>
          <w:noProof/>
        </w:rPr>
        <w:footnoteReference w:id="32"/>
      </w:r>
      <w:r>
        <w:rPr>
          <w:rFonts w:ascii="Times New Roman" w:hAnsi="Times New Roman"/>
          <w:noProof/>
        </w:rPr>
        <w:t>, de exemplu prin faptul că a împiedicat dezvoltatorii de aplicații să îndrume clienții către ofertele și canalele de distribuție pe care aceștia le preferau. În plus, deși Alphabet poate percepe o taxă în temeiul articolului 5 alineatul (4) din Regulamentul privind piețele digitale pentru facilitarea atragerii inițiale a unui nou client de către un dezvoltator de aplicații prin intermediul Google Play</w:t>
      </w:r>
      <w:r>
        <w:rPr>
          <w:rStyle w:val="FootnoteReference"/>
          <w:rFonts w:ascii="Times New Roman" w:hAnsi="Times New Roman" w:cs="Times New Roman"/>
          <w:noProof/>
        </w:rPr>
        <w:footnoteReference w:id="33"/>
      </w:r>
      <w:r>
        <w:rPr>
          <w:rFonts w:ascii="Times New Roman" w:hAnsi="Times New Roman"/>
          <w:noProof/>
        </w:rPr>
        <w:t>, concluzia preliminară a Comisiei a fost că taxele percepute de Alphabet păreau să depășească ceea ce era justificat. De exemplu, Alphabet a perceput dezvoltatorilor o taxă ridicată pe o perioadă nejustificat de lungă pentru fiecare achiziție de bunuri și servicii digitale</w:t>
      </w:r>
      <w:r>
        <w:rPr>
          <w:rStyle w:val="FootnoteReference"/>
          <w:rFonts w:ascii="Times New Roman" w:hAnsi="Times New Roman" w:cs="Times New Roman"/>
          <w:noProof/>
        </w:rPr>
        <w:footnoteReference w:id="34"/>
      </w:r>
      <w:r>
        <w:rPr>
          <w:rFonts w:ascii="Times New Roman" w:hAnsi="Times New Roman"/>
          <w:noProof/>
        </w:rPr>
        <w:t>.</w:t>
      </w:r>
    </w:p>
    <w:p w14:paraId="2E69FD30" w14:textId="7EECEE17" w:rsidR="00140A33" w:rsidRPr="00951305" w:rsidRDefault="00140A33"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Ambii controlori de acces, Alphabet și Apple, aduc modificări termenelor și condițiilor magazinelor lor de aplicații pentru a se conforma articolului 5 alineatul (4) din Regulamentul privind piețele digitale. Comisia evaluează dacă aceste măsuri sunt suficiente pentru a respecta în mod în mod efectiv această obligație și continuă să colaboreze atât cu controlorii de acces, cât și cu părțile terțe relevante în acest sens.</w:t>
      </w:r>
    </w:p>
    <w:p w14:paraId="7965DE99" w14:textId="55D7D1C5" w:rsidR="00DC324A" w:rsidRPr="00951305" w:rsidRDefault="00DC324A" w:rsidP="00AF79FB">
      <w:pPr>
        <w:pStyle w:val="ListParagraph"/>
        <w:widowControl w:val="0"/>
        <w:autoSpaceDE w:val="0"/>
        <w:autoSpaceDN w:val="0"/>
        <w:spacing w:before="120" w:after="120" w:line="240" w:lineRule="auto"/>
        <w:ind w:left="1004"/>
        <w:contextualSpacing w:val="0"/>
        <w:jc w:val="both"/>
        <w:rPr>
          <w:rFonts w:ascii="Times New Roman" w:hAnsi="Times New Roman" w:cs="Times New Roman"/>
          <w:i/>
          <w:noProof/>
        </w:rPr>
      </w:pPr>
      <w:r>
        <w:rPr>
          <w:rFonts w:ascii="Times New Roman" w:hAnsi="Times New Roman"/>
          <w:i/>
          <w:noProof/>
        </w:rPr>
        <w:t>Canalele de distribuție alternative</w:t>
      </w:r>
    </w:p>
    <w:p w14:paraId="2A9D8F33" w14:textId="3602EA76" w:rsidR="00EE698A" w:rsidRPr="00951305" w:rsidRDefault="00D77E4E"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Controlul asupra canalelor de distribuție pentru aplicații în cadrul ecosistemelor mobile este un factor-cheie care le permite controlorilor de acces să le mențină închise, subminând contestabilitatea pieței. Pentru a se asigura că dezvoltatorii de aplicații dispun de alte mijloace de distribuție a aplicațiilor lor, articolul 6 alineatul (4) din Regulamentul privind piețele digitale prevede obligația controlorilor de acces de a permite canale de distribuție alternative în sistemele lor de operare. Acest lucru reduce atât dependența utilizatorilor comerciali, cât și a utilizatorilor finali, oferindu-le celor dintâi mai mult spațiu pentru inovare, iar celor din urmă, mai multe opțiuni.</w:t>
      </w:r>
    </w:p>
    <w:p w14:paraId="7BA53F98" w14:textId="701009BE" w:rsidR="00DC324A" w:rsidRPr="00951305" w:rsidRDefault="00EE698A" w:rsidP="005E25E7">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La 23 aprilie 2025, Comisia a emis o constatare preliminară potrivit căreia Apple nu a respectat articolul 6 alineatul (4) din Regulamentul privind piețele digitale în ceea ce privește condițiile contractuale pe care Apple le-a impus dezvoltatorilor care doresc să furnizeze magazine de aplicații terțe sau să își ofere aplicațiile prin intermediul unor astfel de magazine de aplicații</w:t>
      </w:r>
      <w:r>
        <w:rPr>
          <w:rStyle w:val="FootnoteReference"/>
          <w:rFonts w:ascii="Times New Roman" w:hAnsi="Times New Roman" w:cs="Times New Roman"/>
          <w:noProof/>
        </w:rPr>
        <w:footnoteReference w:id="35"/>
      </w:r>
      <w:r>
        <w:rPr>
          <w:rFonts w:ascii="Times New Roman" w:hAnsi="Times New Roman"/>
          <w:noProof/>
        </w:rPr>
        <w:t>. Având în vedere condițiile impuse de Apple, constatările preliminare ale Comisiei au fost următoarele: (i) dezvoltatorii sunt descurajați să utilizeze canale alternative de distribuție a aplicațiilor pe iOS, deoarece acest lucru îi obligă să accepte condiții comerciale care includ o nouă taxă (taxa Apple pentru tehnologia de bază); (ii) Apple a introdus cerințe de eligibilitate excesiv de stricte, afectând capacitatea dezvoltatorilor de a-și distribui aplicațiile prin canale alternative; și (iii) Apple a făcut ca instalarea aplicațiilor să devină extrem de complicată și confuză pentru utilizatorii finali atunci când aceștia folosesc canale alternative de distribuție a aplicațiilor</w:t>
      </w:r>
      <w:r>
        <w:rPr>
          <w:rStyle w:val="FootnoteReference"/>
          <w:rFonts w:ascii="Times New Roman" w:hAnsi="Times New Roman" w:cs="Times New Roman"/>
          <w:noProof/>
        </w:rPr>
        <w:footnoteReference w:id="36"/>
      </w:r>
      <w:r>
        <w:rPr>
          <w:rFonts w:ascii="Times New Roman" w:hAnsi="Times New Roman"/>
          <w:noProof/>
        </w:rPr>
        <w:t>.</w:t>
      </w:r>
    </w:p>
    <w:p w14:paraId="6034215A" w14:textId="26298BC1" w:rsidR="00DB7028" w:rsidRPr="00951305" w:rsidRDefault="00DB7028" w:rsidP="00DB7028">
      <w:pPr>
        <w:pStyle w:val="ListParagraph"/>
        <w:widowControl w:val="0"/>
        <w:autoSpaceDE w:val="0"/>
        <w:autoSpaceDN w:val="0"/>
        <w:spacing w:before="120" w:after="120" w:line="240" w:lineRule="auto"/>
        <w:ind w:left="1004"/>
        <w:contextualSpacing w:val="0"/>
        <w:jc w:val="both"/>
        <w:rPr>
          <w:rFonts w:ascii="Times New Roman" w:hAnsi="Times New Roman" w:cs="Times New Roman"/>
          <w:i/>
          <w:noProof/>
        </w:rPr>
      </w:pPr>
      <w:r>
        <w:rPr>
          <w:rFonts w:ascii="Times New Roman" w:hAnsi="Times New Roman"/>
          <w:i/>
          <w:noProof/>
        </w:rPr>
        <w:t>Extinderea opțiunilor pentru utilizatori în momentul înscrierii pentru servicii ale controlorilor de acces</w:t>
      </w:r>
    </w:p>
    <w:p w14:paraId="7D00BA87" w14:textId="1CE61489" w:rsidR="00DB7028" w:rsidRPr="00951305" w:rsidRDefault="00DB7028" w:rsidP="00DB7028">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În urma unui dialog amplu, Alphabet a renunțat la cerința de a utiliza un cont Gmail pentru a crea un cont Google și pentru a accesa serviciile Alphabet, cum ar fi Android, YouTube sau Google Play. Utilizatorii se pot abona acum la aceste servicii prin alegerea altor soluții care se aliniază mai bine la preferințele lor. Motivele pot include considerente legate de confidențialitate – de exemplu, pot alege o altă soluție care are un standard diferit de protecție a vieții private – sau considerente geografice – de exemplu, pot selecta o alternativă în cazul în care datele sunt stocate în UE</w:t>
      </w:r>
      <w:r>
        <w:rPr>
          <w:rStyle w:val="FootnoteReference"/>
          <w:rFonts w:ascii="Times New Roman" w:hAnsi="Times New Roman" w:cs="Times New Roman"/>
          <w:noProof/>
        </w:rPr>
        <w:footnoteReference w:id="37"/>
      </w:r>
      <w:r>
        <w:rPr>
          <w:rFonts w:ascii="Times New Roman" w:hAnsi="Times New Roman"/>
          <w:noProof/>
        </w:rPr>
        <w:t>.</w:t>
      </w:r>
    </w:p>
    <w:p w14:paraId="4707B26D" w14:textId="4E45864F" w:rsidR="003C428A" w:rsidRPr="00951305" w:rsidRDefault="003C428A" w:rsidP="00236625">
      <w:pPr>
        <w:pStyle w:val="ListParagraph"/>
        <w:widowControl w:val="0"/>
        <w:numPr>
          <w:ilvl w:val="0"/>
          <w:numId w:val="9"/>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Interoperabilitatea serviciilor de mesagerie</w:t>
      </w:r>
    </w:p>
    <w:p w14:paraId="5B78CBAA" w14:textId="07EDD1DF" w:rsidR="00CB3227" w:rsidRPr="00951305" w:rsidRDefault="00C16D89"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Anul 2025 a reprezentat o etapă importantă pentru articolul 7 din Regulamentul privind piețele digitale. Această dispoziție abordează efectele puternice de rețea ale serviciilor de mesagerie prin impunerea unei obligații orizontale de interoperabilitate pentru serviciile de mesagerie furnizate de controlorii de acces desemnați în temeiul Regulamentului privind piețele digitale – în prezent WhatsApp și Messenger ale Meta.</w:t>
      </w:r>
    </w:p>
    <w:p w14:paraId="11148737" w14:textId="6CCD463E" w:rsidR="00CB3227" w:rsidRPr="00951305" w:rsidRDefault="00CB3227"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Una dintre particularitățile articolului 7 din Regulamentul privind piețele digitale este punerea în aplicare eșalonată pe care o prevede această dispoziție. Deși controlorii de acces au trebuit să asigure interoperabilitatea serviciilor lor de mesagerie pentru conversații unu-la-unu la șase luni de la desemnarea lor, aceștia au avut la dispoziție doi ani pentru a permite interoperabilitatea conversațiilor de grup</w:t>
      </w:r>
      <w:r>
        <w:rPr>
          <w:rStyle w:val="FootnoteReference"/>
          <w:rFonts w:ascii="Times New Roman" w:hAnsi="Times New Roman" w:cs="Times New Roman"/>
          <w:noProof/>
        </w:rPr>
        <w:footnoteReference w:id="38"/>
      </w:r>
      <w:r>
        <w:rPr>
          <w:rFonts w:ascii="Times New Roman" w:hAnsi="Times New Roman"/>
          <w:noProof/>
        </w:rPr>
        <w:t>. La 6 septembrie 2025, Meta a actualizat astfel oferta de referință și documentația dezvoltatorului privind interoperabilitatea pentru WhatsApp și Messenger</w:t>
      </w:r>
      <w:r>
        <w:rPr>
          <w:rStyle w:val="FootnoteReference"/>
          <w:rFonts w:ascii="Times New Roman" w:eastAsia="Times New Roman" w:hAnsi="Times New Roman" w:cs="Times New Roman"/>
          <w:noProof/>
          <w:kern w:val="0"/>
        </w:rPr>
        <w:footnoteReference w:id="39"/>
      </w:r>
      <w:r>
        <w:rPr>
          <w:rFonts w:ascii="Times New Roman" w:hAnsi="Times New Roman"/>
          <w:noProof/>
        </w:rPr>
        <w:t>. Comisia monitorizează punerea în aplicare a soluției de conformitate a Meta pentru discuții în grup interoperabile.</w:t>
      </w:r>
    </w:p>
    <w:p w14:paraId="4DDABD49" w14:textId="713AB5CD" w:rsidR="00CB3227" w:rsidRPr="00951305" w:rsidRDefault="00093FD0"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Prin urmare, în noiembrie 2025, doi furnizori de servicii de mesagerie, BirdyChat și Haiket, au anunțat că vor deveni interoperabili cu WhatsApp</w:t>
      </w:r>
      <w:r>
        <w:rPr>
          <w:rStyle w:val="FootnoteReference"/>
          <w:rFonts w:ascii="Times New Roman" w:hAnsi="Times New Roman" w:cs="Times New Roman"/>
          <w:noProof/>
        </w:rPr>
        <w:footnoteReference w:id="40"/>
      </w:r>
      <w:r>
        <w:rPr>
          <w:rFonts w:ascii="Times New Roman" w:hAnsi="Times New Roman"/>
          <w:noProof/>
        </w:rPr>
        <w:t>. Comisia colaborează îndeaproape cu părțile implicate pentru a asigura o experiență interoperabilă optimă pentru utilizatorii finali din UE.</w:t>
      </w:r>
    </w:p>
    <w:p w14:paraId="5062211A" w14:textId="0F621E72" w:rsidR="003C428A" w:rsidRPr="000B0E30" w:rsidRDefault="003C428A" w:rsidP="00236625">
      <w:pPr>
        <w:pStyle w:val="ListParagraph"/>
        <w:widowControl w:val="0"/>
        <w:numPr>
          <w:ilvl w:val="0"/>
          <w:numId w:val="9"/>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Echitatea în ceea ce privește căutările online și piețele online</w:t>
      </w:r>
    </w:p>
    <w:p w14:paraId="218D71E8" w14:textId="3715A1FD" w:rsidR="00C4057E" w:rsidRPr="00951305" w:rsidRDefault="00C4057E" w:rsidP="005E25E7">
      <w:pPr>
        <w:pStyle w:val="ListParagraph"/>
        <w:widowControl w:val="0"/>
        <w:autoSpaceDE w:val="0"/>
        <w:autoSpaceDN w:val="0"/>
        <w:spacing w:before="120" w:after="120" w:line="240" w:lineRule="auto"/>
        <w:ind w:left="998"/>
        <w:contextualSpacing w:val="0"/>
        <w:jc w:val="both"/>
        <w:rPr>
          <w:rFonts w:ascii="Times New Roman" w:hAnsi="Times New Roman" w:cs="Times New Roman"/>
          <w:i/>
          <w:iCs/>
          <w:noProof/>
        </w:rPr>
      </w:pPr>
      <w:r>
        <w:rPr>
          <w:rFonts w:ascii="Times New Roman" w:hAnsi="Times New Roman"/>
          <w:i/>
          <w:noProof/>
        </w:rPr>
        <w:t>Echitatea în cadrul motoarelor de căutare online</w:t>
      </w:r>
    </w:p>
    <w:p w14:paraId="5B39E17E" w14:textId="26A533AF" w:rsidR="003D7FE2" w:rsidRPr="00951305" w:rsidRDefault="003D7FE2"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Regulamentul privind piețele digitale îi protejează pe utilizatorii comerciali împotriva comportamentului inechitabil pe motoarele de căutare online controlate de controlorii de acces. Având în vedere că utilizatorii comerciali depind de prezența lor în motoarele de căutare online pentru succesul și viabilitatea serviciilor pe care le furnizează, este esențial ca aceștia să fie tratați în mod echitabil în ierarhizările căutărilor online și ca condițiile impuse de controlorii de acces să fie echitabile. Articolul 6 alineatul (5) și articolul 6 alineatul (12) din Regulamentul privind piețele digitale, care abordează tratamentul de autofavorizare și ierarhizarea inechitabilă și impun condiții echitabile, rezonabile și nediscriminatorii privind accesul la motoarele de căutare online, sunt esențiale în acest sens.</w:t>
      </w:r>
    </w:p>
    <w:p w14:paraId="5388ACBA" w14:textId="16799769" w:rsidR="003D7FE2" w:rsidRPr="00951305" w:rsidRDefault="003D7FE2"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Comisia a fost foarte activă în acest sens în 2025. În primul rând, Comisia a continuat să lucreze la investigația privind neconformitatea lansată în 2024 cu privire la Google Search în ceea ce privește articolul 6 alineatul (5) din Regulamentul privind piețele digitale. Aceasta a emis constatări preliminare la 19 martie 2025</w:t>
      </w:r>
      <w:r>
        <w:rPr>
          <w:rStyle w:val="FootnoteReference"/>
          <w:rFonts w:ascii="Times New Roman" w:hAnsi="Times New Roman" w:cs="Times New Roman"/>
          <w:noProof/>
        </w:rPr>
        <w:footnoteReference w:id="41"/>
      </w:r>
      <w:r>
        <w:rPr>
          <w:rFonts w:ascii="Times New Roman" w:hAnsi="Times New Roman"/>
          <w:noProof/>
        </w:rPr>
        <w:t>, considerând că Alphabet a încălcat această dispoziție legală prin faptul că a tratat propriile servicii în mod mai favorabil în rezultatele Google Search decât serviciile similare oferite de terți. Alphabet a făcut acest lucru prin afișarea propriilor servicii fie în partea de sus a rezultatelor Google Search, fie în spații dedicate cu formate vizuale și mecanisme de filtrare îmbunătățite. Domeniul de aplicare al investigației este larg, deoarece se referă la serviciile de căutare verticală și de conținut ale Alphabet în diverse domenii, cum ar fi călătoriile, comerțul electronic și ospitalitatea. Pentru a audia toate părțile interesate în cursul investigației, Comisia a organizat mai multe ateliere în cadrul cărora actorii relevanți de pe piață au putut oferi feedback cu privire la propunerile de conformitate prezentate de Alphabet.</w:t>
      </w:r>
    </w:p>
    <w:p w14:paraId="4E267044" w14:textId="0B02C9E8" w:rsidR="00F528DE" w:rsidRPr="00951305" w:rsidRDefault="00355428"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În al doilea rând, Comisia a monitorizat, de asemenea, condițiile generale de acces la care sunt supuși utilizatorii comerciali ai motoarelor de căutare online, în contextul articolului 6 alineatul (12) din Regulamentul privind piețele digitale. La 13 noiembrie 2025, Comisia a lansat o procedură de constatare a neîndeplinirii obligațiilor în ceea ce privește politica Google Search privind abuzul de reputație a site-urilor, în temeiul căreia Alphabet retrogradează în ierarhie anumite secțiuni ale site-urilor web ale editorilor atunci când acestea includ conținut provenit de la parteneri comerciali</w:t>
      </w:r>
      <w:r>
        <w:rPr>
          <w:rStyle w:val="FootnoteReference"/>
          <w:rFonts w:ascii="Times New Roman" w:hAnsi="Times New Roman" w:cs="Times New Roman"/>
          <w:noProof/>
        </w:rPr>
        <w:footnoteReference w:id="42"/>
      </w:r>
      <w:r>
        <w:rPr>
          <w:rFonts w:ascii="Times New Roman" w:hAnsi="Times New Roman"/>
          <w:noProof/>
        </w:rPr>
        <w:t>. Această politică poate avea un impact direct asupra unei modalități comune și legitime prin care editorii își monetizează site-urile web și conținutul. Comisia continuă să colaboreze cu Alphabet și cu părțile interesate pentru a evalua respectarea dispoziției legale.</w:t>
      </w:r>
    </w:p>
    <w:p w14:paraId="5CD375FF" w14:textId="66ABC7B1" w:rsidR="00C4057E" w:rsidRPr="00951305" w:rsidRDefault="00C4057E" w:rsidP="005E25E7">
      <w:pPr>
        <w:pStyle w:val="ListParagraph"/>
        <w:widowControl w:val="0"/>
        <w:autoSpaceDE w:val="0"/>
        <w:autoSpaceDN w:val="0"/>
        <w:spacing w:before="120" w:after="120" w:line="240" w:lineRule="auto"/>
        <w:ind w:left="998"/>
        <w:contextualSpacing w:val="0"/>
        <w:jc w:val="both"/>
        <w:rPr>
          <w:rFonts w:ascii="Times New Roman" w:hAnsi="Times New Roman" w:cs="Times New Roman"/>
          <w:i/>
          <w:iCs/>
          <w:noProof/>
        </w:rPr>
      </w:pPr>
      <w:r>
        <w:rPr>
          <w:rFonts w:ascii="Times New Roman" w:hAnsi="Times New Roman"/>
          <w:i/>
          <w:noProof/>
        </w:rPr>
        <w:t>Echitatea pe piețele online</w:t>
      </w:r>
    </w:p>
    <w:p w14:paraId="5F0BA396" w14:textId="0DF04828" w:rsidR="00590E3B" w:rsidRPr="00951305" w:rsidRDefault="00590E3B" w:rsidP="00F756CF">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b/>
          <w:noProof/>
        </w:rPr>
      </w:pPr>
      <w:r>
        <w:rPr>
          <w:rFonts w:ascii="Times New Roman" w:hAnsi="Times New Roman"/>
          <w:noProof/>
        </w:rPr>
        <w:t>Articolul 6 alineatul (5) din Regulamentul privind piețele digitale se referă nu numai la echitatea în ierarhizarea motoarelor de căutare online, ci și la vizibilitatea în cadrul altor servicii de platformă esențiale, cum ar fi piețele online. La fel ca în cazul motoarelor de căutare online, controlorii de acces care operează pe piețele online și își distribuie propriile bunuri și servicii prin intermediul acestora ar putea, de asemenea, să adopte practici neloiale. Acest comportament ar putea consta, de exemplu, în evidențierea produselor și serviciilor controlorului de acces în rezultatele căutării sau în plasarea acestora în zone mai relevante ale paginii web, pentru a-i îndemna pe utilizatori să aleagă produsele proprii în detrimentul celor ale terților.</w:t>
      </w:r>
    </w:p>
    <w:p w14:paraId="2C38A52F" w14:textId="499904E5" w:rsidR="00590E3B" w:rsidRPr="00951305" w:rsidRDefault="00862565" w:rsidP="00A433D4">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b/>
          <w:noProof/>
        </w:rPr>
      </w:pPr>
      <w:r>
        <w:rPr>
          <w:rFonts w:ascii="Times New Roman" w:hAnsi="Times New Roman"/>
          <w:noProof/>
        </w:rPr>
        <w:t>Comisia a inițiat un dialog de reglementare cu Amazon pentru a se asigura că acesta nu acordă un tratament mai favorabil produselor proprii sau altor produse vândute de Amazon Retail în detrimentul vânzătorilor terți care oferă produse similare.</w:t>
      </w:r>
    </w:p>
    <w:p w14:paraId="6FFBE537" w14:textId="4900365F" w:rsidR="008D0D95" w:rsidRPr="00951305" w:rsidRDefault="008D0D95" w:rsidP="00891325">
      <w:pPr>
        <w:pStyle w:val="ListParagraph"/>
        <w:widowControl w:val="0"/>
        <w:numPr>
          <w:ilvl w:val="0"/>
          <w:numId w:val="6"/>
        </w:numPr>
        <w:autoSpaceDE w:val="0"/>
        <w:autoSpaceDN w:val="0"/>
        <w:spacing w:before="120" w:after="120" w:line="240" w:lineRule="auto"/>
        <w:contextualSpacing w:val="0"/>
        <w:jc w:val="both"/>
        <w:rPr>
          <w:rFonts w:ascii="Times New Roman" w:hAnsi="Times New Roman" w:cs="Times New Roman"/>
          <w:noProof/>
        </w:rPr>
      </w:pPr>
      <w:r>
        <w:rPr>
          <w:rFonts w:ascii="Times New Roman" w:hAnsi="Times New Roman"/>
          <w:b/>
          <w:noProof/>
        </w:rPr>
        <w:t>Litigii în fața instanțelor UE cu privire la respectarea Regulamentului privind piețele digitale</w:t>
      </w:r>
    </w:p>
    <w:p w14:paraId="2D955542" w14:textId="46D23CC5" w:rsidR="008D0D95" w:rsidRPr="00951305" w:rsidRDefault="008D0D95" w:rsidP="00A433D4">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Pe lângă litigiile legate de desemnarea controlorilor de acces și a serviciilor de platformă esențiale ale acestora, aflate pe rolul instanțelor UE și menționate anterior, Comisia este, de asemenea, parte în acțiunile în anulare introduse de Meta și Apple la 4 iulie 2025</w:t>
      </w:r>
      <w:r>
        <w:rPr>
          <w:rStyle w:val="FootnoteReference"/>
          <w:rFonts w:ascii="Times New Roman" w:eastAsia="Times New Roman" w:hAnsi="Times New Roman" w:cs="Times New Roman"/>
          <w:noProof/>
          <w:kern w:val="0"/>
        </w:rPr>
        <w:footnoteReference w:id="43"/>
      </w:r>
      <w:r>
        <w:rPr>
          <w:rFonts w:ascii="Times New Roman" w:hAnsi="Times New Roman"/>
          <w:noProof/>
        </w:rPr>
        <w:t xml:space="preserve"> și, respectiv, 7 iulie 2025</w:t>
      </w:r>
      <w:r>
        <w:rPr>
          <w:rStyle w:val="FootnoteReference"/>
          <w:rFonts w:ascii="Times New Roman" w:eastAsia="Times New Roman" w:hAnsi="Times New Roman" w:cs="Times New Roman"/>
          <w:noProof/>
          <w:kern w:val="0"/>
        </w:rPr>
        <w:footnoteReference w:id="44"/>
      </w:r>
      <w:r>
        <w:rPr>
          <w:rFonts w:ascii="Times New Roman" w:hAnsi="Times New Roman"/>
          <w:noProof/>
        </w:rPr>
        <w:t xml:space="preserve"> împotriva deciziilor de constatare a neconformității emise de Comisie, în care aceasta a constatat că Meta și Apple au încălcat articolul 5 alineatul (2) și, respectiv, (4) din Regulamentul privind piețele digitale. În plus, Comisia este, de asemenea, parte la acțiunile în anulare ale Apple împotriva celor două decizii ale Comisiei privind specificațiile în ceea ce privește articolul 6 alineatul (7) din Regulamentul privind piețele digitale</w:t>
      </w:r>
      <w:r>
        <w:rPr>
          <w:rStyle w:val="FootnoteReference"/>
          <w:rFonts w:ascii="Times New Roman" w:eastAsia="Times New Roman" w:hAnsi="Times New Roman" w:cs="Times New Roman"/>
          <w:noProof/>
          <w:kern w:val="0"/>
        </w:rPr>
        <w:footnoteReference w:id="45"/>
      </w:r>
      <w:r>
        <w:rPr>
          <w:rFonts w:ascii="Times New Roman" w:hAnsi="Times New Roman"/>
          <w:noProof/>
        </w:rPr>
        <w:t>.</w:t>
      </w:r>
    </w:p>
    <w:p w14:paraId="2DF66472" w14:textId="120BD119" w:rsidR="008500AD" w:rsidRPr="00951305" w:rsidRDefault="008500AD" w:rsidP="005E25E7">
      <w:pPr>
        <w:pStyle w:val="ListParagraph"/>
        <w:widowControl w:val="0"/>
        <w:numPr>
          <w:ilvl w:val="0"/>
          <w:numId w:val="6"/>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Informații privind concentrările</w:t>
      </w:r>
    </w:p>
    <w:p w14:paraId="30AEB175" w14:textId="0FC9D9BB" w:rsidR="00094E01" w:rsidRPr="00951305" w:rsidRDefault="002F306C" w:rsidP="00627B70">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bookmarkStart w:id="3" w:name="_Hlk223382360"/>
      <w:r>
        <w:rPr>
          <w:rFonts w:ascii="Times New Roman" w:hAnsi="Times New Roman"/>
          <w:noProof/>
        </w:rPr>
        <w:t>În temeiul articolului 14 din Regulamentul privind piețele digitale, controlorii de acces au obligația de a informa Comisia cu privire la orice concentrare pe care intenționează să o efectueze, în cazul în care entitățile care fuzionează sau entitatea care reprezintă ținta concentrării furnizează servicii de platformă esențiale sau orice alte servicii din sectorul digital ori permit colectarea de date</w:t>
      </w:r>
      <w:bookmarkEnd w:id="3"/>
      <w:r>
        <w:rPr>
          <w:rFonts w:ascii="Times New Roman" w:hAnsi="Times New Roman"/>
          <w:noProof/>
        </w:rPr>
        <w:t>. Această obligație sporește transparența în ceea ce privește preluările efectuate de controlorii de acces și permite Comisiei să identifice tendințe mai ample în materie de achiziții în sectorul digital. De asemenea, sporește disponibilitatea informațiilor pentru public cu privire la anumite practici de control al fluxului de informație și la evoluțiile pieței digitale.</w:t>
      </w:r>
    </w:p>
    <w:p w14:paraId="3169219F" w14:textId="24063D6F" w:rsidR="00094E01" w:rsidRPr="00951305" w:rsidRDefault="002F306C" w:rsidP="00627B70">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În 2025, Comisia a primit 36 de notificări de concentrări preconizate de la controlorii de acces, numărul total de notificări primite din 2023 ajungând la 55</w:t>
      </w:r>
      <w:r>
        <w:rPr>
          <w:rStyle w:val="FootnoteReference"/>
          <w:rFonts w:ascii="Times New Roman" w:eastAsia="Times New Roman" w:hAnsi="Times New Roman" w:cs="Times New Roman"/>
          <w:noProof/>
        </w:rPr>
        <w:footnoteReference w:id="46"/>
      </w:r>
      <w:r>
        <w:rPr>
          <w:rFonts w:ascii="Times New Roman" w:hAnsi="Times New Roman"/>
          <w:noProof/>
        </w:rPr>
        <w:t>. Rezumatele neconfidențiale ale informațiilor transmise de controlorii de acces sunt publicate pe site-ul web al Comisiei</w:t>
      </w:r>
      <w:r>
        <w:rPr>
          <w:rStyle w:val="FootnoteReference"/>
          <w:rFonts w:ascii="Times New Roman" w:eastAsia="Times New Roman" w:hAnsi="Times New Roman" w:cs="Times New Roman"/>
          <w:noProof/>
          <w:color w:val="000000" w:themeColor="text1"/>
        </w:rPr>
        <w:footnoteReference w:id="47"/>
      </w:r>
      <w:r>
        <w:rPr>
          <w:rFonts w:ascii="Times New Roman" w:hAnsi="Times New Roman"/>
          <w:noProof/>
        </w:rPr>
        <w:t>,</w:t>
      </w:r>
      <w:r>
        <w:rPr>
          <w:rFonts w:ascii="Times New Roman" w:hAnsi="Times New Roman"/>
          <w:noProof/>
          <w:color w:val="000000" w:themeColor="text1"/>
        </w:rPr>
        <w:t xml:space="preserve"> împreună cu data notificării și identitatea întreprinderilor.</w:t>
      </w:r>
    </w:p>
    <w:p w14:paraId="56C2192A" w14:textId="3A7E5FC2" w:rsidR="002F306C" w:rsidRPr="00951305" w:rsidRDefault="002F306C" w:rsidP="00AF79FB">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Notificările primite în 2025 au arătat o prevalență a tranzacțiilor axate pe IA. La fel ca în 2024, mai multe notificări din 2025 au vizat acorduri referitoare la achiziționarea de talente, cunoscute și sub denumirea de „acqui-hiring” (angajare prin preluare)</w:t>
      </w:r>
      <w:r>
        <w:rPr>
          <w:rStyle w:val="FootnoteReference"/>
          <w:rFonts w:ascii="Times New Roman" w:eastAsia="Times New Roman" w:hAnsi="Times New Roman" w:cs="Times New Roman"/>
          <w:noProof/>
        </w:rPr>
        <w:footnoteReference w:id="48"/>
      </w:r>
      <w:r>
        <w:rPr>
          <w:rFonts w:ascii="Times New Roman" w:hAnsi="Times New Roman"/>
          <w:noProof/>
        </w:rPr>
        <w:t>. Aceste tranzacții pot lua diferite forme, dar implică, de regulă, contracte de angajare pentru personalul-cheie din întreprinderea-țintă. Cu toate acestea, ele nu implică întotdeauna achiziționarea de acțiuni sau active ale întreprinderii-țintă. Pentru a stabili dacă astfel de tranzacții constituie concentrări în sensul articolului 3 din Regulamentul UE privind concentrările economice</w:t>
      </w:r>
      <w:r>
        <w:rPr>
          <w:rStyle w:val="FootnoteReference"/>
          <w:rFonts w:ascii="Times New Roman" w:eastAsia="Times New Roman" w:hAnsi="Times New Roman" w:cs="Times New Roman"/>
          <w:noProof/>
        </w:rPr>
        <w:footnoteReference w:id="49"/>
      </w:r>
      <w:r>
        <w:rPr>
          <w:rFonts w:ascii="Times New Roman" w:hAnsi="Times New Roman"/>
          <w:noProof/>
        </w:rPr>
        <w:t xml:space="preserve"> este necesară o analiză de la caz la caz.</w:t>
      </w:r>
    </w:p>
    <w:p w14:paraId="3E6EE9BD" w14:textId="436D387F" w:rsidR="00B10FB0" w:rsidRPr="00951305" w:rsidRDefault="00C4715F" w:rsidP="00AF79FB">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Comisia comunică toate aceste informații privind achizițiile statelor membre, care le pot utiliza în scopul controlului concentrărilor economice la nivel național. În cazul în care statele membre au jurisdicție națională, autoritățile naționale de concurență pot sesiza Comisia cu privire la concentrări</w:t>
      </w:r>
      <w:r>
        <w:rPr>
          <w:rStyle w:val="FootnoteReference"/>
          <w:rFonts w:ascii="Times New Roman" w:eastAsia="Times New Roman" w:hAnsi="Times New Roman" w:cs="Times New Roman"/>
          <w:noProof/>
        </w:rPr>
        <w:footnoteReference w:id="50"/>
      </w:r>
      <w:r>
        <w:rPr>
          <w:rFonts w:ascii="Times New Roman" w:hAnsi="Times New Roman"/>
          <w:noProof/>
        </w:rPr>
        <w:t>.</w:t>
      </w:r>
    </w:p>
    <w:p w14:paraId="65A9B959" w14:textId="1A8935C4" w:rsidR="001841ED" w:rsidRPr="006A34D8" w:rsidRDefault="001841ED" w:rsidP="00AF79FB">
      <w:pPr>
        <w:pStyle w:val="ListParagraph"/>
        <w:widowControl w:val="0"/>
        <w:numPr>
          <w:ilvl w:val="0"/>
          <w:numId w:val="2"/>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INVESTIGAȚII DE PIAȚĂ PRIVIND NOI PRACTICI</w:t>
      </w:r>
    </w:p>
    <w:p w14:paraId="0C1510C2" w14:textId="4C7BFF7F" w:rsidR="00315531" w:rsidRPr="00951305" w:rsidRDefault="00903855" w:rsidP="001841ED">
      <w:pPr>
        <w:pStyle w:val="ListParagraph"/>
        <w:widowControl w:val="0"/>
        <w:numPr>
          <w:ilvl w:val="0"/>
          <w:numId w:val="1"/>
        </w:numPr>
        <w:autoSpaceDE w:val="0"/>
        <w:autoSpaceDN w:val="0"/>
        <w:spacing w:before="120" w:after="120" w:line="240" w:lineRule="auto"/>
        <w:ind w:hanging="578"/>
        <w:contextualSpacing w:val="0"/>
        <w:jc w:val="both"/>
        <w:rPr>
          <w:noProof/>
        </w:rPr>
      </w:pPr>
      <w:r>
        <w:rPr>
          <w:rFonts w:ascii="Times New Roman" w:hAnsi="Times New Roman"/>
          <w:noProof/>
        </w:rPr>
        <w:t>Pentru prima dată de la intrarea în vigoare a Regulamentului privind piețele digitale, în 2025, Comisia a recurs la un alt instrument din setul său de instrumente de reglementare: posibilitatea de a efectua investigații de piață cu privire la noi servicii și practici în cadrul articolului 19 din Regulamentul privind piețele digitale. Acesta este un element esențial al Regulamentului privind piețele digitale, deoarece permite Comisiei să urmărească dinamica și evoluțiile de pe piețele digitale.</w:t>
      </w:r>
    </w:p>
    <w:p w14:paraId="4356C22F" w14:textId="388AE41D" w:rsidR="001841ED" w:rsidRPr="00951305" w:rsidRDefault="00315531" w:rsidP="005E25E7">
      <w:pPr>
        <w:pStyle w:val="ListParagraph"/>
        <w:widowControl w:val="0"/>
        <w:numPr>
          <w:ilvl w:val="0"/>
          <w:numId w:val="1"/>
        </w:numPr>
        <w:autoSpaceDE w:val="0"/>
        <w:autoSpaceDN w:val="0"/>
        <w:spacing w:before="120" w:after="120" w:line="240" w:lineRule="auto"/>
        <w:ind w:hanging="578"/>
        <w:contextualSpacing w:val="0"/>
        <w:jc w:val="both"/>
        <w:rPr>
          <w:noProof/>
        </w:rPr>
      </w:pPr>
      <w:r>
        <w:rPr>
          <w:rFonts w:ascii="Times New Roman" w:hAnsi="Times New Roman"/>
          <w:noProof/>
        </w:rPr>
        <w:t>Punând accentul pe potențialele practici care ar putea submina contestabilitatea pieței sau ar putea fi inechitabile, la 18 noiembrie 2025, Comisia a lansat o investigație de piață privind sectorul cloud computingului</w:t>
      </w:r>
      <w:r>
        <w:rPr>
          <w:rStyle w:val="FootnoteReference"/>
          <w:rFonts w:ascii="Times New Roman" w:eastAsia="Times New Roman" w:hAnsi="Times New Roman" w:cs="Times New Roman"/>
          <w:noProof/>
          <w:kern w:val="0"/>
        </w:rPr>
        <w:footnoteReference w:id="51"/>
      </w:r>
      <w:r>
        <w:rPr>
          <w:rFonts w:ascii="Times New Roman" w:hAnsi="Times New Roman"/>
          <w:noProof/>
        </w:rPr>
        <w:t>, care se desfășoară în paralel cu investigațiile de piață privind potențialele desemnări calitative ale AWS și Azure</w:t>
      </w:r>
      <w:r>
        <w:rPr>
          <w:rStyle w:val="FootnoteReference"/>
          <w:rFonts w:ascii="Times New Roman" w:eastAsia="Times New Roman" w:hAnsi="Times New Roman" w:cs="Times New Roman"/>
          <w:noProof/>
          <w:kern w:val="0"/>
        </w:rPr>
        <w:footnoteReference w:id="52"/>
      </w:r>
      <w:r>
        <w:rPr>
          <w:rFonts w:ascii="Times New Roman" w:hAnsi="Times New Roman"/>
          <w:noProof/>
        </w:rPr>
        <w:t>.</w:t>
      </w:r>
    </w:p>
    <w:p w14:paraId="72644F2D" w14:textId="6EF8113C" w:rsidR="001841ED" w:rsidRPr="00951305" w:rsidRDefault="001841ED" w:rsidP="005E25E7">
      <w:pPr>
        <w:pStyle w:val="ListParagraph"/>
        <w:widowControl w:val="0"/>
        <w:numPr>
          <w:ilvl w:val="0"/>
          <w:numId w:val="1"/>
        </w:numPr>
        <w:autoSpaceDE w:val="0"/>
        <w:autoSpaceDN w:val="0"/>
        <w:spacing w:before="120" w:after="120" w:line="240" w:lineRule="auto"/>
        <w:ind w:hanging="578"/>
        <w:contextualSpacing w:val="0"/>
        <w:jc w:val="both"/>
        <w:rPr>
          <w:noProof/>
        </w:rPr>
      </w:pPr>
      <w:r>
        <w:rPr>
          <w:rFonts w:ascii="Times New Roman" w:hAnsi="Times New Roman"/>
          <w:noProof/>
        </w:rPr>
        <w:t>Principalul obiectiv al acestei investigații de piață este de a colecta informații de la toți actorii din sectorul cloud computingului, cum ar fi furnizorii de servicii de cloud, integratorii, vânzătorii independenți de software și clienții. Având în vedere importanța tot mai mare a sectorului cloud pentru întreprinderile din UE și rolul său esențial pentru dezvoltarea IA și a altor tehnologii conexe de vârf, este extrem de important ca obligațiile actuale prevăzute la articolele 5 și 6 din Regulamentul privind piețele digitale să fie eficace în abordarea practicilor neloiale sau care subminează contestabilitatea pieței în acest sector.</w:t>
      </w:r>
    </w:p>
    <w:p w14:paraId="253F1470" w14:textId="3B5EFB7C" w:rsidR="001841ED" w:rsidRPr="003E47C1" w:rsidRDefault="001841ED" w:rsidP="005E25E7">
      <w:pPr>
        <w:pStyle w:val="ListParagraph"/>
        <w:widowControl w:val="0"/>
        <w:numPr>
          <w:ilvl w:val="0"/>
          <w:numId w:val="1"/>
        </w:numPr>
        <w:autoSpaceDE w:val="0"/>
        <w:autoSpaceDN w:val="0"/>
        <w:spacing w:before="120" w:after="120" w:line="240" w:lineRule="auto"/>
        <w:ind w:hanging="578"/>
        <w:contextualSpacing w:val="0"/>
        <w:jc w:val="both"/>
        <w:rPr>
          <w:rFonts w:ascii="Times New Roman" w:hAnsi="Times New Roman" w:cs="Times New Roman"/>
          <w:b/>
          <w:bCs/>
          <w:noProof/>
        </w:rPr>
      </w:pPr>
      <w:r>
        <w:rPr>
          <w:rFonts w:ascii="Times New Roman" w:hAnsi="Times New Roman"/>
          <w:noProof/>
        </w:rPr>
        <w:t>Această investigație vizează aspecte precum obstacolele în calea interoperabilității, accesul limitat sau condiționat al utilizatorilor comerciali la date, legarea și gruparea serviciilor și clauzele contractuale potențial dezechilibrate. Aceasta se va încheia cu un raport, care urmează să fie publicat în termen de 18 luni de la deschiderea investigației. Dacă este cazul, raportul poate propune actualizări ale anumitor obligații prevăzute în Regulamentul privind piețele digitale în ceea ce privește serviciile de cloud computing, prin intermediul unui act delegat sau al unei propuneri legislative.</w:t>
      </w:r>
    </w:p>
    <w:p w14:paraId="1E2212DF" w14:textId="45E288FB" w:rsidR="008500AD" w:rsidRPr="00951305" w:rsidRDefault="008500AD" w:rsidP="00AF79FB">
      <w:pPr>
        <w:pStyle w:val="ListParagraph"/>
        <w:widowControl w:val="0"/>
        <w:numPr>
          <w:ilvl w:val="0"/>
          <w:numId w:val="2"/>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ARTICOLUL 15 DIN REGULAMENTUL PRIVIND PIEȚELE DIGITALE: EVALUAREA DESCRIERII AUDITATE A TEHNICILOR DE CREARE DE PROFILURI ALE CONSUMATORILOR</w:t>
      </w:r>
    </w:p>
    <w:p w14:paraId="38CFBB67" w14:textId="0333FE92" w:rsidR="004C48D7" w:rsidRPr="00951305" w:rsidRDefault="000B4370" w:rsidP="00627B70">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Articolul 15 din Regulamentul privind piețele digitale prevede obligația controlorilor de acces de a prezenta Comisiei o descriere auditată în mod independent a oricăror tehnici de creare de profiluri ale consumatorilor pe care aceștia le aplică în cadrul serviciilor lor de platformă esențiale enumerate în decizia de desemnare (un „raport privind crearea de profiluri ale consumatorilor”)</w:t>
      </w:r>
      <w:r>
        <w:rPr>
          <w:rFonts w:ascii="Times New Roman" w:eastAsia="Times New Roman" w:hAnsi="Times New Roman" w:cs="Times New Roman"/>
          <w:noProof/>
          <w:kern w:val="0"/>
          <w:vertAlign w:val="superscript"/>
        </w:rPr>
        <w:footnoteReference w:id="53"/>
      </w:r>
      <w:r>
        <w:rPr>
          <w:rFonts w:ascii="Times New Roman" w:hAnsi="Times New Roman"/>
          <w:noProof/>
        </w:rPr>
        <w:t>. Aceste rapoarte, care sunt comunicate Comitetului european pentru protecția datelor („CEPD”), sunt deosebit de valoroase, deoarece sporesc transparența practicilor controlorilor de acces de creare de profiluri și pot fi utilizate în scopul asigurării respectării Regulamentului general privind protecția datelor („RGPD”), astfel cum a recunoscut CEPD</w:t>
      </w:r>
      <w:r>
        <w:rPr>
          <w:rFonts w:ascii="Times New Roman" w:eastAsia="Times New Roman" w:hAnsi="Times New Roman" w:cs="Times New Roman"/>
          <w:noProof/>
          <w:kern w:val="0"/>
          <w:vertAlign w:val="superscript"/>
        </w:rPr>
        <w:footnoteReference w:id="54"/>
      </w:r>
      <w:r>
        <w:rPr>
          <w:rFonts w:ascii="Times New Roman" w:hAnsi="Times New Roman"/>
          <w:noProof/>
        </w:rPr>
        <w:t>. Controlorii de acces trebuie, de asemenea, să publice prezentări generale ale rapoartelor lor, pentru a ține la curent părțile terțe, cum ar fi utilizatorii comerciali.</w:t>
      </w:r>
    </w:p>
    <w:p w14:paraId="4B9ABFFA" w14:textId="44B1DBE7" w:rsidR="008222ED" w:rsidRPr="00951305" w:rsidRDefault="003D1B89" w:rsidP="00627B70">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Această dispoziție prevede, de asemenea, obligația controlorilor de acces de a-și actualiza rapoartele privind crearea de profiluri ale consumatorilor și prezentările generale publice cel puțin o dată pe an. Anul 2025 a marcat al doilea ciclu și prima actualizare a acestui exercițiu de raportare pentru toți cei șapte controlori de acces. Toți aceștia au prezentat rapoarte actualizate privind crearea de profiluri ale consumatorilor și prezentări generale publice până la termenele respective. Observațiile au fost prezentate în martie 2025 (de către Alphabet, Amazon, Apple, ByteDance, Meta și Microsoft) și în noiembrie 2025 (de către Booking). Prezentările generale publice sunt disponibile pe site-urile web ale controlorilor de acces</w:t>
      </w:r>
      <w:r>
        <w:rPr>
          <w:rFonts w:ascii="Times New Roman" w:eastAsia="Times New Roman" w:hAnsi="Times New Roman" w:cs="Times New Roman"/>
          <w:noProof/>
          <w:kern w:val="0"/>
          <w:vertAlign w:val="superscript"/>
        </w:rPr>
        <w:footnoteReference w:id="55"/>
      </w:r>
      <w:r>
        <w:rPr>
          <w:rFonts w:ascii="Times New Roman" w:hAnsi="Times New Roman"/>
          <w:noProof/>
        </w:rPr>
        <w:t>.</w:t>
      </w:r>
    </w:p>
    <w:p w14:paraId="0B2A95A3" w14:textId="0B0BFB1F" w:rsidR="00700B80" w:rsidRPr="00951305" w:rsidRDefault="00864CAB" w:rsidP="005E25E7">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eastAsia="Times New Roman" w:hAnsi="Times New Roman" w:cs="Times New Roman"/>
          <w:noProof/>
          <w:kern w:val="0"/>
          <w14:ligatures w14:val="none"/>
        </w:rPr>
      </w:pPr>
      <w:r>
        <w:rPr>
          <w:rFonts w:ascii="Times New Roman" w:hAnsi="Times New Roman"/>
          <w:noProof/>
        </w:rPr>
        <w:t>Comisia va continua să revizuiască rezultatele celui de al treilea ciclu de raportare în temeiul articolului 15 din Regulamentul privind piețele digitale. După caz, Comisia poate lua în considerare, de asemenea, furnizarea de clarificări suplimentare, inclusiv prin posibile îmbunătățiri ale modelului de raportare, având în vedere experiența dobândită până în prezent. De asemenea, va continua să comunice cu CEPD și cu grupul la nivel înalt cu privire la aspecte legate de articolul 15 din Regulamentul privind piețele digitale care pot prezenta interes pentru autoritățile europene și naționale, inclusiv în domeniul protecției datelor și al protecției consumatorilor.</w:t>
      </w:r>
    </w:p>
    <w:p w14:paraId="2460A970" w14:textId="7F6BA8C4" w:rsidR="004C48D7" w:rsidRPr="00951305" w:rsidRDefault="004C48D7" w:rsidP="00AF79FB">
      <w:pPr>
        <w:pStyle w:val="ListParagraph"/>
        <w:widowControl w:val="0"/>
        <w:numPr>
          <w:ilvl w:val="0"/>
          <w:numId w:val="2"/>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COOPERAREA DINTRE COMISIE ȘI AUTORITĂȚILE NAȚIONALE</w:t>
      </w:r>
    </w:p>
    <w:p w14:paraId="41142B22" w14:textId="530D408C" w:rsidR="00D6053A" w:rsidRPr="00951305" w:rsidRDefault="00D6053A"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Regulamentul privind piețele digitale recunoaște importanța cooperării transversale în materie de reglementare între Comisie și autoritățile naționale, în special cele cu competențe de asigurare a respectării legislației în sectorul digital. Acest lucru este esențial pentru securitatea juridică, pentru a evita fragmentarea pieței interne și pentru coerența și simplificarea generală a obligațiilor de reglementare mai ample ale actorilor digitali.</w:t>
      </w:r>
    </w:p>
    <w:p w14:paraId="27FB133C" w14:textId="318F0A1F" w:rsidR="00E31927" w:rsidRPr="00951305" w:rsidRDefault="0043565A"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Comisia și autoritățile naționale de concurență („ANC”) au continuat să colaboreze în 2025 în cadrul Rețelei europene în domeniul concurenței. În acest sens, Comisia a primit nouă notificări cu privire la cazuri naționale în temeiul articolului 38 din Regulamentul privind piețele digitale. În plus, atât Comisia, cât și ANC-urile au făcut schimb periodic de informații relevante.</w:t>
      </w:r>
    </w:p>
    <w:p w14:paraId="78310244" w14:textId="665E1683" w:rsidR="000857B5" w:rsidRPr="00951305" w:rsidRDefault="00C21FB1"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Cazurile în care Comisia a cooperat cu ANC-urile din perspectiva Regulamentului privind piețele digitale în cursul anului 2025 au inclus o investigație condusă de ANC din Germania împotriva Alphabet, care s-a încheiat cu angajamente adoptate la 9 aprilie 2025. Cazul a vizat practicile Alphabet de acordare a licențelor în ceea ce privește Google Automotive Services (care cuprind Google Maps, Google Play și Google Assistant) și condițiile contractuale privind Google Maps Platform care au restricționat utilizarea combinată a serviciilor de hărți ale Alphabet cu cele ale altor furnizori</w:t>
      </w:r>
      <w:r>
        <w:rPr>
          <w:rStyle w:val="FootnoteReference"/>
          <w:rFonts w:ascii="Times New Roman" w:eastAsia="Times New Roman" w:hAnsi="Times New Roman" w:cs="Times New Roman"/>
          <w:noProof/>
        </w:rPr>
        <w:footnoteReference w:id="56"/>
      </w:r>
      <w:r>
        <w:rPr>
          <w:rFonts w:ascii="Times New Roman" w:hAnsi="Times New Roman"/>
          <w:noProof/>
        </w:rPr>
        <w:t>.</w:t>
      </w:r>
    </w:p>
    <w:p w14:paraId="66E33A8D" w14:textId="37966D7B" w:rsidR="00DA50DF" w:rsidRPr="00951305" w:rsidRDefault="00624956"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În contextul protecției consumatorilor, Comisia a cooperat îndeaproape cu ANC din Italia pentru a analiza modul în care au fost concepute cererile de consimțământ ale Alphabet. Scopul a fost de a se asigura că orice consimțământ acordat de utilizatori pentru combinarea datelor lor de către Alphabet a fost acordat în mod liber și în cunoștință de cauză, astfel cum se prevede în cadrul de reglementare aplicabil. În acest caz, Alphabet a oferit angajamente ANC din Italia</w:t>
      </w:r>
      <w:r>
        <w:rPr>
          <w:rStyle w:val="FootnoteReference"/>
          <w:rFonts w:ascii="Times New Roman" w:eastAsia="Times New Roman" w:hAnsi="Times New Roman" w:cs="Times New Roman"/>
          <w:noProof/>
        </w:rPr>
        <w:footnoteReference w:id="57"/>
      </w:r>
      <w:r>
        <w:rPr>
          <w:rFonts w:ascii="Times New Roman" w:hAnsi="Times New Roman"/>
          <w:noProof/>
        </w:rPr>
        <w:t xml:space="preserve"> și, pe baza cooperării dintre ANC din Italia și Comisie, le-a extins la întreaga UE.</w:t>
      </w:r>
    </w:p>
    <w:p w14:paraId="661DA918" w14:textId="6CE14076" w:rsidR="00E31927" w:rsidRPr="00951305" w:rsidRDefault="00DA50DF"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Dialogul și cooperarea cu autoritățile naționale competente au fost, de asemenea, relevante în contextul cazului de neconformitate privind modelul Meta de „consimțământ sau plată” în temeiul Regulamentului privind piețele digitale. Pe de o parte, Comisia și Comisia irlandeză pentru protecția datelor s-au informat reciproc în mod regulat cu privire la evoluțiile investigațiilor lor care evaluează conformitatea modelului cu Regulamentul privind piețele digitale și cu RGPD. Pe de altă parte, Comisia a colaborat îndeaproape și cu Rețeaua de cooperare pentru protecția consumatorilor, care desfășura o acțiune coordonată de evaluare a modelului Meta de „consimțământ sau plată” în temeiul legislației privind protecția consumatorilor.</w:t>
      </w:r>
    </w:p>
    <w:p w14:paraId="1E65F119" w14:textId="5669FE32" w:rsidR="00D6053A" w:rsidRPr="00951305" w:rsidRDefault="00986A11" w:rsidP="005E25E7">
      <w:pPr>
        <w:pStyle w:val="ListParagraph"/>
        <w:widowControl w:val="0"/>
        <w:numPr>
          <w:ilvl w:val="0"/>
          <w:numId w:val="1"/>
        </w:numPr>
        <w:autoSpaceDE w:val="0"/>
        <w:autoSpaceDN w:val="0"/>
        <w:spacing w:before="120" w:after="120" w:line="240" w:lineRule="auto"/>
        <w:ind w:hanging="578"/>
        <w:contextualSpacing w:val="0"/>
        <w:jc w:val="both"/>
        <w:rPr>
          <w:rFonts w:ascii="Times New Roman" w:hAnsi="Times New Roman" w:cs="Times New Roman"/>
          <w:noProof/>
        </w:rPr>
      </w:pPr>
      <w:r>
        <w:rPr>
          <w:rFonts w:ascii="Times New Roman" w:hAnsi="Times New Roman"/>
          <w:noProof/>
        </w:rPr>
        <w:t>De asemenea, ANC-urile au sprijinit Comisia în activitățile sale de punere în aplicare a Regulamentului privind piețele digitale în 2025. Mai precis, ANC-urile din Belgia, Italia și Țările de Jos au sprijinit Comisia în investigațiile legate de Regulamentul privind piețele digitale, punând la dispoziție personal specializat. Această cooperare este în conformitate cu spiritul articolului 38, care permite ANC-urilor să joace un rol în punerea în aplicare a Regulamentului privind piețele digitale, de exemplu prin investigarea cazurilor de posibilă nerespectare a obligațiilor prevăzute în Regulamentul privind piețele digitale pe teritoriile lor.</w:t>
      </w:r>
    </w:p>
    <w:p w14:paraId="00B3D907" w14:textId="1872D213" w:rsidR="004C48D7" w:rsidRPr="00951305" w:rsidRDefault="003C1463" w:rsidP="00AF79FB">
      <w:pPr>
        <w:pStyle w:val="ListParagraph"/>
        <w:widowControl w:val="0"/>
        <w:numPr>
          <w:ilvl w:val="0"/>
          <w:numId w:val="2"/>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COOPERAREA TRANSVERSALĂ ÎN MATERIE DE REGLEMENTARE</w:t>
      </w:r>
    </w:p>
    <w:p w14:paraId="08E52C7E" w14:textId="02AAB87C" w:rsidR="00043889" w:rsidRPr="00951305" w:rsidRDefault="00043889" w:rsidP="005E25E7">
      <w:pPr>
        <w:pStyle w:val="ListParagraph"/>
        <w:widowControl w:val="0"/>
        <w:numPr>
          <w:ilvl w:val="0"/>
          <w:numId w:val="12"/>
        </w:numPr>
        <w:autoSpaceDE w:val="0"/>
        <w:autoSpaceDN w:val="0"/>
        <w:spacing w:before="120" w:after="120" w:line="240" w:lineRule="auto"/>
        <w:contextualSpacing w:val="0"/>
        <w:jc w:val="both"/>
        <w:rPr>
          <w:rFonts w:ascii="Times" w:hAnsi="Times" w:cs="Times New Roman"/>
          <w:b/>
          <w:bCs/>
          <w:noProof/>
        </w:rPr>
      </w:pPr>
      <w:r>
        <w:rPr>
          <w:rFonts w:ascii="Times" w:hAnsi="Times"/>
          <w:b/>
          <w:noProof/>
        </w:rPr>
        <w:t>Activitățile grupului la nivel înalt</w:t>
      </w:r>
    </w:p>
    <w:p w14:paraId="6FA646AA" w14:textId="78318F23" w:rsidR="001E5D7E" w:rsidRPr="00951305" w:rsidRDefault="00D6053A" w:rsidP="00897D73">
      <w:pPr>
        <w:pStyle w:val="ListParagraph"/>
        <w:widowControl w:val="0"/>
        <w:numPr>
          <w:ilvl w:val="0"/>
          <w:numId w:val="1"/>
        </w:numPr>
        <w:autoSpaceDE w:val="0"/>
        <w:autoSpaceDN w:val="0"/>
        <w:spacing w:before="120" w:after="120" w:line="240" w:lineRule="auto"/>
        <w:ind w:left="993" w:hanging="502"/>
        <w:contextualSpacing w:val="0"/>
        <w:jc w:val="both"/>
        <w:rPr>
          <w:rFonts w:ascii="Times" w:hAnsi="Times" w:cs="Times New Roman"/>
          <w:noProof/>
        </w:rPr>
      </w:pPr>
      <w:r>
        <w:rPr>
          <w:rFonts w:ascii="Times New Roman" w:hAnsi="Times New Roman"/>
          <w:noProof/>
        </w:rPr>
        <w:t>În 2025, grupul la nivel înalt și-a consolidat și extins rolul de forum principal pentru cooperarea transversală în materie de reglementare, în vederea asigurării unei puneri în aplicare coerente și eficiente a Regulamentului privind piețele digitale și a altor norme sectoriale aplicabile controlorilor de acces. Grupul la nivel înalt a încurajat dialogul colaborativ în cadrul comunității autorităților europene de reglementare în domeniul digital și a facilitat cooperarea atât multilaterală, cât și bilaterală între membrii săi.</w:t>
      </w:r>
    </w:p>
    <w:p w14:paraId="5FE4BD9D" w14:textId="39B85BE0" w:rsidR="00A02E52" w:rsidRPr="00951305" w:rsidRDefault="001255D9" w:rsidP="00A02E52">
      <w:pPr>
        <w:pStyle w:val="ListParagraph"/>
        <w:widowControl w:val="0"/>
        <w:numPr>
          <w:ilvl w:val="0"/>
          <w:numId w:val="1"/>
        </w:numPr>
        <w:autoSpaceDE w:val="0"/>
        <w:autoSpaceDN w:val="0"/>
        <w:spacing w:before="120" w:after="120" w:line="240" w:lineRule="auto"/>
        <w:ind w:left="993" w:hanging="502"/>
        <w:contextualSpacing w:val="0"/>
        <w:jc w:val="both"/>
        <w:rPr>
          <w:rFonts w:ascii="Times" w:hAnsi="Times" w:cs="Times New Roman"/>
          <w:noProof/>
        </w:rPr>
      </w:pPr>
      <w:r>
        <w:rPr>
          <w:rFonts w:ascii="Times New Roman" w:hAnsi="Times New Roman"/>
          <w:noProof/>
        </w:rPr>
        <w:t>În contextul agendei generale de simplificare a Comisiei și, în special, al viitoarei sale verificări a adecvării digitale</w:t>
      </w:r>
      <w:r>
        <w:rPr>
          <w:rStyle w:val="FootnoteReference"/>
          <w:rFonts w:ascii="Times New Roman" w:hAnsi="Times New Roman" w:cs="Times New Roman"/>
          <w:noProof/>
        </w:rPr>
        <w:footnoteReference w:id="58"/>
      </w:r>
      <w:r>
        <w:rPr>
          <w:rFonts w:ascii="Times New Roman" w:hAnsi="Times New Roman"/>
          <w:noProof/>
        </w:rPr>
        <w:t>, grupul la nivel înalt a reflectat asupra activității sale de până acum și a luat în considerare posibile modalități prin care să joace un rol mai important în asigurarea unei coordonări eficace între diferitele domenii de reglementare și să contribuie la dezvoltarea unei viziuni și a unei abordări mai holistice. Acest lucru nu numai că va reduce complexitatea generală și va ușura sarcina atât pentru beneficiari, cât și pentru controlorii de acces, dar îi va și împiedica pe controlorii de acces să exploateze o politică pentru a se sustrage alteia.</w:t>
      </w:r>
    </w:p>
    <w:p w14:paraId="7214B6EF" w14:textId="408586BA" w:rsidR="0067082B" w:rsidRPr="00951305" w:rsidRDefault="0067082B" w:rsidP="00897D73">
      <w:pPr>
        <w:pStyle w:val="ListParagraph"/>
        <w:widowControl w:val="0"/>
        <w:numPr>
          <w:ilvl w:val="0"/>
          <w:numId w:val="1"/>
        </w:numPr>
        <w:autoSpaceDE w:val="0"/>
        <w:autoSpaceDN w:val="0"/>
        <w:spacing w:before="120" w:after="120" w:line="240" w:lineRule="auto"/>
        <w:ind w:left="993" w:hanging="502"/>
        <w:contextualSpacing w:val="0"/>
        <w:jc w:val="both"/>
        <w:rPr>
          <w:rFonts w:ascii="Times" w:hAnsi="Times" w:cs="Times New Roman"/>
          <w:noProof/>
        </w:rPr>
      </w:pPr>
      <w:r>
        <w:rPr>
          <w:rFonts w:ascii="Times New Roman" w:hAnsi="Times New Roman"/>
          <w:noProof/>
        </w:rPr>
        <w:t>În acest scop, în 2025, grupul la nivel înalt a aprobat un document comun care a cartografiat interacțiunile normative privind aspectele legate de IA</w:t>
      </w:r>
      <w:r>
        <w:rPr>
          <w:noProof/>
          <w:vertAlign w:val="superscript"/>
        </w:rPr>
        <w:footnoteReference w:id="59"/>
      </w:r>
      <w:r>
        <w:rPr>
          <w:rFonts w:ascii="Times New Roman" w:hAnsi="Times New Roman"/>
          <w:noProof/>
        </w:rPr>
        <w:t xml:space="preserve"> și a însărcinat subgrupul său privind IA să exploreze o cooperare mai strânsă în materie de reglementare între autoritățile competente în ceea ce privește dezvoltarea și implementarea sistemelor de IA de către controlorii de acces</w:t>
      </w:r>
      <w:r>
        <w:rPr>
          <w:rStyle w:val="FootnoteReference"/>
          <w:rFonts w:ascii="Times New Roman" w:hAnsi="Times New Roman" w:cs="Times New Roman"/>
          <w:noProof/>
        </w:rPr>
        <w:footnoteReference w:id="60"/>
      </w:r>
      <w:r>
        <w:rPr>
          <w:rFonts w:ascii="Times New Roman" w:hAnsi="Times New Roman"/>
          <w:noProof/>
        </w:rPr>
        <w:t>.</w:t>
      </w:r>
    </w:p>
    <w:p w14:paraId="43B0C98C" w14:textId="0E843B74" w:rsidR="00A561CD" w:rsidRPr="00951305" w:rsidRDefault="005761AA" w:rsidP="005E1992">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Grupul la nivel înalt și-a adaptat, de asemenea, metodele de lucru. De exemplu, formatul sesiunii plenare a fost parțial deschis, astfel încât vorbitorii externi invitați, cum ar fi reprezentanții societății civile, să poată prezenta diferite perspective pe care membrii să le ia în considerare.</w:t>
      </w:r>
    </w:p>
    <w:p w14:paraId="5EFA8755" w14:textId="7EF19ED5" w:rsidR="00043889" w:rsidRPr="00951305" w:rsidRDefault="00043889" w:rsidP="00891325">
      <w:pPr>
        <w:pStyle w:val="ListParagraph"/>
        <w:widowControl w:val="0"/>
        <w:numPr>
          <w:ilvl w:val="0"/>
          <w:numId w:val="12"/>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Orientări comune privind interacțiunea dintre Regulamentul privind piețele digitale și RGPD</w:t>
      </w:r>
    </w:p>
    <w:p w14:paraId="0610483A" w14:textId="191150FD" w:rsidR="00043889" w:rsidRPr="00951305" w:rsidRDefault="00043889" w:rsidP="005E1992">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În urma discuțiilor din cadrul grupului la nivel înalt, Comisia și CEPD au convenit să adopte în comun orientări privind interacțiunea dintre Regulamentul privind piețele digitale și RGPD</w:t>
      </w:r>
      <w:r>
        <w:rPr>
          <w:rStyle w:val="FootnoteReference"/>
          <w:rFonts w:ascii="Times New Roman" w:eastAsia="Times New Roman" w:hAnsi="Times New Roman" w:cs="Times New Roman"/>
          <w:noProof/>
          <w:kern w:val="0"/>
        </w:rPr>
        <w:footnoteReference w:id="61"/>
      </w:r>
      <w:r>
        <w:rPr>
          <w:rFonts w:ascii="Times New Roman" w:hAnsi="Times New Roman"/>
          <w:noProof/>
        </w:rPr>
        <w:t>. Între 9 octombrie și 4 decembrie 2025, a avut loc o consultare publică cu scopul de a colecta feedback cu privire la un prim proiect de orientări comune. Comisia și CEPD intenționează să adopte orientările comune în 2026.</w:t>
      </w:r>
    </w:p>
    <w:p w14:paraId="39AF9BE8" w14:textId="04F95BE2" w:rsidR="00043889" w:rsidRPr="00951305" w:rsidRDefault="00043889" w:rsidP="00043889">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Obiectivele Regulamentului privind piețele digitale și ale RGPD sunt diferite, dar în mare măsură complementare. În timp ce Regulamentul privind piețele digitale abordează practicile neloiale ale controlorilor de acces față de utilizatorii comerciali și utilizatorii finali și asigură contestabilitatea pieței în ceea ce privește serviciile digitale</w:t>
      </w:r>
      <w:r>
        <w:rPr>
          <w:rStyle w:val="FootnoteReference"/>
          <w:rFonts w:ascii="Times New Roman" w:eastAsia="Times New Roman" w:hAnsi="Times New Roman" w:cs="Times New Roman"/>
          <w:noProof/>
          <w:kern w:val="0"/>
        </w:rPr>
        <w:footnoteReference w:id="62"/>
      </w:r>
      <w:r>
        <w:rPr>
          <w:rFonts w:ascii="Times New Roman" w:hAnsi="Times New Roman"/>
          <w:noProof/>
        </w:rPr>
        <w:t>, RGPD protejează persoanele fizice în ceea ce privește prelucrarea datelor cu caracter personal și asigură libera circulație a datelor cu caracter personal în UE, acoperind toți operatorii de date și persoanele împuternicite de operatori</w:t>
      </w:r>
      <w:r>
        <w:rPr>
          <w:rStyle w:val="FootnoteReference"/>
          <w:rFonts w:ascii="Times New Roman" w:eastAsia="Times New Roman" w:hAnsi="Times New Roman" w:cs="Times New Roman"/>
          <w:noProof/>
          <w:kern w:val="0"/>
        </w:rPr>
        <w:footnoteReference w:id="63"/>
      </w:r>
      <w:r>
        <w:rPr>
          <w:rFonts w:ascii="Times New Roman" w:hAnsi="Times New Roman"/>
          <w:noProof/>
        </w:rPr>
        <w:t>. Prin urmare, punerea în aplicare a Regulamentului privind piețele digitale le oferă dezvoltatorilor și furnizorilor de servicii mai mult spațiu de manevră pentru a inova, a dezvolta și a pune în aplicare caracteristici de protecție a datelor și de confidențialitate în conformitate cu principiile protecției datelor începând cu momentul conceperii și în mod implicit</w:t>
      </w:r>
      <w:r>
        <w:rPr>
          <w:rStyle w:val="FootnoteReference"/>
          <w:rFonts w:ascii="Times New Roman" w:eastAsia="Times New Roman" w:hAnsi="Times New Roman" w:cs="Times New Roman"/>
          <w:noProof/>
          <w:kern w:val="0"/>
        </w:rPr>
        <w:footnoteReference w:id="64"/>
      </w:r>
      <w:r>
        <w:rPr>
          <w:rFonts w:ascii="Times New Roman" w:hAnsi="Times New Roman"/>
          <w:noProof/>
        </w:rPr>
        <w:t>. În același timp, respectarea RGPD completează obiectivul Regulamentului privind piețele digitale de a răspunde avantajelor bazate pe date de care beneficiază controlorii de acces.</w:t>
      </w:r>
    </w:p>
    <w:p w14:paraId="1378C094" w14:textId="430A049C" w:rsidR="00043889" w:rsidRPr="00951305" w:rsidRDefault="00043889" w:rsidP="00043889">
      <w:pPr>
        <w:pStyle w:val="ListParagraph"/>
        <w:widowControl w:val="0"/>
        <w:numPr>
          <w:ilvl w:val="0"/>
          <w:numId w:val="1"/>
        </w:numPr>
        <w:autoSpaceDE w:val="0"/>
        <w:autoSpaceDN w:val="0"/>
        <w:spacing w:before="120" w:after="120" w:line="240" w:lineRule="auto"/>
        <w:ind w:left="993" w:hanging="502"/>
        <w:contextualSpacing w:val="0"/>
        <w:jc w:val="both"/>
        <w:rPr>
          <w:noProof/>
        </w:rPr>
      </w:pPr>
      <w:r>
        <w:rPr>
          <w:rFonts w:ascii="Times New Roman" w:hAnsi="Times New Roman"/>
          <w:noProof/>
        </w:rPr>
        <w:t>Orientările comune ilustrează rezultatul pozitiv pe care cooperarea dintre autorități îl produce în contextul grupului la nivel înalt. Acestea îi vor ajuta pe controlorii de acces și pe utilizatorii comerciali să interpreteze normele la intersecția dintre Regulamentul privind piețele digitale și RGPD</w:t>
      </w:r>
      <w:r>
        <w:rPr>
          <w:rStyle w:val="FootnoteReference"/>
          <w:rFonts w:ascii="Times New Roman" w:hAnsi="Times New Roman" w:cs="Times New Roman"/>
          <w:noProof/>
        </w:rPr>
        <w:footnoteReference w:id="65"/>
      </w:r>
      <w:r>
        <w:rPr>
          <w:rFonts w:ascii="Times New Roman" w:hAnsi="Times New Roman"/>
          <w:noProof/>
        </w:rPr>
        <w:t>, sporind, în general, securitatea juridică pentru întreprinderile din UE.</w:t>
      </w:r>
    </w:p>
    <w:p w14:paraId="3A903F6E" w14:textId="6BDE0A7E" w:rsidR="004C48D7" w:rsidRPr="00951305" w:rsidRDefault="004C48D7" w:rsidP="00627B70">
      <w:pPr>
        <w:pStyle w:val="ListParagraph"/>
        <w:widowControl w:val="0"/>
        <w:numPr>
          <w:ilvl w:val="0"/>
          <w:numId w:val="2"/>
        </w:numPr>
        <w:autoSpaceDE w:val="0"/>
        <w:autoSpaceDN w:val="0"/>
        <w:spacing w:before="120" w:after="120" w:line="240" w:lineRule="auto"/>
        <w:contextualSpacing w:val="0"/>
        <w:jc w:val="both"/>
        <w:rPr>
          <w:b/>
          <w:bCs/>
          <w:noProof/>
        </w:rPr>
      </w:pPr>
      <w:r>
        <w:rPr>
          <w:rFonts w:ascii="Times New Roman" w:hAnsi="Times New Roman"/>
          <w:b/>
          <w:noProof/>
        </w:rPr>
        <w:t>ALTE ACTIVITĂȚI ÎN TEMEIUL REGULAMENTULUI PRIVIND PIEȚELE DIGITALE</w:t>
      </w:r>
    </w:p>
    <w:p w14:paraId="728CDFA6" w14:textId="16CD6837" w:rsidR="00965C8F" w:rsidRPr="00951305" w:rsidRDefault="00F60307" w:rsidP="00AC4AC9">
      <w:pPr>
        <w:pStyle w:val="ListParagraph"/>
        <w:numPr>
          <w:ilvl w:val="0"/>
          <w:numId w:val="1"/>
        </w:numPr>
        <w:spacing w:before="120" w:after="120" w:line="240" w:lineRule="auto"/>
        <w:ind w:left="1003" w:hanging="578"/>
        <w:contextualSpacing w:val="0"/>
        <w:jc w:val="both"/>
        <w:rPr>
          <w:noProof/>
        </w:rPr>
      </w:pPr>
      <w:r>
        <w:rPr>
          <w:rFonts w:ascii="Times New Roman" w:hAnsi="Times New Roman"/>
          <w:noProof/>
        </w:rPr>
        <w:t>Pe lângă toate activitățile legate de Regulamentul privind piețele digitale prezentate în secțiunile anterioare, Comisia a lucrat la revizuirea Regulamentului privind piețele digitale și la aspecte internaționale conexe.</w:t>
      </w:r>
    </w:p>
    <w:p w14:paraId="58063829" w14:textId="6123D6D4" w:rsidR="004C48D7" w:rsidRPr="00951305" w:rsidRDefault="00346265" w:rsidP="005E25E7">
      <w:pPr>
        <w:pStyle w:val="ListParagraph"/>
        <w:widowControl w:val="0"/>
        <w:numPr>
          <w:ilvl w:val="0"/>
          <w:numId w:val="13"/>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Revizuirea Regulamentului privind piețele digitale</w:t>
      </w:r>
    </w:p>
    <w:p w14:paraId="31872CB3" w14:textId="52F9F96A" w:rsidR="000D2000" w:rsidRPr="00951305" w:rsidRDefault="000D2000" w:rsidP="00B14F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Articolul 53 alineatul (1) din Regulamentul privind piețele digitale prevede obligația Comisiei de a evalua regulamentul până la 3 mai 2026. În cadrul evaluării, Comisia trebuie să analizeze dacă obiectivele Regulamentului privind piețele digitale – asigurarea contestabilității pieței și a faptului că controlorii de acces nu recurg la practici inechitabile – au fost atinse și să evalueze impactul Regulamentului privind piețele digitale asupra utilizatorilor comerciali, în special IMM-uri, și asupra utilizatorilor finali.</w:t>
      </w:r>
    </w:p>
    <w:p w14:paraId="00178062" w14:textId="3EB3CBBE" w:rsidR="007D77B7" w:rsidRPr="00951305" w:rsidRDefault="000D2000" w:rsidP="00627B70">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În acest scop, la 3 iulie 2025, Comisia a lansat o consultare publică, termenul pentru transmiterea observațiilor fiind 24 septembrie 2025. De asemenea, la 26 august 2025, Comisia a publicat o cerere de contribuții și un chestionar specific privind IA, termenul pentru feedback fiind 23 septembrie 2025. Rezultatele – observațiile și rezumatul observațiilor Comisiei – au fost publicate pe site-ul web al Regulamentului privind piețele digitale la 8 ianuarie 2026</w:t>
      </w:r>
      <w:r>
        <w:rPr>
          <w:rStyle w:val="FootnoteReference"/>
          <w:rFonts w:ascii="Times New Roman" w:eastAsia="Times New Roman" w:hAnsi="Times New Roman" w:cs="Times New Roman"/>
          <w:noProof/>
          <w:kern w:val="0"/>
        </w:rPr>
        <w:footnoteReference w:id="66"/>
      </w:r>
      <w:r>
        <w:rPr>
          <w:rFonts w:ascii="Times New Roman" w:hAnsi="Times New Roman"/>
          <w:noProof/>
        </w:rPr>
        <w:t>. Comisia a primit în total 319 contribuții la consultare, 63 de răspunsuri la cererea de contribuții și 96 de răspunsuri la chestionarul privind IA, toate reprezentând o gamă largă de părți interesate, inclusiv organizații ale societății civile și reprezentanți ai industriei.</w:t>
      </w:r>
    </w:p>
    <w:p w14:paraId="2260D6DF" w14:textId="48E466F0" w:rsidR="00B32C6B" w:rsidRPr="000F4E1E" w:rsidRDefault="009E2872" w:rsidP="00627B70">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În temeiul articolului 53 alineatul (2) din Regulamentul privind piețele digitale, Comisia a evaluat dacă domeniul de aplicare al articolului 7 din Regulamentul privind piețele digitale, care se referă la interoperabilitatea orizontală a serviciilor de mesagerie, poate fi extins la rețelele sociale online. Prin urmare, în cadrul revizuirii Regulamentului privind piețele digitale, un grup de experți tehnici a efectuat o analiză tehnică aprofundată a interoperabilității. Pe lângă includerea interoperabilității orizontale (și anume permiterea conectării utilizatorilor unei rețele sociale online cu utilizatorii unei alte rețele sociale online), analiza a acoperit, de asemenea, interoperabilitatea verticală (și anume furnizorii terți de servicii care oferă servicii pe lângă o rețea socială online).</w:t>
      </w:r>
    </w:p>
    <w:p w14:paraId="6616262D" w14:textId="7DA82845" w:rsidR="000D2000" w:rsidRPr="000F4E1E" w:rsidRDefault="007D77B7" w:rsidP="00627B70">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Procesul de revizuire a Regulamentului privind piețele digitale s-a încheiat în aprilie 2026</w:t>
      </w:r>
      <w:r>
        <w:rPr>
          <w:rStyle w:val="FootnoteReference"/>
          <w:rFonts w:ascii="Times New Roman" w:eastAsia="Times New Roman" w:hAnsi="Times New Roman" w:cs="Times New Roman"/>
          <w:noProof/>
          <w:kern w:val="0"/>
        </w:rPr>
        <w:footnoteReference w:id="67"/>
      </w:r>
      <w:r>
        <w:rPr>
          <w:rFonts w:ascii="Times New Roman" w:hAnsi="Times New Roman"/>
          <w:noProof/>
        </w:rPr>
        <w:t xml:space="preserve"> cu un raport adresat Parlamentului European, Consiliului și Comitetului Economic și Social European.</w:t>
      </w:r>
    </w:p>
    <w:p w14:paraId="14C6A6CD" w14:textId="6C86F431" w:rsidR="00093831" w:rsidRPr="00951305" w:rsidRDefault="00093831" w:rsidP="005E25E7">
      <w:pPr>
        <w:pStyle w:val="ListParagraph"/>
        <w:widowControl w:val="0"/>
        <w:numPr>
          <w:ilvl w:val="0"/>
          <w:numId w:val="13"/>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Cooperarea internațională</w:t>
      </w:r>
    </w:p>
    <w:p w14:paraId="7821A885" w14:textId="56C3F2A3" w:rsidR="00A001CE" w:rsidRPr="00C52E11" w:rsidRDefault="00A001CE" w:rsidP="00A001CE">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În iunie 2025, Comisia Europeană și Înalta Reprezentantă a Uniunii pentru afaceri externe și politica de securitate au adoptat Strategia digitală internațională pentru UE</w:t>
      </w:r>
      <w:r>
        <w:rPr>
          <w:rStyle w:val="FootnoteReference"/>
          <w:rFonts w:ascii="Times New Roman" w:hAnsi="Times New Roman" w:cs="Times New Roman"/>
          <w:noProof/>
        </w:rPr>
        <w:footnoteReference w:id="68"/>
      </w:r>
      <w:r>
        <w:rPr>
          <w:rFonts w:ascii="Times New Roman" w:hAnsi="Times New Roman"/>
          <w:noProof/>
        </w:rPr>
        <w:t>. Această strategie se axează pe stimularea competitivității europene, pe promovarea unei agende digitale pentru securitatea Europei și a partenerilor săi și pe conturarea guvernanței și a standardelor digitale la nivel mondial. Strategia se referă la Regulamentul privind piețele digitale ca instrument de colaborare cu țările partenere într-un domeniu-cheie de cooperare, cum ar fi platformele online, prin promovarea contestabilității piețelor digitale, a unor condiții de concurență echitabile și a unei concurențe loiale între actorii din domeniul digital.</w:t>
      </w:r>
    </w:p>
    <w:p w14:paraId="5DDD84AD" w14:textId="18E6E558" w:rsidR="00A001CE" w:rsidRDefault="00A001CE" w:rsidP="00E01900">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Într-adevăr, Regulamentul privind piețele digitale suscită interes la nivel internațional ca bună practică, iar UE și-a împărtășit în mod activ experiențele în ceea ce privește asigurarea respectării Regulamentului privind piețele digitale prin intermediul cooperării internaționale.</w:t>
      </w:r>
    </w:p>
    <w:p w14:paraId="0EAF827F" w14:textId="2C60C417" w:rsidR="00093831" w:rsidRPr="00951305" w:rsidRDefault="00E01900" w:rsidP="00E01900">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În cadrul parteneriatului digital instituit între UE și Japonia, la 23 iulie 2025 a fost semnat un acord de cooperare între Comisie și Comisia pentru comerț echitabil din Japonia (Japan Fair Trade Commission – „JFTC”), care este responsabilă cu punerea în aplicare a Legii japoneze privind concurența în domeniul software-ului mobil (</w:t>
      </w:r>
      <w:r>
        <w:rPr>
          <w:rFonts w:ascii="Times New Roman" w:hAnsi="Times New Roman"/>
          <w:i/>
          <w:iCs/>
          <w:noProof/>
        </w:rPr>
        <w:t>Mobile Software Competition Act</w:t>
      </w:r>
      <w:r>
        <w:rPr>
          <w:rFonts w:ascii="Times New Roman" w:hAnsi="Times New Roman"/>
          <w:noProof/>
        </w:rPr>
        <w:t xml:space="preserve"> – „MSCA”)</w:t>
      </w:r>
      <w:r>
        <w:rPr>
          <w:rStyle w:val="FootnoteReference"/>
          <w:rFonts w:ascii="Times New Roman" w:hAnsi="Times New Roman" w:cs="Times New Roman"/>
          <w:noProof/>
        </w:rPr>
        <w:footnoteReference w:id="69"/>
      </w:r>
      <w:r>
        <w:rPr>
          <w:rFonts w:ascii="Times New Roman" w:hAnsi="Times New Roman"/>
          <w:noProof/>
        </w:rPr>
        <w:t xml:space="preserve">. Obiectivul acordului este de a permite părților să facă schimb de informații neconfidențiale cu privire la punerea în aplicare a Regulamentului privind piețele digitale și a MSCA, inclusiv de bune practici și experiențe. Acordul ar trebui, de asemenea, să creeze un cadru pentru dialogurile la nivel de experți și formarea personalului. </w:t>
      </w:r>
    </w:p>
    <w:p w14:paraId="46798710" w14:textId="174F6FB7" w:rsidR="002C08A9" w:rsidRPr="00951305" w:rsidRDefault="00254D8F" w:rsidP="00627B70">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În plus, Comisia a participat, alături de alte autorități, la ediția din 2025 a Forumului mondial privind concurența digitală, organizat de JFTC. În cadrul acestui eveniment, Comisia a avut ocazia de a face schimb de idei cu alte autorități de reglementare și organisme de aplicare a legii cu privire la modalitățile de cooperare pe piețele digitale și la asigurarea respectării efective a reglementărilor din domeniul digital</w:t>
      </w:r>
      <w:r>
        <w:rPr>
          <w:rStyle w:val="FootnoteReference"/>
          <w:rFonts w:ascii="Times New Roman" w:hAnsi="Times New Roman" w:cs="Times New Roman"/>
          <w:noProof/>
        </w:rPr>
        <w:footnoteReference w:id="70"/>
      </w:r>
      <w:r>
        <w:rPr>
          <w:rFonts w:ascii="Times New Roman" w:hAnsi="Times New Roman"/>
          <w:noProof/>
        </w:rPr>
        <w:t>.</w:t>
      </w:r>
    </w:p>
    <w:p w14:paraId="36D49B4D" w14:textId="31843892" w:rsidR="00254D8F" w:rsidRPr="00951305" w:rsidRDefault="002C08A9" w:rsidP="00627B70">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În sfârșit, la începutul lunii februarie 2025, Comisia a găzduit un atelier de asistență tehnică și schimb de informații privind Regulamentul privind piețele digitale. Evenimentul a reunit experți din UE și din țările partenere și a oferit o platformă pentru ca UE să își împărtășească experiența în ceea ce privește punerea în aplicare a Regulamentului privind piețele digitale și sprijinirea concurenței digitale loiale</w:t>
      </w:r>
      <w:r>
        <w:rPr>
          <w:rStyle w:val="FootnoteReference"/>
          <w:rFonts w:ascii="Times New Roman" w:hAnsi="Times New Roman" w:cs="Times New Roman"/>
          <w:noProof/>
        </w:rPr>
        <w:footnoteReference w:id="71"/>
      </w:r>
      <w:r>
        <w:rPr>
          <w:rFonts w:ascii="Times New Roman" w:hAnsi="Times New Roman"/>
          <w:noProof/>
        </w:rPr>
        <w:t>. Țările partenere implicate au fost Albania, Bosnia și Herțegovina, Kosovo</w:t>
      </w:r>
      <w:r>
        <w:rPr>
          <w:rStyle w:val="FootnoteReference"/>
          <w:rFonts w:ascii="Times New Roman" w:hAnsi="Times New Roman" w:cs="Times New Roman"/>
          <w:noProof/>
        </w:rPr>
        <w:footnoteReference w:id="72"/>
      </w:r>
      <w:r>
        <w:rPr>
          <w:rFonts w:ascii="Times New Roman" w:hAnsi="Times New Roman"/>
          <w:noProof/>
        </w:rPr>
        <w:t>, Republica Moldova, Muntenegru, Macedonia de Nord, Serbia, Turcia și Ucraina.</w:t>
      </w:r>
    </w:p>
    <w:sectPr w:rsidR="00254D8F" w:rsidRPr="00951305" w:rsidSect="00DE46AF">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141C7C" w14:textId="77777777" w:rsidR="00B9743C" w:rsidRPr="00951305" w:rsidRDefault="00B9743C" w:rsidP="00DE1888">
      <w:pPr>
        <w:spacing w:after="0" w:line="240" w:lineRule="auto"/>
      </w:pPr>
      <w:r>
        <w:separator/>
      </w:r>
    </w:p>
  </w:endnote>
  <w:endnote w:type="continuationSeparator" w:id="0">
    <w:p w14:paraId="61921D16" w14:textId="77777777" w:rsidR="00B9743C" w:rsidRPr="00951305" w:rsidRDefault="00B9743C" w:rsidP="00DE1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D4051" w14:textId="4B871E5F" w:rsidR="00213275" w:rsidRPr="00213275" w:rsidRDefault="00213275" w:rsidP="00213275">
    <w:pPr>
      <w:pStyle w:val="FooterCoverPage"/>
      <w:rPr>
        <w:rFonts w:ascii="Arial" w:hAnsi="Arial" w:cs="Arial"/>
        <w:b/>
        <w:sz w:val="48"/>
      </w:rPr>
    </w:pPr>
    <w:r w:rsidRPr="00213275">
      <w:rPr>
        <w:rFonts w:ascii="Arial" w:hAnsi="Arial" w:cs="Arial"/>
        <w:b/>
        <w:sz w:val="48"/>
      </w:rPr>
      <w:t>RO</w:t>
    </w:r>
    <w:r w:rsidRPr="00213275">
      <w:rPr>
        <w:rFonts w:ascii="Arial" w:hAnsi="Arial" w:cs="Arial"/>
        <w:b/>
        <w:sz w:val="48"/>
      </w:rPr>
      <w:tab/>
    </w:r>
    <w:r w:rsidRPr="00213275">
      <w:rPr>
        <w:rFonts w:ascii="Arial" w:hAnsi="Arial" w:cs="Arial"/>
        <w:b/>
        <w:sz w:val="48"/>
      </w:rPr>
      <w:tab/>
    </w:r>
    <w:r w:rsidRPr="00213275">
      <w:tab/>
    </w:r>
    <w:r w:rsidRPr="0021327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14B64" w14:textId="200E14E1" w:rsidR="00213275" w:rsidRPr="00213275" w:rsidRDefault="00213275" w:rsidP="00213275">
    <w:pPr>
      <w:pStyle w:val="FooterCoverPage"/>
      <w:rPr>
        <w:rFonts w:ascii="Arial" w:hAnsi="Arial" w:cs="Arial"/>
        <w:b/>
        <w:sz w:val="48"/>
      </w:rPr>
    </w:pPr>
    <w:r w:rsidRPr="00213275">
      <w:rPr>
        <w:rFonts w:ascii="Arial" w:hAnsi="Arial" w:cs="Arial"/>
        <w:b/>
        <w:sz w:val="48"/>
      </w:rPr>
      <w:t>RO</w:t>
    </w:r>
    <w:r w:rsidRPr="00213275">
      <w:rPr>
        <w:rFonts w:ascii="Arial" w:hAnsi="Arial" w:cs="Arial"/>
        <w:b/>
        <w:sz w:val="48"/>
      </w:rPr>
      <w:tab/>
    </w:r>
    <w:r w:rsidRPr="00213275">
      <w:rPr>
        <w:rFonts w:ascii="Arial" w:hAnsi="Arial" w:cs="Arial"/>
        <w:b/>
        <w:sz w:val="48"/>
      </w:rPr>
      <w:tab/>
    </w:r>
    <w:r w:rsidRPr="00213275">
      <w:tab/>
    </w:r>
    <w:r w:rsidRPr="0021327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43E44" w14:textId="77777777" w:rsidR="00213275" w:rsidRPr="00213275" w:rsidRDefault="00213275" w:rsidP="0021327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AD769" w14:textId="77777777" w:rsidR="00DE1888" w:rsidRPr="00951305" w:rsidRDefault="00DE188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618935"/>
      <w:docPartObj>
        <w:docPartGallery w:val="Page Numbers (Bottom of Page)"/>
        <w:docPartUnique/>
      </w:docPartObj>
    </w:sdtPr>
    <w:sdtEndPr/>
    <w:sdtContent>
      <w:p w14:paraId="5D9DBB0B" w14:textId="4F7DB2EB" w:rsidR="00140206" w:rsidRPr="00951305" w:rsidRDefault="00140206">
        <w:pPr>
          <w:pStyle w:val="Footer"/>
          <w:jc w:val="center"/>
        </w:pPr>
        <w:r>
          <w:rPr>
            <w:rFonts w:ascii="Times New Roman" w:hAnsi="Times New Roman" w:cs="Times New Roman"/>
            <w:sz w:val="22"/>
          </w:rPr>
          <w:fldChar w:fldCharType="begin"/>
        </w:r>
        <w:r>
          <w:rPr>
            <w:rFonts w:ascii="Times New Roman" w:hAnsi="Times New Roman" w:cs="Times New Roman"/>
            <w:sz w:val="22"/>
          </w:rPr>
          <w:instrText xml:space="preserve"> PAGE   \* MERGEFORMAT </w:instrText>
        </w:r>
        <w:r>
          <w:rPr>
            <w:rFonts w:ascii="Times New Roman" w:hAnsi="Times New Roman" w:cs="Times New Roman"/>
            <w:sz w:val="22"/>
          </w:rPr>
          <w:fldChar w:fldCharType="separate"/>
        </w:r>
        <w:r w:rsidR="00213275">
          <w:rPr>
            <w:rFonts w:ascii="Times New Roman" w:hAnsi="Times New Roman" w:cs="Times New Roman"/>
            <w:noProof/>
            <w:sz w:val="22"/>
          </w:rPr>
          <w:t>1</w:t>
        </w:r>
        <w:r>
          <w:rPr>
            <w:rFonts w:ascii="Times New Roman" w:hAnsi="Times New Roman" w:cs="Times New Roman"/>
            <w:sz w:val="22"/>
          </w:rPr>
          <w:fldChar w:fldCharType="end"/>
        </w:r>
      </w:p>
    </w:sdtContent>
  </w:sdt>
  <w:p w14:paraId="58A6A1D2" w14:textId="77777777" w:rsidR="00DE1888" w:rsidRPr="00951305" w:rsidRDefault="00DE188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7697C" w14:textId="77777777" w:rsidR="00DE1888" w:rsidRPr="00951305" w:rsidRDefault="00DE1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B9A2A0" w14:textId="77777777" w:rsidR="00B9743C" w:rsidRPr="00951305" w:rsidRDefault="00B9743C" w:rsidP="00DE1888">
      <w:pPr>
        <w:spacing w:after="0" w:line="240" w:lineRule="auto"/>
      </w:pPr>
      <w:r>
        <w:separator/>
      </w:r>
    </w:p>
  </w:footnote>
  <w:footnote w:type="continuationSeparator" w:id="0">
    <w:p w14:paraId="068DD281" w14:textId="77777777" w:rsidR="00B9743C" w:rsidRPr="00951305" w:rsidRDefault="00B9743C" w:rsidP="00DE1888">
      <w:pPr>
        <w:spacing w:after="0" w:line="240" w:lineRule="auto"/>
      </w:pPr>
      <w:r>
        <w:continuationSeparator/>
      </w:r>
    </w:p>
  </w:footnote>
  <w:footnote w:id="1">
    <w:p w14:paraId="239FD339" w14:textId="0FDA6070" w:rsidR="00AF00D4" w:rsidRPr="00951305" w:rsidRDefault="00AF00D4" w:rsidP="005039F4">
      <w:pPr>
        <w:pStyle w:val="FootnoteText"/>
        <w:jc w:val="both"/>
      </w:pPr>
      <w:r>
        <w:rPr>
          <w:rStyle w:val="FootnoteReference"/>
        </w:rPr>
        <w:footnoteRef/>
      </w:r>
      <w:r>
        <w:t xml:space="preserve"> JO L 265, 12.10.2022, p. 1.</w:t>
      </w:r>
    </w:p>
  </w:footnote>
  <w:footnote w:id="2">
    <w:p w14:paraId="015AEA5D" w14:textId="2343E960" w:rsidR="00AF00D4" w:rsidRPr="00951305" w:rsidRDefault="00AF00D4" w:rsidP="005039F4">
      <w:pPr>
        <w:pStyle w:val="FootnoteText"/>
        <w:jc w:val="both"/>
      </w:pPr>
      <w:r>
        <w:rPr>
          <w:rStyle w:val="FootnoteReference"/>
        </w:rPr>
        <w:footnoteRef/>
      </w:r>
      <w:r>
        <w:t xml:space="preserve"> Acesta este cel de al treilea raport anual în care Comisia prezintă acțiunile pe care le-a întreprins în ceea ce privește punerea în aplicare și asigurarea respectării Regulamentului privind piețele digitale, care a intrat în vigoare la 2 mai 2023. Rapoartele anterioare pot fi accesate la adresele: </w:t>
      </w:r>
      <w:hyperlink r:id="rId1" w:history="1">
        <w:r>
          <w:rPr>
            <w:rStyle w:val="Hyperlink"/>
          </w:rPr>
          <w:t>https://digital-markets-act.ec.europa.eu/about-dma/dma-annual-reports_en</w:t>
        </w:r>
      </w:hyperlink>
      <w:r>
        <w:t>.</w:t>
      </w:r>
    </w:p>
  </w:footnote>
  <w:footnote w:id="3">
    <w:p w14:paraId="39CE0849" w14:textId="7F5CD92B" w:rsidR="00355BFF" w:rsidRPr="00951305" w:rsidRDefault="00355BFF" w:rsidP="005039F4">
      <w:pPr>
        <w:pStyle w:val="FootnoteText"/>
        <w:jc w:val="both"/>
      </w:pPr>
      <w:r>
        <w:rPr>
          <w:rStyle w:val="FootnoteReference"/>
        </w:rPr>
        <w:footnoteRef/>
      </w:r>
      <w:r>
        <w:t xml:space="preserve"> </w:t>
      </w:r>
      <w:hyperlink r:id="rId2" w:history="1">
        <w:r>
          <w:rPr>
            <w:rStyle w:val="Hyperlink"/>
          </w:rPr>
          <w:t>https://commission.europa.eu/about/commission-2024-2029_ro</w:t>
        </w:r>
      </w:hyperlink>
      <w:r>
        <w:t>.</w:t>
      </w:r>
    </w:p>
  </w:footnote>
  <w:footnote w:id="4">
    <w:p w14:paraId="30209FDA" w14:textId="280449E6" w:rsidR="00355BFF" w:rsidRPr="00951305" w:rsidRDefault="00355BFF" w:rsidP="00DF2E5C">
      <w:pPr>
        <w:pStyle w:val="FootnoteText"/>
      </w:pPr>
      <w:r>
        <w:rPr>
          <w:rStyle w:val="FootnoteReference"/>
        </w:rPr>
        <w:footnoteRef/>
      </w:r>
      <w:r>
        <w:t xml:space="preserve"> </w:t>
      </w:r>
      <w:hyperlink r:id="rId3" w:history="1">
        <w:r>
          <w:rPr>
            <w:rStyle w:val="Hyperlink"/>
          </w:rPr>
          <w:t>https://commission.europa.eu/about/organisation/college-commissioners/henna-virkkunen_en</w:t>
        </w:r>
      </w:hyperlink>
      <w:r>
        <w:t xml:space="preserve"> și </w:t>
      </w:r>
      <w:hyperlink r:id="rId4" w:history="1">
        <w:r>
          <w:rPr>
            <w:rStyle w:val="Hyperlink"/>
          </w:rPr>
          <w:t>https://commission.europa.eu/about/organisation/college-commissioners/teresa-ribera_en</w:t>
        </w:r>
      </w:hyperlink>
      <w:r>
        <w:t>.</w:t>
      </w:r>
    </w:p>
  </w:footnote>
  <w:footnote w:id="5">
    <w:p w14:paraId="00217501" w14:textId="592E3212" w:rsidR="00F12373" w:rsidRPr="00951305" w:rsidRDefault="00F12373" w:rsidP="005039F4">
      <w:pPr>
        <w:pStyle w:val="FootnoteText"/>
        <w:jc w:val="both"/>
      </w:pPr>
      <w:r>
        <w:rPr>
          <w:rStyle w:val="FootnoteReference"/>
        </w:rPr>
        <w:footnoteRef/>
      </w:r>
      <w:r>
        <w:t xml:space="preserve"> O listă actualizată a controlorilor de acces și a furnizorilor de servicii de platformă esențiale poate fi consultată la adresa </w:t>
      </w:r>
      <w:hyperlink r:id="rId5" w:history="1">
        <w:r>
          <w:rPr>
            <w:rStyle w:val="Hyperlink"/>
          </w:rPr>
          <w:t>https://digital-markets-act.ec.europa.eu/gatekeepers_en</w:t>
        </w:r>
      </w:hyperlink>
      <w:r>
        <w:t>.</w:t>
      </w:r>
    </w:p>
  </w:footnote>
  <w:footnote w:id="6">
    <w:p w14:paraId="2D2A5516" w14:textId="1A190BA8" w:rsidR="006476AD" w:rsidRPr="00951305" w:rsidRDefault="006476AD" w:rsidP="005039F4">
      <w:pPr>
        <w:pStyle w:val="FootnoteText"/>
        <w:jc w:val="both"/>
      </w:pPr>
      <w:r>
        <w:rPr>
          <w:rStyle w:val="FootnoteReference"/>
        </w:rPr>
        <w:footnoteRef/>
      </w:r>
      <w:r>
        <w:t xml:space="preserve"> Cu titlu subsidiar, Meta a susținut, de asemenea, că amploarea globală a activităților Marketplace nu poate fi considerată un punct de acces important în sensul articolului 3 alineatul (1) din DMA. Cu toate acestea, acest punct nu a fost examinat în decizia Comisiei, deoarece primul punct al Meta a fost acceptat.</w:t>
      </w:r>
    </w:p>
  </w:footnote>
  <w:footnote w:id="7">
    <w:p w14:paraId="4C0F0841" w14:textId="48AE9B98" w:rsidR="006476AD" w:rsidRPr="00951305" w:rsidRDefault="006476AD" w:rsidP="005039F4">
      <w:pPr>
        <w:pStyle w:val="FootnoteText"/>
        <w:jc w:val="both"/>
      </w:pPr>
      <w:r>
        <w:rPr>
          <w:rStyle w:val="FootnoteReference"/>
        </w:rPr>
        <w:footnoteRef/>
      </w:r>
      <w:r>
        <w:t xml:space="preserve"> Decizia C(2023) 6105 final a Comisiei din 9 septembrie 2023.</w:t>
      </w:r>
    </w:p>
  </w:footnote>
  <w:footnote w:id="8">
    <w:p w14:paraId="77BC8897" w14:textId="602258F9" w:rsidR="006476AD" w:rsidRPr="00951305" w:rsidRDefault="006476AD" w:rsidP="005039F4">
      <w:pPr>
        <w:pStyle w:val="FootnoteText"/>
        <w:jc w:val="both"/>
      </w:pPr>
      <w:r>
        <w:rPr>
          <w:rStyle w:val="FootnoteReference"/>
        </w:rPr>
        <w:footnoteRef/>
      </w:r>
      <w:r>
        <w:t xml:space="preserve"> Decizia C(2025) 2547 final a Comisiei din 23 aprilie 2025.</w:t>
      </w:r>
    </w:p>
  </w:footnote>
  <w:footnote w:id="9">
    <w:p w14:paraId="23197B87" w14:textId="6DC44089" w:rsidR="006476AD" w:rsidRPr="00951305" w:rsidRDefault="006476AD" w:rsidP="002E71B8">
      <w:pPr>
        <w:pStyle w:val="FootnoteText"/>
      </w:pPr>
      <w:r>
        <w:rPr>
          <w:rStyle w:val="FootnoteReference"/>
        </w:rPr>
        <w:footnoteRef/>
      </w:r>
      <w:r>
        <w:t xml:space="preserve"> A se vedea comunicatul de presă al Comisiei din 27 noiembrie 2025: </w:t>
      </w:r>
      <w:hyperlink r:id="rId6" w:history="1">
        <w:r>
          <w:rPr>
            <w:rStyle w:val="Hyperlink"/>
          </w:rPr>
          <w:t>https://digital-markets-act.ec.europa.eu/commission-receives-notifications-apple-under-digital-markets-act-2025-11-27_en</w:t>
        </w:r>
      </w:hyperlink>
      <w:r>
        <w:t>.</w:t>
      </w:r>
    </w:p>
  </w:footnote>
  <w:footnote w:id="10">
    <w:p w14:paraId="531A6181" w14:textId="5EE61A12" w:rsidR="00AE7C09" w:rsidRPr="00951305" w:rsidRDefault="00AE7C09" w:rsidP="00564840">
      <w:pPr>
        <w:pStyle w:val="FootnoteText"/>
        <w:jc w:val="both"/>
      </w:pPr>
      <w:r>
        <w:rPr>
          <w:rStyle w:val="FootnoteReference"/>
        </w:rPr>
        <w:footnoteRef/>
      </w:r>
      <w:r>
        <w:t xml:space="preserve"> La 5 februarie 2026, Comisia a concluzionat că nici Apple Ads, nici Apple Maps nu constituie puncte de acces importante prin care utilizatorii comerciali ajung la utilizatorii finali: </w:t>
      </w:r>
      <w:hyperlink r:id="rId7" w:history="1">
        <w:r>
          <w:rPr>
            <w:rStyle w:val="Hyperlink"/>
          </w:rPr>
          <w:t>https://digital-markets-act.ec.europa.eu/commission-finds-apple-ads-and-apple-maps-should-not-be-designated-under-digital-markets-act-2026-02-05_en</w:t>
        </w:r>
      </w:hyperlink>
      <w:r>
        <w:t>.</w:t>
      </w:r>
    </w:p>
  </w:footnote>
  <w:footnote w:id="11">
    <w:p w14:paraId="643DB195" w14:textId="40ACEA4D" w:rsidR="00D37DEE" w:rsidRPr="00951305" w:rsidRDefault="00D37DEE" w:rsidP="005039F4">
      <w:pPr>
        <w:pStyle w:val="FootnoteText"/>
        <w:jc w:val="both"/>
      </w:pPr>
      <w:r>
        <w:rPr>
          <w:rStyle w:val="FootnoteReference"/>
        </w:rPr>
        <w:footnoteRef/>
      </w:r>
      <w:r>
        <w:t xml:space="preserve"> A se vedea comunicatul de presă al Comisiei din 18 noiembrie 2025: </w:t>
      </w:r>
      <w:hyperlink r:id="rId8" w:history="1">
        <w:r>
          <w:rPr>
            <w:rStyle w:val="Hyperlink"/>
          </w:rPr>
          <w:t xml:space="preserve">https://digital-markets-act.ec.europa.eu/ </w:t>
        </w:r>
        <w:r>
          <w:rPr>
            <w:rStyle w:val="Hyperlink"/>
          </w:rPr>
          <w:br/>
        </w:r>
      </w:hyperlink>
      <w:hyperlink r:id="rId9" w:history="1">
        <w:r>
          <w:rPr>
            <w:rStyle w:val="Hyperlink"/>
          </w:rPr>
          <w:t>commission-launches-market-investigations-cloud-computing-services-under-digital-markets-act-2025-11-18_en</w:t>
        </w:r>
      </w:hyperlink>
      <w:r>
        <w:t>.</w:t>
      </w:r>
    </w:p>
  </w:footnote>
  <w:footnote w:id="12">
    <w:p w14:paraId="2E3CAA93" w14:textId="5CFE924B" w:rsidR="00D37DEE" w:rsidRPr="00951305" w:rsidRDefault="00D37DEE" w:rsidP="005039F4">
      <w:pPr>
        <w:pStyle w:val="FootnoteText"/>
        <w:jc w:val="both"/>
      </w:pPr>
      <w:r>
        <w:rPr>
          <w:rStyle w:val="FootnoteReference"/>
        </w:rPr>
        <w:footnoteRef/>
      </w:r>
      <w:r>
        <w:t xml:space="preserve"> A se vedea Decizia C(2025) 7946 final a Comisiei din 18 noiembrie 2025 în ceea ce privește Amazon și Decizia C(2025) 7947 final a Comisiei din 18 noiembrie 2025 în ceea ce privește Microsoft.</w:t>
      </w:r>
    </w:p>
  </w:footnote>
  <w:footnote w:id="13">
    <w:p w14:paraId="61E38C0C" w14:textId="36E40B26" w:rsidR="00E92C83" w:rsidRPr="00951305" w:rsidRDefault="00E92C83" w:rsidP="00564840">
      <w:pPr>
        <w:pStyle w:val="FootnoteText"/>
        <w:jc w:val="both"/>
      </w:pPr>
      <w:r>
        <w:rPr>
          <w:rStyle w:val="FootnoteReference"/>
        </w:rPr>
        <w:footnoteRef/>
      </w:r>
      <w:r>
        <w:t xml:space="preserve"> Apple a contestat delimitarea App Store ca serviciu unic de platformă esențial, legalitatea articolului 6 alineatul (7) din Regulamentul privind piețele digitale și calificarea iMessage drept serviciu de comunicații interpersonale care nu se bazează pe numere. A se vedea cauza T-1080/23, </w:t>
      </w:r>
      <w:r>
        <w:rPr>
          <w:i/>
        </w:rPr>
        <w:t>Apple/Comisia</w:t>
      </w:r>
      <w:r>
        <w:t xml:space="preserve">, JO C, C/2024/563, 8.1.2024, ELI: </w:t>
      </w:r>
      <w:hyperlink r:id="rId10" w:tooltip="Oferă acces la acest document prin identificatorul său uniform de resurse ELI." w:history="1">
        <w:r>
          <w:rPr>
            <w:rStyle w:val="Hyperlink"/>
          </w:rPr>
          <w:t>http://data.europa.eu/eli/C/2024/563/oj</w:t>
        </w:r>
      </w:hyperlink>
      <w:r>
        <w:t xml:space="preserve">; cauza T-1079/23, </w:t>
      </w:r>
      <w:r>
        <w:rPr>
          <w:i/>
        </w:rPr>
        <w:t>Apple/Comisia</w:t>
      </w:r>
      <w:r>
        <w:t xml:space="preserve">, JO C, C/2024/562, 8.1.2024, ELI: </w:t>
      </w:r>
      <w:hyperlink r:id="rId11" w:tooltip="Oferă acces la acest document prin identificatorul său uniform de resurse ELI." w:history="1">
        <w:r>
          <w:rPr>
            <w:rStyle w:val="Hyperlink"/>
          </w:rPr>
          <w:t>http://data.europa.eu/eli/C/2024/562/oj</w:t>
        </w:r>
      </w:hyperlink>
      <w:r>
        <w:t xml:space="preserve">; cauza T-214/24, </w:t>
      </w:r>
      <w:r>
        <w:rPr>
          <w:i/>
        </w:rPr>
        <w:t>Apple și Apple Distribution International/Comisia</w:t>
      </w:r>
      <w:r>
        <w:t xml:space="preserve">, JO C, C/20024/3623, 17.6.2024, ELI: </w:t>
      </w:r>
      <w:hyperlink r:id="rId12" w:tooltip="Oferă acces la acest document prin identificatorul său uniform de resurse ELI." w:history="1">
        <w:r>
          <w:rPr>
            <w:rStyle w:val="Hyperlink"/>
          </w:rPr>
          <w:t>http://data.europa.eu/eli/C/2024/3623/oj</w:t>
        </w:r>
      </w:hyperlink>
      <w:r>
        <w:t>.</w:t>
      </w:r>
    </w:p>
  </w:footnote>
  <w:footnote w:id="14">
    <w:p w14:paraId="79881A76" w14:textId="622A7515" w:rsidR="000866F2" w:rsidRPr="00951305" w:rsidRDefault="000866F2" w:rsidP="00564840">
      <w:pPr>
        <w:pStyle w:val="FootnoteText"/>
        <w:jc w:val="both"/>
      </w:pPr>
      <w:r>
        <w:rPr>
          <w:rStyle w:val="FootnoteReference"/>
        </w:rPr>
        <w:footnoteRef/>
      </w:r>
      <w:r>
        <w:t xml:space="preserve"> Meta a contestat desemnarea Marketplace și Messenger drept servicii de platformă esențiale. A se vedea cauza T-1078/23, </w:t>
      </w:r>
      <w:r>
        <w:rPr>
          <w:i/>
        </w:rPr>
        <w:t>Meta Platforms/Comisia</w:t>
      </w:r>
      <w:r>
        <w:t xml:space="preserve">, JO C, C/2024/561, 8.1.2024, ELI: </w:t>
      </w:r>
      <w:hyperlink r:id="rId13" w:tooltip="Oferă acces la acest document prin identificatorul său uniform de resurse ELI." w:history="1">
        <w:r>
          <w:rPr>
            <w:rStyle w:val="Hyperlink"/>
          </w:rPr>
          <w:t>http://data.europa.eu/eli/C/2024/561/oj</w:t>
        </w:r>
      </w:hyperlink>
      <w:r>
        <w:t>.</w:t>
      </w:r>
    </w:p>
  </w:footnote>
  <w:footnote w:id="15">
    <w:p w14:paraId="480C2A1E" w14:textId="46592691" w:rsidR="00E92C83" w:rsidRPr="00951305" w:rsidRDefault="00E92C83" w:rsidP="00564840">
      <w:pPr>
        <w:pStyle w:val="FootnoteText"/>
        <w:jc w:val="both"/>
      </w:pPr>
      <w:r>
        <w:rPr>
          <w:rStyle w:val="FootnoteReference"/>
        </w:rPr>
        <w:footnoteRef/>
      </w:r>
      <w:r>
        <w:t xml:space="preserve"> Opera a contestat decizia Comisiei de a nu desemna Microsoft drept controlor de acces pentru Microsoft Edge. A se vedea cauza T-357/24, </w:t>
      </w:r>
      <w:r>
        <w:rPr>
          <w:i/>
        </w:rPr>
        <w:t>Opera Norway/Comisia</w:t>
      </w:r>
      <w:r>
        <w:t xml:space="preserve">, JO C, C/2024/5640, 30.9.2024, ELI: </w:t>
      </w:r>
      <w:hyperlink r:id="rId14" w:history="1">
        <w:r>
          <w:rPr>
            <w:rStyle w:val="Hyperlink"/>
          </w:rPr>
          <w:t>http://data.europa.eu/eli/C/2024/5640/oj</w:t>
        </w:r>
      </w:hyperlink>
      <w:r>
        <w:t>.</w:t>
      </w:r>
    </w:p>
  </w:footnote>
  <w:footnote w:id="16">
    <w:p w14:paraId="7C461928" w14:textId="08B2B3EC" w:rsidR="00D472F3" w:rsidRPr="00951305" w:rsidRDefault="00D472F3" w:rsidP="005039F4">
      <w:pPr>
        <w:pStyle w:val="FootnoteText"/>
        <w:jc w:val="both"/>
      </w:pPr>
      <w:r>
        <w:rPr>
          <w:rStyle w:val="FootnoteReference"/>
        </w:rPr>
        <w:footnoteRef/>
      </w:r>
      <w:r>
        <w:t xml:space="preserve"> Cauza C-627/24 P, </w:t>
      </w:r>
      <w:r>
        <w:rPr>
          <w:i/>
        </w:rPr>
        <w:t>Bytedance/Comisia</w:t>
      </w:r>
      <w:r>
        <w:t xml:space="preserve">, JO C, C/2024/6639, 11.11.2024, ELI: </w:t>
      </w:r>
      <w:hyperlink r:id="rId15" w:history="1">
        <w:r>
          <w:rPr>
            <w:rStyle w:val="Hyperlink"/>
          </w:rPr>
          <w:t>http://data.europa.eu/eli/C/2024/6639/oj</w:t>
        </w:r>
      </w:hyperlink>
      <w:r>
        <w:t>.</w:t>
      </w:r>
    </w:p>
  </w:footnote>
  <w:footnote w:id="17">
    <w:p w14:paraId="54A0E03D" w14:textId="41BB143F" w:rsidR="005D62CC" w:rsidRPr="00951305" w:rsidRDefault="005D62CC" w:rsidP="005039F4">
      <w:pPr>
        <w:pStyle w:val="FootnoteText"/>
        <w:jc w:val="both"/>
      </w:pPr>
      <w:r>
        <w:rPr>
          <w:rStyle w:val="FootnoteReference"/>
        </w:rPr>
        <w:footnoteRef/>
      </w:r>
      <w:r>
        <w:t xml:space="preserve"> Cauza T-433/24, </w:t>
      </w:r>
      <w:r>
        <w:rPr>
          <w:i/>
        </w:rPr>
        <w:t>Batchelor/Comisia</w:t>
      </w:r>
      <w:r>
        <w:t xml:space="preserve">, JO C, C/2024/6103, 21.10.2024, ELI: </w:t>
      </w:r>
      <w:hyperlink r:id="rId16" w:history="1">
        <w:r>
          <w:rPr>
            <w:rStyle w:val="Hyperlink"/>
          </w:rPr>
          <w:t>http://data.europa.eu/eli/C/2024/6103/oj</w:t>
        </w:r>
      </w:hyperlink>
      <w:r>
        <w:t xml:space="preserve">. Trebuie remarcat că, în cele din urmă, Tribunalul a respins acțiunea în Hotărârea din 25 februarie 2026, </w:t>
      </w:r>
      <w:r>
        <w:rPr>
          <w:i/>
        </w:rPr>
        <w:t>Batchelor/Comisia Europeană</w:t>
      </w:r>
      <w:r>
        <w:t>, T-433/24, EU:T:2026:143.</w:t>
      </w:r>
    </w:p>
  </w:footnote>
  <w:footnote w:id="18">
    <w:p w14:paraId="474A61D9" w14:textId="56B22A2C" w:rsidR="00D5254A" w:rsidRPr="00951305" w:rsidRDefault="00D5254A" w:rsidP="005039F4">
      <w:pPr>
        <w:pStyle w:val="FootnoteText"/>
        <w:jc w:val="both"/>
      </w:pPr>
      <w:r>
        <w:rPr>
          <w:rStyle w:val="FootnoteReference"/>
        </w:rPr>
        <w:footnoteRef/>
      </w:r>
      <w:r>
        <w:t xml:space="preserve"> Versiunile neconfidențiale ale acestor documente sunt accesibile prin intermediul site-ului web al Comisiei dedicat Regulamentului privind piețele digitale: </w:t>
      </w:r>
      <w:hyperlink r:id="rId17" w:history="1">
        <w:r>
          <w:rPr>
            <w:rStyle w:val="Hyperlink"/>
          </w:rPr>
          <w:t>https://digital-markets-act-cases.ec.europa.eu/reports/compliance-reports</w:t>
        </w:r>
      </w:hyperlink>
      <w:r>
        <w:t>.</w:t>
      </w:r>
    </w:p>
  </w:footnote>
  <w:footnote w:id="19">
    <w:p w14:paraId="0B98941B" w14:textId="6B541315" w:rsidR="00D5254A" w:rsidRPr="00951305" w:rsidRDefault="00D5254A" w:rsidP="005039F4">
      <w:pPr>
        <w:pStyle w:val="FootnoteText"/>
        <w:jc w:val="both"/>
      </w:pPr>
      <w:r>
        <w:rPr>
          <w:rStyle w:val="FootnoteReference"/>
        </w:rPr>
        <w:footnoteRef/>
      </w:r>
      <w:r>
        <w:t xml:space="preserve"> A se vedea secțiunea V din prezentul raport.</w:t>
      </w:r>
    </w:p>
  </w:footnote>
  <w:footnote w:id="20">
    <w:p w14:paraId="184AF097" w14:textId="54DACF71" w:rsidR="00AF05BB" w:rsidRPr="00951305" w:rsidRDefault="00AF05BB" w:rsidP="005039F4">
      <w:pPr>
        <w:pStyle w:val="FootnoteText"/>
        <w:jc w:val="both"/>
      </w:pPr>
      <w:r>
        <w:rPr>
          <w:rStyle w:val="FootnoteReference"/>
        </w:rPr>
        <w:footnoteRef/>
      </w:r>
      <w:r>
        <w:t xml:space="preserve"> Atelierul privind conformitatea în ceea ce privește Booking.com a avut deja loc la 25 octombrie 2024.</w:t>
      </w:r>
    </w:p>
  </w:footnote>
  <w:footnote w:id="21">
    <w:p w14:paraId="0DFCA082" w14:textId="5549100C" w:rsidR="00AF05BB" w:rsidRPr="00951305" w:rsidRDefault="00AF05BB" w:rsidP="005039F4">
      <w:pPr>
        <w:pStyle w:val="FootnoteText"/>
        <w:jc w:val="both"/>
      </w:pPr>
      <w:r>
        <w:rPr>
          <w:rStyle w:val="FootnoteReference"/>
        </w:rPr>
        <w:footnoteRef/>
      </w:r>
      <w:r>
        <w:t xml:space="preserve"> </w:t>
      </w:r>
      <w:hyperlink r:id="rId18" w:history="1">
        <w:r>
          <w:rPr>
            <w:rStyle w:val="Hyperlink"/>
          </w:rPr>
          <w:t>https://digital-markets-act.ec.europa.eu/events/workshops</w:t>
        </w:r>
      </w:hyperlink>
      <w:r>
        <w:t>.</w:t>
      </w:r>
    </w:p>
  </w:footnote>
  <w:footnote w:id="22">
    <w:p w14:paraId="77C45087" w14:textId="677F8042" w:rsidR="00A025E8" w:rsidRPr="00951305" w:rsidRDefault="00A025E8" w:rsidP="005039F4">
      <w:pPr>
        <w:pStyle w:val="FootnoteText"/>
        <w:jc w:val="both"/>
      </w:pPr>
      <w:r>
        <w:rPr>
          <w:rStyle w:val="FootnoteReference"/>
        </w:rPr>
        <w:footnoteRef/>
      </w:r>
      <w:r>
        <w:t xml:space="preserve"> Decizia C(2025) 2091 final a Comisiei din 23 aprilie 2025.</w:t>
      </w:r>
    </w:p>
  </w:footnote>
  <w:footnote w:id="23">
    <w:p w14:paraId="029F4730" w14:textId="20CFE35C" w:rsidR="00A025E8" w:rsidRPr="00951305" w:rsidRDefault="00A025E8" w:rsidP="005039F4">
      <w:pPr>
        <w:pStyle w:val="FootnoteText"/>
        <w:jc w:val="both"/>
      </w:pPr>
      <w:r>
        <w:rPr>
          <w:rStyle w:val="FootnoteReference"/>
        </w:rPr>
        <w:footnoteRef/>
      </w:r>
      <w:r>
        <w:t xml:space="preserve"> Meta a contestat decizia de neconformitate a Comisiei. A se vedea secțiunea II.4 din prezentul raport.</w:t>
      </w:r>
    </w:p>
  </w:footnote>
  <w:footnote w:id="24">
    <w:p w14:paraId="2D78C0ED" w14:textId="5935CEBD" w:rsidR="00A025E8" w:rsidRPr="00951305" w:rsidRDefault="00A025E8" w:rsidP="005039F4">
      <w:pPr>
        <w:pStyle w:val="FootnoteText"/>
        <w:jc w:val="both"/>
      </w:pPr>
      <w:r>
        <w:rPr>
          <w:rStyle w:val="FootnoteReference"/>
        </w:rPr>
        <w:footnoteRef/>
      </w:r>
      <w:r>
        <w:t xml:space="preserve"> A se vedea comunicatul de presă al Comisiei din 8 decembrie 2025: </w:t>
      </w:r>
      <w:hyperlink r:id="rId19" w:history="1">
        <w:r>
          <w:rPr>
            <w:rStyle w:val="Hyperlink"/>
          </w:rPr>
          <w:t>https://digital-markets-act.ec.europa.eu/meta-commits-give-eu-users-choice-personalised-ads-under-digital-markets-act-2025-12-08_en</w:t>
        </w:r>
      </w:hyperlink>
      <w:r>
        <w:t>.</w:t>
      </w:r>
    </w:p>
  </w:footnote>
  <w:footnote w:id="25">
    <w:p w14:paraId="4235F429" w14:textId="6195E165" w:rsidR="00A10BD2" w:rsidRPr="00C52E11" w:rsidRDefault="00A10BD2" w:rsidP="00C52E11">
      <w:pPr>
        <w:pStyle w:val="FootnoteText"/>
        <w:jc w:val="both"/>
      </w:pPr>
      <w:r>
        <w:rPr>
          <w:rStyle w:val="FootnoteReference"/>
        </w:rPr>
        <w:footnoteRef/>
      </w:r>
      <w:r>
        <w:t xml:space="preserve"> Procedurile Comisiei împotriva Meta în temeiul Regulamentului privind piețele digitale sunt diferite de investigațiile efectuate de Rețeaua de cooperare pentru protecția consumatorilor a autorităților naționale pentru protecția consumatorilor, coordonată de Comisie, cu privire la utilizarea potențialelor practici comerciale neloiale și a clauzelor contractuale abuzive în contextul prezentării modelului publicitar de tip „consimțământ sau plată” al Meta consumatorilor din UE/SEE și nu aduc atingere acestor investigații.</w:t>
      </w:r>
    </w:p>
  </w:footnote>
  <w:footnote w:id="26">
    <w:p w14:paraId="775F2D12" w14:textId="6753CB97" w:rsidR="004E40EF" w:rsidRPr="00951305" w:rsidRDefault="004E40EF" w:rsidP="00564840">
      <w:pPr>
        <w:pStyle w:val="FootnoteText"/>
        <w:jc w:val="both"/>
      </w:pPr>
      <w:r>
        <w:rPr>
          <w:rStyle w:val="FootnoteReference"/>
        </w:rPr>
        <w:footnoteRef/>
      </w:r>
      <w:r>
        <w:t xml:space="preserve"> Alphabet a anunțat alte îmbunătățiri în 2026 ca urmare a acestui dialog în materie de reglementare, cum ar fi plasarea pictogramei browserului web ales de utilizator din ecranul de selecție în poziția principală a noilor dispozitive Pixel și adăugarea unei noi funcționalități care permite utilizatorilor să schimbe motorul de căutare online implicit din „meniul aplicațiilor implicite” din setări.</w:t>
      </w:r>
    </w:p>
  </w:footnote>
  <w:footnote w:id="27">
    <w:p w14:paraId="11386EB0" w14:textId="3C2061A7" w:rsidR="00400E33" w:rsidRPr="00951305" w:rsidRDefault="00400E33" w:rsidP="00564840">
      <w:pPr>
        <w:pStyle w:val="FootnoteText"/>
        <w:jc w:val="both"/>
      </w:pPr>
      <w:r>
        <w:rPr>
          <w:rStyle w:val="FootnoteReference"/>
        </w:rPr>
        <w:footnoteRef/>
      </w:r>
      <w:r>
        <w:t xml:space="preserve"> A se vedea comunicatul de presă al Comisiei din 23 aprilie 2025: </w:t>
      </w:r>
      <w:hyperlink r:id="rId20" w:history="1">
        <w:r>
          <w:rPr>
            <w:rStyle w:val="Hyperlink"/>
          </w:rPr>
          <w:t xml:space="preserve">https://ec.europa.eu/commission/presscorner/detail/ </w:t>
        </w:r>
        <w:r>
          <w:rPr>
            <w:rStyle w:val="Hyperlink"/>
          </w:rPr>
          <w:br/>
        </w:r>
      </w:hyperlink>
      <w:hyperlink r:id="rId21" w:history="1">
        <w:r>
          <w:rPr>
            <w:rStyle w:val="Hyperlink"/>
          </w:rPr>
          <w:t>ro/ip_25_1086</w:t>
        </w:r>
      </w:hyperlink>
      <w:r>
        <w:t>.</w:t>
      </w:r>
    </w:p>
  </w:footnote>
  <w:footnote w:id="28">
    <w:p w14:paraId="6BD239AC" w14:textId="49F1972B" w:rsidR="00174EB4" w:rsidRPr="00951305" w:rsidRDefault="00174EB4" w:rsidP="005039F4">
      <w:pPr>
        <w:pStyle w:val="FootnoteText"/>
        <w:jc w:val="both"/>
      </w:pPr>
      <w:r>
        <w:rPr>
          <w:rStyle w:val="FootnoteReference"/>
        </w:rPr>
        <w:footnoteRef/>
      </w:r>
      <w:r>
        <w:t xml:space="preserve"> Decizia de punere în aplicare C(2025) 3000 final a Comisiei din 19 martie 2025 și Decizia de punere în aplicare C(2025) 3001 final a Comisiei din 19 martie 2025.</w:t>
      </w:r>
    </w:p>
  </w:footnote>
  <w:footnote w:id="29">
    <w:p w14:paraId="3EDFE23D" w14:textId="2FC03FC2" w:rsidR="00EB124E" w:rsidRPr="00951305" w:rsidRDefault="00EB124E" w:rsidP="005039F4">
      <w:pPr>
        <w:pStyle w:val="FootnoteText"/>
        <w:jc w:val="both"/>
      </w:pPr>
      <w:r>
        <w:rPr>
          <w:rStyle w:val="FootnoteReference"/>
        </w:rPr>
        <w:footnoteRef/>
      </w:r>
      <w:r>
        <w:t xml:space="preserve"> Apple a contestat ambele decizii privind specificațiile în fața Tribunalului. A se vedea secțiunea III.3 din prezentul raport.</w:t>
      </w:r>
    </w:p>
  </w:footnote>
  <w:footnote w:id="30">
    <w:p w14:paraId="673B51FA" w14:textId="0E53741C" w:rsidR="00B65742" w:rsidRPr="00951305" w:rsidRDefault="00B65742" w:rsidP="00AC4AC9">
      <w:pPr>
        <w:pStyle w:val="FootnoteText"/>
      </w:pPr>
      <w:r>
        <w:rPr>
          <w:rStyle w:val="FootnoteReference"/>
        </w:rPr>
        <w:footnoteRef/>
      </w:r>
      <w:r>
        <w:t xml:space="preserve"> Decizia de punere în aplicare C(2025) 2090 final a Comisiei din 23 aprilie 2025: </w:t>
      </w:r>
      <w:hyperlink r:id="rId22" w:history="1">
        <w:r>
          <w:rPr>
            <w:rStyle w:val="Hyperlink"/>
          </w:rPr>
          <w:t>https://competition-cases.ec.europa.eu/cases/DMA.100109</w:t>
        </w:r>
      </w:hyperlink>
      <w:r>
        <w:t>.</w:t>
      </w:r>
    </w:p>
  </w:footnote>
  <w:footnote w:id="31">
    <w:p w14:paraId="69C4C0E1" w14:textId="5B0EE101" w:rsidR="00B65742" w:rsidRPr="00951305" w:rsidRDefault="00B65742" w:rsidP="005039F4">
      <w:pPr>
        <w:pStyle w:val="FootnoteText"/>
        <w:jc w:val="both"/>
      </w:pPr>
      <w:r>
        <w:rPr>
          <w:rStyle w:val="FootnoteReference"/>
        </w:rPr>
        <w:footnoteRef/>
      </w:r>
      <w:r>
        <w:t xml:space="preserve"> Apple a contestat decizia de neconformitate a Comisiei. A se vedea secțiunea III.3 din prezentul raport.</w:t>
      </w:r>
    </w:p>
  </w:footnote>
  <w:footnote w:id="32">
    <w:p w14:paraId="20E7269B" w14:textId="3F749AD8" w:rsidR="008F67D3" w:rsidRPr="00951305" w:rsidRDefault="008F67D3" w:rsidP="002E71B8">
      <w:pPr>
        <w:pStyle w:val="FootnoteText"/>
      </w:pPr>
      <w:r>
        <w:rPr>
          <w:rStyle w:val="FootnoteReference"/>
        </w:rPr>
        <w:footnoteRef/>
      </w:r>
      <w:r>
        <w:t xml:space="preserve"> A se vedea comunicatul de presă al Comisiei din 19 martie 2025: </w:t>
      </w:r>
      <w:hyperlink r:id="rId23" w:history="1">
        <w:r>
          <w:rPr>
            <w:rStyle w:val="Hyperlink"/>
          </w:rPr>
          <w:t xml:space="preserve">https://ec.europa.eu/commission/presscorner/detail/en/ </w:t>
        </w:r>
        <w:r>
          <w:rPr>
            <w:rStyle w:val="Hyperlink"/>
          </w:rPr>
          <w:br/>
        </w:r>
      </w:hyperlink>
      <w:hyperlink r:id="rId24" w:history="1">
        <w:r>
          <w:rPr>
            <w:rStyle w:val="Hyperlink"/>
          </w:rPr>
          <w:t>ip_25_811</w:t>
        </w:r>
      </w:hyperlink>
      <w:r>
        <w:t>.</w:t>
      </w:r>
    </w:p>
  </w:footnote>
  <w:footnote w:id="33">
    <w:p w14:paraId="6D00F58B" w14:textId="77777777" w:rsidR="008F67D3" w:rsidRPr="00951305" w:rsidRDefault="008F67D3" w:rsidP="005039F4">
      <w:pPr>
        <w:pStyle w:val="FootnoteText"/>
        <w:jc w:val="both"/>
      </w:pPr>
      <w:r>
        <w:rPr>
          <w:rStyle w:val="FootnoteReference"/>
        </w:rPr>
        <w:footnoteRef/>
      </w:r>
      <w:r>
        <w:t xml:space="preserve"> Considerentul 40 din Regulamentul privind piețele digitale.</w:t>
      </w:r>
    </w:p>
  </w:footnote>
  <w:footnote w:id="34">
    <w:p w14:paraId="4DE443C1" w14:textId="7DC69017" w:rsidR="004F1401" w:rsidRPr="00951305" w:rsidRDefault="004F1401" w:rsidP="00564840">
      <w:pPr>
        <w:pStyle w:val="FootnoteText"/>
        <w:jc w:val="both"/>
      </w:pPr>
      <w:r>
        <w:rPr>
          <w:rStyle w:val="FootnoteReference"/>
        </w:rPr>
        <w:footnoteRef/>
      </w:r>
      <w:r>
        <w:t xml:space="preserve"> În martie 2026, cazul era încă deschis.</w:t>
      </w:r>
    </w:p>
  </w:footnote>
  <w:footnote w:id="35">
    <w:p w14:paraId="299EDB49" w14:textId="5568EC43" w:rsidR="00EE698A" w:rsidRPr="00951305" w:rsidRDefault="00EE698A" w:rsidP="002E71B8">
      <w:pPr>
        <w:pStyle w:val="FootnoteText"/>
      </w:pPr>
      <w:r>
        <w:rPr>
          <w:rStyle w:val="FootnoteReference"/>
        </w:rPr>
        <w:footnoteRef/>
      </w:r>
      <w:r>
        <w:t xml:space="preserve"> A se vedea comunicatul de presă al Comisiei din 23 aprilie 2025: </w:t>
      </w:r>
      <w:hyperlink r:id="rId25" w:history="1">
        <w:r>
          <w:rPr>
            <w:rStyle w:val="Hyperlink"/>
          </w:rPr>
          <w:t xml:space="preserve">https://ec.europa.eu/commission/presscorner/detail/en/ </w:t>
        </w:r>
        <w:r>
          <w:rPr>
            <w:rStyle w:val="Hyperlink"/>
          </w:rPr>
          <w:br/>
        </w:r>
      </w:hyperlink>
      <w:hyperlink r:id="rId26" w:history="1">
        <w:r>
          <w:rPr>
            <w:rStyle w:val="Hyperlink"/>
          </w:rPr>
          <w:t>ip_25_1086</w:t>
        </w:r>
      </w:hyperlink>
      <w:r>
        <w:t>.</w:t>
      </w:r>
    </w:p>
  </w:footnote>
  <w:footnote w:id="36">
    <w:p w14:paraId="2FB8070B" w14:textId="1415145B" w:rsidR="004F1401" w:rsidRPr="00951305" w:rsidRDefault="004F1401" w:rsidP="00564840">
      <w:pPr>
        <w:pStyle w:val="FootnoteText"/>
        <w:jc w:val="both"/>
      </w:pPr>
      <w:r>
        <w:rPr>
          <w:rStyle w:val="FootnoteReference"/>
        </w:rPr>
        <w:footnoteRef/>
      </w:r>
      <w:r>
        <w:t xml:space="preserve"> În martie 2026, cazul era încă în curs.</w:t>
      </w:r>
    </w:p>
  </w:footnote>
  <w:footnote w:id="37">
    <w:p w14:paraId="1CC73399" w14:textId="54FFF36F" w:rsidR="00BC44E6" w:rsidRPr="00951305" w:rsidRDefault="00BC44E6" w:rsidP="005039F4">
      <w:pPr>
        <w:pStyle w:val="FootnoteText"/>
        <w:jc w:val="both"/>
      </w:pPr>
      <w:r>
        <w:rPr>
          <w:rStyle w:val="FootnoteReference"/>
        </w:rPr>
        <w:footnoteRef/>
      </w:r>
      <w:r>
        <w:t xml:space="preserve"> A se vedea raportul Organizației Europene a Consumatorilor intitulat „</w:t>
      </w:r>
      <w:r>
        <w:rPr>
          <w:i/>
          <w:iCs/>
        </w:rPr>
        <w:t>First Bloom:</w:t>
      </w:r>
      <w:r>
        <w:t xml:space="preserve"> </w:t>
      </w:r>
      <w:r>
        <w:rPr>
          <w:i/>
          <w:iCs/>
        </w:rPr>
        <w:t>increased consumer choice after eighteen months of the DMA</w:t>
      </w:r>
      <w:r>
        <w:t xml:space="preserve">”, publicat în noiembrie 2025: </w:t>
      </w:r>
      <w:hyperlink r:id="rId27" w:history="1">
        <w:r>
          <w:rPr>
            <w:rStyle w:val="Hyperlink"/>
          </w:rPr>
          <w:t>https://www.beuc.eu/sites/default/files/publications/BEUC-X-2025-101_Increased_consumer_choice_after_eighteen_months_of_the_DMA.pdf</w:t>
        </w:r>
      </w:hyperlink>
      <w:r>
        <w:t>.</w:t>
      </w:r>
    </w:p>
  </w:footnote>
  <w:footnote w:id="38">
    <w:p w14:paraId="263CDD42" w14:textId="7A2AC076" w:rsidR="00CB3227" w:rsidRPr="00C52E11" w:rsidRDefault="00CB3227" w:rsidP="005039F4">
      <w:pPr>
        <w:pStyle w:val="FootnoteText"/>
        <w:jc w:val="both"/>
      </w:pPr>
      <w:r>
        <w:rPr>
          <w:rStyle w:val="FootnoteReference"/>
        </w:rPr>
        <w:footnoteRef/>
      </w:r>
      <w:r>
        <w:t xml:space="preserve"> Articolul 7 alineatul (2) litera (b) din Regulamentul privind piețele digitale.</w:t>
      </w:r>
    </w:p>
  </w:footnote>
  <w:footnote w:id="39">
    <w:p w14:paraId="6001C01E" w14:textId="55267896" w:rsidR="006A6436" w:rsidRPr="00C52E11" w:rsidRDefault="006A6436" w:rsidP="00564840">
      <w:pPr>
        <w:pStyle w:val="FootnoteText"/>
        <w:jc w:val="both"/>
      </w:pPr>
      <w:r>
        <w:rPr>
          <w:rStyle w:val="FootnoteReference"/>
        </w:rPr>
        <w:footnoteRef/>
      </w:r>
      <w:r>
        <w:t xml:space="preserve"> </w:t>
      </w:r>
      <w:hyperlink r:id="rId28" w:history="1">
        <w:r>
          <w:rPr>
            <w:rStyle w:val="Hyperlink"/>
          </w:rPr>
          <w:t>https://developers.facebook.com/m/messaging-interoperability/</w:t>
        </w:r>
      </w:hyperlink>
      <w:r>
        <w:t>.</w:t>
      </w:r>
    </w:p>
  </w:footnote>
  <w:footnote w:id="40">
    <w:p w14:paraId="47B46D86" w14:textId="3C5F0903" w:rsidR="00CB3227" w:rsidRPr="00C52E11" w:rsidRDefault="00CB3227" w:rsidP="002E71B8">
      <w:pPr>
        <w:pStyle w:val="FootnoteText"/>
      </w:pPr>
      <w:r>
        <w:rPr>
          <w:rStyle w:val="FootnoteReference"/>
        </w:rPr>
        <w:footnoteRef/>
      </w:r>
      <w:r>
        <w:t xml:space="preserve"> </w:t>
      </w:r>
      <w:hyperlink r:id="rId29" w:history="1">
        <w:r>
          <w:rPr>
            <w:rStyle w:val="Hyperlink"/>
          </w:rPr>
          <w:t>https://about.fb.com/news/2025/11/messaging-interoperability-whatsapp-enables-third-party-chats-for-users-in-europe/</w:t>
        </w:r>
      </w:hyperlink>
      <w:r>
        <w:t>.</w:t>
      </w:r>
    </w:p>
  </w:footnote>
  <w:footnote w:id="41">
    <w:p w14:paraId="0E6AB719" w14:textId="0400CE6D" w:rsidR="00F528DE" w:rsidRPr="00951305" w:rsidRDefault="00F528DE" w:rsidP="002E71B8">
      <w:pPr>
        <w:pStyle w:val="FootnoteText"/>
      </w:pPr>
      <w:r>
        <w:rPr>
          <w:rStyle w:val="FootnoteReference"/>
        </w:rPr>
        <w:footnoteRef/>
      </w:r>
      <w:r>
        <w:t xml:space="preserve"> A se vedea comunicatul de presă al Comisiei din 19 martie 2025: </w:t>
      </w:r>
      <w:hyperlink r:id="rId30" w:history="1">
        <w:r>
          <w:rPr>
            <w:rStyle w:val="Hyperlink"/>
          </w:rPr>
          <w:t xml:space="preserve">https://ec.europa.eu/commission/presscorner/detail/en/ </w:t>
        </w:r>
        <w:r>
          <w:rPr>
            <w:rStyle w:val="Hyperlink"/>
          </w:rPr>
          <w:br/>
        </w:r>
      </w:hyperlink>
      <w:hyperlink r:id="rId31" w:history="1">
        <w:r>
          <w:rPr>
            <w:rStyle w:val="Hyperlink"/>
          </w:rPr>
          <w:t>ip_25_811</w:t>
        </w:r>
      </w:hyperlink>
      <w:r>
        <w:t>.</w:t>
      </w:r>
    </w:p>
  </w:footnote>
  <w:footnote w:id="42">
    <w:p w14:paraId="2929DA1D" w14:textId="20ADB405" w:rsidR="00D33657" w:rsidRPr="00951305" w:rsidRDefault="00D33657" w:rsidP="002E71B8">
      <w:pPr>
        <w:pStyle w:val="FootnoteText"/>
      </w:pPr>
      <w:r>
        <w:rPr>
          <w:rStyle w:val="FootnoteReference"/>
        </w:rPr>
        <w:footnoteRef/>
      </w:r>
      <w:r>
        <w:t xml:space="preserve"> A se vedea comunicatul de presă al Comisiei din 13 noiembrie 2025: </w:t>
      </w:r>
      <w:hyperlink r:id="rId32" w:history="1">
        <w:r>
          <w:rPr>
            <w:rStyle w:val="Hyperlink"/>
          </w:rPr>
          <w:t xml:space="preserve">https://ec.europa.eu/commission/presscorner/ </w:t>
        </w:r>
        <w:r>
          <w:rPr>
            <w:rStyle w:val="Hyperlink"/>
          </w:rPr>
          <w:br/>
        </w:r>
      </w:hyperlink>
      <w:hyperlink r:id="rId33" w:history="1">
        <w:r>
          <w:rPr>
            <w:rStyle w:val="Hyperlink"/>
          </w:rPr>
          <w:t>detail/ro/ip_25_2675</w:t>
        </w:r>
      </w:hyperlink>
      <w:r>
        <w:t>. A se vedea, de asemenea, Decizia C(2026) 7806 final a Comisiei din 12 noiembrie 2025.</w:t>
      </w:r>
    </w:p>
  </w:footnote>
  <w:footnote w:id="43">
    <w:p w14:paraId="49D42340" w14:textId="627C1F8A" w:rsidR="008D0D95" w:rsidRPr="00951305" w:rsidRDefault="008D0D95" w:rsidP="002E71B8">
      <w:pPr>
        <w:pStyle w:val="FootnoteText"/>
      </w:pPr>
      <w:r>
        <w:rPr>
          <w:rStyle w:val="FootnoteReference"/>
        </w:rPr>
        <w:footnoteRef/>
      </w:r>
      <w:r>
        <w:t xml:space="preserve"> Cauza T-432/25, </w:t>
      </w:r>
      <w:r>
        <w:rPr>
          <w:i/>
        </w:rPr>
        <w:t>Meta Platforms/Comisia</w:t>
      </w:r>
      <w:r>
        <w:t xml:space="preserve">, JO C, C/2025/5214, 6.10.2025, ELI: </w:t>
      </w:r>
      <w:hyperlink r:id="rId34" w:history="1">
        <w:r>
          <w:rPr>
            <w:rStyle w:val="Hyperlink"/>
          </w:rPr>
          <w:t>http://data.europa.eu/eli/C/2025/5214/oj</w:t>
        </w:r>
      </w:hyperlink>
      <w:r>
        <w:t>.</w:t>
      </w:r>
    </w:p>
  </w:footnote>
  <w:footnote w:id="44">
    <w:p w14:paraId="6A593799" w14:textId="3B8C5CFE" w:rsidR="008D0D95" w:rsidRPr="00951305" w:rsidRDefault="008D0D95" w:rsidP="002E71B8">
      <w:pPr>
        <w:pStyle w:val="FootnoteText"/>
      </w:pPr>
      <w:r>
        <w:rPr>
          <w:rStyle w:val="FootnoteReference"/>
        </w:rPr>
        <w:footnoteRef/>
      </w:r>
      <w:r>
        <w:t xml:space="preserve"> Cauza T-438/25, </w:t>
      </w:r>
      <w:r>
        <w:rPr>
          <w:i/>
        </w:rPr>
        <w:t>Apple/Comisia</w:t>
      </w:r>
      <w:r>
        <w:t xml:space="preserve">, JO C, C/2025/5215, 6.10.2025, ELI: </w:t>
      </w:r>
      <w:hyperlink r:id="rId35" w:history="1">
        <w:r>
          <w:rPr>
            <w:rStyle w:val="Hyperlink"/>
          </w:rPr>
          <w:t>http://data.europa.eu/eli/C/2025/5215/oj</w:t>
        </w:r>
      </w:hyperlink>
      <w:r>
        <w:t>.</w:t>
      </w:r>
    </w:p>
  </w:footnote>
  <w:footnote w:id="45">
    <w:p w14:paraId="7BB6D141" w14:textId="44D3617C" w:rsidR="008D0D95" w:rsidRPr="00951305" w:rsidRDefault="008D0D95" w:rsidP="005039F4">
      <w:pPr>
        <w:pStyle w:val="FootnoteText"/>
        <w:jc w:val="both"/>
      </w:pPr>
      <w:r>
        <w:rPr>
          <w:rStyle w:val="FootnoteReference"/>
        </w:rPr>
        <w:footnoteRef/>
      </w:r>
      <w:r>
        <w:t xml:space="preserve"> Cauza T-354/25, </w:t>
      </w:r>
      <w:r>
        <w:rPr>
          <w:i/>
        </w:rPr>
        <w:t>Apple și Apple Distribution International/Comisia</w:t>
      </w:r>
      <w:r>
        <w:t xml:space="preserve">, JO C, C/2025/5212, 6.10.2025, ELI: </w:t>
      </w:r>
      <w:hyperlink r:id="rId36" w:history="1">
        <w:r>
          <w:rPr>
            <w:rStyle w:val="Hyperlink"/>
          </w:rPr>
          <w:t>http://data.europa.eu/eli/C/2025/5212/oj</w:t>
        </w:r>
      </w:hyperlink>
      <w:r>
        <w:t xml:space="preserve">; și cauza T-359/25, </w:t>
      </w:r>
      <w:r>
        <w:rPr>
          <w:i/>
        </w:rPr>
        <w:t>Apple și Apple Distribution International/Comisia</w:t>
      </w:r>
      <w:r>
        <w:t xml:space="preserve">, JO C, C/2025/5213, 6.10.2025, ELI: </w:t>
      </w:r>
      <w:hyperlink r:id="rId37" w:tooltip="Oferă acces la acest document prin identificatorul său uniform de resurse ELI." w:history="1">
        <w:r>
          <w:rPr>
            <w:rStyle w:val="Hyperlink"/>
          </w:rPr>
          <w:t>http://data.europa.eu/eli/C/2025/5213/oj</w:t>
        </w:r>
      </w:hyperlink>
      <w:r>
        <w:t>.</w:t>
      </w:r>
    </w:p>
  </w:footnote>
  <w:footnote w:id="46">
    <w:p w14:paraId="77A7B3C6" w14:textId="7A5F75FE" w:rsidR="002F306C" w:rsidRPr="00951305" w:rsidRDefault="002F306C" w:rsidP="005039F4">
      <w:pPr>
        <w:pStyle w:val="FootnoteText"/>
        <w:jc w:val="both"/>
      </w:pPr>
      <w:r>
        <w:rPr>
          <w:rStyle w:val="FootnoteReference"/>
        </w:rPr>
        <w:footnoteRef/>
      </w:r>
      <w:r>
        <w:t xml:space="preserve"> În 2023, Comisia a primit 3 notificări. În 2024, Comisia a primit 16 notificări, modificând cifra din Raportul anual privind Regulamentul privind piețele digitale din 2024. În 2025, Comisia a primit 36 de notificări.</w:t>
      </w:r>
    </w:p>
  </w:footnote>
  <w:footnote w:id="47">
    <w:p w14:paraId="77A8B2FB" w14:textId="2512ACD3" w:rsidR="002F306C" w:rsidRPr="00951305" w:rsidRDefault="002F306C" w:rsidP="005039F4">
      <w:pPr>
        <w:pStyle w:val="FootnoteText"/>
        <w:jc w:val="both"/>
      </w:pPr>
      <w:r>
        <w:rPr>
          <w:rStyle w:val="FootnoteReference"/>
        </w:rPr>
        <w:footnoteRef/>
      </w:r>
      <w:r>
        <w:t xml:space="preserve"> </w:t>
      </w:r>
      <w:hyperlink r:id="rId38" w:history="1">
        <w:r>
          <w:rPr>
            <w:rStyle w:val="Hyperlink"/>
          </w:rPr>
          <w:t>https://digital-markets-act-cases.ec.europa.eu/acquisitions</w:t>
        </w:r>
      </w:hyperlink>
      <w:r>
        <w:t>.</w:t>
      </w:r>
    </w:p>
  </w:footnote>
  <w:footnote w:id="48">
    <w:p w14:paraId="7B775C14" w14:textId="3B3E81F7" w:rsidR="00ED3B99" w:rsidRPr="00951305" w:rsidRDefault="00ED3B99" w:rsidP="00564840">
      <w:pPr>
        <w:pStyle w:val="FootnoteText"/>
        <w:jc w:val="both"/>
      </w:pPr>
      <w:r>
        <w:rPr>
          <w:rStyle w:val="FootnoteReference"/>
        </w:rPr>
        <w:footnoteRef/>
      </w:r>
      <w:r>
        <w:t xml:space="preserve"> A se vedea, de exemplu, achiziționarea de către Google a Upollo, Logic and Rhythm sau a HTC Corporation sau achiziționarea de către Amazon a Pixwise. Pentru a vedea rezumatele neconfidențiale ale acestor tranzacții, a se vedea site-ul web al Comisiei dedicat Regulamentului privind piețele digitale, indicat în nota de subsol anterioară.</w:t>
      </w:r>
    </w:p>
  </w:footnote>
  <w:footnote w:id="49">
    <w:p w14:paraId="06EE9273" w14:textId="3999C403" w:rsidR="008472AF" w:rsidRPr="00951305" w:rsidRDefault="008472AF" w:rsidP="005039F4">
      <w:pPr>
        <w:pStyle w:val="FootnoteText"/>
        <w:jc w:val="both"/>
      </w:pPr>
      <w:r>
        <w:rPr>
          <w:rStyle w:val="FootnoteReference"/>
        </w:rPr>
        <w:footnoteRef/>
      </w:r>
      <w:r>
        <w:t xml:space="preserve"> Regulamentul (CE) nr. 139/2004 al Consiliului din 20 ianuarie 2004 privind controlul concentrărilor economice între întreprinderi [Regulamentul UE privind concentrările economice], JO L 24, 29.1.2004, p. 1.</w:t>
      </w:r>
    </w:p>
  </w:footnote>
  <w:footnote w:id="50">
    <w:p w14:paraId="4B82E5E3" w14:textId="795A2150" w:rsidR="00094E01" w:rsidRPr="00951305" w:rsidRDefault="00094E01" w:rsidP="005039F4">
      <w:pPr>
        <w:pStyle w:val="FootnoteText"/>
        <w:jc w:val="both"/>
      </w:pPr>
      <w:r>
        <w:rPr>
          <w:rStyle w:val="FootnoteReference"/>
        </w:rPr>
        <w:footnoteRef/>
      </w:r>
      <w:r>
        <w:t xml:space="preserve"> Articolul 22 din Regulamentul UE privind concentrările economice.</w:t>
      </w:r>
    </w:p>
  </w:footnote>
  <w:footnote w:id="51">
    <w:p w14:paraId="2D88F790" w14:textId="5ED666A3" w:rsidR="001841ED" w:rsidRPr="00951305" w:rsidRDefault="001841ED" w:rsidP="005039F4">
      <w:pPr>
        <w:pStyle w:val="FootnoteText"/>
        <w:jc w:val="both"/>
      </w:pPr>
      <w:r>
        <w:rPr>
          <w:rStyle w:val="FootnoteReference"/>
        </w:rPr>
        <w:footnoteRef/>
      </w:r>
      <w:r>
        <w:t xml:space="preserve"> A se vedea Decizia C(2025) 7948 final a Comisiei din 18 noiembrie 2025.</w:t>
      </w:r>
    </w:p>
  </w:footnote>
  <w:footnote w:id="52">
    <w:p w14:paraId="004CEDA2" w14:textId="5E3F1829" w:rsidR="00C374F8" w:rsidRPr="00951305" w:rsidRDefault="00C374F8" w:rsidP="00564840">
      <w:pPr>
        <w:pStyle w:val="FootnoteText"/>
        <w:jc w:val="both"/>
      </w:pPr>
      <w:r>
        <w:rPr>
          <w:rStyle w:val="FootnoteReference"/>
        </w:rPr>
        <w:footnoteRef/>
      </w:r>
      <w:r>
        <w:t xml:space="preserve"> Pentru investigațiile de piață privind posibila desemnare a Amazon AWS și Microsoft Azure, a se vedea secțiunea II.3 din prezentul raport.</w:t>
      </w:r>
    </w:p>
  </w:footnote>
  <w:footnote w:id="53">
    <w:p w14:paraId="4D2545C3" w14:textId="7E944641" w:rsidR="000B4370" w:rsidRPr="00951305" w:rsidRDefault="000B4370" w:rsidP="005039F4">
      <w:pPr>
        <w:pStyle w:val="FootnoteText"/>
        <w:jc w:val="both"/>
      </w:pPr>
      <w:r>
        <w:rPr>
          <w:rStyle w:val="FootnoteReference"/>
        </w:rPr>
        <w:footnoteRef/>
      </w:r>
      <w:r>
        <w:t xml:space="preserve"> Pentru a-i ajuta pe controlorii de acces să respecte articolul 15 din Regulamentul privind piețele digitale, la 12 decembrie 2023, Comisia a publicat un model care este disponibil pe site-ul web dedicat Regulamentului privind piețele digitale: </w:t>
      </w:r>
      <w:hyperlink r:id="rId39" w:anchor="templates" w:history="1">
        <w:r>
          <w:rPr>
            <w:rStyle w:val="Hyperlink"/>
          </w:rPr>
          <w:t xml:space="preserve">https://digital-markets-act.ec.europa.eu/ </w:t>
        </w:r>
        <w:r>
          <w:rPr>
            <w:rStyle w:val="Hyperlink"/>
          </w:rPr>
          <w:br/>
        </w:r>
      </w:hyperlink>
      <w:hyperlink r:id="rId40" w:anchor="templates" w:history="1">
        <w:r>
          <w:rPr>
            <w:rStyle w:val="Hyperlink"/>
          </w:rPr>
          <w:t>legislation_en#templates</w:t>
        </w:r>
      </w:hyperlink>
      <w:r>
        <w:t>.</w:t>
      </w:r>
    </w:p>
  </w:footnote>
  <w:footnote w:id="54">
    <w:p w14:paraId="29F234C4" w14:textId="1A6A38CA" w:rsidR="000B4370" w:rsidRPr="00951305" w:rsidRDefault="000B4370" w:rsidP="005039F4">
      <w:pPr>
        <w:pStyle w:val="FootnoteText"/>
        <w:jc w:val="both"/>
      </w:pPr>
      <w:r>
        <w:rPr>
          <w:rStyle w:val="FootnoteReference"/>
        </w:rPr>
        <w:footnoteRef/>
      </w:r>
      <w:r>
        <w:t xml:space="preserve"> A se vedea procesul-verbal al celei de a patra reuniuni a subgrupului privind obligațiile în materie de date al grupului la nivel înalt, care a avut loc la 18 noiembrie 2024: </w:t>
      </w:r>
      <w:hyperlink r:id="rId41" w:history="1">
        <w:r>
          <w:rPr>
            <w:rStyle w:val="Hyperlink"/>
          </w:rPr>
          <w:t xml:space="preserve">https://ec.europa.eu/transparency/expert-groups-register/screen/meetings/consult?lang= </w:t>
        </w:r>
        <w:r>
          <w:rPr>
            <w:rStyle w:val="Hyperlink"/>
          </w:rPr>
          <w:br/>
          <w:t>en&amp;meetingId=58746&amp;fromExpertGroups=3904</w:t>
        </w:r>
      </w:hyperlink>
      <w:r>
        <w:t>.</w:t>
      </w:r>
    </w:p>
  </w:footnote>
  <w:footnote w:id="55">
    <w:p w14:paraId="67AF649E" w14:textId="028484D2" w:rsidR="000B4370" w:rsidRPr="00951305" w:rsidRDefault="000B4370" w:rsidP="005039F4">
      <w:pPr>
        <w:pStyle w:val="FootnoteText"/>
        <w:jc w:val="both"/>
      </w:pPr>
      <w:r>
        <w:rPr>
          <w:rStyle w:val="FootnoteReference"/>
        </w:rPr>
        <w:footnoteRef/>
      </w:r>
      <w:r>
        <w:t xml:space="preserve"> Linkurile sunt disponibile pe site-ul web dedicat Regulamentului privind piețele digitale: </w:t>
      </w:r>
      <w:hyperlink r:id="rId42" w:history="1">
        <w:r>
          <w:rPr>
            <w:rStyle w:val="Hyperlink"/>
          </w:rPr>
          <w:t>https://digital-markets-act-cases.ec.europa.eu/reports/consumer-profiling-reports</w:t>
        </w:r>
      </w:hyperlink>
      <w:r>
        <w:t>.</w:t>
      </w:r>
    </w:p>
  </w:footnote>
  <w:footnote w:id="56">
    <w:p w14:paraId="277D2A69" w14:textId="548680E4" w:rsidR="00E31927" w:rsidRPr="00951305" w:rsidRDefault="00E31927" w:rsidP="005039F4">
      <w:pPr>
        <w:pStyle w:val="FootnoteText"/>
        <w:jc w:val="both"/>
      </w:pPr>
      <w:r>
        <w:rPr>
          <w:rStyle w:val="FootnoteReference"/>
        </w:rPr>
        <w:footnoteRef/>
      </w:r>
      <w:r>
        <w:t xml:space="preserve"> A se vedea comunicatul de presă al ANC din Germania: </w:t>
      </w:r>
      <w:hyperlink r:id="rId43" w:history="1">
        <w:r>
          <w:rPr>
            <w:rStyle w:val="Hyperlink"/>
          </w:rPr>
          <w:t xml:space="preserve">https://www.bundeskartellamt.de/SharedDocs/Meldung/ </w:t>
        </w:r>
        <w:r>
          <w:rPr>
            <w:rStyle w:val="Hyperlink"/>
          </w:rPr>
          <w:br/>
        </w:r>
      </w:hyperlink>
      <w:hyperlink r:id="rId44" w:history="1">
        <w:r>
          <w:rPr>
            <w:rStyle w:val="Hyperlink"/>
          </w:rPr>
          <w:t>EN/Pressemitteilungen/2025/04_09_2025_GAS_GMP.html</w:t>
        </w:r>
      </w:hyperlink>
      <w:r>
        <w:t xml:space="preserve">. O altă investigație, desfășurată de aceeași autoritate împotriva Amazon, a fost închisă la 5 februarie 2026 printr-o decizie de interzicere. A se vedea comunicatul de presă: </w:t>
      </w:r>
      <w:hyperlink r:id="rId45" w:history="1">
        <w:r>
          <w:rPr>
            <w:rStyle w:val="Hyperlink"/>
          </w:rPr>
          <w:t>https://www.bundeskartellamt.de/SharedDocs/Meldung/EN/Pressemitteilungen/2026/26_02_05_Amazon.html</w:t>
        </w:r>
      </w:hyperlink>
      <w:r>
        <w:t>.</w:t>
      </w:r>
    </w:p>
  </w:footnote>
  <w:footnote w:id="57">
    <w:p w14:paraId="239470D7" w14:textId="42AD6BAB" w:rsidR="00DA50DF" w:rsidRPr="00951305" w:rsidRDefault="00DA50DF" w:rsidP="00564840">
      <w:pPr>
        <w:pStyle w:val="FootnoteText"/>
        <w:jc w:val="both"/>
      </w:pPr>
      <w:r>
        <w:rPr>
          <w:rStyle w:val="FootnoteReference"/>
        </w:rPr>
        <w:footnoteRef/>
      </w:r>
      <w:r>
        <w:t xml:space="preserve"> A se vedea comunicatul de presă al ANC din Italia: </w:t>
      </w:r>
      <w:hyperlink r:id="rId46" w:history="1">
        <w:r>
          <w:rPr>
            <w:rStyle w:val="Hyperlink"/>
          </w:rPr>
          <w:t>https://agcm.it/media/comunicati-stampa/2025/11/PS12714-</w:t>
        </w:r>
      </w:hyperlink>
      <w:r>
        <w:t>.</w:t>
      </w:r>
    </w:p>
  </w:footnote>
  <w:footnote w:id="58">
    <w:p w14:paraId="455BF5CE" w14:textId="75523C93" w:rsidR="008E692A" w:rsidRPr="00951305" w:rsidRDefault="008E692A" w:rsidP="00564840">
      <w:pPr>
        <w:pStyle w:val="FootnoteText"/>
        <w:jc w:val="both"/>
      </w:pPr>
      <w:r>
        <w:rPr>
          <w:rStyle w:val="FootnoteReference"/>
        </w:rPr>
        <w:footnoteRef/>
      </w:r>
      <w:r>
        <w:t xml:space="preserve"> Consultarea publică și cererea de contribuții pentru verificarea adecvării digitale au avut loc în perioada 19 noiembrie 2025 - 11 martie 2026. Mai multe informații sunt disponibile aici: </w:t>
      </w:r>
      <w:hyperlink r:id="rId47" w:history="1">
        <w:r>
          <w:rPr>
            <w:rStyle w:val="Hyperlink"/>
          </w:rPr>
          <w:t>https://ec.europa.eu/info/law/better-regulation/have-your-say/initiatives/15554-Verificarea-adecvarii-digitale-testarea-impactului-cumulativ-al-normelor-UE-pentru-sectorul-digital_ro</w:t>
        </w:r>
      </w:hyperlink>
      <w:r>
        <w:t>.</w:t>
      </w:r>
    </w:p>
  </w:footnote>
  <w:footnote w:id="59">
    <w:p w14:paraId="0A2F093E" w14:textId="7A98B566" w:rsidR="00A561CD" w:rsidRPr="00951305" w:rsidRDefault="00A561CD" w:rsidP="00AC4AC9">
      <w:pPr>
        <w:pStyle w:val="FootnoteText"/>
      </w:pPr>
      <w:r>
        <w:rPr>
          <w:rStyle w:val="FootnoteReference"/>
        </w:rPr>
        <w:footnoteRef/>
      </w:r>
      <w:r>
        <w:t xml:space="preserve"> A se vedea documentul comun al membrilor Grupului la nivel înalt privind inteligența artificială: </w:t>
      </w:r>
      <w:hyperlink r:id="rId48" w:history="1">
        <w:r>
          <w:rPr>
            <w:rStyle w:val="Hyperlink"/>
          </w:rPr>
          <w:t>https://ec.europa.eu/transparency/expert-groups-register/screen/meetings/consult?lang=en&amp;meetingId=67755&amp;fromExpertGroups=3904</w:t>
        </w:r>
      </w:hyperlink>
      <w:r>
        <w:t xml:space="preserve">. </w:t>
      </w:r>
    </w:p>
  </w:footnote>
  <w:footnote w:id="60">
    <w:p w14:paraId="2838F5D1" w14:textId="7421473E" w:rsidR="00503D15" w:rsidRPr="00951305" w:rsidRDefault="00503D15" w:rsidP="00564840">
      <w:pPr>
        <w:pStyle w:val="FootnoteText"/>
        <w:jc w:val="both"/>
      </w:pPr>
      <w:r>
        <w:rPr>
          <w:rStyle w:val="FootnoteReference"/>
        </w:rPr>
        <w:footnoteRef/>
      </w:r>
      <w:r>
        <w:t xml:space="preserve"> A se vedea procesul-verbal al ședinței plenare din 12 decembrie 2025: </w:t>
      </w:r>
      <w:hyperlink r:id="rId49" w:history="1">
        <w:r>
          <w:rPr>
            <w:rStyle w:val="Hyperlink"/>
          </w:rPr>
          <w:t>https://ec.europa.eu/transparency/expert-groups-register/screen/meetings/consult?lang=en&amp;meetingId=67755&amp;fromExpertGroups=3904</w:t>
        </w:r>
      </w:hyperlink>
      <w:r>
        <w:t>.</w:t>
      </w:r>
    </w:p>
  </w:footnote>
  <w:footnote w:id="61">
    <w:p w14:paraId="17FF5017" w14:textId="3D2CB4DF" w:rsidR="00043889" w:rsidRPr="00951305" w:rsidRDefault="00043889" w:rsidP="00564840">
      <w:pPr>
        <w:pStyle w:val="FootnoteText"/>
        <w:jc w:val="both"/>
      </w:pPr>
      <w:r>
        <w:rPr>
          <w:rStyle w:val="FootnoteReference"/>
        </w:rPr>
        <w:footnoteRef/>
      </w:r>
      <w:r>
        <w:t xml:space="preserve"> Articolul 47 din Regulamentul privind piețele digitale împuternicește Comisia să adopte orientări cu privire la orice aspect al regulamentului pentru a facilita punerea în aplicare și asigurarea respectării efective a acestuia.</w:t>
      </w:r>
    </w:p>
  </w:footnote>
  <w:footnote w:id="62">
    <w:p w14:paraId="27184D07" w14:textId="77239CDC" w:rsidR="00043889" w:rsidRPr="00C52E11" w:rsidRDefault="00043889" w:rsidP="005039F4">
      <w:pPr>
        <w:pStyle w:val="FootnoteText"/>
        <w:jc w:val="both"/>
      </w:pPr>
      <w:r>
        <w:rPr>
          <w:rStyle w:val="FootnoteReference"/>
        </w:rPr>
        <w:footnoteRef/>
      </w:r>
      <w:r>
        <w:t xml:space="preserve"> Articolul 1 alineatul (1) din DMA.</w:t>
      </w:r>
    </w:p>
  </w:footnote>
  <w:footnote w:id="63">
    <w:p w14:paraId="6A4FD27E" w14:textId="2C459990" w:rsidR="00043889" w:rsidRPr="00C52E11" w:rsidRDefault="00043889" w:rsidP="005039F4">
      <w:pPr>
        <w:pStyle w:val="FootnoteText"/>
        <w:jc w:val="both"/>
      </w:pPr>
      <w:r>
        <w:rPr>
          <w:rStyle w:val="FootnoteReference"/>
        </w:rPr>
        <w:footnoteRef/>
      </w:r>
      <w:r>
        <w:t xml:space="preserve"> Articolul 1 alineatul (1) din RGPD.</w:t>
      </w:r>
    </w:p>
  </w:footnote>
  <w:footnote w:id="64">
    <w:p w14:paraId="134B1A85" w14:textId="0520E3B0" w:rsidR="00043889" w:rsidRPr="00C52E11" w:rsidRDefault="00043889" w:rsidP="005039F4">
      <w:pPr>
        <w:pStyle w:val="FootnoteText"/>
        <w:jc w:val="both"/>
      </w:pPr>
      <w:r>
        <w:rPr>
          <w:rStyle w:val="FootnoteReference"/>
        </w:rPr>
        <w:footnoteRef/>
      </w:r>
      <w:r>
        <w:t xml:space="preserve"> Articolul 25 din RGPD.</w:t>
      </w:r>
    </w:p>
  </w:footnote>
  <w:footnote w:id="65">
    <w:p w14:paraId="434525A0" w14:textId="590B3B8F" w:rsidR="00043889" w:rsidRPr="00951305" w:rsidRDefault="00043889" w:rsidP="005039F4">
      <w:pPr>
        <w:pStyle w:val="FootnoteText"/>
        <w:jc w:val="both"/>
      </w:pPr>
      <w:r>
        <w:rPr>
          <w:rStyle w:val="FootnoteReference"/>
        </w:rPr>
        <w:footnoteRef/>
      </w:r>
      <w:r>
        <w:t xml:space="preserve"> Trebuie remarcat faptul că articolul 8 alineatul (1) din Regulamentul privind piețele digitale prevede că un controlor de acces trebuie să asigure conformitatea cu Regulamentul privind piețele digitale și că măsurile pe care le pune în aplicare trebuie, de asemenea, să fie conforme cu legislația aplicabilă, în special cu RGPD, cu legislația privind securitatea cibernetică, protecția consumatorilor și siguranța produselor, precum și cu cerințele de accesibilitate.</w:t>
      </w:r>
    </w:p>
  </w:footnote>
  <w:footnote w:id="66">
    <w:p w14:paraId="6F934C30" w14:textId="1EF8BF68" w:rsidR="001A7736" w:rsidRPr="00951305" w:rsidRDefault="001A7736" w:rsidP="005039F4">
      <w:pPr>
        <w:pStyle w:val="FootnoteText"/>
        <w:jc w:val="both"/>
      </w:pPr>
      <w:r>
        <w:rPr>
          <w:rStyle w:val="FootnoteReference"/>
        </w:rPr>
        <w:footnoteRef/>
      </w:r>
      <w:r>
        <w:t xml:space="preserve"> </w:t>
      </w:r>
      <w:hyperlink r:id="rId50" w:history="1">
        <w:r>
          <w:rPr>
            <w:rStyle w:val="Hyperlink"/>
          </w:rPr>
          <w:t>https://digital-markets-act.ec.europa.eu/consultation-first-review-digital-markets-act_en</w:t>
        </w:r>
      </w:hyperlink>
      <w:r>
        <w:t>.</w:t>
      </w:r>
    </w:p>
  </w:footnote>
  <w:footnote w:id="67">
    <w:p w14:paraId="08683DF2" w14:textId="6523D201" w:rsidR="00635F17" w:rsidRPr="00EC434A" w:rsidRDefault="00635F17">
      <w:pPr>
        <w:pStyle w:val="FootnoteText"/>
      </w:pPr>
      <w:r>
        <w:rPr>
          <w:rStyle w:val="FootnoteReference"/>
        </w:rPr>
        <w:footnoteRef/>
      </w:r>
      <w:r>
        <w:t xml:space="preserve"> </w:t>
      </w:r>
      <w:hyperlink r:id="rId51" w:history="1">
        <w:r>
          <w:rPr>
            <w:rStyle w:val="Hyperlink"/>
          </w:rPr>
          <w:t>https://digital-markets-act.ec.europa.eu/about-dma/dma-review-qa_en</w:t>
        </w:r>
      </w:hyperlink>
      <w:r>
        <w:t xml:space="preserve">. </w:t>
      </w:r>
    </w:p>
  </w:footnote>
  <w:footnote w:id="68">
    <w:p w14:paraId="30839795" w14:textId="77777777" w:rsidR="00A001CE" w:rsidRPr="00661E18" w:rsidRDefault="00A001CE" w:rsidP="00A001CE">
      <w:pPr>
        <w:pStyle w:val="FootnoteText"/>
      </w:pPr>
      <w:r>
        <w:rPr>
          <w:rStyle w:val="FootnoteReference"/>
        </w:rPr>
        <w:footnoteRef/>
      </w:r>
      <w:r>
        <w:t xml:space="preserve"> </w:t>
      </w:r>
      <w:hyperlink r:id="rId52" w:history="1">
        <w:r>
          <w:rPr>
            <w:rStyle w:val="Hyperlink"/>
          </w:rPr>
          <w:t>https://digital-strategy.ec.europa.eu/ro/policies/international-digital-strategy</w:t>
        </w:r>
      </w:hyperlink>
      <w:r>
        <w:t xml:space="preserve">. </w:t>
      </w:r>
    </w:p>
  </w:footnote>
  <w:footnote w:id="69">
    <w:p w14:paraId="2A0C7B82" w14:textId="4AD127A6" w:rsidR="00093831" w:rsidRPr="00951305" w:rsidRDefault="00093831" w:rsidP="00AC4AC9">
      <w:pPr>
        <w:pStyle w:val="FootnoteText"/>
      </w:pPr>
      <w:r>
        <w:rPr>
          <w:rStyle w:val="FootnoteReference"/>
        </w:rPr>
        <w:footnoteRef/>
      </w:r>
      <w:r>
        <w:t xml:space="preserve"> </w:t>
      </w:r>
      <w:hyperlink r:id="rId53" w:history="1">
        <w:r>
          <w:rPr>
            <w:rStyle w:val="Hyperlink"/>
          </w:rPr>
          <w:t>https://digital-markets-act.ec.europa.eu/document/download/19a69296-8b25-4b02-817c-7737f76ce61a_en?</w:t>
        </w:r>
      </w:hyperlink>
      <w:hyperlink r:id="rId54" w:history="1">
        <w:r>
          <w:rPr>
            <w:rStyle w:val="Hyperlink"/>
          </w:rPr>
          <w:t xml:space="preserve"> </w:t>
        </w:r>
        <w:r>
          <w:rPr>
            <w:rStyle w:val="Hyperlink"/>
          </w:rPr>
          <w:br/>
          <w:t>filename=Commission_JFTC_Cooperation%20Arrangement.pdf</w:t>
        </w:r>
      </w:hyperlink>
      <w:r>
        <w:t>.</w:t>
      </w:r>
    </w:p>
  </w:footnote>
  <w:footnote w:id="70">
    <w:p w14:paraId="7D8AB95F" w14:textId="57D58B63" w:rsidR="009B1FCA" w:rsidRPr="00951305" w:rsidRDefault="009B1FCA" w:rsidP="00564840">
      <w:pPr>
        <w:pStyle w:val="FootnoteText"/>
        <w:jc w:val="both"/>
      </w:pPr>
      <w:r>
        <w:rPr>
          <w:rStyle w:val="FootnoteReference"/>
        </w:rPr>
        <w:footnoteRef/>
      </w:r>
      <w:r>
        <w:t xml:space="preserve"> </w:t>
      </w:r>
      <w:hyperlink r:id="rId55" w:history="1">
        <w:r>
          <w:rPr>
            <w:rStyle w:val="Hyperlink"/>
          </w:rPr>
          <w:t>https://www.jftc.go.jp/en/policy_enforcement/digital/index.html</w:t>
        </w:r>
      </w:hyperlink>
      <w:r>
        <w:t>.</w:t>
      </w:r>
    </w:p>
  </w:footnote>
  <w:footnote w:id="71">
    <w:p w14:paraId="11EA6A14" w14:textId="3651456F" w:rsidR="00AB076D" w:rsidRPr="00951305" w:rsidRDefault="00AB076D" w:rsidP="005039F4">
      <w:pPr>
        <w:pStyle w:val="FootnoteText"/>
        <w:jc w:val="both"/>
      </w:pPr>
      <w:r>
        <w:rPr>
          <w:rStyle w:val="FootnoteReference"/>
        </w:rPr>
        <w:footnoteRef/>
      </w:r>
      <w:r>
        <w:t xml:space="preserve"> </w:t>
      </w:r>
      <w:hyperlink r:id="rId56" w:anchor="/library/detail/90004" w:history="1">
        <w:r>
          <w:rPr>
            <w:rStyle w:val="Hyperlink"/>
          </w:rPr>
          <w:t>https://webgate.ec.europa.eu/TMSWebRestrict/resources/js/app/#/library/detail/90004</w:t>
        </w:r>
      </w:hyperlink>
      <w:r>
        <w:t>.</w:t>
      </w:r>
    </w:p>
  </w:footnote>
  <w:footnote w:id="72">
    <w:p w14:paraId="387B1042" w14:textId="3E09CD8D" w:rsidR="007D0DE6" w:rsidRPr="007D0DE6" w:rsidRDefault="007D0DE6">
      <w:pPr>
        <w:pStyle w:val="FootnoteText"/>
      </w:pPr>
      <w:r>
        <w:rPr>
          <w:rStyle w:val="FootnoteReference"/>
        </w:rPr>
        <w:footnoteRef/>
      </w:r>
      <w:r>
        <w:rPr>
          <w:i/>
        </w:rPr>
        <w:t xml:space="preserve"> *Această denumire nu aduce atingere pozițiilor privind statutul și este conformă cu RCSONU 1244/1999, precum și cu Avizul CIJ privind Declarația de independență a Kosovo</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63B14" w14:textId="77777777" w:rsidR="00213275" w:rsidRPr="00213275" w:rsidRDefault="00213275" w:rsidP="0021327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B1B61" w14:textId="77777777" w:rsidR="00213275" w:rsidRPr="00213275" w:rsidRDefault="00213275" w:rsidP="0021327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5798F" w14:textId="77777777" w:rsidR="00213275" w:rsidRPr="00213275" w:rsidRDefault="00213275" w:rsidP="0021327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185E7" w14:textId="77777777" w:rsidR="00DE1888" w:rsidRPr="00951305" w:rsidRDefault="00DE18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9C600" w14:textId="77777777" w:rsidR="00DE1888" w:rsidRPr="00951305" w:rsidRDefault="00DE18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59179" w14:textId="77777777" w:rsidR="00DE1888" w:rsidRPr="00951305" w:rsidRDefault="00DE18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F75DF"/>
    <w:multiLevelType w:val="hybridMultilevel"/>
    <w:tmpl w:val="402C5CB0"/>
    <w:lvl w:ilvl="0" w:tplc="40F8E9B4">
      <w:start w:val="1"/>
      <w:numFmt w:val="decimal"/>
      <w:lvlText w:val="(%1)"/>
      <w:lvlJc w:val="left"/>
      <w:pPr>
        <w:ind w:left="1004" w:hanging="360"/>
      </w:pPr>
      <w:rPr>
        <w:rFonts w:ascii="Times New Roman" w:hAnsi="Times New Roman" w:cs="Times New Roman" w:hint="default"/>
        <w:b w:val="0"/>
        <w:bCs w:val="0"/>
        <w:i w:val="0"/>
        <w:iCs w:val="0"/>
      </w:rPr>
    </w:lvl>
    <w:lvl w:ilvl="1" w:tplc="18090019" w:tentative="1">
      <w:start w:val="1"/>
      <w:numFmt w:val="lowerLetter"/>
      <w:lvlText w:val="%2."/>
      <w:lvlJc w:val="left"/>
      <w:pPr>
        <w:ind w:left="1724" w:hanging="360"/>
      </w:pPr>
    </w:lvl>
    <w:lvl w:ilvl="2" w:tplc="1809001B" w:tentative="1">
      <w:start w:val="1"/>
      <w:numFmt w:val="lowerRoman"/>
      <w:lvlText w:val="%3."/>
      <w:lvlJc w:val="right"/>
      <w:pPr>
        <w:ind w:left="2444" w:hanging="180"/>
      </w:pPr>
    </w:lvl>
    <w:lvl w:ilvl="3" w:tplc="1809000F" w:tentative="1">
      <w:start w:val="1"/>
      <w:numFmt w:val="decimal"/>
      <w:lvlText w:val="%4."/>
      <w:lvlJc w:val="left"/>
      <w:pPr>
        <w:ind w:left="3164" w:hanging="360"/>
      </w:pPr>
    </w:lvl>
    <w:lvl w:ilvl="4" w:tplc="18090019" w:tentative="1">
      <w:start w:val="1"/>
      <w:numFmt w:val="lowerLetter"/>
      <w:lvlText w:val="%5."/>
      <w:lvlJc w:val="left"/>
      <w:pPr>
        <w:ind w:left="3884" w:hanging="360"/>
      </w:pPr>
    </w:lvl>
    <w:lvl w:ilvl="5" w:tplc="1809001B" w:tentative="1">
      <w:start w:val="1"/>
      <w:numFmt w:val="lowerRoman"/>
      <w:lvlText w:val="%6."/>
      <w:lvlJc w:val="right"/>
      <w:pPr>
        <w:ind w:left="4604" w:hanging="180"/>
      </w:pPr>
    </w:lvl>
    <w:lvl w:ilvl="6" w:tplc="1809000F" w:tentative="1">
      <w:start w:val="1"/>
      <w:numFmt w:val="decimal"/>
      <w:lvlText w:val="%7."/>
      <w:lvlJc w:val="left"/>
      <w:pPr>
        <w:ind w:left="5324" w:hanging="360"/>
      </w:pPr>
    </w:lvl>
    <w:lvl w:ilvl="7" w:tplc="18090019" w:tentative="1">
      <w:start w:val="1"/>
      <w:numFmt w:val="lowerLetter"/>
      <w:lvlText w:val="%8."/>
      <w:lvlJc w:val="left"/>
      <w:pPr>
        <w:ind w:left="6044" w:hanging="360"/>
      </w:pPr>
    </w:lvl>
    <w:lvl w:ilvl="8" w:tplc="1809001B" w:tentative="1">
      <w:start w:val="1"/>
      <w:numFmt w:val="lowerRoman"/>
      <w:lvlText w:val="%9."/>
      <w:lvlJc w:val="right"/>
      <w:pPr>
        <w:ind w:left="6764" w:hanging="180"/>
      </w:pPr>
    </w:lvl>
  </w:abstractNum>
  <w:abstractNum w:abstractNumId="1" w15:restartNumberingAfterBreak="0">
    <w:nsid w:val="36A16EF8"/>
    <w:multiLevelType w:val="hybridMultilevel"/>
    <w:tmpl w:val="7ECCE5AA"/>
    <w:lvl w:ilvl="0" w:tplc="FFFFFFFF">
      <w:start w:val="1"/>
      <w:numFmt w:val="decimal"/>
      <w:lvlText w:val="%1."/>
      <w:lvlJc w:val="left"/>
      <w:pPr>
        <w:ind w:left="1353" w:hanging="36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2" w15:restartNumberingAfterBreak="0">
    <w:nsid w:val="3A6028A0"/>
    <w:multiLevelType w:val="hybridMultilevel"/>
    <w:tmpl w:val="04B4BDA6"/>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 w15:restartNumberingAfterBreak="0">
    <w:nsid w:val="3AA91B8D"/>
    <w:multiLevelType w:val="hybridMultilevel"/>
    <w:tmpl w:val="4FC81326"/>
    <w:lvl w:ilvl="0" w:tplc="F41C9518">
      <w:start w:val="1"/>
      <w:numFmt w:val="decimal"/>
      <w:lvlText w:val="%1."/>
      <w:lvlJc w:val="left"/>
      <w:pPr>
        <w:ind w:left="1020" w:hanging="360"/>
      </w:pPr>
    </w:lvl>
    <w:lvl w:ilvl="1" w:tplc="271487CE">
      <w:start w:val="1"/>
      <w:numFmt w:val="decimal"/>
      <w:lvlText w:val="%2."/>
      <w:lvlJc w:val="left"/>
      <w:pPr>
        <w:ind w:left="1020" w:hanging="360"/>
      </w:pPr>
    </w:lvl>
    <w:lvl w:ilvl="2" w:tplc="5A4CA024">
      <w:start w:val="1"/>
      <w:numFmt w:val="decimal"/>
      <w:lvlText w:val="%3."/>
      <w:lvlJc w:val="left"/>
      <w:pPr>
        <w:ind w:left="1020" w:hanging="360"/>
      </w:pPr>
    </w:lvl>
    <w:lvl w:ilvl="3" w:tplc="1D42EBF6">
      <w:start w:val="1"/>
      <w:numFmt w:val="decimal"/>
      <w:lvlText w:val="%4."/>
      <w:lvlJc w:val="left"/>
      <w:pPr>
        <w:ind w:left="1020" w:hanging="360"/>
      </w:pPr>
    </w:lvl>
    <w:lvl w:ilvl="4" w:tplc="D8585B8E">
      <w:start w:val="1"/>
      <w:numFmt w:val="decimal"/>
      <w:lvlText w:val="%5."/>
      <w:lvlJc w:val="left"/>
      <w:pPr>
        <w:ind w:left="1020" w:hanging="360"/>
      </w:pPr>
    </w:lvl>
    <w:lvl w:ilvl="5" w:tplc="DE1A3BE6">
      <w:start w:val="1"/>
      <w:numFmt w:val="decimal"/>
      <w:lvlText w:val="%6."/>
      <w:lvlJc w:val="left"/>
      <w:pPr>
        <w:ind w:left="1020" w:hanging="360"/>
      </w:pPr>
    </w:lvl>
    <w:lvl w:ilvl="6" w:tplc="44085990">
      <w:start w:val="1"/>
      <w:numFmt w:val="decimal"/>
      <w:lvlText w:val="%7."/>
      <w:lvlJc w:val="left"/>
      <w:pPr>
        <w:ind w:left="1020" w:hanging="360"/>
      </w:pPr>
    </w:lvl>
    <w:lvl w:ilvl="7" w:tplc="7E18DB42">
      <w:start w:val="1"/>
      <w:numFmt w:val="decimal"/>
      <w:lvlText w:val="%8."/>
      <w:lvlJc w:val="left"/>
      <w:pPr>
        <w:ind w:left="1020" w:hanging="360"/>
      </w:pPr>
    </w:lvl>
    <w:lvl w:ilvl="8" w:tplc="17A0D25A">
      <w:start w:val="1"/>
      <w:numFmt w:val="decimal"/>
      <w:lvlText w:val="%9."/>
      <w:lvlJc w:val="left"/>
      <w:pPr>
        <w:ind w:left="1020" w:hanging="360"/>
      </w:pPr>
    </w:lvl>
  </w:abstractNum>
  <w:abstractNum w:abstractNumId="4" w15:restartNumberingAfterBreak="0">
    <w:nsid w:val="3FB83C9A"/>
    <w:multiLevelType w:val="hybridMultilevel"/>
    <w:tmpl w:val="10EED330"/>
    <w:lvl w:ilvl="0" w:tplc="18090013">
      <w:start w:val="1"/>
      <w:numFmt w:val="upperRoman"/>
      <w:lvlText w:val="%1."/>
      <w:lvlJc w:val="righ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 w15:restartNumberingAfterBreak="0">
    <w:nsid w:val="478C1C3C"/>
    <w:multiLevelType w:val="hybridMultilevel"/>
    <w:tmpl w:val="C51C726A"/>
    <w:lvl w:ilvl="0" w:tplc="E12E4734">
      <w:start w:val="1"/>
      <w:numFmt w:val="decimal"/>
      <w:lvlText w:val="%1."/>
      <w:lvlJc w:val="left"/>
      <w:pPr>
        <w:ind w:left="1353" w:hanging="360"/>
      </w:pPr>
      <w:rPr>
        <w:rFonts w:ascii="Times New Roman" w:hAnsi="Times New Roman" w:cs="Times New Roman" w:hint="default"/>
      </w:rPr>
    </w:lvl>
    <w:lvl w:ilvl="1" w:tplc="18090019" w:tentative="1">
      <w:start w:val="1"/>
      <w:numFmt w:val="lowerLetter"/>
      <w:lvlText w:val="%2."/>
      <w:lvlJc w:val="left"/>
      <w:pPr>
        <w:ind w:left="2073" w:hanging="360"/>
      </w:pPr>
    </w:lvl>
    <w:lvl w:ilvl="2" w:tplc="1809001B" w:tentative="1">
      <w:start w:val="1"/>
      <w:numFmt w:val="lowerRoman"/>
      <w:lvlText w:val="%3."/>
      <w:lvlJc w:val="right"/>
      <w:pPr>
        <w:ind w:left="2793" w:hanging="180"/>
      </w:pPr>
    </w:lvl>
    <w:lvl w:ilvl="3" w:tplc="1809000F" w:tentative="1">
      <w:start w:val="1"/>
      <w:numFmt w:val="decimal"/>
      <w:lvlText w:val="%4."/>
      <w:lvlJc w:val="left"/>
      <w:pPr>
        <w:ind w:left="3513" w:hanging="360"/>
      </w:pPr>
    </w:lvl>
    <w:lvl w:ilvl="4" w:tplc="18090019" w:tentative="1">
      <w:start w:val="1"/>
      <w:numFmt w:val="lowerLetter"/>
      <w:lvlText w:val="%5."/>
      <w:lvlJc w:val="left"/>
      <w:pPr>
        <w:ind w:left="4233" w:hanging="360"/>
      </w:pPr>
    </w:lvl>
    <w:lvl w:ilvl="5" w:tplc="1809001B" w:tentative="1">
      <w:start w:val="1"/>
      <w:numFmt w:val="lowerRoman"/>
      <w:lvlText w:val="%6."/>
      <w:lvlJc w:val="right"/>
      <w:pPr>
        <w:ind w:left="4953" w:hanging="180"/>
      </w:pPr>
    </w:lvl>
    <w:lvl w:ilvl="6" w:tplc="1809000F" w:tentative="1">
      <w:start w:val="1"/>
      <w:numFmt w:val="decimal"/>
      <w:lvlText w:val="%7."/>
      <w:lvlJc w:val="left"/>
      <w:pPr>
        <w:ind w:left="5673" w:hanging="360"/>
      </w:pPr>
    </w:lvl>
    <w:lvl w:ilvl="7" w:tplc="18090019" w:tentative="1">
      <w:start w:val="1"/>
      <w:numFmt w:val="lowerLetter"/>
      <w:lvlText w:val="%8."/>
      <w:lvlJc w:val="left"/>
      <w:pPr>
        <w:ind w:left="6393" w:hanging="360"/>
      </w:pPr>
    </w:lvl>
    <w:lvl w:ilvl="8" w:tplc="1809001B" w:tentative="1">
      <w:start w:val="1"/>
      <w:numFmt w:val="lowerRoman"/>
      <w:lvlText w:val="%9."/>
      <w:lvlJc w:val="right"/>
      <w:pPr>
        <w:ind w:left="7113" w:hanging="180"/>
      </w:pPr>
    </w:lvl>
  </w:abstractNum>
  <w:abstractNum w:abstractNumId="6" w15:restartNumberingAfterBreak="0">
    <w:nsid w:val="52C3500C"/>
    <w:multiLevelType w:val="hybridMultilevel"/>
    <w:tmpl w:val="5A0AA494"/>
    <w:lvl w:ilvl="0" w:tplc="BCF0B766">
      <w:start w:val="1"/>
      <w:numFmt w:val="decimal"/>
      <w:lvlText w:val="%1."/>
      <w:lvlJc w:val="left"/>
      <w:pPr>
        <w:ind w:left="1353" w:hanging="360"/>
      </w:pPr>
      <w:rPr>
        <w:rFonts w:hint="default"/>
      </w:rPr>
    </w:lvl>
    <w:lvl w:ilvl="1" w:tplc="18090019" w:tentative="1">
      <w:start w:val="1"/>
      <w:numFmt w:val="lowerLetter"/>
      <w:lvlText w:val="%2."/>
      <w:lvlJc w:val="left"/>
      <w:pPr>
        <w:ind w:left="2073" w:hanging="360"/>
      </w:pPr>
    </w:lvl>
    <w:lvl w:ilvl="2" w:tplc="1809001B" w:tentative="1">
      <w:start w:val="1"/>
      <w:numFmt w:val="lowerRoman"/>
      <w:lvlText w:val="%3."/>
      <w:lvlJc w:val="right"/>
      <w:pPr>
        <w:ind w:left="2793" w:hanging="180"/>
      </w:pPr>
    </w:lvl>
    <w:lvl w:ilvl="3" w:tplc="1809000F" w:tentative="1">
      <w:start w:val="1"/>
      <w:numFmt w:val="decimal"/>
      <w:lvlText w:val="%4."/>
      <w:lvlJc w:val="left"/>
      <w:pPr>
        <w:ind w:left="3513" w:hanging="360"/>
      </w:pPr>
    </w:lvl>
    <w:lvl w:ilvl="4" w:tplc="18090019" w:tentative="1">
      <w:start w:val="1"/>
      <w:numFmt w:val="lowerLetter"/>
      <w:lvlText w:val="%5."/>
      <w:lvlJc w:val="left"/>
      <w:pPr>
        <w:ind w:left="4233" w:hanging="360"/>
      </w:pPr>
    </w:lvl>
    <w:lvl w:ilvl="5" w:tplc="1809001B" w:tentative="1">
      <w:start w:val="1"/>
      <w:numFmt w:val="lowerRoman"/>
      <w:lvlText w:val="%6."/>
      <w:lvlJc w:val="right"/>
      <w:pPr>
        <w:ind w:left="4953" w:hanging="180"/>
      </w:pPr>
    </w:lvl>
    <w:lvl w:ilvl="6" w:tplc="1809000F" w:tentative="1">
      <w:start w:val="1"/>
      <w:numFmt w:val="decimal"/>
      <w:lvlText w:val="%7."/>
      <w:lvlJc w:val="left"/>
      <w:pPr>
        <w:ind w:left="5673" w:hanging="360"/>
      </w:pPr>
    </w:lvl>
    <w:lvl w:ilvl="7" w:tplc="18090019" w:tentative="1">
      <w:start w:val="1"/>
      <w:numFmt w:val="lowerLetter"/>
      <w:lvlText w:val="%8."/>
      <w:lvlJc w:val="left"/>
      <w:pPr>
        <w:ind w:left="6393" w:hanging="360"/>
      </w:pPr>
    </w:lvl>
    <w:lvl w:ilvl="8" w:tplc="1809001B" w:tentative="1">
      <w:start w:val="1"/>
      <w:numFmt w:val="lowerRoman"/>
      <w:lvlText w:val="%9."/>
      <w:lvlJc w:val="right"/>
      <w:pPr>
        <w:ind w:left="7113" w:hanging="180"/>
      </w:pPr>
    </w:lvl>
  </w:abstractNum>
  <w:abstractNum w:abstractNumId="7" w15:restartNumberingAfterBreak="0">
    <w:nsid w:val="61641270"/>
    <w:multiLevelType w:val="hybridMultilevel"/>
    <w:tmpl w:val="0150BE6C"/>
    <w:lvl w:ilvl="0" w:tplc="CBB6A0FA">
      <w:start w:val="1"/>
      <w:numFmt w:val="decimal"/>
      <w:lvlText w:val="%1."/>
      <w:lvlJc w:val="left"/>
      <w:pPr>
        <w:ind w:left="1353" w:hanging="360"/>
      </w:pPr>
      <w:rPr>
        <w:rFonts w:ascii="Times New Roman" w:eastAsia="Times New Roman" w:hAnsi="Times New Roman" w:cs="Times New Roman" w:hint="default"/>
        <w:b/>
        <w:bCs/>
      </w:rPr>
    </w:lvl>
    <w:lvl w:ilvl="1" w:tplc="18090019" w:tentative="1">
      <w:start w:val="1"/>
      <w:numFmt w:val="lowerLetter"/>
      <w:lvlText w:val="%2."/>
      <w:lvlJc w:val="left"/>
      <w:pPr>
        <w:ind w:left="2073" w:hanging="360"/>
      </w:pPr>
    </w:lvl>
    <w:lvl w:ilvl="2" w:tplc="1809001B" w:tentative="1">
      <w:start w:val="1"/>
      <w:numFmt w:val="lowerRoman"/>
      <w:lvlText w:val="%3."/>
      <w:lvlJc w:val="right"/>
      <w:pPr>
        <w:ind w:left="2793" w:hanging="180"/>
      </w:pPr>
    </w:lvl>
    <w:lvl w:ilvl="3" w:tplc="1809000F" w:tentative="1">
      <w:start w:val="1"/>
      <w:numFmt w:val="decimal"/>
      <w:lvlText w:val="%4."/>
      <w:lvlJc w:val="left"/>
      <w:pPr>
        <w:ind w:left="3513" w:hanging="360"/>
      </w:pPr>
    </w:lvl>
    <w:lvl w:ilvl="4" w:tplc="18090019" w:tentative="1">
      <w:start w:val="1"/>
      <w:numFmt w:val="lowerLetter"/>
      <w:lvlText w:val="%5."/>
      <w:lvlJc w:val="left"/>
      <w:pPr>
        <w:ind w:left="4233" w:hanging="360"/>
      </w:pPr>
    </w:lvl>
    <w:lvl w:ilvl="5" w:tplc="1809001B" w:tentative="1">
      <w:start w:val="1"/>
      <w:numFmt w:val="lowerRoman"/>
      <w:lvlText w:val="%6."/>
      <w:lvlJc w:val="right"/>
      <w:pPr>
        <w:ind w:left="4953" w:hanging="180"/>
      </w:pPr>
    </w:lvl>
    <w:lvl w:ilvl="6" w:tplc="1809000F" w:tentative="1">
      <w:start w:val="1"/>
      <w:numFmt w:val="decimal"/>
      <w:lvlText w:val="%7."/>
      <w:lvlJc w:val="left"/>
      <w:pPr>
        <w:ind w:left="5673" w:hanging="360"/>
      </w:pPr>
    </w:lvl>
    <w:lvl w:ilvl="7" w:tplc="18090019" w:tentative="1">
      <w:start w:val="1"/>
      <w:numFmt w:val="lowerLetter"/>
      <w:lvlText w:val="%8."/>
      <w:lvlJc w:val="left"/>
      <w:pPr>
        <w:ind w:left="6393" w:hanging="360"/>
      </w:pPr>
    </w:lvl>
    <w:lvl w:ilvl="8" w:tplc="1809001B" w:tentative="1">
      <w:start w:val="1"/>
      <w:numFmt w:val="lowerRoman"/>
      <w:lvlText w:val="%9."/>
      <w:lvlJc w:val="right"/>
      <w:pPr>
        <w:ind w:left="7113" w:hanging="180"/>
      </w:pPr>
    </w:lvl>
  </w:abstractNum>
  <w:abstractNum w:abstractNumId="8" w15:restartNumberingAfterBreak="0">
    <w:nsid w:val="622D3304"/>
    <w:multiLevelType w:val="hybridMultilevel"/>
    <w:tmpl w:val="A9965ADE"/>
    <w:lvl w:ilvl="0" w:tplc="966EA194">
      <w:start w:val="1"/>
      <w:numFmt w:val="decimal"/>
      <w:lvlText w:val="%1."/>
      <w:lvlJc w:val="left"/>
      <w:pPr>
        <w:ind w:left="1353" w:hanging="360"/>
      </w:pPr>
      <w:rPr>
        <w:rFonts w:ascii="Times New Roman" w:eastAsia="Times New Roman" w:hAnsi="Times New Roman" w:cs="Times New Roman" w:hint="default"/>
      </w:rPr>
    </w:lvl>
    <w:lvl w:ilvl="1" w:tplc="18090019" w:tentative="1">
      <w:start w:val="1"/>
      <w:numFmt w:val="lowerLetter"/>
      <w:lvlText w:val="%2."/>
      <w:lvlJc w:val="left"/>
      <w:pPr>
        <w:ind w:left="2073" w:hanging="360"/>
      </w:pPr>
    </w:lvl>
    <w:lvl w:ilvl="2" w:tplc="1809001B" w:tentative="1">
      <w:start w:val="1"/>
      <w:numFmt w:val="lowerRoman"/>
      <w:lvlText w:val="%3."/>
      <w:lvlJc w:val="right"/>
      <w:pPr>
        <w:ind w:left="2793" w:hanging="180"/>
      </w:pPr>
    </w:lvl>
    <w:lvl w:ilvl="3" w:tplc="1809000F" w:tentative="1">
      <w:start w:val="1"/>
      <w:numFmt w:val="decimal"/>
      <w:lvlText w:val="%4."/>
      <w:lvlJc w:val="left"/>
      <w:pPr>
        <w:ind w:left="3513" w:hanging="360"/>
      </w:pPr>
    </w:lvl>
    <w:lvl w:ilvl="4" w:tplc="18090019" w:tentative="1">
      <w:start w:val="1"/>
      <w:numFmt w:val="lowerLetter"/>
      <w:lvlText w:val="%5."/>
      <w:lvlJc w:val="left"/>
      <w:pPr>
        <w:ind w:left="4233" w:hanging="360"/>
      </w:pPr>
    </w:lvl>
    <w:lvl w:ilvl="5" w:tplc="1809001B" w:tentative="1">
      <w:start w:val="1"/>
      <w:numFmt w:val="lowerRoman"/>
      <w:lvlText w:val="%6."/>
      <w:lvlJc w:val="right"/>
      <w:pPr>
        <w:ind w:left="4953" w:hanging="180"/>
      </w:pPr>
    </w:lvl>
    <w:lvl w:ilvl="6" w:tplc="1809000F" w:tentative="1">
      <w:start w:val="1"/>
      <w:numFmt w:val="decimal"/>
      <w:lvlText w:val="%7."/>
      <w:lvlJc w:val="left"/>
      <w:pPr>
        <w:ind w:left="5673" w:hanging="360"/>
      </w:pPr>
    </w:lvl>
    <w:lvl w:ilvl="7" w:tplc="18090019" w:tentative="1">
      <w:start w:val="1"/>
      <w:numFmt w:val="lowerLetter"/>
      <w:lvlText w:val="%8."/>
      <w:lvlJc w:val="left"/>
      <w:pPr>
        <w:ind w:left="6393" w:hanging="360"/>
      </w:pPr>
    </w:lvl>
    <w:lvl w:ilvl="8" w:tplc="1809001B" w:tentative="1">
      <w:start w:val="1"/>
      <w:numFmt w:val="lowerRoman"/>
      <w:lvlText w:val="%9."/>
      <w:lvlJc w:val="right"/>
      <w:pPr>
        <w:ind w:left="7113" w:hanging="180"/>
      </w:pPr>
    </w:lvl>
  </w:abstractNum>
  <w:abstractNum w:abstractNumId="9" w15:restartNumberingAfterBreak="0">
    <w:nsid w:val="645F57BA"/>
    <w:multiLevelType w:val="hybridMultilevel"/>
    <w:tmpl w:val="0150BE6C"/>
    <w:lvl w:ilvl="0" w:tplc="FFFFFFFF">
      <w:start w:val="1"/>
      <w:numFmt w:val="decimal"/>
      <w:lvlText w:val="%1."/>
      <w:lvlJc w:val="left"/>
      <w:pPr>
        <w:ind w:left="1353" w:hanging="360"/>
      </w:pPr>
      <w:rPr>
        <w:rFonts w:ascii="Times New Roman" w:eastAsia="Times New Roman" w:hAnsi="Times New Roman" w:cs="Times New Roman" w:hint="default"/>
        <w:b/>
        <w:bCs/>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10" w15:restartNumberingAfterBreak="0">
    <w:nsid w:val="67306755"/>
    <w:multiLevelType w:val="hybridMultilevel"/>
    <w:tmpl w:val="9ADC701A"/>
    <w:lvl w:ilvl="0" w:tplc="D186844A">
      <w:start w:val="1"/>
      <w:numFmt w:val="lowerLetter"/>
      <w:lvlText w:val="%1)"/>
      <w:lvlJc w:val="left"/>
      <w:pPr>
        <w:ind w:left="1353" w:hanging="360"/>
      </w:pPr>
      <w:rPr>
        <w:rFonts w:hint="default"/>
      </w:rPr>
    </w:lvl>
    <w:lvl w:ilvl="1" w:tplc="18090019" w:tentative="1">
      <w:start w:val="1"/>
      <w:numFmt w:val="lowerLetter"/>
      <w:lvlText w:val="%2."/>
      <w:lvlJc w:val="left"/>
      <w:pPr>
        <w:ind w:left="2073" w:hanging="360"/>
      </w:pPr>
    </w:lvl>
    <w:lvl w:ilvl="2" w:tplc="1809001B" w:tentative="1">
      <w:start w:val="1"/>
      <w:numFmt w:val="lowerRoman"/>
      <w:lvlText w:val="%3."/>
      <w:lvlJc w:val="right"/>
      <w:pPr>
        <w:ind w:left="2793" w:hanging="180"/>
      </w:pPr>
    </w:lvl>
    <w:lvl w:ilvl="3" w:tplc="1809000F" w:tentative="1">
      <w:start w:val="1"/>
      <w:numFmt w:val="decimal"/>
      <w:lvlText w:val="%4."/>
      <w:lvlJc w:val="left"/>
      <w:pPr>
        <w:ind w:left="3513" w:hanging="360"/>
      </w:pPr>
    </w:lvl>
    <w:lvl w:ilvl="4" w:tplc="18090019" w:tentative="1">
      <w:start w:val="1"/>
      <w:numFmt w:val="lowerLetter"/>
      <w:lvlText w:val="%5."/>
      <w:lvlJc w:val="left"/>
      <w:pPr>
        <w:ind w:left="4233" w:hanging="360"/>
      </w:pPr>
    </w:lvl>
    <w:lvl w:ilvl="5" w:tplc="1809001B" w:tentative="1">
      <w:start w:val="1"/>
      <w:numFmt w:val="lowerRoman"/>
      <w:lvlText w:val="%6."/>
      <w:lvlJc w:val="right"/>
      <w:pPr>
        <w:ind w:left="4953" w:hanging="180"/>
      </w:pPr>
    </w:lvl>
    <w:lvl w:ilvl="6" w:tplc="1809000F" w:tentative="1">
      <w:start w:val="1"/>
      <w:numFmt w:val="decimal"/>
      <w:lvlText w:val="%7."/>
      <w:lvlJc w:val="left"/>
      <w:pPr>
        <w:ind w:left="5673" w:hanging="360"/>
      </w:pPr>
    </w:lvl>
    <w:lvl w:ilvl="7" w:tplc="18090019" w:tentative="1">
      <w:start w:val="1"/>
      <w:numFmt w:val="lowerLetter"/>
      <w:lvlText w:val="%8."/>
      <w:lvlJc w:val="left"/>
      <w:pPr>
        <w:ind w:left="6393" w:hanging="360"/>
      </w:pPr>
    </w:lvl>
    <w:lvl w:ilvl="8" w:tplc="1809001B" w:tentative="1">
      <w:start w:val="1"/>
      <w:numFmt w:val="lowerRoman"/>
      <w:lvlText w:val="%9."/>
      <w:lvlJc w:val="right"/>
      <w:pPr>
        <w:ind w:left="7113" w:hanging="180"/>
      </w:pPr>
    </w:lvl>
  </w:abstractNum>
  <w:abstractNum w:abstractNumId="11" w15:restartNumberingAfterBreak="0">
    <w:nsid w:val="6A115256"/>
    <w:multiLevelType w:val="hybridMultilevel"/>
    <w:tmpl w:val="5A0AA494"/>
    <w:lvl w:ilvl="0" w:tplc="FFFFFFFF">
      <w:start w:val="1"/>
      <w:numFmt w:val="decimal"/>
      <w:lvlText w:val="%1."/>
      <w:lvlJc w:val="left"/>
      <w:pPr>
        <w:ind w:left="1353" w:hanging="36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12" w15:restartNumberingAfterBreak="0">
    <w:nsid w:val="6DB92A25"/>
    <w:multiLevelType w:val="hybridMultilevel"/>
    <w:tmpl w:val="FC18B550"/>
    <w:lvl w:ilvl="0" w:tplc="43905AD6">
      <w:start w:val="1"/>
      <w:numFmt w:val="decimal"/>
      <w:lvlText w:val="%1."/>
      <w:lvlJc w:val="left"/>
      <w:pPr>
        <w:ind w:left="1020" w:hanging="360"/>
      </w:pPr>
    </w:lvl>
    <w:lvl w:ilvl="1" w:tplc="48EA8D4C">
      <w:start w:val="1"/>
      <w:numFmt w:val="decimal"/>
      <w:lvlText w:val="%2."/>
      <w:lvlJc w:val="left"/>
      <w:pPr>
        <w:ind w:left="1020" w:hanging="360"/>
      </w:pPr>
    </w:lvl>
    <w:lvl w:ilvl="2" w:tplc="169EF1F0">
      <w:start w:val="1"/>
      <w:numFmt w:val="decimal"/>
      <w:lvlText w:val="%3."/>
      <w:lvlJc w:val="left"/>
      <w:pPr>
        <w:ind w:left="1020" w:hanging="360"/>
      </w:pPr>
    </w:lvl>
    <w:lvl w:ilvl="3" w:tplc="250E00C6">
      <w:start w:val="1"/>
      <w:numFmt w:val="decimal"/>
      <w:lvlText w:val="%4."/>
      <w:lvlJc w:val="left"/>
      <w:pPr>
        <w:ind w:left="1020" w:hanging="360"/>
      </w:pPr>
    </w:lvl>
    <w:lvl w:ilvl="4" w:tplc="2B8AC8BA">
      <w:start w:val="1"/>
      <w:numFmt w:val="decimal"/>
      <w:lvlText w:val="%5."/>
      <w:lvlJc w:val="left"/>
      <w:pPr>
        <w:ind w:left="1020" w:hanging="360"/>
      </w:pPr>
    </w:lvl>
    <w:lvl w:ilvl="5" w:tplc="336642F0">
      <w:start w:val="1"/>
      <w:numFmt w:val="decimal"/>
      <w:lvlText w:val="%6."/>
      <w:lvlJc w:val="left"/>
      <w:pPr>
        <w:ind w:left="1020" w:hanging="360"/>
      </w:pPr>
    </w:lvl>
    <w:lvl w:ilvl="6" w:tplc="57801F08">
      <w:start w:val="1"/>
      <w:numFmt w:val="decimal"/>
      <w:lvlText w:val="%7."/>
      <w:lvlJc w:val="left"/>
      <w:pPr>
        <w:ind w:left="1020" w:hanging="360"/>
      </w:pPr>
    </w:lvl>
    <w:lvl w:ilvl="7" w:tplc="FBB01300">
      <w:start w:val="1"/>
      <w:numFmt w:val="decimal"/>
      <w:lvlText w:val="%8."/>
      <w:lvlJc w:val="left"/>
      <w:pPr>
        <w:ind w:left="1020" w:hanging="360"/>
      </w:pPr>
    </w:lvl>
    <w:lvl w:ilvl="8" w:tplc="3E4EA898">
      <w:start w:val="1"/>
      <w:numFmt w:val="decimal"/>
      <w:lvlText w:val="%9."/>
      <w:lvlJc w:val="left"/>
      <w:pPr>
        <w:ind w:left="1020" w:hanging="360"/>
      </w:pPr>
    </w:lvl>
  </w:abstractNum>
  <w:abstractNum w:abstractNumId="13" w15:restartNumberingAfterBreak="0">
    <w:nsid w:val="77F24035"/>
    <w:multiLevelType w:val="hybridMultilevel"/>
    <w:tmpl w:val="15F83602"/>
    <w:lvl w:ilvl="0" w:tplc="768C4EBA">
      <w:start w:val="1"/>
      <w:numFmt w:val="upperRoman"/>
      <w:lvlText w:val="%1."/>
      <w:lvlJc w:val="right"/>
      <w:pPr>
        <w:ind w:left="1004" w:hanging="360"/>
      </w:pPr>
      <w:rPr>
        <w:rFonts w:ascii="Times New Roman" w:hAnsi="Times New Roman" w:cs="Times New Roman" w:hint="default"/>
      </w:rPr>
    </w:lvl>
    <w:lvl w:ilvl="1" w:tplc="18090019" w:tentative="1">
      <w:start w:val="1"/>
      <w:numFmt w:val="lowerLetter"/>
      <w:lvlText w:val="%2."/>
      <w:lvlJc w:val="left"/>
      <w:pPr>
        <w:ind w:left="1724" w:hanging="360"/>
      </w:pPr>
    </w:lvl>
    <w:lvl w:ilvl="2" w:tplc="1809001B" w:tentative="1">
      <w:start w:val="1"/>
      <w:numFmt w:val="lowerRoman"/>
      <w:lvlText w:val="%3."/>
      <w:lvlJc w:val="right"/>
      <w:pPr>
        <w:ind w:left="2444" w:hanging="180"/>
      </w:pPr>
    </w:lvl>
    <w:lvl w:ilvl="3" w:tplc="1809000F" w:tentative="1">
      <w:start w:val="1"/>
      <w:numFmt w:val="decimal"/>
      <w:lvlText w:val="%4."/>
      <w:lvlJc w:val="left"/>
      <w:pPr>
        <w:ind w:left="3164" w:hanging="360"/>
      </w:pPr>
    </w:lvl>
    <w:lvl w:ilvl="4" w:tplc="18090019" w:tentative="1">
      <w:start w:val="1"/>
      <w:numFmt w:val="lowerLetter"/>
      <w:lvlText w:val="%5."/>
      <w:lvlJc w:val="left"/>
      <w:pPr>
        <w:ind w:left="3884" w:hanging="360"/>
      </w:pPr>
    </w:lvl>
    <w:lvl w:ilvl="5" w:tplc="1809001B" w:tentative="1">
      <w:start w:val="1"/>
      <w:numFmt w:val="lowerRoman"/>
      <w:lvlText w:val="%6."/>
      <w:lvlJc w:val="right"/>
      <w:pPr>
        <w:ind w:left="4604" w:hanging="180"/>
      </w:pPr>
    </w:lvl>
    <w:lvl w:ilvl="6" w:tplc="1809000F" w:tentative="1">
      <w:start w:val="1"/>
      <w:numFmt w:val="decimal"/>
      <w:lvlText w:val="%7."/>
      <w:lvlJc w:val="left"/>
      <w:pPr>
        <w:ind w:left="5324" w:hanging="360"/>
      </w:pPr>
    </w:lvl>
    <w:lvl w:ilvl="7" w:tplc="18090019" w:tentative="1">
      <w:start w:val="1"/>
      <w:numFmt w:val="lowerLetter"/>
      <w:lvlText w:val="%8."/>
      <w:lvlJc w:val="left"/>
      <w:pPr>
        <w:ind w:left="6044" w:hanging="360"/>
      </w:pPr>
    </w:lvl>
    <w:lvl w:ilvl="8" w:tplc="1809001B" w:tentative="1">
      <w:start w:val="1"/>
      <w:numFmt w:val="lowerRoman"/>
      <w:lvlText w:val="%9."/>
      <w:lvlJc w:val="right"/>
      <w:pPr>
        <w:ind w:left="6764" w:hanging="180"/>
      </w:pPr>
    </w:lvl>
  </w:abstractNum>
  <w:abstractNum w:abstractNumId="14" w15:restartNumberingAfterBreak="0">
    <w:nsid w:val="78801238"/>
    <w:multiLevelType w:val="hybridMultilevel"/>
    <w:tmpl w:val="CABC1744"/>
    <w:lvl w:ilvl="0" w:tplc="8BB63B1A">
      <w:start w:val="5"/>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4"/>
  </w:num>
  <w:num w:numId="4">
    <w:abstractNumId w:val="5"/>
  </w:num>
  <w:num w:numId="5">
    <w:abstractNumId w:val="1"/>
  </w:num>
  <w:num w:numId="6">
    <w:abstractNumId w:val="7"/>
  </w:num>
  <w:num w:numId="7">
    <w:abstractNumId w:val="8"/>
  </w:num>
  <w:num w:numId="8">
    <w:abstractNumId w:val="2"/>
  </w:num>
  <w:num w:numId="9">
    <w:abstractNumId w:val="10"/>
  </w:num>
  <w:num w:numId="10">
    <w:abstractNumId w:val="14"/>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1"/>
  </w:num>
  <w:num w:numId="14">
    <w:abstractNumId w:val="9"/>
  </w:num>
  <w:num w:numId="15">
    <w:abstractNumId w:val="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BF4DB7A-08CE-45D4-AF29-DB1E6311ABF9"/>
    <w:docVar w:name="LW_COVERPAGE_TYPE" w:val="1"/>
    <w:docVar w:name="LW_CROSSREFERENCE" w:val="&lt;UNUSED&gt;"/>
    <w:docVar w:name="LW_DocType" w:val="NORMAL"/>
    <w:docVar w:name="LW_EMISSION" w:val="21.5.2026"/>
    <w:docVar w:name="LW_EMISSION_ISODATE" w:val="2026-05-21"/>
    <w:docVar w:name="LW_EMISSION_LOCATION" w:val="BRX"/>
    <w:docVar w:name="LW_EMISSION_PREFIX" w:val="Bruxelles, "/>
    <w:docVar w:name="LW_EMISSION_SUFFIX" w:val=" "/>
    <w:docVar w:name="LW_ID_DOCTYPE_NONLW" w:val="CP-005"/>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4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ort anual privind punerea în aplicare a Regulamentului (UE) 2022/1925 al Parlamentului European \u537?i al Consiliului privind pie\u539?e contestabile \u537?i echitabile în sectorul digital \u537?i de modificare a Directivelor (UE) 2019/1937 \u537?i (UE) 2020/1828 (Regulamentul privind pie\u539?ele digitale)_x000d__x000d__x000d__x000d__x000d__x000d__x000b_"/>
    <w:docVar w:name="LW_TYPE.DOC.CP" w:val="RAPORT AL COMISIEI C\u258?TRE CONSILIU \u536?I PARLAMENTUL EUROPEAN"/>
    <w:docVar w:name="LwApiVersions" w:val="LW4CoDe 1.24.5.0; LW 9.2, Build 20251112"/>
  </w:docVars>
  <w:rsids>
    <w:rsidRoot w:val="00DE1888"/>
    <w:rsid w:val="0000282E"/>
    <w:rsid w:val="00002E79"/>
    <w:rsid w:val="00005057"/>
    <w:rsid w:val="00006256"/>
    <w:rsid w:val="00007BD6"/>
    <w:rsid w:val="000129FC"/>
    <w:rsid w:val="00014334"/>
    <w:rsid w:val="0001433F"/>
    <w:rsid w:val="0001525C"/>
    <w:rsid w:val="00017D7F"/>
    <w:rsid w:val="00020F19"/>
    <w:rsid w:val="0002128A"/>
    <w:rsid w:val="00022239"/>
    <w:rsid w:val="00022343"/>
    <w:rsid w:val="00022E37"/>
    <w:rsid w:val="00023939"/>
    <w:rsid w:val="00027209"/>
    <w:rsid w:val="00030633"/>
    <w:rsid w:val="0003283E"/>
    <w:rsid w:val="00033079"/>
    <w:rsid w:val="00034768"/>
    <w:rsid w:val="00034A92"/>
    <w:rsid w:val="000367FE"/>
    <w:rsid w:val="00036B92"/>
    <w:rsid w:val="00037FDE"/>
    <w:rsid w:val="000411F5"/>
    <w:rsid w:val="000412AA"/>
    <w:rsid w:val="00043889"/>
    <w:rsid w:val="0004489E"/>
    <w:rsid w:val="000458C9"/>
    <w:rsid w:val="00045B85"/>
    <w:rsid w:val="00047ADB"/>
    <w:rsid w:val="00050A5D"/>
    <w:rsid w:val="00052D7C"/>
    <w:rsid w:val="00055819"/>
    <w:rsid w:val="0006088B"/>
    <w:rsid w:val="00060BDA"/>
    <w:rsid w:val="00060C8A"/>
    <w:rsid w:val="00060F3B"/>
    <w:rsid w:val="00061488"/>
    <w:rsid w:val="00061958"/>
    <w:rsid w:val="00061B1E"/>
    <w:rsid w:val="0006213E"/>
    <w:rsid w:val="0006476A"/>
    <w:rsid w:val="0007122A"/>
    <w:rsid w:val="000717D4"/>
    <w:rsid w:val="00071A86"/>
    <w:rsid w:val="000723B9"/>
    <w:rsid w:val="0007285E"/>
    <w:rsid w:val="00073E92"/>
    <w:rsid w:val="0007420E"/>
    <w:rsid w:val="000800A1"/>
    <w:rsid w:val="00080C41"/>
    <w:rsid w:val="00081029"/>
    <w:rsid w:val="000821EA"/>
    <w:rsid w:val="0008365F"/>
    <w:rsid w:val="00085212"/>
    <w:rsid w:val="000857B5"/>
    <w:rsid w:val="000866F2"/>
    <w:rsid w:val="00086F77"/>
    <w:rsid w:val="00086FFF"/>
    <w:rsid w:val="00090FC2"/>
    <w:rsid w:val="00092272"/>
    <w:rsid w:val="00092598"/>
    <w:rsid w:val="00093831"/>
    <w:rsid w:val="00093FD0"/>
    <w:rsid w:val="00094BE1"/>
    <w:rsid w:val="00094E01"/>
    <w:rsid w:val="00095C59"/>
    <w:rsid w:val="000961BA"/>
    <w:rsid w:val="000A1E76"/>
    <w:rsid w:val="000A3E9E"/>
    <w:rsid w:val="000A7DA0"/>
    <w:rsid w:val="000B0E30"/>
    <w:rsid w:val="000B1759"/>
    <w:rsid w:val="000B3389"/>
    <w:rsid w:val="000B3876"/>
    <w:rsid w:val="000B3CF8"/>
    <w:rsid w:val="000B4370"/>
    <w:rsid w:val="000B60A0"/>
    <w:rsid w:val="000B75B5"/>
    <w:rsid w:val="000C0281"/>
    <w:rsid w:val="000C04E4"/>
    <w:rsid w:val="000C33C1"/>
    <w:rsid w:val="000C754A"/>
    <w:rsid w:val="000D1C3A"/>
    <w:rsid w:val="000D2000"/>
    <w:rsid w:val="000D4DDE"/>
    <w:rsid w:val="000D52B4"/>
    <w:rsid w:val="000D5753"/>
    <w:rsid w:val="000D6582"/>
    <w:rsid w:val="000D73C0"/>
    <w:rsid w:val="000E274A"/>
    <w:rsid w:val="000E45C9"/>
    <w:rsid w:val="000E6475"/>
    <w:rsid w:val="000E6733"/>
    <w:rsid w:val="000E7020"/>
    <w:rsid w:val="000F364A"/>
    <w:rsid w:val="000F4DD9"/>
    <w:rsid w:val="000F4E1E"/>
    <w:rsid w:val="000F6744"/>
    <w:rsid w:val="00100A95"/>
    <w:rsid w:val="001026F1"/>
    <w:rsid w:val="00102E28"/>
    <w:rsid w:val="0010304C"/>
    <w:rsid w:val="00105318"/>
    <w:rsid w:val="00105369"/>
    <w:rsid w:val="00114F18"/>
    <w:rsid w:val="00116943"/>
    <w:rsid w:val="00117B83"/>
    <w:rsid w:val="0012129D"/>
    <w:rsid w:val="00121907"/>
    <w:rsid w:val="00122CBB"/>
    <w:rsid w:val="00124BE7"/>
    <w:rsid w:val="001251F9"/>
    <w:rsid w:val="001255D9"/>
    <w:rsid w:val="00126556"/>
    <w:rsid w:val="00134170"/>
    <w:rsid w:val="001344F5"/>
    <w:rsid w:val="0013498D"/>
    <w:rsid w:val="00134A4E"/>
    <w:rsid w:val="001350F3"/>
    <w:rsid w:val="00140206"/>
    <w:rsid w:val="00140A33"/>
    <w:rsid w:val="001425EE"/>
    <w:rsid w:val="001454BF"/>
    <w:rsid w:val="00147939"/>
    <w:rsid w:val="00147ECE"/>
    <w:rsid w:val="00150D2D"/>
    <w:rsid w:val="00151CCA"/>
    <w:rsid w:val="001549C6"/>
    <w:rsid w:val="00155242"/>
    <w:rsid w:val="00156308"/>
    <w:rsid w:val="00157762"/>
    <w:rsid w:val="001708A1"/>
    <w:rsid w:val="00171A30"/>
    <w:rsid w:val="00172505"/>
    <w:rsid w:val="00172D43"/>
    <w:rsid w:val="001733FA"/>
    <w:rsid w:val="00174EB4"/>
    <w:rsid w:val="00175F16"/>
    <w:rsid w:val="001777F0"/>
    <w:rsid w:val="001810A9"/>
    <w:rsid w:val="00182052"/>
    <w:rsid w:val="00183A5B"/>
    <w:rsid w:val="001841A3"/>
    <w:rsid w:val="001841ED"/>
    <w:rsid w:val="00184455"/>
    <w:rsid w:val="001857CF"/>
    <w:rsid w:val="00185C63"/>
    <w:rsid w:val="00186B64"/>
    <w:rsid w:val="00187A9C"/>
    <w:rsid w:val="00192BCD"/>
    <w:rsid w:val="00196D99"/>
    <w:rsid w:val="001977C7"/>
    <w:rsid w:val="001978C1"/>
    <w:rsid w:val="001A364D"/>
    <w:rsid w:val="001A4364"/>
    <w:rsid w:val="001A5280"/>
    <w:rsid w:val="001A6500"/>
    <w:rsid w:val="001A7736"/>
    <w:rsid w:val="001A7DE9"/>
    <w:rsid w:val="001B5042"/>
    <w:rsid w:val="001C46CF"/>
    <w:rsid w:val="001C5EF5"/>
    <w:rsid w:val="001C65F6"/>
    <w:rsid w:val="001C6940"/>
    <w:rsid w:val="001C7BFC"/>
    <w:rsid w:val="001D1262"/>
    <w:rsid w:val="001D14F2"/>
    <w:rsid w:val="001D29EB"/>
    <w:rsid w:val="001D36F5"/>
    <w:rsid w:val="001D5F3B"/>
    <w:rsid w:val="001E0BB4"/>
    <w:rsid w:val="001E2BAF"/>
    <w:rsid w:val="001E3AFA"/>
    <w:rsid w:val="001E3C5E"/>
    <w:rsid w:val="001E5D7E"/>
    <w:rsid w:val="001E6839"/>
    <w:rsid w:val="001E7E7F"/>
    <w:rsid w:val="001F1B6C"/>
    <w:rsid w:val="001F1BED"/>
    <w:rsid w:val="001F2A94"/>
    <w:rsid w:val="001F39B1"/>
    <w:rsid w:val="001F5F7C"/>
    <w:rsid w:val="002011B3"/>
    <w:rsid w:val="002015F1"/>
    <w:rsid w:val="00202994"/>
    <w:rsid w:val="00203611"/>
    <w:rsid w:val="002039C7"/>
    <w:rsid w:val="0020403E"/>
    <w:rsid w:val="0020572B"/>
    <w:rsid w:val="00205735"/>
    <w:rsid w:val="00206F77"/>
    <w:rsid w:val="00211C93"/>
    <w:rsid w:val="00213275"/>
    <w:rsid w:val="00213E6E"/>
    <w:rsid w:val="00214D93"/>
    <w:rsid w:val="0021530B"/>
    <w:rsid w:val="002157CE"/>
    <w:rsid w:val="00221CE1"/>
    <w:rsid w:val="002225B3"/>
    <w:rsid w:val="002238DA"/>
    <w:rsid w:val="002240E4"/>
    <w:rsid w:val="00224411"/>
    <w:rsid w:val="00224CC4"/>
    <w:rsid w:val="002256DF"/>
    <w:rsid w:val="002265C6"/>
    <w:rsid w:val="00226A79"/>
    <w:rsid w:val="0023025B"/>
    <w:rsid w:val="00232D00"/>
    <w:rsid w:val="00233EAD"/>
    <w:rsid w:val="00233F98"/>
    <w:rsid w:val="00234229"/>
    <w:rsid w:val="00236625"/>
    <w:rsid w:val="00237490"/>
    <w:rsid w:val="00237F81"/>
    <w:rsid w:val="0024023B"/>
    <w:rsid w:val="0024281C"/>
    <w:rsid w:val="002431E8"/>
    <w:rsid w:val="00243C69"/>
    <w:rsid w:val="00243F6D"/>
    <w:rsid w:val="00243FE7"/>
    <w:rsid w:val="00244A78"/>
    <w:rsid w:val="002463F1"/>
    <w:rsid w:val="00251061"/>
    <w:rsid w:val="00253B0C"/>
    <w:rsid w:val="00254766"/>
    <w:rsid w:val="00254D8F"/>
    <w:rsid w:val="00257B6C"/>
    <w:rsid w:val="0026174D"/>
    <w:rsid w:val="002638DA"/>
    <w:rsid w:val="00265DBB"/>
    <w:rsid w:val="002675C7"/>
    <w:rsid w:val="002720F2"/>
    <w:rsid w:val="0027244D"/>
    <w:rsid w:val="00276FA0"/>
    <w:rsid w:val="00280F2C"/>
    <w:rsid w:val="0028137F"/>
    <w:rsid w:val="00281FB7"/>
    <w:rsid w:val="00282B83"/>
    <w:rsid w:val="00283302"/>
    <w:rsid w:val="00283320"/>
    <w:rsid w:val="002835E9"/>
    <w:rsid w:val="00283F9D"/>
    <w:rsid w:val="002856B4"/>
    <w:rsid w:val="002862C8"/>
    <w:rsid w:val="00287FF9"/>
    <w:rsid w:val="00290C69"/>
    <w:rsid w:val="0029333D"/>
    <w:rsid w:val="002945B4"/>
    <w:rsid w:val="00295968"/>
    <w:rsid w:val="002A15E2"/>
    <w:rsid w:val="002A4821"/>
    <w:rsid w:val="002A7EA5"/>
    <w:rsid w:val="002B6AA5"/>
    <w:rsid w:val="002B6C3F"/>
    <w:rsid w:val="002B6F3A"/>
    <w:rsid w:val="002B7978"/>
    <w:rsid w:val="002B79B2"/>
    <w:rsid w:val="002C08A9"/>
    <w:rsid w:val="002C145E"/>
    <w:rsid w:val="002C1F96"/>
    <w:rsid w:val="002C22E0"/>
    <w:rsid w:val="002C2D77"/>
    <w:rsid w:val="002C37CF"/>
    <w:rsid w:val="002C6E76"/>
    <w:rsid w:val="002D0910"/>
    <w:rsid w:val="002D095C"/>
    <w:rsid w:val="002D5125"/>
    <w:rsid w:val="002D6F41"/>
    <w:rsid w:val="002D73BF"/>
    <w:rsid w:val="002D7681"/>
    <w:rsid w:val="002D7DD3"/>
    <w:rsid w:val="002E20CB"/>
    <w:rsid w:val="002E2C5C"/>
    <w:rsid w:val="002E2DCE"/>
    <w:rsid w:val="002E44CC"/>
    <w:rsid w:val="002E48EE"/>
    <w:rsid w:val="002E54BF"/>
    <w:rsid w:val="002E5EE3"/>
    <w:rsid w:val="002E6436"/>
    <w:rsid w:val="002E66E4"/>
    <w:rsid w:val="002E71B8"/>
    <w:rsid w:val="002F278D"/>
    <w:rsid w:val="002F306C"/>
    <w:rsid w:val="002F46D8"/>
    <w:rsid w:val="002F50AC"/>
    <w:rsid w:val="00300915"/>
    <w:rsid w:val="0030177C"/>
    <w:rsid w:val="00303E58"/>
    <w:rsid w:val="00304CF7"/>
    <w:rsid w:val="00307150"/>
    <w:rsid w:val="003106A4"/>
    <w:rsid w:val="00315531"/>
    <w:rsid w:val="003163E6"/>
    <w:rsid w:val="0031754E"/>
    <w:rsid w:val="00317C0F"/>
    <w:rsid w:val="00320C94"/>
    <w:rsid w:val="003214A6"/>
    <w:rsid w:val="0032252B"/>
    <w:rsid w:val="00323B5B"/>
    <w:rsid w:val="0032405F"/>
    <w:rsid w:val="00324D7A"/>
    <w:rsid w:val="003272A0"/>
    <w:rsid w:val="003304DC"/>
    <w:rsid w:val="00330CB3"/>
    <w:rsid w:val="003320CF"/>
    <w:rsid w:val="00333446"/>
    <w:rsid w:val="00333BFE"/>
    <w:rsid w:val="00333D7D"/>
    <w:rsid w:val="003416AF"/>
    <w:rsid w:val="00341E08"/>
    <w:rsid w:val="00341FFB"/>
    <w:rsid w:val="0034215F"/>
    <w:rsid w:val="00346265"/>
    <w:rsid w:val="00347FF9"/>
    <w:rsid w:val="003533D8"/>
    <w:rsid w:val="00355428"/>
    <w:rsid w:val="00355BFF"/>
    <w:rsid w:val="00356D5D"/>
    <w:rsid w:val="003616E2"/>
    <w:rsid w:val="00362D6A"/>
    <w:rsid w:val="00363F5C"/>
    <w:rsid w:val="00364485"/>
    <w:rsid w:val="00372AA0"/>
    <w:rsid w:val="00374380"/>
    <w:rsid w:val="0037527A"/>
    <w:rsid w:val="00375992"/>
    <w:rsid w:val="00375FE3"/>
    <w:rsid w:val="00380570"/>
    <w:rsid w:val="00383F00"/>
    <w:rsid w:val="00384CE5"/>
    <w:rsid w:val="00385EC1"/>
    <w:rsid w:val="00387285"/>
    <w:rsid w:val="0039665B"/>
    <w:rsid w:val="00397C5B"/>
    <w:rsid w:val="003A02EA"/>
    <w:rsid w:val="003A3431"/>
    <w:rsid w:val="003A4967"/>
    <w:rsid w:val="003A5DDC"/>
    <w:rsid w:val="003A7276"/>
    <w:rsid w:val="003A7418"/>
    <w:rsid w:val="003B056E"/>
    <w:rsid w:val="003B06D4"/>
    <w:rsid w:val="003B232E"/>
    <w:rsid w:val="003B2C32"/>
    <w:rsid w:val="003B5BD0"/>
    <w:rsid w:val="003B5EB3"/>
    <w:rsid w:val="003B6115"/>
    <w:rsid w:val="003B7394"/>
    <w:rsid w:val="003B7AE7"/>
    <w:rsid w:val="003B7DA3"/>
    <w:rsid w:val="003C0109"/>
    <w:rsid w:val="003C1463"/>
    <w:rsid w:val="003C15E0"/>
    <w:rsid w:val="003C1955"/>
    <w:rsid w:val="003C22BE"/>
    <w:rsid w:val="003C313D"/>
    <w:rsid w:val="003C36E3"/>
    <w:rsid w:val="003C37BD"/>
    <w:rsid w:val="003C428A"/>
    <w:rsid w:val="003D152E"/>
    <w:rsid w:val="003D1B89"/>
    <w:rsid w:val="003D25FB"/>
    <w:rsid w:val="003D50D9"/>
    <w:rsid w:val="003D7FE2"/>
    <w:rsid w:val="003E046B"/>
    <w:rsid w:val="003E3956"/>
    <w:rsid w:val="003E3D6F"/>
    <w:rsid w:val="003E4717"/>
    <w:rsid w:val="003E47C1"/>
    <w:rsid w:val="003E657C"/>
    <w:rsid w:val="003F14B1"/>
    <w:rsid w:val="003F2FF0"/>
    <w:rsid w:val="003F5249"/>
    <w:rsid w:val="00400E33"/>
    <w:rsid w:val="004039D9"/>
    <w:rsid w:val="00403A74"/>
    <w:rsid w:val="004042AF"/>
    <w:rsid w:val="0040454E"/>
    <w:rsid w:val="00404A7E"/>
    <w:rsid w:val="0040543B"/>
    <w:rsid w:val="00406089"/>
    <w:rsid w:val="0041034F"/>
    <w:rsid w:val="004112D2"/>
    <w:rsid w:val="00412BE2"/>
    <w:rsid w:val="00413C5A"/>
    <w:rsid w:val="00414882"/>
    <w:rsid w:val="004153DC"/>
    <w:rsid w:val="00417678"/>
    <w:rsid w:val="00417DAD"/>
    <w:rsid w:val="0042226A"/>
    <w:rsid w:val="00422405"/>
    <w:rsid w:val="00424154"/>
    <w:rsid w:val="00427371"/>
    <w:rsid w:val="00432066"/>
    <w:rsid w:val="00433B85"/>
    <w:rsid w:val="004342BF"/>
    <w:rsid w:val="004349EF"/>
    <w:rsid w:val="0043565A"/>
    <w:rsid w:val="00435E9B"/>
    <w:rsid w:val="00437423"/>
    <w:rsid w:val="004410E2"/>
    <w:rsid w:val="00445C23"/>
    <w:rsid w:val="0044687D"/>
    <w:rsid w:val="004470EE"/>
    <w:rsid w:val="00450747"/>
    <w:rsid w:val="004509BE"/>
    <w:rsid w:val="00451DE2"/>
    <w:rsid w:val="0045359F"/>
    <w:rsid w:val="004537A0"/>
    <w:rsid w:val="00461908"/>
    <w:rsid w:val="004623A7"/>
    <w:rsid w:val="00464808"/>
    <w:rsid w:val="004651EA"/>
    <w:rsid w:val="00465496"/>
    <w:rsid w:val="004708DC"/>
    <w:rsid w:val="00470C4F"/>
    <w:rsid w:val="004734D1"/>
    <w:rsid w:val="00474D8E"/>
    <w:rsid w:val="00475BFD"/>
    <w:rsid w:val="00477196"/>
    <w:rsid w:val="004818DA"/>
    <w:rsid w:val="0048317C"/>
    <w:rsid w:val="00483B8D"/>
    <w:rsid w:val="0048446C"/>
    <w:rsid w:val="004847C5"/>
    <w:rsid w:val="00484D72"/>
    <w:rsid w:val="00485E3A"/>
    <w:rsid w:val="0048690A"/>
    <w:rsid w:val="0049022A"/>
    <w:rsid w:val="0049413B"/>
    <w:rsid w:val="004A06D0"/>
    <w:rsid w:val="004A1662"/>
    <w:rsid w:val="004A1C97"/>
    <w:rsid w:val="004A265C"/>
    <w:rsid w:val="004A3D11"/>
    <w:rsid w:val="004A4705"/>
    <w:rsid w:val="004A67A8"/>
    <w:rsid w:val="004A68FD"/>
    <w:rsid w:val="004B09CE"/>
    <w:rsid w:val="004B2399"/>
    <w:rsid w:val="004B4328"/>
    <w:rsid w:val="004B6BCA"/>
    <w:rsid w:val="004C0F50"/>
    <w:rsid w:val="004C1077"/>
    <w:rsid w:val="004C38E4"/>
    <w:rsid w:val="004C48D7"/>
    <w:rsid w:val="004C7C4C"/>
    <w:rsid w:val="004C7F8D"/>
    <w:rsid w:val="004D247D"/>
    <w:rsid w:val="004D2D63"/>
    <w:rsid w:val="004D376E"/>
    <w:rsid w:val="004D5DD2"/>
    <w:rsid w:val="004D649D"/>
    <w:rsid w:val="004D75F3"/>
    <w:rsid w:val="004E1664"/>
    <w:rsid w:val="004E1853"/>
    <w:rsid w:val="004E284C"/>
    <w:rsid w:val="004E30B6"/>
    <w:rsid w:val="004E40EF"/>
    <w:rsid w:val="004E43F0"/>
    <w:rsid w:val="004E46F2"/>
    <w:rsid w:val="004E527A"/>
    <w:rsid w:val="004E5A54"/>
    <w:rsid w:val="004E751D"/>
    <w:rsid w:val="004F12A9"/>
    <w:rsid w:val="004F1401"/>
    <w:rsid w:val="004F16D6"/>
    <w:rsid w:val="004F3622"/>
    <w:rsid w:val="004F4260"/>
    <w:rsid w:val="004F4287"/>
    <w:rsid w:val="004F5AE2"/>
    <w:rsid w:val="004F779F"/>
    <w:rsid w:val="004F7912"/>
    <w:rsid w:val="004F7B36"/>
    <w:rsid w:val="00500212"/>
    <w:rsid w:val="00500486"/>
    <w:rsid w:val="0050100E"/>
    <w:rsid w:val="005017C8"/>
    <w:rsid w:val="00502A08"/>
    <w:rsid w:val="005039F4"/>
    <w:rsid w:val="00503D15"/>
    <w:rsid w:val="00503E28"/>
    <w:rsid w:val="005045E7"/>
    <w:rsid w:val="0050597F"/>
    <w:rsid w:val="00505B11"/>
    <w:rsid w:val="005073D6"/>
    <w:rsid w:val="005136AD"/>
    <w:rsid w:val="005146F7"/>
    <w:rsid w:val="005163A3"/>
    <w:rsid w:val="0051657B"/>
    <w:rsid w:val="00520D5A"/>
    <w:rsid w:val="005219B6"/>
    <w:rsid w:val="005241F5"/>
    <w:rsid w:val="00525E20"/>
    <w:rsid w:val="00535E7B"/>
    <w:rsid w:val="005406D4"/>
    <w:rsid w:val="005425AA"/>
    <w:rsid w:val="005427BA"/>
    <w:rsid w:val="00542BCE"/>
    <w:rsid w:val="005447A3"/>
    <w:rsid w:val="00544A4F"/>
    <w:rsid w:val="00547846"/>
    <w:rsid w:val="00547ABE"/>
    <w:rsid w:val="00552C34"/>
    <w:rsid w:val="00554193"/>
    <w:rsid w:val="00557835"/>
    <w:rsid w:val="00564240"/>
    <w:rsid w:val="00564840"/>
    <w:rsid w:val="005656A2"/>
    <w:rsid w:val="005672C8"/>
    <w:rsid w:val="00571261"/>
    <w:rsid w:val="00572DA7"/>
    <w:rsid w:val="00573FDB"/>
    <w:rsid w:val="005761AA"/>
    <w:rsid w:val="00581FBE"/>
    <w:rsid w:val="0058284C"/>
    <w:rsid w:val="00582F2A"/>
    <w:rsid w:val="00584070"/>
    <w:rsid w:val="005845D0"/>
    <w:rsid w:val="00584A81"/>
    <w:rsid w:val="00585774"/>
    <w:rsid w:val="0058581A"/>
    <w:rsid w:val="00587BD1"/>
    <w:rsid w:val="00590D0A"/>
    <w:rsid w:val="00590E3B"/>
    <w:rsid w:val="005959FA"/>
    <w:rsid w:val="00595C3A"/>
    <w:rsid w:val="00596C03"/>
    <w:rsid w:val="00596F2B"/>
    <w:rsid w:val="00597903"/>
    <w:rsid w:val="005A01EE"/>
    <w:rsid w:val="005A0FD5"/>
    <w:rsid w:val="005A1651"/>
    <w:rsid w:val="005A4C93"/>
    <w:rsid w:val="005A7DFF"/>
    <w:rsid w:val="005B0C44"/>
    <w:rsid w:val="005B1B53"/>
    <w:rsid w:val="005B25D0"/>
    <w:rsid w:val="005B2AEE"/>
    <w:rsid w:val="005B30BC"/>
    <w:rsid w:val="005B3320"/>
    <w:rsid w:val="005B7645"/>
    <w:rsid w:val="005C06C5"/>
    <w:rsid w:val="005C224C"/>
    <w:rsid w:val="005C2D64"/>
    <w:rsid w:val="005C34E8"/>
    <w:rsid w:val="005C409B"/>
    <w:rsid w:val="005C4E8B"/>
    <w:rsid w:val="005C693D"/>
    <w:rsid w:val="005C7F21"/>
    <w:rsid w:val="005D3240"/>
    <w:rsid w:val="005D3267"/>
    <w:rsid w:val="005D451B"/>
    <w:rsid w:val="005D5476"/>
    <w:rsid w:val="005D62CC"/>
    <w:rsid w:val="005D7FF8"/>
    <w:rsid w:val="005E1992"/>
    <w:rsid w:val="005E25E7"/>
    <w:rsid w:val="005E4A55"/>
    <w:rsid w:val="005E598D"/>
    <w:rsid w:val="005F0769"/>
    <w:rsid w:val="005F0B0B"/>
    <w:rsid w:val="005F1A6C"/>
    <w:rsid w:val="005F2FA8"/>
    <w:rsid w:val="005F3824"/>
    <w:rsid w:val="005F4BA7"/>
    <w:rsid w:val="005F5756"/>
    <w:rsid w:val="005F7805"/>
    <w:rsid w:val="00600221"/>
    <w:rsid w:val="00601C65"/>
    <w:rsid w:val="00602957"/>
    <w:rsid w:val="006036EF"/>
    <w:rsid w:val="00603902"/>
    <w:rsid w:val="0060390D"/>
    <w:rsid w:val="006135F6"/>
    <w:rsid w:val="00614D0A"/>
    <w:rsid w:val="00617817"/>
    <w:rsid w:val="00624513"/>
    <w:rsid w:val="00624956"/>
    <w:rsid w:val="0062497F"/>
    <w:rsid w:val="00624A29"/>
    <w:rsid w:val="00625521"/>
    <w:rsid w:val="00627810"/>
    <w:rsid w:val="00627B70"/>
    <w:rsid w:val="00631B42"/>
    <w:rsid w:val="00635F17"/>
    <w:rsid w:val="006371A2"/>
    <w:rsid w:val="00642A06"/>
    <w:rsid w:val="00642D7B"/>
    <w:rsid w:val="00642EA4"/>
    <w:rsid w:val="006448DE"/>
    <w:rsid w:val="00645B3D"/>
    <w:rsid w:val="006476AD"/>
    <w:rsid w:val="006517EE"/>
    <w:rsid w:val="0065217E"/>
    <w:rsid w:val="0065245E"/>
    <w:rsid w:val="00654892"/>
    <w:rsid w:val="006557D7"/>
    <w:rsid w:val="00656805"/>
    <w:rsid w:val="00656F56"/>
    <w:rsid w:val="0066110D"/>
    <w:rsid w:val="00661154"/>
    <w:rsid w:val="00665D6B"/>
    <w:rsid w:val="0067082B"/>
    <w:rsid w:val="00671557"/>
    <w:rsid w:val="006723D9"/>
    <w:rsid w:val="006728E4"/>
    <w:rsid w:val="006755E3"/>
    <w:rsid w:val="00676A46"/>
    <w:rsid w:val="00677075"/>
    <w:rsid w:val="00684C84"/>
    <w:rsid w:val="00684F4E"/>
    <w:rsid w:val="00686433"/>
    <w:rsid w:val="006905B8"/>
    <w:rsid w:val="006907A8"/>
    <w:rsid w:val="0069083D"/>
    <w:rsid w:val="00690B22"/>
    <w:rsid w:val="006920E8"/>
    <w:rsid w:val="006935FD"/>
    <w:rsid w:val="006973F3"/>
    <w:rsid w:val="006A2193"/>
    <w:rsid w:val="006A34D8"/>
    <w:rsid w:val="006A4209"/>
    <w:rsid w:val="006A4457"/>
    <w:rsid w:val="006A44E5"/>
    <w:rsid w:val="006A6436"/>
    <w:rsid w:val="006A64A2"/>
    <w:rsid w:val="006B0168"/>
    <w:rsid w:val="006B0435"/>
    <w:rsid w:val="006B2CE0"/>
    <w:rsid w:val="006B6A49"/>
    <w:rsid w:val="006C2827"/>
    <w:rsid w:val="006C38EE"/>
    <w:rsid w:val="006C4473"/>
    <w:rsid w:val="006D0E1B"/>
    <w:rsid w:val="006D2171"/>
    <w:rsid w:val="006D2534"/>
    <w:rsid w:val="006D55F7"/>
    <w:rsid w:val="006D5C48"/>
    <w:rsid w:val="006D60A4"/>
    <w:rsid w:val="006D67E3"/>
    <w:rsid w:val="006D6863"/>
    <w:rsid w:val="006D6D06"/>
    <w:rsid w:val="006E2AF7"/>
    <w:rsid w:val="006E2F7B"/>
    <w:rsid w:val="006E66A9"/>
    <w:rsid w:val="006F0057"/>
    <w:rsid w:val="006F1654"/>
    <w:rsid w:val="006F25AB"/>
    <w:rsid w:val="006F37CB"/>
    <w:rsid w:val="006F532E"/>
    <w:rsid w:val="006F54DC"/>
    <w:rsid w:val="006F5D58"/>
    <w:rsid w:val="006F7430"/>
    <w:rsid w:val="006F7884"/>
    <w:rsid w:val="007001D7"/>
    <w:rsid w:val="00700B80"/>
    <w:rsid w:val="00705D54"/>
    <w:rsid w:val="007118DE"/>
    <w:rsid w:val="00712D53"/>
    <w:rsid w:val="00713E27"/>
    <w:rsid w:val="00714CD3"/>
    <w:rsid w:val="007179C6"/>
    <w:rsid w:val="007211B0"/>
    <w:rsid w:val="00721EF9"/>
    <w:rsid w:val="00722640"/>
    <w:rsid w:val="00724E30"/>
    <w:rsid w:val="00725CB4"/>
    <w:rsid w:val="00730C02"/>
    <w:rsid w:val="00733C78"/>
    <w:rsid w:val="00734740"/>
    <w:rsid w:val="00736A19"/>
    <w:rsid w:val="00737DAD"/>
    <w:rsid w:val="00742354"/>
    <w:rsid w:val="00744586"/>
    <w:rsid w:val="007466BB"/>
    <w:rsid w:val="00747C4D"/>
    <w:rsid w:val="007503A3"/>
    <w:rsid w:val="00751530"/>
    <w:rsid w:val="00751CA4"/>
    <w:rsid w:val="00751EC9"/>
    <w:rsid w:val="00754347"/>
    <w:rsid w:val="00754A9B"/>
    <w:rsid w:val="00757803"/>
    <w:rsid w:val="00761CA2"/>
    <w:rsid w:val="0076353F"/>
    <w:rsid w:val="00766379"/>
    <w:rsid w:val="007668E7"/>
    <w:rsid w:val="00766D00"/>
    <w:rsid w:val="00771C8F"/>
    <w:rsid w:val="007761AF"/>
    <w:rsid w:val="00776A56"/>
    <w:rsid w:val="00776B78"/>
    <w:rsid w:val="00777116"/>
    <w:rsid w:val="00777130"/>
    <w:rsid w:val="00781D46"/>
    <w:rsid w:val="00784049"/>
    <w:rsid w:val="00784768"/>
    <w:rsid w:val="00785D62"/>
    <w:rsid w:val="00786B81"/>
    <w:rsid w:val="0078770F"/>
    <w:rsid w:val="007904FB"/>
    <w:rsid w:val="00791675"/>
    <w:rsid w:val="00791762"/>
    <w:rsid w:val="007958D7"/>
    <w:rsid w:val="007978E9"/>
    <w:rsid w:val="007A26F7"/>
    <w:rsid w:val="007A4AF3"/>
    <w:rsid w:val="007A7284"/>
    <w:rsid w:val="007B0BE6"/>
    <w:rsid w:val="007B75FF"/>
    <w:rsid w:val="007B7958"/>
    <w:rsid w:val="007C147B"/>
    <w:rsid w:val="007C3B8E"/>
    <w:rsid w:val="007C6670"/>
    <w:rsid w:val="007C6ED3"/>
    <w:rsid w:val="007D0DE6"/>
    <w:rsid w:val="007D1FE6"/>
    <w:rsid w:val="007D226C"/>
    <w:rsid w:val="007D258C"/>
    <w:rsid w:val="007D2A03"/>
    <w:rsid w:val="007D2B50"/>
    <w:rsid w:val="007D347C"/>
    <w:rsid w:val="007D3528"/>
    <w:rsid w:val="007D3C9A"/>
    <w:rsid w:val="007D5BD1"/>
    <w:rsid w:val="007D6766"/>
    <w:rsid w:val="007D77B7"/>
    <w:rsid w:val="007E04AF"/>
    <w:rsid w:val="007E0DB2"/>
    <w:rsid w:val="007E0ED3"/>
    <w:rsid w:val="007E34BB"/>
    <w:rsid w:val="007E5D07"/>
    <w:rsid w:val="007E5DB8"/>
    <w:rsid w:val="007E5ED1"/>
    <w:rsid w:val="007F0DF6"/>
    <w:rsid w:val="007F15DF"/>
    <w:rsid w:val="007F2ABE"/>
    <w:rsid w:val="007F2C17"/>
    <w:rsid w:val="007F34CC"/>
    <w:rsid w:val="007F493F"/>
    <w:rsid w:val="007F5933"/>
    <w:rsid w:val="007F6E7F"/>
    <w:rsid w:val="00802490"/>
    <w:rsid w:val="00803D9E"/>
    <w:rsid w:val="00807B3E"/>
    <w:rsid w:val="00807C96"/>
    <w:rsid w:val="00812A1F"/>
    <w:rsid w:val="00813471"/>
    <w:rsid w:val="0081623A"/>
    <w:rsid w:val="008222ED"/>
    <w:rsid w:val="0082527A"/>
    <w:rsid w:val="0082531C"/>
    <w:rsid w:val="00826942"/>
    <w:rsid w:val="00831A82"/>
    <w:rsid w:val="008343C0"/>
    <w:rsid w:val="00834FF8"/>
    <w:rsid w:val="00835A3F"/>
    <w:rsid w:val="00836B0F"/>
    <w:rsid w:val="00837913"/>
    <w:rsid w:val="00841933"/>
    <w:rsid w:val="00841DB7"/>
    <w:rsid w:val="0084229B"/>
    <w:rsid w:val="008424AC"/>
    <w:rsid w:val="00842FF4"/>
    <w:rsid w:val="00845E8E"/>
    <w:rsid w:val="008472AF"/>
    <w:rsid w:val="008500AD"/>
    <w:rsid w:val="00850C74"/>
    <w:rsid w:val="00850CFF"/>
    <w:rsid w:val="00851DC8"/>
    <w:rsid w:val="0085507A"/>
    <w:rsid w:val="00857719"/>
    <w:rsid w:val="008606FD"/>
    <w:rsid w:val="00860A43"/>
    <w:rsid w:val="008618BD"/>
    <w:rsid w:val="00862565"/>
    <w:rsid w:val="008625B6"/>
    <w:rsid w:val="00863A9C"/>
    <w:rsid w:val="00864B32"/>
    <w:rsid w:val="00864CAB"/>
    <w:rsid w:val="008650E4"/>
    <w:rsid w:val="0086607A"/>
    <w:rsid w:val="008669F4"/>
    <w:rsid w:val="00867F3A"/>
    <w:rsid w:val="00876E9F"/>
    <w:rsid w:val="00881ACF"/>
    <w:rsid w:val="0088751B"/>
    <w:rsid w:val="0088780A"/>
    <w:rsid w:val="00890DAF"/>
    <w:rsid w:val="00891325"/>
    <w:rsid w:val="008918FC"/>
    <w:rsid w:val="00891F85"/>
    <w:rsid w:val="00892D59"/>
    <w:rsid w:val="0089791E"/>
    <w:rsid w:val="00897D73"/>
    <w:rsid w:val="008A4248"/>
    <w:rsid w:val="008A6FE3"/>
    <w:rsid w:val="008A7507"/>
    <w:rsid w:val="008B0EDD"/>
    <w:rsid w:val="008B2A54"/>
    <w:rsid w:val="008B46BA"/>
    <w:rsid w:val="008C09F2"/>
    <w:rsid w:val="008C1637"/>
    <w:rsid w:val="008C1C2D"/>
    <w:rsid w:val="008C31C3"/>
    <w:rsid w:val="008C3EA7"/>
    <w:rsid w:val="008C42FD"/>
    <w:rsid w:val="008C55D9"/>
    <w:rsid w:val="008C6256"/>
    <w:rsid w:val="008C6C84"/>
    <w:rsid w:val="008D0D95"/>
    <w:rsid w:val="008D1383"/>
    <w:rsid w:val="008D258E"/>
    <w:rsid w:val="008D285C"/>
    <w:rsid w:val="008D3D5A"/>
    <w:rsid w:val="008D4253"/>
    <w:rsid w:val="008D5278"/>
    <w:rsid w:val="008D545B"/>
    <w:rsid w:val="008D56B9"/>
    <w:rsid w:val="008D6C02"/>
    <w:rsid w:val="008D7ACB"/>
    <w:rsid w:val="008E0540"/>
    <w:rsid w:val="008E14FA"/>
    <w:rsid w:val="008E1BF2"/>
    <w:rsid w:val="008E334E"/>
    <w:rsid w:val="008E54CF"/>
    <w:rsid w:val="008E5669"/>
    <w:rsid w:val="008E692A"/>
    <w:rsid w:val="008F0F49"/>
    <w:rsid w:val="008F1487"/>
    <w:rsid w:val="008F36D9"/>
    <w:rsid w:val="008F67D3"/>
    <w:rsid w:val="00900B0D"/>
    <w:rsid w:val="0090193F"/>
    <w:rsid w:val="009032D3"/>
    <w:rsid w:val="00903726"/>
    <w:rsid w:val="00903855"/>
    <w:rsid w:val="009040DF"/>
    <w:rsid w:val="00906570"/>
    <w:rsid w:val="009065E7"/>
    <w:rsid w:val="00906736"/>
    <w:rsid w:val="00910108"/>
    <w:rsid w:val="00911B4A"/>
    <w:rsid w:val="0091265E"/>
    <w:rsid w:val="00913F37"/>
    <w:rsid w:val="009206A6"/>
    <w:rsid w:val="00920FCF"/>
    <w:rsid w:val="00922238"/>
    <w:rsid w:val="009235CD"/>
    <w:rsid w:val="00924AFE"/>
    <w:rsid w:val="009307C1"/>
    <w:rsid w:val="00932B82"/>
    <w:rsid w:val="00933597"/>
    <w:rsid w:val="009337F1"/>
    <w:rsid w:val="00933A32"/>
    <w:rsid w:val="00933F36"/>
    <w:rsid w:val="0093471D"/>
    <w:rsid w:val="009360D4"/>
    <w:rsid w:val="00941D1A"/>
    <w:rsid w:val="00942BF2"/>
    <w:rsid w:val="00944533"/>
    <w:rsid w:val="00944E4F"/>
    <w:rsid w:val="00946AFA"/>
    <w:rsid w:val="00950C25"/>
    <w:rsid w:val="00950D51"/>
    <w:rsid w:val="00951305"/>
    <w:rsid w:val="0095232B"/>
    <w:rsid w:val="00953484"/>
    <w:rsid w:val="00956F86"/>
    <w:rsid w:val="00957D1E"/>
    <w:rsid w:val="009601E9"/>
    <w:rsid w:val="00960759"/>
    <w:rsid w:val="00962F22"/>
    <w:rsid w:val="00963AA4"/>
    <w:rsid w:val="00963E5A"/>
    <w:rsid w:val="00964C3C"/>
    <w:rsid w:val="00965C8F"/>
    <w:rsid w:val="00971566"/>
    <w:rsid w:val="0097189C"/>
    <w:rsid w:val="00972A7B"/>
    <w:rsid w:val="00972CBC"/>
    <w:rsid w:val="00975741"/>
    <w:rsid w:val="00976DAB"/>
    <w:rsid w:val="00981432"/>
    <w:rsid w:val="00981516"/>
    <w:rsid w:val="009827C9"/>
    <w:rsid w:val="00982A28"/>
    <w:rsid w:val="00984F99"/>
    <w:rsid w:val="00986A11"/>
    <w:rsid w:val="0099005B"/>
    <w:rsid w:val="009905CA"/>
    <w:rsid w:val="00990A6F"/>
    <w:rsid w:val="00994674"/>
    <w:rsid w:val="00994B25"/>
    <w:rsid w:val="00994D2A"/>
    <w:rsid w:val="009951BC"/>
    <w:rsid w:val="009A2853"/>
    <w:rsid w:val="009A2B19"/>
    <w:rsid w:val="009A38D3"/>
    <w:rsid w:val="009A778A"/>
    <w:rsid w:val="009A7F29"/>
    <w:rsid w:val="009B035A"/>
    <w:rsid w:val="009B1FCA"/>
    <w:rsid w:val="009B2BD2"/>
    <w:rsid w:val="009B328A"/>
    <w:rsid w:val="009B4989"/>
    <w:rsid w:val="009B513B"/>
    <w:rsid w:val="009C1325"/>
    <w:rsid w:val="009C1D1F"/>
    <w:rsid w:val="009C4703"/>
    <w:rsid w:val="009C487F"/>
    <w:rsid w:val="009C6243"/>
    <w:rsid w:val="009C7AF7"/>
    <w:rsid w:val="009D0485"/>
    <w:rsid w:val="009D748D"/>
    <w:rsid w:val="009D7C61"/>
    <w:rsid w:val="009E095D"/>
    <w:rsid w:val="009E1DF8"/>
    <w:rsid w:val="009E2872"/>
    <w:rsid w:val="009E44BF"/>
    <w:rsid w:val="009E469C"/>
    <w:rsid w:val="009F3379"/>
    <w:rsid w:val="009F37C9"/>
    <w:rsid w:val="009F661E"/>
    <w:rsid w:val="009F6DB1"/>
    <w:rsid w:val="009F792D"/>
    <w:rsid w:val="00A001CE"/>
    <w:rsid w:val="00A01CF3"/>
    <w:rsid w:val="00A025E8"/>
    <w:rsid w:val="00A02E52"/>
    <w:rsid w:val="00A045A6"/>
    <w:rsid w:val="00A064EC"/>
    <w:rsid w:val="00A10BA8"/>
    <w:rsid w:val="00A10BD2"/>
    <w:rsid w:val="00A12EF7"/>
    <w:rsid w:val="00A13052"/>
    <w:rsid w:val="00A13447"/>
    <w:rsid w:val="00A14903"/>
    <w:rsid w:val="00A14CEE"/>
    <w:rsid w:val="00A1521F"/>
    <w:rsid w:val="00A15C32"/>
    <w:rsid w:val="00A1610D"/>
    <w:rsid w:val="00A16323"/>
    <w:rsid w:val="00A16BF5"/>
    <w:rsid w:val="00A16CCA"/>
    <w:rsid w:val="00A21403"/>
    <w:rsid w:val="00A2159E"/>
    <w:rsid w:val="00A233EC"/>
    <w:rsid w:val="00A24E1B"/>
    <w:rsid w:val="00A24F29"/>
    <w:rsid w:val="00A2571C"/>
    <w:rsid w:val="00A2696B"/>
    <w:rsid w:val="00A27FA6"/>
    <w:rsid w:val="00A308D6"/>
    <w:rsid w:val="00A317FC"/>
    <w:rsid w:val="00A35E70"/>
    <w:rsid w:val="00A40855"/>
    <w:rsid w:val="00A42B07"/>
    <w:rsid w:val="00A42FC9"/>
    <w:rsid w:val="00A43048"/>
    <w:rsid w:val="00A433D4"/>
    <w:rsid w:val="00A434B3"/>
    <w:rsid w:val="00A453D8"/>
    <w:rsid w:val="00A45CE5"/>
    <w:rsid w:val="00A50BE4"/>
    <w:rsid w:val="00A51139"/>
    <w:rsid w:val="00A53959"/>
    <w:rsid w:val="00A561CD"/>
    <w:rsid w:val="00A625B5"/>
    <w:rsid w:val="00A63CAD"/>
    <w:rsid w:val="00A6650F"/>
    <w:rsid w:val="00A66AD8"/>
    <w:rsid w:val="00A730E8"/>
    <w:rsid w:val="00A733B2"/>
    <w:rsid w:val="00A74A6C"/>
    <w:rsid w:val="00A75D0E"/>
    <w:rsid w:val="00A77F10"/>
    <w:rsid w:val="00A80DFF"/>
    <w:rsid w:val="00A8412A"/>
    <w:rsid w:val="00A845A8"/>
    <w:rsid w:val="00A87536"/>
    <w:rsid w:val="00A87681"/>
    <w:rsid w:val="00A87724"/>
    <w:rsid w:val="00A912D4"/>
    <w:rsid w:val="00A92CE8"/>
    <w:rsid w:val="00A92DB9"/>
    <w:rsid w:val="00A931F7"/>
    <w:rsid w:val="00A9507F"/>
    <w:rsid w:val="00A96137"/>
    <w:rsid w:val="00A965A1"/>
    <w:rsid w:val="00AA2C00"/>
    <w:rsid w:val="00AA3600"/>
    <w:rsid w:val="00AA68B3"/>
    <w:rsid w:val="00AB003B"/>
    <w:rsid w:val="00AB076D"/>
    <w:rsid w:val="00AB1615"/>
    <w:rsid w:val="00AB2E94"/>
    <w:rsid w:val="00AB470A"/>
    <w:rsid w:val="00AB7BA2"/>
    <w:rsid w:val="00AB7DC2"/>
    <w:rsid w:val="00AC0815"/>
    <w:rsid w:val="00AC0C60"/>
    <w:rsid w:val="00AC0F0B"/>
    <w:rsid w:val="00AC1CC9"/>
    <w:rsid w:val="00AC205E"/>
    <w:rsid w:val="00AC24D3"/>
    <w:rsid w:val="00AC28D5"/>
    <w:rsid w:val="00AC352D"/>
    <w:rsid w:val="00AC4AC9"/>
    <w:rsid w:val="00AC577F"/>
    <w:rsid w:val="00AC5C7C"/>
    <w:rsid w:val="00AC60FF"/>
    <w:rsid w:val="00AD1E7C"/>
    <w:rsid w:val="00AD21B4"/>
    <w:rsid w:val="00AD47D9"/>
    <w:rsid w:val="00AD6A12"/>
    <w:rsid w:val="00AD6BDE"/>
    <w:rsid w:val="00AE1EA6"/>
    <w:rsid w:val="00AE357E"/>
    <w:rsid w:val="00AE3CBF"/>
    <w:rsid w:val="00AE4E70"/>
    <w:rsid w:val="00AE634C"/>
    <w:rsid w:val="00AE6398"/>
    <w:rsid w:val="00AE7C09"/>
    <w:rsid w:val="00AF00D4"/>
    <w:rsid w:val="00AF05BB"/>
    <w:rsid w:val="00AF0F40"/>
    <w:rsid w:val="00AF2AC8"/>
    <w:rsid w:val="00AF2B9F"/>
    <w:rsid w:val="00AF308F"/>
    <w:rsid w:val="00AF32D0"/>
    <w:rsid w:val="00AF3D30"/>
    <w:rsid w:val="00AF462B"/>
    <w:rsid w:val="00AF5E40"/>
    <w:rsid w:val="00AF79FB"/>
    <w:rsid w:val="00AF7FB3"/>
    <w:rsid w:val="00B0277B"/>
    <w:rsid w:val="00B030D9"/>
    <w:rsid w:val="00B04423"/>
    <w:rsid w:val="00B05213"/>
    <w:rsid w:val="00B10253"/>
    <w:rsid w:val="00B10533"/>
    <w:rsid w:val="00B1068C"/>
    <w:rsid w:val="00B10FB0"/>
    <w:rsid w:val="00B11BAB"/>
    <w:rsid w:val="00B12F98"/>
    <w:rsid w:val="00B13236"/>
    <w:rsid w:val="00B14C16"/>
    <w:rsid w:val="00B14FFB"/>
    <w:rsid w:val="00B15125"/>
    <w:rsid w:val="00B15F19"/>
    <w:rsid w:val="00B16B45"/>
    <w:rsid w:val="00B17471"/>
    <w:rsid w:val="00B23C5F"/>
    <w:rsid w:val="00B25244"/>
    <w:rsid w:val="00B25C80"/>
    <w:rsid w:val="00B306D3"/>
    <w:rsid w:val="00B30CC6"/>
    <w:rsid w:val="00B30F31"/>
    <w:rsid w:val="00B32A92"/>
    <w:rsid w:val="00B32B23"/>
    <w:rsid w:val="00B32C6B"/>
    <w:rsid w:val="00B35803"/>
    <w:rsid w:val="00B35966"/>
    <w:rsid w:val="00B3733B"/>
    <w:rsid w:val="00B37DBE"/>
    <w:rsid w:val="00B43F3A"/>
    <w:rsid w:val="00B46471"/>
    <w:rsid w:val="00B47C10"/>
    <w:rsid w:val="00B51CE1"/>
    <w:rsid w:val="00B55E0F"/>
    <w:rsid w:val="00B566FB"/>
    <w:rsid w:val="00B57550"/>
    <w:rsid w:val="00B618D4"/>
    <w:rsid w:val="00B62171"/>
    <w:rsid w:val="00B63612"/>
    <w:rsid w:val="00B6534E"/>
    <w:rsid w:val="00B65742"/>
    <w:rsid w:val="00B72DA2"/>
    <w:rsid w:val="00B7751E"/>
    <w:rsid w:val="00B80D73"/>
    <w:rsid w:val="00B815D8"/>
    <w:rsid w:val="00B81B3A"/>
    <w:rsid w:val="00B8363F"/>
    <w:rsid w:val="00B85B46"/>
    <w:rsid w:val="00B860EF"/>
    <w:rsid w:val="00B86FD3"/>
    <w:rsid w:val="00B873B8"/>
    <w:rsid w:val="00B87C4E"/>
    <w:rsid w:val="00B96815"/>
    <w:rsid w:val="00B9743C"/>
    <w:rsid w:val="00BA5B2B"/>
    <w:rsid w:val="00BA6835"/>
    <w:rsid w:val="00BB0955"/>
    <w:rsid w:val="00BB2CA5"/>
    <w:rsid w:val="00BB36B0"/>
    <w:rsid w:val="00BB51A6"/>
    <w:rsid w:val="00BB6AE3"/>
    <w:rsid w:val="00BB77AD"/>
    <w:rsid w:val="00BC10DF"/>
    <w:rsid w:val="00BC1601"/>
    <w:rsid w:val="00BC1D89"/>
    <w:rsid w:val="00BC363A"/>
    <w:rsid w:val="00BC3E07"/>
    <w:rsid w:val="00BC44E6"/>
    <w:rsid w:val="00BC6340"/>
    <w:rsid w:val="00BD1497"/>
    <w:rsid w:val="00BD1D0E"/>
    <w:rsid w:val="00BD7FC2"/>
    <w:rsid w:val="00BE0B33"/>
    <w:rsid w:val="00BE4168"/>
    <w:rsid w:val="00BE41CD"/>
    <w:rsid w:val="00BE6320"/>
    <w:rsid w:val="00BE6F83"/>
    <w:rsid w:val="00BE7D1E"/>
    <w:rsid w:val="00BF02FC"/>
    <w:rsid w:val="00BF35C2"/>
    <w:rsid w:val="00BF6631"/>
    <w:rsid w:val="00BF66E4"/>
    <w:rsid w:val="00C04491"/>
    <w:rsid w:val="00C0559F"/>
    <w:rsid w:val="00C05C9A"/>
    <w:rsid w:val="00C06235"/>
    <w:rsid w:val="00C10C07"/>
    <w:rsid w:val="00C16D89"/>
    <w:rsid w:val="00C17352"/>
    <w:rsid w:val="00C17E89"/>
    <w:rsid w:val="00C20872"/>
    <w:rsid w:val="00C21FB1"/>
    <w:rsid w:val="00C225B1"/>
    <w:rsid w:val="00C22EA6"/>
    <w:rsid w:val="00C2443B"/>
    <w:rsid w:val="00C24628"/>
    <w:rsid w:val="00C25774"/>
    <w:rsid w:val="00C26407"/>
    <w:rsid w:val="00C26DFC"/>
    <w:rsid w:val="00C27410"/>
    <w:rsid w:val="00C31B72"/>
    <w:rsid w:val="00C31DD5"/>
    <w:rsid w:val="00C3212B"/>
    <w:rsid w:val="00C3236C"/>
    <w:rsid w:val="00C3267B"/>
    <w:rsid w:val="00C32AE6"/>
    <w:rsid w:val="00C32F9F"/>
    <w:rsid w:val="00C33F0A"/>
    <w:rsid w:val="00C33F57"/>
    <w:rsid w:val="00C344C0"/>
    <w:rsid w:val="00C37326"/>
    <w:rsid w:val="00C374F8"/>
    <w:rsid w:val="00C4057E"/>
    <w:rsid w:val="00C40C2D"/>
    <w:rsid w:val="00C416AD"/>
    <w:rsid w:val="00C419F4"/>
    <w:rsid w:val="00C433DC"/>
    <w:rsid w:val="00C435B8"/>
    <w:rsid w:val="00C46460"/>
    <w:rsid w:val="00C46A6B"/>
    <w:rsid w:val="00C46F5B"/>
    <w:rsid w:val="00C47104"/>
    <w:rsid w:val="00C4715F"/>
    <w:rsid w:val="00C520B5"/>
    <w:rsid w:val="00C529C7"/>
    <w:rsid w:val="00C52E11"/>
    <w:rsid w:val="00C536EB"/>
    <w:rsid w:val="00C53ADA"/>
    <w:rsid w:val="00C5628C"/>
    <w:rsid w:val="00C60820"/>
    <w:rsid w:val="00C61066"/>
    <w:rsid w:val="00C611C8"/>
    <w:rsid w:val="00C62FBA"/>
    <w:rsid w:val="00C632B1"/>
    <w:rsid w:val="00C663FA"/>
    <w:rsid w:val="00C7000A"/>
    <w:rsid w:val="00C700F8"/>
    <w:rsid w:val="00C708F7"/>
    <w:rsid w:val="00C733A5"/>
    <w:rsid w:val="00C73DB6"/>
    <w:rsid w:val="00C76FAD"/>
    <w:rsid w:val="00C802EB"/>
    <w:rsid w:val="00C8223F"/>
    <w:rsid w:val="00C83094"/>
    <w:rsid w:val="00C842C7"/>
    <w:rsid w:val="00C845E5"/>
    <w:rsid w:val="00C85478"/>
    <w:rsid w:val="00C85C1F"/>
    <w:rsid w:val="00C8626E"/>
    <w:rsid w:val="00C8739D"/>
    <w:rsid w:val="00C90BF8"/>
    <w:rsid w:val="00C9191F"/>
    <w:rsid w:val="00C91FD8"/>
    <w:rsid w:val="00C931E2"/>
    <w:rsid w:val="00C94F7D"/>
    <w:rsid w:val="00C970FF"/>
    <w:rsid w:val="00CA0C46"/>
    <w:rsid w:val="00CA7126"/>
    <w:rsid w:val="00CB1ED3"/>
    <w:rsid w:val="00CB23CB"/>
    <w:rsid w:val="00CB3227"/>
    <w:rsid w:val="00CB5F72"/>
    <w:rsid w:val="00CB6787"/>
    <w:rsid w:val="00CB78E7"/>
    <w:rsid w:val="00CC34A4"/>
    <w:rsid w:val="00CD0E2E"/>
    <w:rsid w:val="00CD5BF8"/>
    <w:rsid w:val="00CD60DD"/>
    <w:rsid w:val="00CD78CB"/>
    <w:rsid w:val="00CD7EF2"/>
    <w:rsid w:val="00CE0529"/>
    <w:rsid w:val="00CE20C3"/>
    <w:rsid w:val="00CE3B3C"/>
    <w:rsid w:val="00CE5178"/>
    <w:rsid w:val="00CE607B"/>
    <w:rsid w:val="00CE62A2"/>
    <w:rsid w:val="00CF11C0"/>
    <w:rsid w:val="00CF140E"/>
    <w:rsid w:val="00CF340B"/>
    <w:rsid w:val="00CF3A49"/>
    <w:rsid w:val="00CF3A74"/>
    <w:rsid w:val="00CF528A"/>
    <w:rsid w:val="00D001BD"/>
    <w:rsid w:val="00D03620"/>
    <w:rsid w:val="00D037DA"/>
    <w:rsid w:val="00D05C6C"/>
    <w:rsid w:val="00D1024E"/>
    <w:rsid w:val="00D12FE4"/>
    <w:rsid w:val="00D13CFD"/>
    <w:rsid w:val="00D140F2"/>
    <w:rsid w:val="00D203DA"/>
    <w:rsid w:val="00D2134C"/>
    <w:rsid w:val="00D21910"/>
    <w:rsid w:val="00D21B1F"/>
    <w:rsid w:val="00D23496"/>
    <w:rsid w:val="00D25AA5"/>
    <w:rsid w:val="00D321BB"/>
    <w:rsid w:val="00D33657"/>
    <w:rsid w:val="00D378E9"/>
    <w:rsid w:val="00D37DEE"/>
    <w:rsid w:val="00D40EDC"/>
    <w:rsid w:val="00D41647"/>
    <w:rsid w:val="00D472F3"/>
    <w:rsid w:val="00D50FCA"/>
    <w:rsid w:val="00D5128F"/>
    <w:rsid w:val="00D52419"/>
    <w:rsid w:val="00D5254A"/>
    <w:rsid w:val="00D53F45"/>
    <w:rsid w:val="00D56F7B"/>
    <w:rsid w:val="00D6053A"/>
    <w:rsid w:val="00D61073"/>
    <w:rsid w:val="00D62DC7"/>
    <w:rsid w:val="00D6437E"/>
    <w:rsid w:val="00D645EC"/>
    <w:rsid w:val="00D705AC"/>
    <w:rsid w:val="00D72E26"/>
    <w:rsid w:val="00D77E4E"/>
    <w:rsid w:val="00D80051"/>
    <w:rsid w:val="00D818F2"/>
    <w:rsid w:val="00D81EF9"/>
    <w:rsid w:val="00D820EA"/>
    <w:rsid w:val="00D8278A"/>
    <w:rsid w:val="00D836B4"/>
    <w:rsid w:val="00D8552F"/>
    <w:rsid w:val="00D86D71"/>
    <w:rsid w:val="00D90431"/>
    <w:rsid w:val="00D92BFE"/>
    <w:rsid w:val="00D92CB6"/>
    <w:rsid w:val="00D92F12"/>
    <w:rsid w:val="00D948EB"/>
    <w:rsid w:val="00D9509A"/>
    <w:rsid w:val="00D953C2"/>
    <w:rsid w:val="00D9721F"/>
    <w:rsid w:val="00D975E5"/>
    <w:rsid w:val="00DA20E1"/>
    <w:rsid w:val="00DA50DF"/>
    <w:rsid w:val="00DA6292"/>
    <w:rsid w:val="00DB0C9E"/>
    <w:rsid w:val="00DB2429"/>
    <w:rsid w:val="00DB2A65"/>
    <w:rsid w:val="00DB55DA"/>
    <w:rsid w:val="00DB7028"/>
    <w:rsid w:val="00DC051B"/>
    <w:rsid w:val="00DC15BE"/>
    <w:rsid w:val="00DC1D53"/>
    <w:rsid w:val="00DC1DEB"/>
    <w:rsid w:val="00DC324A"/>
    <w:rsid w:val="00DC488A"/>
    <w:rsid w:val="00DC7543"/>
    <w:rsid w:val="00DD118F"/>
    <w:rsid w:val="00DD2205"/>
    <w:rsid w:val="00DD2972"/>
    <w:rsid w:val="00DD41A5"/>
    <w:rsid w:val="00DD4AD4"/>
    <w:rsid w:val="00DE186B"/>
    <w:rsid w:val="00DE1888"/>
    <w:rsid w:val="00DE1BEC"/>
    <w:rsid w:val="00DE257F"/>
    <w:rsid w:val="00DE2EBB"/>
    <w:rsid w:val="00DE4304"/>
    <w:rsid w:val="00DE46AF"/>
    <w:rsid w:val="00DE6807"/>
    <w:rsid w:val="00DE7843"/>
    <w:rsid w:val="00DF066B"/>
    <w:rsid w:val="00DF223E"/>
    <w:rsid w:val="00DF261C"/>
    <w:rsid w:val="00DF2E5C"/>
    <w:rsid w:val="00DF3F37"/>
    <w:rsid w:val="00DF43BC"/>
    <w:rsid w:val="00DF55F5"/>
    <w:rsid w:val="00DF63DD"/>
    <w:rsid w:val="00DF7E4A"/>
    <w:rsid w:val="00E011EC"/>
    <w:rsid w:val="00E017AC"/>
    <w:rsid w:val="00E01900"/>
    <w:rsid w:val="00E023C6"/>
    <w:rsid w:val="00E02EE9"/>
    <w:rsid w:val="00E03693"/>
    <w:rsid w:val="00E04297"/>
    <w:rsid w:val="00E04D6F"/>
    <w:rsid w:val="00E06AC9"/>
    <w:rsid w:val="00E0735C"/>
    <w:rsid w:val="00E0796A"/>
    <w:rsid w:val="00E11A60"/>
    <w:rsid w:val="00E1343A"/>
    <w:rsid w:val="00E159DF"/>
    <w:rsid w:val="00E1659E"/>
    <w:rsid w:val="00E20E00"/>
    <w:rsid w:val="00E20EC3"/>
    <w:rsid w:val="00E20F19"/>
    <w:rsid w:val="00E21114"/>
    <w:rsid w:val="00E2357A"/>
    <w:rsid w:val="00E2442C"/>
    <w:rsid w:val="00E3033A"/>
    <w:rsid w:val="00E31927"/>
    <w:rsid w:val="00E3301B"/>
    <w:rsid w:val="00E33BC9"/>
    <w:rsid w:val="00E35CEF"/>
    <w:rsid w:val="00E3709A"/>
    <w:rsid w:val="00E37B6C"/>
    <w:rsid w:val="00E37F6B"/>
    <w:rsid w:val="00E40881"/>
    <w:rsid w:val="00E419A1"/>
    <w:rsid w:val="00E42284"/>
    <w:rsid w:val="00E459F3"/>
    <w:rsid w:val="00E508A4"/>
    <w:rsid w:val="00E50B32"/>
    <w:rsid w:val="00E5379C"/>
    <w:rsid w:val="00E54520"/>
    <w:rsid w:val="00E5564A"/>
    <w:rsid w:val="00E56D54"/>
    <w:rsid w:val="00E56FB8"/>
    <w:rsid w:val="00E5754C"/>
    <w:rsid w:val="00E57777"/>
    <w:rsid w:val="00E6138A"/>
    <w:rsid w:val="00E61911"/>
    <w:rsid w:val="00E62333"/>
    <w:rsid w:val="00E631AD"/>
    <w:rsid w:val="00E631D3"/>
    <w:rsid w:val="00E63798"/>
    <w:rsid w:val="00E63811"/>
    <w:rsid w:val="00E65A92"/>
    <w:rsid w:val="00E70459"/>
    <w:rsid w:val="00E74158"/>
    <w:rsid w:val="00E776CD"/>
    <w:rsid w:val="00E80C3B"/>
    <w:rsid w:val="00E81124"/>
    <w:rsid w:val="00E83F39"/>
    <w:rsid w:val="00E847B7"/>
    <w:rsid w:val="00E85465"/>
    <w:rsid w:val="00E85F38"/>
    <w:rsid w:val="00E86ED4"/>
    <w:rsid w:val="00E90884"/>
    <w:rsid w:val="00E91D04"/>
    <w:rsid w:val="00E92C83"/>
    <w:rsid w:val="00E9443F"/>
    <w:rsid w:val="00E95720"/>
    <w:rsid w:val="00E959AE"/>
    <w:rsid w:val="00E95A22"/>
    <w:rsid w:val="00EA05C9"/>
    <w:rsid w:val="00EA1035"/>
    <w:rsid w:val="00EA2CD3"/>
    <w:rsid w:val="00EA4C55"/>
    <w:rsid w:val="00EA6924"/>
    <w:rsid w:val="00EA6D8B"/>
    <w:rsid w:val="00EB0151"/>
    <w:rsid w:val="00EB079C"/>
    <w:rsid w:val="00EB124E"/>
    <w:rsid w:val="00EB4519"/>
    <w:rsid w:val="00EB46CF"/>
    <w:rsid w:val="00EB5EB9"/>
    <w:rsid w:val="00EB6B94"/>
    <w:rsid w:val="00EB6E51"/>
    <w:rsid w:val="00EC05EB"/>
    <w:rsid w:val="00EC1565"/>
    <w:rsid w:val="00EC15E8"/>
    <w:rsid w:val="00EC3160"/>
    <w:rsid w:val="00EC40A1"/>
    <w:rsid w:val="00EC434A"/>
    <w:rsid w:val="00EC6272"/>
    <w:rsid w:val="00EC7EB6"/>
    <w:rsid w:val="00ED23CE"/>
    <w:rsid w:val="00ED3AEF"/>
    <w:rsid w:val="00ED3B99"/>
    <w:rsid w:val="00ED42B7"/>
    <w:rsid w:val="00ED71B2"/>
    <w:rsid w:val="00EE31EB"/>
    <w:rsid w:val="00EE34B3"/>
    <w:rsid w:val="00EE3D7C"/>
    <w:rsid w:val="00EE54E9"/>
    <w:rsid w:val="00EE698A"/>
    <w:rsid w:val="00EF0471"/>
    <w:rsid w:val="00EF1103"/>
    <w:rsid w:val="00EF1909"/>
    <w:rsid w:val="00EF2211"/>
    <w:rsid w:val="00EF2E3B"/>
    <w:rsid w:val="00EF4291"/>
    <w:rsid w:val="00EF4544"/>
    <w:rsid w:val="00EF6F04"/>
    <w:rsid w:val="00F006BE"/>
    <w:rsid w:val="00F00794"/>
    <w:rsid w:val="00F01F23"/>
    <w:rsid w:val="00F0216D"/>
    <w:rsid w:val="00F02AD8"/>
    <w:rsid w:val="00F077DD"/>
    <w:rsid w:val="00F07D21"/>
    <w:rsid w:val="00F11118"/>
    <w:rsid w:val="00F12373"/>
    <w:rsid w:val="00F12CE3"/>
    <w:rsid w:val="00F13C76"/>
    <w:rsid w:val="00F142E7"/>
    <w:rsid w:val="00F16A4E"/>
    <w:rsid w:val="00F1785A"/>
    <w:rsid w:val="00F20CCE"/>
    <w:rsid w:val="00F20CDB"/>
    <w:rsid w:val="00F21C3C"/>
    <w:rsid w:val="00F22CF6"/>
    <w:rsid w:val="00F3030D"/>
    <w:rsid w:val="00F3167F"/>
    <w:rsid w:val="00F31FAF"/>
    <w:rsid w:val="00F32298"/>
    <w:rsid w:val="00F326BC"/>
    <w:rsid w:val="00F33FFC"/>
    <w:rsid w:val="00F36432"/>
    <w:rsid w:val="00F371CD"/>
    <w:rsid w:val="00F37B43"/>
    <w:rsid w:val="00F411F1"/>
    <w:rsid w:val="00F4136F"/>
    <w:rsid w:val="00F43CF4"/>
    <w:rsid w:val="00F44ACE"/>
    <w:rsid w:val="00F45F28"/>
    <w:rsid w:val="00F47CE2"/>
    <w:rsid w:val="00F5278F"/>
    <w:rsid w:val="00F528DE"/>
    <w:rsid w:val="00F54001"/>
    <w:rsid w:val="00F542A2"/>
    <w:rsid w:val="00F54331"/>
    <w:rsid w:val="00F55A8F"/>
    <w:rsid w:val="00F56EF8"/>
    <w:rsid w:val="00F575B6"/>
    <w:rsid w:val="00F57C14"/>
    <w:rsid w:val="00F57C80"/>
    <w:rsid w:val="00F60036"/>
    <w:rsid w:val="00F60307"/>
    <w:rsid w:val="00F62411"/>
    <w:rsid w:val="00F67533"/>
    <w:rsid w:val="00F704CC"/>
    <w:rsid w:val="00F718C1"/>
    <w:rsid w:val="00F71D9F"/>
    <w:rsid w:val="00F71F2F"/>
    <w:rsid w:val="00F7356C"/>
    <w:rsid w:val="00F74268"/>
    <w:rsid w:val="00F74301"/>
    <w:rsid w:val="00F756CF"/>
    <w:rsid w:val="00F77A36"/>
    <w:rsid w:val="00F82B62"/>
    <w:rsid w:val="00F83371"/>
    <w:rsid w:val="00F84139"/>
    <w:rsid w:val="00F84EC0"/>
    <w:rsid w:val="00F856A2"/>
    <w:rsid w:val="00F8574C"/>
    <w:rsid w:val="00F86AAD"/>
    <w:rsid w:val="00F878C7"/>
    <w:rsid w:val="00F878FC"/>
    <w:rsid w:val="00F91312"/>
    <w:rsid w:val="00F930E7"/>
    <w:rsid w:val="00F940BE"/>
    <w:rsid w:val="00F97549"/>
    <w:rsid w:val="00FA1A02"/>
    <w:rsid w:val="00FA1BBE"/>
    <w:rsid w:val="00FA2DD7"/>
    <w:rsid w:val="00FA4124"/>
    <w:rsid w:val="00FA54D4"/>
    <w:rsid w:val="00FA5665"/>
    <w:rsid w:val="00FA76DA"/>
    <w:rsid w:val="00FA7BDB"/>
    <w:rsid w:val="00FB0998"/>
    <w:rsid w:val="00FB166C"/>
    <w:rsid w:val="00FB289B"/>
    <w:rsid w:val="00FB51EB"/>
    <w:rsid w:val="00FB58E0"/>
    <w:rsid w:val="00FC4487"/>
    <w:rsid w:val="00FC4BA9"/>
    <w:rsid w:val="00FC545A"/>
    <w:rsid w:val="00FD263F"/>
    <w:rsid w:val="00FD2CCE"/>
    <w:rsid w:val="00FD2DB8"/>
    <w:rsid w:val="00FD447A"/>
    <w:rsid w:val="00FD5161"/>
    <w:rsid w:val="00FD593F"/>
    <w:rsid w:val="00FD7783"/>
    <w:rsid w:val="00FE0B1B"/>
    <w:rsid w:val="00FE10BC"/>
    <w:rsid w:val="00FE12C3"/>
    <w:rsid w:val="00FE2158"/>
    <w:rsid w:val="00FE4794"/>
    <w:rsid w:val="00FE4BA1"/>
    <w:rsid w:val="00FE5BE4"/>
    <w:rsid w:val="00FE6847"/>
    <w:rsid w:val="00FE6B1C"/>
    <w:rsid w:val="00FE7173"/>
    <w:rsid w:val="00FF05F1"/>
    <w:rsid w:val="00FF1A2D"/>
    <w:rsid w:val="00FF23D2"/>
    <w:rsid w:val="00FF2F7F"/>
    <w:rsid w:val="00FF3E91"/>
    <w:rsid w:val="00FF464F"/>
    <w:rsid w:val="00FF623A"/>
    <w:rsid w:val="00FF6ADB"/>
    <w:rsid w:val="0192F277"/>
    <w:rsid w:val="01E72AB0"/>
    <w:rsid w:val="0234A5A2"/>
    <w:rsid w:val="041FB0C9"/>
    <w:rsid w:val="0551FF90"/>
    <w:rsid w:val="06A65A78"/>
    <w:rsid w:val="06F9E4E1"/>
    <w:rsid w:val="07A5D9C8"/>
    <w:rsid w:val="081CB958"/>
    <w:rsid w:val="092DF6FD"/>
    <w:rsid w:val="0B147266"/>
    <w:rsid w:val="0B830F4F"/>
    <w:rsid w:val="0C609CC6"/>
    <w:rsid w:val="0C800981"/>
    <w:rsid w:val="0D115CEB"/>
    <w:rsid w:val="0E0866ED"/>
    <w:rsid w:val="0EA38FA2"/>
    <w:rsid w:val="0F1697D9"/>
    <w:rsid w:val="0F7FC195"/>
    <w:rsid w:val="108B52D8"/>
    <w:rsid w:val="10B6B149"/>
    <w:rsid w:val="1234AAFD"/>
    <w:rsid w:val="1340C071"/>
    <w:rsid w:val="13F7BCE4"/>
    <w:rsid w:val="155C5684"/>
    <w:rsid w:val="158A5808"/>
    <w:rsid w:val="15E296E8"/>
    <w:rsid w:val="164BDE83"/>
    <w:rsid w:val="16A82420"/>
    <w:rsid w:val="16BD6935"/>
    <w:rsid w:val="18D517E8"/>
    <w:rsid w:val="19B93666"/>
    <w:rsid w:val="1A5F2726"/>
    <w:rsid w:val="1A84524C"/>
    <w:rsid w:val="1AA38280"/>
    <w:rsid w:val="1AC532FD"/>
    <w:rsid w:val="1DE5E380"/>
    <w:rsid w:val="1E5A620E"/>
    <w:rsid w:val="1FDE6AD8"/>
    <w:rsid w:val="1FE12050"/>
    <w:rsid w:val="20B3ADB1"/>
    <w:rsid w:val="2172CA62"/>
    <w:rsid w:val="2321AD82"/>
    <w:rsid w:val="233F83DB"/>
    <w:rsid w:val="238C68A4"/>
    <w:rsid w:val="2407385C"/>
    <w:rsid w:val="240BFDB9"/>
    <w:rsid w:val="25764A20"/>
    <w:rsid w:val="264A696A"/>
    <w:rsid w:val="26C7C029"/>
    <w:rsid w:val="28ADB90C"/>
    <w:rsid w:val="29EA789A"/>
    <w:rsid w:val="2CA0D7BA"/>
    <w:rsid w:val="2ED684A0"/>
    <w:rsid w:val="2F034F51"/>
    <w:rsid w:val="2FB2E086"/>
    <w:rsid w:val="307D1BBA"/>
    <w:rsid w:val="30DDCED9"/>
    <w:rsid w:val="32E40451"/>
    <w:rsid w:val="33D3AD3D"/>
    <w:rsid w:val="364E676A"/>
    <w:rsid w:val="36555BF3"/>
    <w:rsid w:val="36623C8F"/>
    <w:rsid w:val="36C85992"/>
    <w:rsid w:val="37696985"/>
    <w:rsid w:val="382D2AE9"/>
    <w:rsid w:val="3862EEEF"/>
    <w:rsid w:val="38982EEE"/>
    <w:rsid w:val="3A8522D5"/>
    <w:rsid w:val="3AC948E7"/>
    <w:rsid w:val="3C6A39AF"/>
    <w:rsid w:val="3D419B09"/>
    <w:rsid w:val="3EC4D0CF"/>
    <w:rsid w:val="3EE63869"/>
    <w:rsid w:val="3EEAF32E"/>
    <w:rsid w:val="3F4B4309"/>
    <w:rsid w:val="3FB9582A"/>
    <w:rsid w:val="4039B8BE"/>
    <w:rsid w:val="409A9497"/>
    <w:rsid w:val="40C51D8D"/>
    <w:rsid w:val="412FEEC1"/>
    <w:rsid w:val="42B5F0C4"/>
    <w:rsid w:val="42D25C13"/>
    <w:rsid w:val="4331A537"/>
    <w:rsid w:val="441A175C"/>
    <w:rsid w:val="449818DA"/>
    <w:rsid w:val="461B91BB"/>
    <w:rsid w:val="4620B8F1"/>
    <w:rsid w:val="4673F65A"/>
    <w:rsid w:val="46E98B7C"/>
    <w:rsid w:val="484168F0"/>
    <w:rsid w:val="48BB4304"/>
    <w:rsid w:val="48D1ACF7"/>
    <w:rsid w:val="49235845"/>
    <w:rsid w:val="494177D5"/>
    <w:rsid w:val="4A08C7AF"/>
    <w:rsid w:val="4B7C1BEE"/>
    <w:rsid w:val="4BCD3F74"/>
    <w:rsid w:val="4C328F60"/>
    <w:rsid w:val="4DA0EF3A"/>
    <w:rsid w:val="4DA46DA9"/>
    <w:rsid w:val="4DA7482E"/>
    <w:rsid w:val="4E07CADA"/>
    <w:rsid w:val="50410BBE"/>
    <w:rsid w:val="505F855D"/>
    <w:rsid w:val="514D5403"/>
    <w:rsid w:val="527C268C"/>
    <w:rsid w:val="540D0990"/>
    <w:rsid w:val="5422D7EE"/>
    <w:rsid w:val="5446899B"/>
    <w:rsid w:val="54610C2A"/>
    <w:rsid w:val="54764AF3"/>
    <w:rsid w:val="5499FA29"/>
    <w:rsid w:val="5528B6AD"/>
    <w:rsid w:val="559CC24C"/>
    <w:rsid w:val="565EB982"/>
    <w:rsid w:val="57817DC8"/>
    <w:rsid w:val="57D551AE"/>
    <w:rsid w:val="581191C9"/>
    <w:rsid w:val="589D6D4D"/>
    <w:rsid w:val="5980F2D7"/>
    <w:rsid w:val="59A88FBE"/>
    <w:rsid w:val="5A12E620"/>
    <w:rsid w:val="5BBDAC1A"/>
    <w:rsid w:val="5BF46C3F"/>
    <w:rsid w:val="5CD10C22"/>
    <w:rsid w:val="5D07BDE6"/>
    <w:rsid w:val="5E05FD1A"/>
    <w:rsid w:val="5E6CC0BF"/>
    <w:rsid w:val="5E8299B5"/>
    <w:rsid w:val="5FF40D76"/>
    <w:rsid w:val="609A889C"/>
    <w:rsid w:val="6128874C"/>
    <w:rsid w:val="61F8C64B"/>
    <w:rsid w:val="62E969F3"/>
    <w:rsid w:val="6386C4A2"/>
    <w:rsid w:val="654528D3"/>
    <w:rsid w:val="66AFFE27"/>
    <w:rsid w:val="67669AF2"/>
    <w:rsid w:val="68C86DEE"/>
    <w:rsid w:val="698BDD7D"/>
    <w:rsid w:val="6AA7A1A7"/>
    <w:rsid w:val="6AB3729A"/>
    <w:rsid w:val="6BBB32EB"/>
    <w:rsid w:val="6BD8D2AA"/>
    <w:rsid w:val="6E68B71B"/>
    <w:rsid w:val="704D438C"/>
    <w:rsid w:val="70736849"/>
    <w:rsid w:val="72AD5AD4"/>
    <w:rsid w:val="738A534A"/>
    <w:rsid w:val="749BF596"/>
    <w:rsid w:val="753CD7E4"/>
    <w:rsid w:val="753F39E1"/>
    <w:rsid w:val="761EA6E3"/>
    <w:rsid w:val="7678EBC5"/>
    <w:rsid w:val="768BC4CB"/>
    <w:rsid w:val="77791142"/>
    <w:rsid w:val="781151AE"/>
    <w:rsid w:val="78F56418"/>
    <w:rsid w:val="79AFC65B"/>
    <w:rsid w:val="7ADBB32B"/>
    <w:rsid w:val="7AE09FC6"/>
    <w:rsid w:val="7AFB5BBA"/>
    <w:rsid w:val="7B0E8D53"/>
    <w:rsid w:val="7B616BAE"/>
    <w:rsid w:val="7EF89D95"/>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DCDFD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E18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E18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18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18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18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18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18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18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18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18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E18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18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18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18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18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18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18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1888"/>
    <w:rPr>
      <w:rFonts w:eastAsiaTheme="majorEastAsia" w:cstheme="majorBidi"/>
      <w:color w:val="272727" w:themeColor="text1" w:themeTint="D8"/>
    </w:rPr>
  </w:style>
  <w:style w:type="paragraph" w:styleId="Title">
    <w:name w:val="Title"/>
    <w:basedOn w:val="Normal"/>
    <w:next w:val="Normal"/>
    <w:link w:val="TitleChar"/>
    <w:uiPriority w:val="10"/>
    <w:qFormat/>
    <w:rsid w:val="00DE18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18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18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18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1888"/>
    <w:pPr>
      <w:spacing w:before="160"/>
      <w:jc w:val="center"/>
    </w:pPr>
    <w:rPr>
      <w:i/>
      <w:iCs/>
      <w:color w:val="404040" w:themeColor="text1" w:themeTint="BF"/>
    </w:rPr>
  </w:style>
  <w:style w:type="character" w:customStyle="1" w:styleId="QuoteChar">
    <w:name w:val="Quote Char"/>
    <w:basedOn w:val="DefaultParagraphFont"/>
    <w:link w:val="Quote"/>
    <w:uiPriority w:val="29"/>
    <w:rsid w:val="00DE1888"/>
    <w:rPr>
      <w:i/>
      <w:iCs/>
      <w:color w:val="404040" w:themeColor="text1" w:themeTint="BF"/>
    </w:rPr>
  </w:style>
  <w:style w:type="paragraph" w:styleId="ListParagraph">
    <w:name w:val="List Paragraph"/>
    <w:basedOn w:val="Normal"/>
    <w:uiPriority w:val="34"/>
    <w:qFormat/>
    <w:rsid w:val="00AF79FB"/>
    <w:pPr>
      <w:ind w:left="567"/>
      <w:contextualSpacing/>
    </w:pPr>
  </w:style>
  <w:style w:type="character" w:styleId="IntenseEmphasis">
    <w:name w:val="Intense Emphasis"/>
    <w:basedOn w:val="DefaultParagraphFont"/>
    <w:uiPriority w:val="21"/>
    <w:qFormat/>
    <w:rsid w:val="00DE1888"/>
    <w:rPr>
      <w:i/>
      <w:iCs/>
      <w:color w:val="0F4761" w:themeColor="accent1" w:themeShade="BF"/>
    </w:rPr>
  </w:style>
  <w:style w:type="paragraph" w:styleId="IntenseQuote">
    <w:name w:val="Intense Quote"/>
    <w:basedOn w:val="Normal"/>
    <w:next w:val="Normal"/>
    <w:link w:val="IntenseQuoteChar"/>
    <w:uiPriority w:val="30"/>
    <w:qFormat/>
    <w:rsid w:val="00DE18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1888"/>
    <w:rPr>
      <w:i/>
      <w:iCs/>
      <w:color w:val="0F4761" w:themeColor="accent1" w:themeShade="BF"/>
    </w:rPr>
  </w:style>
  <w:style w:type="character" w:styleId="IntenseReference">
    <w:name w:val="Intense Reference"/>
    <w:basedOn w:val="DefaultParagraphFont"/>
    <w:uiPriority w:val="32"/>
    <w:qFormat/>
    <w:rsid w:val="00DE1888"/>
    <w:rPr>
      <w:b/>
      <w:bCs/>
      <w:smallCaps/>
      <w:color w:val="0F4761" w:themeColor="accent1" w:themeShade="BF"/>
      <w:spacing w:val="5"/>
    </w:rPr>
  </w:style>
  <w:style w:type="character" w:customStyle="1" w:styleId="Marker">
    <w:name w:val="Marker"/>
    <w:basedOn w:val="DefaultParagraphFont"/>
    <w:rsid w:val="00DE1888"/>
    <w:rPr>
      <w:color w:val="0000FF"/>
      <w:shd w:val="clear" w:color="auto" w:fill="auto"/>
    </w:rPr>
  </w:style>
  <w:style w:type="paragraph" w:styleId="Header">
    <w:name w:val="header"/>
    <w:basedOn w:val="Normal"/>
    <w:link w:val="HeaderChar"/>
    <w:uiPriority w:val="99"/>
    <w:unhideWhenUsed/>
    <w:rsid w:val="00DE18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1888"/>
  </w:style>
  <w:style w:type="paragraph" w:styleId="Footer">
    <w:name w:val="footer"/>
    <w:basedOn w:val="Normal"/>
    <w:link w:val="FooterChar"/>
    <w:uiPriority w:val="99"/>
    <w:unhideWhenUsed/>
    <w:rsid w:val="00DE18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1888"/>
  </w:style>
  <w:style w:type="paragraph" w:customStyle="1" w:styleId="Pagedecouverture">
    <w:name w:val="Page de couverture"/>
    <w:basedOn w:val="Normal"/>
    <w:next w:val="Normal"/>
    <w:rsid w:val="00DE1888"/>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DE1888"/>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DE1888"/>
    <w:rPr>
      <w:rFonts w:ascii="Times New Roman" w:hAnsi="Times New Roman" w:cs="Times New Roman"/>
    </w:rPr>
  </w:style>
  <w:style w:type="paragraph" w:customStyle="1" w:styleId="FooterSensitivity">
    <w:name w:val="Footer Sensitivity"/>
    <w:basedOn w:val="Normal"/>
    <w:link w:val="FooterSensitivityChar"/>
    <w:rsid w:val="00DE188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E1888"/>
    <w:rPr>
      <w:rFonts w:ascii="Times New Roman" w:hAnsi="Times New Roman" w:cs="Times New Roman"/>
      <w:b/>
      <w:sz w:val="32"/>
    </w:rPr>
  </w:style>
  <w:style w:type="paragraph" w:customStyle="1" w:styleId="HeaderCoverPage">
    <w:name w:val="Header Cover Page"/>
    <w:basedOn w:val="Normal"/>
    <w:link w:val="HeaderCoverPageChar"/>
    <w:rsid w:val="00DE1888"/>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DE1888"/>
    <w:rPr>
      <w:rFonts w:ascii="Times New Roman" w:hAnsi="Times New Roman" w:cs="Times New Roman"/>
    </w:rPr>
  </w:style>
  <w:style w:type="paragraph" w:customStyle="1" w:styleId="HeaderSensitivity">
    <w:name w:val="Header Sensitivity"/>
    <w:basedOn w:val="Normal"/>
    <w:link w:val="HeaderSensitivityChar"/>
    <w:rsid w:val="00DE188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E1888"/>
    <w:rPr>
      <w:rFonts w:ascii="Times New Roman" w:hAnsi="Times New Roman" w:cs="Times New Roman"/>
      <w:b/>
      <w:sz w:val="32"/>
    </w:rPr>
  </w:style>
  <w:style w:type="paragraph" w:customStyle="1" w:styleId="HeaderSensitivityRight">
    <w:name w:val="Header Sensitivity Right"/>
    <w:basedOn w:val="Normal"/>
    <w:link w:val="HeaderSensitivityRightChar"/>
    <w:rsid w:val="00DE188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E1888"/>
    <w:rPr>
      <w:rFonts w:ascii="Times New Roman" w:hAnsi="Times New Roman" w:cs="Times New Roman"/>
      <w:sz w:val="28"/>
    </w:rPr>
  </w:style>
  <w:style w:type="paragraph" w:styleId="FootnoteText">
    <w:name w:val="footnote text"/>
    <w:basedOn w:val="Normal"/>
    <w:uiPriority w:val="99"/>
    <w:unhideWhenUsed/>
    <w:rsid w:val="00A24F29"/>
    <w:pPr>
      <w:widowControl w:val="0"/>
      <w:autoSpaceDE w:val="0"/>
      <w:autoSpaceDN w:val="0"/>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uiPriority w:val="99"/>
    <w:rsid w:val="00A24F29"/>
    <w:rPr>
      <w:rFonts w:ascii="Times New Roman" w:eastAsia="Times New Roman" w:hAnsi="Times New Roman" w:cs="Times New Roman"/>
      <w:kern w:val="0"/>
      <w:sz w:val="20"/>
      <w:szCs w:val="20"/>
      <w:lang w:val="ro-RO"/>
      <w14:ligatures w14:val="none"/>
    </w:rPr>
  </w:style>
  <w:style w:type="character" w:styleId="FootnoteReference">
    <w:name w:val="footnote reference"/>
    <w:basedOn w:val="DefaultParagraphFont"/>
    <w:uiPriority w:val="99"/>
    <w:unhideWhenUsed/>
    <w:rsid w:val="00A24F29"/>
    <w:rPr>
      <w:vertAlign w:val="superscript"/>
    </w:rPr>
  </w:style>
  <w:style w:type="character" w:styleId="Hyperlink">
    <w:name w:val="Hyperlink"/>
    <w:basedOn w:val="DefaultParagraphFont"/>
    <w:uiPriority w:val="99"/>
    <w:unhideWhenUsed/>
    <w:rsid w:val="00542BCE"/>
    <w:rPr>
      <w:color w:val="467886" w:themeColor="hyperlink"/>
      <w:u w:val="single"/>
    </w:rPr>
  </w:style>
  <w:style w:type="character" w:customStyle="1" w:styleId="UnresolvedMention">
    <w:name w:val="Unresolved Mention"/>
    <w:basedOn w:val="DefaultParagraphFont"/>
    <w:uiPriority w:val="99"/>
    <w:semiHidden/>
    <w:unhideWhenUsed/>
    <w:rsid w:val="00542BCE"/>
    <w:rPr>
      <w:color w:val="605E5C"/>
      <w:shd w:val="clear" w:color="auto" w:fill="E1DFDD"/>
    </w:rPr>
  </w:style>
  <w:style w:type="character" w:styleId="CommentReference">
    <w:name w:val="annotation reference"/>
    <w:basedOn w:val="DefaultParagraphFont"/>
    <w:uiPriority w:val="99"/>
    <w:semiHidden/>
    <w:unhideWhenUsed/>
    <w:rsid w:val="000B4370"/>
    <w:rPr>
      <w:sz w:val="16"/>
      <w:szCs w:val="16"/>
    </w:rPr>
  </w:style>
  <w:style w:type="paragraph" w:styleId="CommentText">
    <w:name w:val="annotation text"/>
    <w:basedOn w:val="Normal"/>
    <w:link w:val="CommentTextChar"/>
    <w:uiPriority w:val="99"/>
    <w:unhideWhenUsed/>
    <w:rsid w:val="000B4370"/>
    <w:pPr>
      <w:widowControl w:val="0"/>
      <w:autoSpaceDE w:val="0"/>
      <w:autoSpaceDN w:val="0"/>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0B4370"/>
    <w:rPr>
      <w:rFonts w:ascii="Times New Roman" w:eastAsia="Times New Roman" w:hAnsi="Times New Roman" w:cs="Times New Roman"/>
      <w:kern w:val="0"/>
      <w:sz w:val="20"/>
      <w:szCs w:val="20"/>
      <w:lang w:val="ro-RO"/>
      <w14:ligatures w14:val="none"/>
    </w:rPr>
  </w:style>
  <w:style w:type="paragraph" w:styleId="CommentSubject">
    <w:name w:val="annotation subject"/>
    <w:basedOn w:val="CommentText"/>
    <w:next w:val="CommentText"/>
    <w:link w:val="CommentSubjectChar"/>
    <w:uiPriority w:val="99"/>
    <w:semiHidden/>
    <w:unhideWhenUsed/>
    <w:rsid w:val="0065245E"/>
    <w:pPr>
      <w:widowControl/>
      <w:autoSpaceDE/>
      <w:autoSpaceDN/>
      <w:spacing w:after="160"/>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65245E"/>
    <w:rPr>
      <w:rFonts w:ascii="Times New Roman" w:eastAsia="Times New Roman" w:hAnsi="Times New Roman" w:cs="Times New Roman"/>
      <w:b/>
      <w:bCs/>
      <w:kern w:val="0"/>
      <w:sz w:val="20"/>
      <w:szCs w:val="20"/>
      <w:lang w:val="ro-RO"/>
      <w14:ligatures w14:val="none"/>
    </w:rPr>
  </w:style>
  <w:style w:type="paragraph" w:styleId="Revision">
    <w:name w:val="Revision"/>
    <w:hidden/>
    <w:uiPriority w:val="99"/>
    <w:semiHidden/>
    <w:rsid w:val="007F2C17"/>
    <w:pPr>
      <w:spacing w:after="0" w:line="240" w:lineRule="auto"/>
    </w:pPr>
  </w:style>
  <w:style w:type="character" w:styleId="FollowedHyperlink">
    <w:name w:val="FollowedHyperlink"/>
    <w:basedOn w:val="DefaultParagraphFont"/>
    <w:uiPriority w:val="99"/>
    <w:semiHidden/>
    <w:unhideWhenUsed/>
    <w:rsid w:val="006C38EE"/>
    <w:rPr>
      <w:color w:val="96607D" w:themeColor="followedHyperlink"/>
      <w:u w:val="single"/>
    </w:rPr>
  </w:style>
  <w:style w:type="paragraph" w:styleId="NormalWeb">
    <w:name w:val="Normal (Web)"/>
    <w:basedOn w:val="Normal"/>
    <w:uiPriority w:val="99"/>
    <w:semiHidden/>
    <w:unhideWhenUsed/>
    <w:rsid w:val="0091265E"/>
    <w:rPr>
      <w:rFonts w:ascii="Times New Roman" w:hAnsi="Times New Roman" w:cs="Times New Roman"/>
    </w:rPr>
  </w:style>
  <w:style w:type="character" w:customStyle="1" w:styleId="cf01">
    <w:name w:val="cf01"/>
    <w:basedOn w:val="DefaultParagraphFont"/>
    <w:rsid w:val="008606FD"/>
    <w:rPr>
      <w:rFonts w:ascii="Segoe UI" w:hAnsi="Segoe UI" w:cs="Segoe UI" w:hint="default"/>
      <w:sz w:val="18"/>
      <w:szCs w:val="18"/>
    </w:rPr>
  </w:style>
  <w:style w:type="paragraph" w:styleId="EndnoteText">
    <w:name w:val="endnote text"/>
    <w:basedOn w:val="Normal"/>
    <w:link w:val="EndnoteTextChar"/>
    <w:uiPriority w:val="99"/>
    <w:semiHidden/>
    <w:unhideWhenUsed/>
    <w:rsid w:val="00B030D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030D9"/>
    <w:rPr>
      <w:sz w:val="20"/>
      <w:szCs w:val="20"/>
      <w:lang w:val="ro-RO"/>
    </w:rPr>
  </w:style>
  <w:style w:type="character" w:styleId="EndnoteReference">
    <w:name w:val="endnote reference"/>
    <w:basedOn w:val="DefaultParagraphFont"/>
    <w:uiPriority w:val="99"/>
    <w:semiHidden/>
    <w:unhideWhenUsed/>
    <w:rsid w:val="00B030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82740">
      <w:bodyDiv w:val="1"/>
      <w:marLeft w:val="0"/>
      <w:marRight w:val="0"/>
      <w:marTop w:val="0"/>
      <w:marBottom w:val="0"/>
      <w:divBdr>
        <w:top w:val="none" w:sz="0" w:space="0" w:color="auto"/>
        <w:left w:val="none" w:sz="0" w:space="0" w:color="auto"/>
        <w:bottom w:val="none" w:sz="0" w:space="0" w:color="auto"/>
        <w:right w:val="none" w:sz="0" w:space="0" w:color="auto"/>
      </w:divBdr>
    </w:div>
    <w:div w:id="90979575">
      <w:bodyDiv w:val="1"/>
      <w:marLeft w:val="0"/>
      <w:marRight w:val="0"/>
      <w:marTop w:val="0"/>
      <w:marBottom w:val="0"/>
      <w:divBdr>
        <w:top w:val="none" w:sz="0" w:space="0" w:color="auto"/>
        <w:left w:val="none" w:sz="0" w:space="0" w:color="auto"/>
        <w:bottom w:val="none" w:sz="0" w:space="0" w:color="auto"/>
        <w:right w:val="none" w:sz="0" w:space="0" w:color="auto"/>
      </w:divBdr>
    </w:div>
    <w:div w:id="192814187">
      <w:bodyDiv w:val="1"/>
      <w:marLeft w:val="0"/>
      <w:marRight w:val="0"/>
      <w:marTop w:val="0"/>
      <w:marBottom w:val="0"/>
      <w:divBdr>
        <w:top w:val="none" w:sz="0" w:space="0" w:color="auto"/>
        <w:left w:val="none" w:sz="0" w:space="0" w:color="auto"/>
        <w:bottom w:val="none" w:sz="0" w:space="0" w:color="auto"/>
        <w:right w:val="none" w:sz="0" w:space="0" w:color="auto"/>
      </w:divBdr>
    </w:div>
    <w:div w:id="290132206">
      <w:bodyDiv w:val="1"/>
      <w:marLeft w:val="0"/>
      <w:marRight w:val="0"/>
      <w:marTop w:val="0"/>
      <w:marBottom w:val="0"/>
      <w:divBdr>
        <w:top w:val="none" w:sz="0" w:space="0" w:color="auto"/>
        <w:left w:val="none" w:sz="0" w:space="0" w:color="auto"/>
        <w:bottom w:val="none" w:sz="0" w:space="0" w:color="auto"/>
        <w:right w:val="none" w:sz="0" w:space="0" w:color="auto"/>
      </w:divBdr>
    </w:div>
    <w:div w:id="315651439">
      <w:bodyDiv w:val="1"/>
      <w:marLeft w:val="0"/>
      <w:marRight w:val="0"/>
      <w:marTop w:val="0"/>
      <w:marBottom w:val="0"/>
      <w:divBdr>
        <w:top w:val="none" w:sz="0" w:space="0" w:color="auto"/>
        <w:left w:val="none" w:sz="0" w:space="0" w:color="auto"/>
        <w:bottom w:val="none" w:sz="0" w:space="0" w:color="auto"/>
        <w:right w:val="none" w:sz="0" w:space="0" w:color="auto"/>
      </w:divBdr>
    </w:div>
    <w:div w:id="323702230">
      <w:bodyDiv w:val="1"/>
      <w:marLeft w:val="0"/>
      <w:marRight w:val="0"/>
      <w:marTop w:val="0"/>
      <w:marBottom w:val="0"/>
      <w:divBdr>
        <w:top w:val="none" w:sz="0" w:space="0" w:color="auto"/>
        <w:left w:val="none" w:sz="0" w:space="0" w:color="auto"/>
        <w:bottom w:val="none" w:sz="0" w:space="0" w:color="auto"/>
        <w:right w:val="none" w:sz="0" w:space="0" w:color="auto"/>
      </w:divBdr>
    </w:div>
    <w:div w:id="446854051">
      <w:bodyDiv w:val="1"/>
      <w:marLeft w:val="0"/>
      <w:marRight w:val="0"/>
      <w:marTop w:val="0"/>
      <w:marBottom w:val="0"/>
      <w:divBdr>
        <w:top w:val="none" w:sz="0" w:space="0" w:color="auto"/>
        <w:left w:val="none" w:sz="0" w:space="0" w:color="auto"/>
        <w:bottom w:val="none" w:sz="0" w:space="0" w:color="auto"/>
        <w:right w:val="none" w:sz="0" w:space="0" w:color="auto"/>
      </w:divBdr>
    </w:div>
    <w:div w:id="525290803">
      <w:bodyDiv w:val="1"/>
      <w:marLeft w:val="0"/>
      <w:marRight w:val="0"/>
      <w:marTop w:val="0"/>
      <w:marBottom w:val="0"/>
      <w:divBdr>
        <w:top w:val="none" w:sz="0" w:space="0" w:color="auto"/>
        <w:left w:val="none" w:sz="0" w:space="0" w:color="auto"/>
        <w:bottom w:val="none" w:sz="0" w:space="0" w:color="auto"/>
        <w:right w:val="none" w:sz="0" w:space="0" w:color="auto"/>
      </w:divBdr>
    </w:div>
    <w:div w:id="539823424">
      <w:bodyDiv w:val="1"/>
      <w:marLeft w:val="0"/>
      <w:marRight w:val="0"/>
      <w:marTop w:val="0"/>
      <w:marBottom w:val="0"/>
      <w:divBdr>
        <w:top w:val="none" w:sz="0" w:space="0" w:color="auto"/>
        <w:left w:val="none" w:sz="0" w:space="0" w:color="auto"/>
        <w:bottom w:val="none" w:sz="0" w:space="0" w:color="auto"/>
        <w:right w:val="none" w:sz="0" w:space="0" w:color="auto"/>
      </w:divBdr>
    </w:div>
    <w:div w:id="660427354">
      <w:bodyDiv w:val="1"/>
      <w:marLeft w:val="0"/>
      <w:marRight w:val="0"/>
      <w:marTop w:val="0"/>
      <w:marBottom w:val="0"/>
      <w:divBdr>
        <w:top w:val="none" w:sz="0" w:space="0" w:color="auto"/>
        <w:left w:val="none" w:sz="0" w:space="0" w:color="auto"/>
        <w:bottom w:val="none" w:sz="0" w:space="0" w:color="auto"/>
        <w:right w:val="none" w:sz="0" w:space="0" w:color="auto"/>
      </w:divBdr>
    </w:div>
    <w:div w:id="684213158">
      <w:bodyDiv w:val="1"/>
      <w:marLeft w:val="0"/>
      <w:marRight w:val="0"/>
      <w:marTop w:val="0"/>
      <w:marBottom w:val="0"/>
      <w:divBdr>
        <w:top w:val="none" w:sz="0" w:space="0" w:color="auto"/>
        <w:left w:val="none" w:sz="0" w:space="0" w:color="auto"/>
        <w:bottom w:val="none" w:sz="0" w:space="0" w:color="auto"/>
        <w:right w:val="none" w:sz="0" w:space="0" w:color="auto"/>
      </w:divBdr>
    </w:div>
    <w:div w:id="710346511">
      <w:bodyDiv w:val="1"/>
      <w:marLeft w:val="0"/>
      <w:marRight w:val="0"/>
      <w:marTop w:val="0"/>
      <w:marBottom w:val="0"/>
      <w:divBdr>
        <w:top w:val="none" w:sz="0" w:space="0" w:color="auto"/>
        <w:left w:val="none" w:sz="0" w:space="0" w:color="auto"/>
        <w:bottom w:val="none" w:sz="0" w:space="0" w:color="auto"/>
        <w:right w:val="none" w:sz="0" w:space="0" w:color="auto"/>
      </w:divBdr>
    </w:div>
    <w:div w:id="776682908">
      <w:bodyDiv w:val="1"/>
      <w:marLeft w:val="0"/>
      <w:marRight w:val="0"/>
      <w:marTop w:val="0"/>
      <w:marBottom w:val="0"/>
      <w:divBdr>
        <w:top w:val="none" w:sz="0" w:space="0" w:color="auto"/>
        <w:left w:val="none" w:sz="0" w:space="0" w:color="auto"/>
        <w:bottom w:val="none" w:sz="0" w:space="0" w:color="auto"/>
        <w:right w:val="none" w:sz="0" w:space="0" w:color="auto"/>
      </w:divBdr>
    </w:div>
    <w:div w:id="777986790">
      <w:bodyDiv w:val="1"/>
      <w:marLeft w:val="0"/>
      <w:marRight w:val="0"/>
      <w:marTop w:val="0"/>
      <w:marBottom w:val="0"/>
      <w:divBdr>
        <w:top w:val="none" w:sz="0" w:space="0" w:color="auto"/>
        <w:left w:val="none" w:sz="0" w:space="0" w:color="auto"/>
        <w:bottom w:val="none" w:sz="0" w:space="0" w:color="auto"/>
        <w:right w:val="none" w:sz="0" w:space="0" w:color="auto"/>
      </w:divBdr>
    </w:div>
    <w:div w:id="950279755">
      <w:bodyDiv w:val="1"/>
      <w:marLeft w:val="0"/>
      <w:marRight w:val="0"/>
      <w:marTop w:val="0"/>
      <w:marBottom w:val="0"/>
      <w:divBdr>
        <w:top w:val="none" w:sz="0" w:space="0" w:color="auto"/>
        <w:left w:val="none" w:sz="0" w:space="0" w:color="auto"/>
        <w:bottom w:val="none" w:sz="0" w:space="0" w:color="auto"/>
        <w:right w:val="none" w:sz="0" w:space="0" w:color="auto"/>
      </w:divBdr>
    </w:div>
    <w:div w:id="1149707321">
      <w:bodyDiv w:val="1"/>
      <w:marLeft w:val="0"/>
      <w:marRight w:val="0"/>
      <w:marTop w:val="0"/>
      <w:marBottom w:val="0"/>
      <w:divBdr>
        <w:top w:val="none" w:sz="0" w:space="0" w:color="auto"/>
        <w:left w:val="none" w:sz="0" w:space="0" w:color="auto"/>
        <w:bottom w:val="none" w:sz="0" w:space="0" w:color="auto"/>
        <w:right w:val="none" w:sz="0" w:space="0" w:color="auto"/>
      </w:divBdr>
    </w:div>
    <w:div w:id="1208949033">
      <w:bodyDiv w:val="1"/>
      <w:marLeft w:val="0"/>
      <w:marRight w:val="0"/>
      <w:marTop w:val="0"/>
      <w:marBottom w:val="0"/>
      <w:divBdr>
        <w:top w:val="none" w:sz="0" w:space="0" w:color="auto"/>
        <w:left w:val="none" w:sz="0" w:space="0" w:color="auto"/>
        <w:bottom w:val="none" w:sz="0" w:space="0" w:color="auto"/>
        <w:right w:val="none" w:sz="0" w:space="0" w:color="auto"/>
      </w:divBdr>
    </w:div>
    <w:div w:id="1397707072">
      <w:bodyDiv w:val="1"/>
      <w:marLeft w:val="0"/>
      <w:marRight w:val="0"/>
      <w:marTop w:val="0"/>
      <w:marBottom w:val="0"/>
      <w:divBdr>
        <w:top w:val="none" w:sz="0" w:space="0" w:color="auto"/>
        <w:left w:val="none" w:sz="0" w:space="0" w:color="auto"/>
        <w:bottom w:val="none" w:sz="0" w:space="0" w:color="auto"/>
        <w:right w:val="none" w:sz="0" w:space="0" w:color="auto"/>
      </w:divBdr>
    </w:div>
    <w:div w:id="1495679262">
      <w:bodyDiv w:val="1"/>
      <w:marLeft w:val="0"/>
      <w:marRight w:val="0"/>
      <w:marTop w:val="0"/>
      <w:marBottom w:val="0"/>
      <w:divBdr>
        <w:top w:val="none" w:sz="0" w:space="0" w:color="auto"/>
        <w:left w:val="none" w:sz="0" w:space="0" w:color="auto"/>
        <w:bottom w:val="none" w:sz="0" w:space="0" w:color="auto"/>
        <w:right w:val="none" w:sz="0" w:space="0" w:color="auto"/>
      </w:divBdr>
    </w:div>
    <w:div w:id="1780444931">
      <w:bodyDiv w:val="1"/>
      <w:marLeft w:val="0"/>
      <w:marRight w:val="0"/>
      <w:marTop w:val="0"/>
      <w:marBottom w:val="0"/>
      <w:divBdr>
        <w:top w:val="none" w:sz="0" w:space="0" w:color="auto"/>
        <w:left w:val="none" w:sz="0" w:space="0" w:color="auto"/>
        <w:bottom w:val="none" w:sz="0" w:space="0" w:color="auto"/>
        <w:right w:val="none" w:sz="0" w:space="0" w:color="auto"/>
      </w:divBdr>
    </w:div>
    <w:div w:id="1878424235">
      <w:bodyDiv w:val="1"/>
      <w:marLeft w:val="0"/>
      <w:marRight w:val="0"/>
      <w:marTop w:val="0"/>
      <w:marBottom w:val="0"/>
      <w:divBdr>
        <w:top w:val="none" w:sz="0" w:space="0" w:color="auto"/>
        <w:left w:val="none" w:sz="0" w:space="0" w:color="auto"/>
        <w:bottom w:val="none" w:sz="0" w:space="0" w:color="auto"/>
        <w:right w:val="none" w:sz="0" w:space="0" w:color="auto"/>
      </w:divBdr>
    </w:div>
    <w:div w:id="1990792371">
      <w:bodyDiv w:val="1"/>
      <w:marLeft w:val="0"/>
      <w:marRight w:val="0"/>
      <w:marTop w:val="0"/>
      <w:marBottom w:val="0"/>
      <w:divBdr>
        <w:top w:val="none" w:sz="0" w:space="0" w:color="auto"/>
        <w:left w:val="none" w:sz="0" w:space="0" w:color="auto"/>
        <w:bottom w:val="none" w:sz="0" w:space="0" w:color="auto"/>
        <w:right w:val="none" w:sz="0" w:space="0" w:color="auto"/>
      </w:divBdr>
    </w:div>
    <w:div w:id="2031565326">
      <w:bodyDiv w:val="1"/>
      <w:marLeft w:val="0"/>
      <w:marRight w:val="0"/>
      <w:marTop w:val="0"/>
      <w:marBottom w:val="0"/>
      <w:divBdr>
        <w:top w:val="none" w:sz="0" w:space="0" w:color="auto"/>
        <w:left w:val="none" w:sz="0" w:space="0" w:color="auto"/>
        <w:bottom w:val="none" w:sz="0" w:space="0" w:color="auto"/>
        <w:right w:val="none" w:sz="0" w:space="0" w:color="auto"/>
      </w:divBdr>
    </w:div>
    <w:div w:id="2107656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561/oj" TargetMode="External"/><Relationship Id="rId18" Type="http://schemas.openxmlformats.org/officeDocument/2006/relationships/hyperlink" Target="https://digital-markets-act.ec.europa.eu/events/workshops" TargetMode="External"/><Relationship Id="rId26" Type="http://schemas.openxmlformats.org/officeDocument/2006/relationships/hyperlink" Target="https://ec.europa.eu/commission/presscorner/detail/ro/ip_25_1086" TargetMode="External"/><Relationship Id="rId39" Type="http://schemas.openxmlformats.org/officeDocument/2006/relationships/hyperlink" Target="https://digital-markets-act.ec.europa.eu/legislation_en" TargetMode="External"/><Relationship Id="rId21" Type="http://schemas.openxmlformats.org/officeDocument/2006/relationships/hyperlink" Target="https://ec.europa.eu/commission/presscorner/detail/ro/ip_25_1086" TargetMode="External"/><Relationship Id="rId34" Type="http://schemas.openxmlformats.org/officeDocument/2006/relationships/hyperlink" Target="http://data.europa.eu/eli/C/2025/5214/oj" TargetMode="External"/><Relationship Id="rId42" Type="http://schemas.openxmlformats.org/officeDocument/2006/relationships/hyperlink" Target="https://digital-markets-act-cases.ec.europa.eu/reports/consumer-profiling-reports" TargetMode="External"/><Relationship Id="rId47" Type="http://schemas.openxmlformats.org/officeDocument/2006/relationships/hyperlink" Target="https://ec.europa.eu/info/law/better-regulation/have-your-say/initiatives/15554-Verificarea-adecvarii-digitale-testarea-impactului-cumulativ-al-normelor-UE-pentru-sectorul-digital_ro" TargetMode="External"/><Relationship Id="rId50" Type="http://schemas.openxmlformats.org/officeDocument/2006/relationships/hyperlink" Target="https://digital-markets-act.ec.europa.eu/consultation-first-review-digital-markets-act_en" TargetMode="External"/><Relationship Id="rId55" Type="http://schemas.openxmlformats.org/officeDocument/2006/relationships/hyperlink" Target="https://www.jftc.go.jp/en/policy_enforcement/digital/index.html" TargetMode="External"/><Relationship Id="rId7" Type="http://schemas.openxmlformats.org/officeDocument/2006/relationships/hyperlink" Target="https://digital-markets-act.ec.europa.eu/commission-finds-apple-ads-and-apple-maps-should-not-be-designated-under-digital-markets-act-2026-02-05_en" TargetMode="External"/><Relationship Id="rId12" Type="http://schemas.openxmlformats.org/officeDocument/2006/relationships/hyperlink" Target="http://data.europa.eu/eli/C/2024/3623/oj" TargetMode="External"/><Relationship Id="rId17" Type="http://schemas.openxmlformats.org/officeDocument/2006/relationships/hyperlink" Target="https://digital-markets-act-cases.ec.europa.eu/reports/compliance-reports" TargetMode="External"/><Relationship Id="rId25" Type="http://schemas.openxmlformats.org/officeDocument/2006/relationships/hyperlink" Target="https://ec.europa.eu/commission/presscorner/detail/ro/ip_25_1086" TargetMode="External"/><Relationship Id="rId33" Type="http://schemas.openxmlformats.org/officeDocument/2006/relationships/hyperlink" Target="https://ec.europa.eu/commission/presscorner/detail/ro/ip_25_2675" TargetMode="External"/><Relationship Id="rId38" Type="http://schemas.openxmlformats.org/officeDocument/2006/relationships/hyperlink" Target="https://digital-markets-act-cases.ec.europa.eu/acquisitions" TargetMode="External"/><Relationship Id="rId46" Type="http://schemas.openxmlformats.org/officeDocument/2006/relationships/hyperlink" Target="https://agcm.it/media/comunicati-stampa/2025/11/PS12714-" TargetMode="External"/><Relationship Id="rId2" Type="http://schemas.openxmlformats.org/officeDocument/2006/relationships/hyperlink" Target="https://commission.europa.eu/about/commission-2024-2029_ro" TargetMode="External"/><Relationship Id="rId16" Type="http://schemas.openxmlformats.org/officeDocument/2006/relationships/hyperlink" Target="http://data.europa.eu/eli/C/2024/6103/oj" TargetMode="External"/><Relationship Id="rId20" Type="http://schemas.openxmlformats.org/officeDocument/2006/relationships/hyperlink" Target="https://ec.europa.eu/commission/presscorner/detail/ro/ip_25_1086" TargetMode="External"/><Relationship Id="rId29" Type="http://schemas.openxmlformats.org/officeDocument/2006/relationships/hyperlink" Target="https://about.fb.com/news/2025/11/messaging-interoperability-whatsapp-enables-third-party-chats-for-users-in-europe/" TargetMode="External"/><Relationship Id="rId41" Type="http://schemas.openxmlformats.org/officeDocument/2006/relationships/hyperlink" Target="https://ec.europa.eu/transparency/expert-groups-register/screen/meetings/consult?lang=en&amp;meetingId=58746&amp;fromExpertGroups=3904" TargetMode="External"/><Relationship Id="rId54" Type="http://schemas.openxmlformats.org/officeDocument/2006/relationships/hyperlink" Target="https://digital-markets-act.ec.europa.eu/document/download/19a69296-8b25-4b02-817c-7737f76ce61a_en?filename=Commission_JFTC_Cooperation%20Arrangement.pdf" TargetMode="External"/><Relationship Id="rId1" Type="http://schemas.openxmlformats.org/officeDocument/2006/relationships/hyperlink" Target="https://digital-markets-act.ec.europa.eu/about-dma/dma-annual-reports_en" TargetMode="External"/><Relationship Id="rId6" Type="http://schemas.openxmlformats.org/officeDocument/2006/relationships/hyperlink" Target="https://digital-markets-act.ec.europa.eu/commission-receives-notifications-apple-under-digital-markets-act-2025-11-27_en" TargetMode="External"/><Relationship Id="rId11" Type="http://schemas.openxmlformats.org/officeDocument/2006/relationships/hyperlink" Target="http://data.europa.eu/eli/C/2024/562/oj" TargetMode="External"/><Relationship Id="rId24" Type="http://schemas.openxmlformats.org/officeDocument/2006/relationships/hyperlink" Target="https://ec.europa.eu/commission/presscorner/detail/ro/ip_25_811" TargetMode="External"/><Relationship Id="rId32" Type="http://schemas.openxmlformats.org/officeDocument/2006/relationships/hyperlink" Target="https://ec.europa.eu/commission/presscorner/detail/ro/ip_25_2675" TargetMode="External"/><Relationship Id="rId37" Type="http://schemas.openxmlformats.org/officeDocument/2006/relationships/hyperlink" Target="http://data.europa.eu/eli/C/2025/5213/oj" TargetMode="External"/><Relationship Id="rId40" Type="http://schemas.openxmlformats.org/officeDocument/2006/relationships/hyperlink" Target="https://digital-markets-act.ec.europa.eu/legislation_en" TargetMode="External"/><Relationship Id="rId45" Type="http://schemas.openxmlformats.org/officeDocument/2006/relationships/hyperlink" Target="https://www.bundeskartellamt.de/SharedDocs/Meldung/EN/Pressemitteilungen/2026/26_02_05_Amazon.html" TargetMode="External"/><Relationship Id="rId53" Type="http://schemas.openxmlformats.org/officeDocument/2006/relationships/hyperlink" Target="https://digital-markets-act.ec.europa.eu/document/download/19a69296-8b25-4b02-817c-7737f76ce61a_en?filename=Commission_JFTC_Cooperation%20Arrangement.pdf" TargetMode="External"/><Relationship Id="rId5" Type="http://schemas.openxmlformats.org/officeDocument/2006/relationships/hyperlink" Target="https://digital-markets-act.ec.europa.eu/gatekeepers_en" TargetMode="External"/><Relationship Id="rId15" Type="http://schemas.openxmlformats.org/officeDocument/2006/relationships/hyperlink" Target="http://data.europa.eu/eli/C/2024/6639/oj" TargetMode="External"/><Relationship Id="rId23" Type="http://schemas.openxmlformats.org/officeDocument/2006/relationships/hyperlink" Target="https://ec.europa.eu/commission/presscorner/detail/ro/ip_25_811" TargetMode="External"/><Relationship Id="rId28" Type="http://schemas.openxmlformats.org/officeDocument/2006/relationships/hyperlink" Target="https://developers.facebook.com/m/messaging-interoperability/" TargetMode="External"/><Relationship Id="rId36" Type="http://schemas.openxmlformats.org/officeDocument/2006/relationships/hyperlink" Target="http://data.europa.eu/eli/C/2025/5212/oj" TargetMode="External"/><Relationship Id="rId49" Type="http://schemas.openxmlformats.org/officeDocument/2006/relationships/hyperlink" Target="https://ec.europa.eu/transparency/expert-groups-register/screen/meetings/consult?lang=en&amp;meetingId=67755&amp;fromExpertGroups=3904" TargetMode="External"/><Relationship Id="rId10" Type="http://schemas.openxmlformats.org/officeDocument/2006/relationships/hyperlink" Target="http://data.europa.eu/eli/C/2024/563/oj" TargetMode="External"/><Relationship Id="rId19" Type="http://schemas.openxmlformats.org/officeDocument/2006/relationships/hyperlink" Target="https://digital-markets-act.ec.europa.eu/meta-commits-give-eu-users-choice-personalised-ads-under-digital-markets-act-2025-12-08_en" TargetMode="External"/><Relationship Id="rId31" Type="http://schemas.openxmlformats.org/officeDocument/2006/relationships/hyperlink" Target="https://ec.europa.eu/commission/presscorner/detail/ro/ip_25_811" TargetMode="External"/><Relationship Id="rId44" Type="http://schemas.openxmlformats.org/officeDocument/2006/relationships/hyperlink" Target="https://www.bundeskartellamt.de/SharedDocs/Meldung/EN/Pressemitteilungen/2025/04_09_2025_GAS_GMP.html" TargetMode="External"/><Relationship Id="rId52" Type="http://schemas.openxmlformats.org/officeDocument/2006/relationships/hyperlink" Target="https://digital-strategy.ec.europa.eu/ro/policies/international-digital-strategy" TargetMode="External"/><Relationship Id="rId4" Type="http://schemas.openxmlformats.org/officeDocument/2006/relationships/hyperlink" Target="https://commission.europa.eu/about/organisation/college-commissioners/teresa-ribera_en" TargetMode="External"/><Relationship Id="rId9" Type="http://schemas.openxmlformats.org/officeDocument/2006/relationships/hyperlink" Target="https://digital-markets-act.ec.europa.eu/commission-launches-market-investigations-cloud-computing-services-under-digital-markets-act-2025-11-18_en" TargetMode="External"/><Relationship Id="rId14" Type="http://schemas.openxmlformats.org/officeDocument/2006/relationships/hyperlink" Target="http://data.europa.eu/eli/C/2024/5640/oj" TargetMode="External"/><Relationship Id="rId22" Type="http://schemas.openxmlformats.org/officeDocument/2006/relationships/hyperlink" Target="https://competition-cases.ec.europa.eu/cases/DMA.100109" TargetMode="External"/><Relationship Id="rId27" Type="http://schemas.openxmlformats.org/officeDocument/2006/relationships/hyperlink" Target="https://www.beuc.eu/sites/default/files/publications/BEUC-X-2025-101_Increased_consumer_choice_after_eighteen_months_of_the_DMA.pdf" TargetMode="External"/><Relationship Id="rId30" Type="http://schemas.openxmlformats.org/officeDocument/2006/relationships/hyperlink" Target="https://ec.europa.eu/commission/presscorner/detail/ro/ip_25_811" TargetMode="External"/><Relationship Id="rId35" Type="http://schemas.openxmlformats.org/officeDocument/2006/relationships/hyperlink" Target="http://data.europa.eu/eli/C/2025/5215/oj" TargetMode="External"/><Relationship Id="rId43" Type="http://schemas.openxmlformats.org/officeDocument/2006/relationships/hyperlink" Target="https://www.bundeskartellamt.de/SharedDocs/Meldung/EN/Pressemitteilungen/2025/04_09_2025_GAS_GMP.html" TargetMode="External"/><Relationship Id="rId48" Type="http://schemas.openxmlformats.org/officeDocument/2006/relationships/hyperlink" Target="https://ec.europa.eu/transparency/expert-groups-register/screen/meetings/consult?lang=en&amp;meetingId=67755&amp;fromExpertGroups=3904" TargetMode="External"/><Relationship Id="rId56" Type="http://schemas.openxmlformats.org/officeDocument/2006/relationships/hyperlink" Target="https://webgate.ec.europa.eu/TMSWebRestrict/resources/js/app/" TargetMode="External"/><Relationship Id="rId8" Type="http://schemas.openxmlformats.org/officeDocument/2006/relationships/hyperlink" Target="https://digital-markets-act.ec.europa.eu/commission-launches-market-investigations-cloud-computing-services-under-digital-markets-act-2025-11-18_en" TargetMode="External"/><Relationship Id="rId51" Type="http://schemas.openxmlformats.org/officeDocument/2006/relationships/hyperlink" Target="https://digital-markets-act.ec.europa.eu/about-dma/dma-review-qa_en" TargetMode="External"/><Relationship Id="rId3" Type="http://schemas.openxmlformats.org/officeDocument/2006/relationships/hyperlink" Target="https://commission.europa.eu/about/organisation/college-commissioners/henna-virkkunen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C8911DECD3C942842AE2457B1D58EC" ma:contentTypeVersion="17" ma:contentTypeDescription="Create a new document." ma:contentTypeScope="" ma:versionID="23a5750347d6316cb4756ffa4815f256">
  <xsd:schema xmlns:xsd="http://www.w3.org/2001/XMLSchema" xmlns:xs="http://www.w3.org/2001/XMLSchema" xmlns:p="http://schemas.microsoft.com/office/2006/metadata/properties" xmlns:ns2="b4ccd767-3476-4eb0-8f04-28064fa02c79" xmlns:ns3="a0196e52-b54b-45e0-ab27-d308672c0ae6" targetNamespace="http://schemas.microsoft.com/office/2006/metadata/properties" ma:root="true" ma:fieldsID="53d8fc63502c770774aac9877c156827" ns2:_="" ns3:_="">
    <xsd:import namespace="b4ccd767-3476-4eb0-8f04-28064fa02c79"/>
    <xsd:import namespace="a0196e52-b54b-45e0-ab27-d308672c0ae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AnnaTaimr" minOccurs="0"/>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ccd767-3476-4eb0-8f04-28064fa02c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AnnaTaimr" ma:index="21" nillable="true" ma:displayName="Anna Taimr" ma:format="Dropdown" ma:list="UserInfo" ma:SharePointGroup="0" ma:internalName="AnnaTaim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196e52-b54b-45e0-ab27-d308672c0ae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EC_ARES_NUMBER" ma:index="22"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3" nillable="true" ma:displayName="Transferred to Ares" ma:format="DateTime" ma:hidden="true" ma:internalName="EC_ARES_DATE_TRANSFERRED">
      <xsd:simpleType>
        <xsd:restriction base="dms:DateTime"/>
      </xsd:simpleType>
    </xsd:element>
    <xsd:element name="EC_ARES_TRANSFERRED_BY" ma:index="24"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nnaTaimr xmlns="b4ccd767-3476-4eb0-8f04-28064fa02c79">
      <UserInfo>
        <DisplayName/>
        <AccountId xsi:nil="true"/>
        <AccountType/>
      </UserInfo>
    </AnnaTaimr>
    <EC_ARES_DATE_TRANSFERRED xmlns="a0196e52-b54b-45e0-ab27-d308672c0ae6" xsi:nil="true"/>
    <lcf76f155ced4ddcb4097134ff3c332f xmlns="b4ccd767-3476-4eb0-8f04-28064fa02c79">
      <Terms xmlns="http://schemas.microsoft.com/office/infopath/2007/PartnerControls"/>
    </lcf76f155ced4ddcb4097134ff3c332f>
    <EC_ARES_TRANSFERRED_BY xmlns="a0196e52-b54b-45e0-ab27-d308672c0ae6" xsi:nil="true"/>
    <EC_ARES_NUMBER xmlns="a0196e52-b54b-45e0-ab27-d308672c0ae6">
      <Url xsi:nil="true"/>
      <Description xsi:nil="true"/>
    </EC_ARES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7F6A5-3006-4D53-BAB9-732E1AA5FA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ccd767-3476-4eb0-8f04-28064fa02c79"/>
    <ds:schemaRef ds:uri="a0196e52-b54b-45e0-ab27-d308672c0a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5DB642-3CF3-4F75-B3AC-79775B7A65AF}">
  <ds:schemaRefs>
    <ds:schemaRef ds:uri="http://schemas.microsoft.com/office/2006/metadata/properties"/>
    <ds:schemaRef ds:uri="http://schemas.microsoft.com/office/infopath/2007/PartnerControls"/>
    <ds:schemaRef ds:uri="b4ccd767-3476-4eb0-8f04-28064fa02c79"/>
    <ds:schemaRef ds:uri="a0196e52-b54b-45e0-ab27-d308672c0ae6"/>
  </ds:schemaRefs>
</ds:datastoreItem>
</file>

<file path=customXml/itemProps3.xml><?xml version="1.0" encoding="utf-8"?>
<ds:datastoreItem xmlns:ds="http://schemas.openxmlformats.org/officeDocument/2006/customXml" ds:itemID="{48EBBACB-0A8D-4638-B882-E8E2B8C0D053}">
  <ds:schemaRefs>
    <ds:schemaRef ds:uri="http://schemas.microsoft.com/sharepoint/v3/contenttype/forms"/>
  </ds:schemaRefs>
</ds:datastoreItem>
</file>

<file path=customXml/itemProps4.xml><?xml version="1.0" encoding="utf-8"?>
<ds:datastoreItem xmlns:ds="http://schemas.openxmlformats.org/officeDocument/2006/customXml" ds:itemID="{863C2FCA-3B71-41F3-9823-F19B256BB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8402</Words>
  <Characters>47893</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2026-05-11T09:42:00Z</dcterms:created>
  <dcterms:modified xsi:type="dcterms:W3CDTF">2026-06-15T07:07:00Z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2026-05-11T09:42:19Z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a9e3f3a1-54e4-469b-9b2a-b943e2c5e658</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CP-005</vt:lpwstr>
  </property>
  <property fmtid="{D5CDD505-2E9C-101B-9397-08002B2CF9AE}" pid="16" name="_AdHocReviewCycleID">
    <vt:i4>-1586407823</vt:i4>
  </property>
  <property fmtid="{D5CDD505-2E9C-101B-9397-08002B2CF9AE}" pid="17" name="_NewReviewCycle">
    <vt:lpwstr/>
  </property>
  <property fmtid="{D5CDD505-2E9C-101B-9397-08002B2CF9AE}" pid="18" name="ContentTypeId">
    <vt:lpwstr>0x01010045C8911DECD3C942842AE2457B1D58EC</vt:lpwstr>
  </property>
  <property fmtid="{D5CDD505-2E9C-101B-9397-08002B2CF9AE}" pid="19" name="_ReviewingToolsShownOnce">
    <vt:lpwstr/>
  </property>
</Properties>
</file>